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FF487">
      <w:pPr>
        <w:spacing w:line="360" w:lineRule="auto"/>
        <w:jc w:val="center"/>
        <w:rPr>
          <w:rFonts w:hint="eastAsia" w:ascii="宋体" w:hAnsi="宋体" w:cs="宋体"/>
          <w:b/>
          <w:bCs/>
          <w:color w:val="auto"/>
          <w:sz w:val="48"/>
          <w:szCs w:val="48"/>
          <w:highlight w:val="none"/>
        </w:rPr>
      </w:pPr>
    </w:p>
    <w:p w14:paraId="59DE74C1">
      <w:pPr>
        <w:spacing w:line="480" w:lineRule="auto"/>
        <w:jc w:val="center"/>
        <w:rPr>
          <w:rFonts w:hint="eastAsia" w:ascii="宋体" w:hAnsi="宋体" w:cs="宋体"/>
          <w:b/>
          <w:color w:val="auto"/>
          <w:sz w:val="32"/>
          <w:szCs w:val="32"/>
          <w:highlight w:val="none"/>
        </w:rPr>
      </w:pPr>
      <w:r>
        <w:rPr>
          <w:rFonts w:hint="eastAsia" w:ascii="宋体" w:hAnsi="宋体" w:cs="宋体"/>
          <w:b/>
          <w:bCs/>
          <w:color w:val="auto"/>
          <w:sz w:val="36"/>
          <w:szCs w:val="36"/>
          <w:highlight w:val="none"/>
        </w:rPr>
        <w:t>杭州市南排工程建设管理服务中心（杭州市水利科普馆）</w:t>
      </w:r>
    </w:p>
    <w:p w14:paraId="6450273E">
      <w:pPr>
        <w:pStyle w:val="34"/>
        <w:widowControl w:val="0"/>
        <w:snapToGrid w:val="0"/>
        <w:spacing w:line="360" w:lineRule="auto"/>
        <w:ind w:firstLine="0"/>
        <w:jc w:val="center"/>
        <w:rPr>
          <w:rFonts w:hint="eastAsia" w:ascii="宋体" w:hAnsi="宋体" w:cs="宋体"/>
          <w:bCs/>
          <w:color w:val="auto"/>
          <w:sz w:val="36"/>
          <w:szCs w:val="36"/>
          <w:highlight w:val="none"/>
        </w:rPr>
      </w:pPr>
      <w:r>
        <w:rPr>
          <w:rFonts w:hint="eastAsia" w:ascii="宋体" w:hAnsi="宋体" w:cs="宋体"/>
          <w:color w:val="auto"/>
          <w:szCs w:val="44"/>
          <w:highlight w:val="none"/>
        </w:rPr>
        <w:t>八堡排水泵站运行和日常维修养护项目</w:t>
      </w:r>
    </w:p>
    <w:p w14:paraId="2D87C6A2">
      <w:pPr>
        <w:spacing w:line="360" w:lineRule="auto"/>
        <w:jc w:val="center"/>
        <w:rPr>
          <w:rFonts w:hint="eastAsia" w:ascii="宋体" w:hAnsi="宋体" w:cs="宋体"/>
          <w:color w:val="auto"/>
          <w:sz w:val="48"/>
          <w:szCs w:val="48"/>
          <w:highlight w:val="none"/>
        </w:rPr>
      </w:pPr>
    </w:p>
    <w:p w14:paraId="590EA1D4">
      <w:pPr>
        <w:spacing w:line="360" w:lineRule="auto"/>
        <w:jc w:val="center"/>
        <w:rPr>
          <w:rFonts w:hint="eastAsia" w:ascii="宋体" w:hAnsi="宋体" w:cs="宋体"/>
          <w:color w:val="auto"/>
          <w:sz w:val="48"/>
          <w:szCs w:val="48"/>
          <w:highlight w:val="none"/>
        </w:rPr>
      </w:pPr>
    </w:p>
    <w:p w14:paraId="241022C3">
      <w:pPr>
        <w:spacing w:line="360" w:lineRule="auto"/>
        <w:jc w:val="center"/>
        <w:rPr>
          <w:rFonts w:hint="eastAsia" w:ascii="宋体" w:hAnsi="宋体" w:cs="宋体"/>
          <w:color w:val="auto"/>
          <w:sz w:val="48"/>
          <w:szCs w:val="48"/>
          <w:highlight w:val="none"/>
        </w:rPr>
      </w:pPr>
      <w:r>
        <w:rPr>
          <w:rFonts w:hint="eastAsia" w:ascii="宋体" w:hAnsi="宋体" w:cs="宋体"/>
          <w:color w:val="auto"/>
          <w:sz w:val="72"/>
          <w:szCs w:val="72"/>
          <w:highlight w:val="none"/>
        </w:rPr>
        <w:t>招标文件</w:t>
      </w:r>
    </w:p>
    <w:p w14:paraId="0134EDFD">
      <w:pPr>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30B6DF25">
      <w:pPr>
        <w:snapToGrid w:val="0"/>
        <w:spacing w:line="360" w:lineRule="auto"/>
        <w:jc w:val="center"/>
        <w:rPr>
          <w:rFonts w:hint="eastAsia" w:ascii="宋体" w:hAnsi="宋体" w:cs="宋体"/>
          <w:color w:val="auto"/>
          <w:sz w:val="30"/>
          <w:szCs w:val="30"/>
          <w:highlight w:val="none"/>
        </w:rPr>
      </w:pPr>
    </w:p>
    <w:p w14:paraId="2FF4D589">
      <w:pPr>
        <w:snapToGrid w:val="0"/>
        <w:spacing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项目编号：</w:t>
      </w:r>
      <w:r>
        <w:rPr>
          <w:rFonts w:hint="eastAsia" w:ascii="宋体" w:hAnsi="宋体" w:cs="宋体"/>
          <w:color w:val="auto"/>
          <w:sz w:val="30"/>
          <w:szCs w:val="30"/>
          <w:highlight w:val="none"/>
          <w:lang w:eastAsia="zh-CN"/>
        </w:rPr>
        <w:t>ZJZBC-25-GK-9032</w:t>
      </w:r>
    </w:p>
    <w:p w14:paraId="7D8D44F0">
      <w:pPr>
        <w:spacing w:line="360" w:lineRule="auto"/>
        <w:jc w:val="center"/>
        <w:rPr>
          <w:rFonts w:hint="eastAsia" w:ascii="宋体" w:hAnsi="宋体" w:cs="宋体"/>
          <w:b/>
          <w:color w:val="auto"/>
          <w:sz w:val="44"/>
          <w:szCs w:val="44"/>
          <w:highlight w:val="none"/>
        </w:rPr>
      </w:pPr>
    </w:p>
    <w:p w14:paraId="438BA399">
      <w:pPr>
        <w:spacing w:line="360" w:lineRule="auto"/>
        <w:jc w:val="center"/>
        <w:rPr>
          <w:rFonts w:hint="eastAsia" w:ascii="宋体" w:hAnsi="宋体" w:cs="宋体"/>
          <w:b/>
          <w:color w:val="auto"/>
          <w:sz w:val="44"/>
          <w:szCs w:val="44"/>
          <w:highlight w:val="none"/>
        </w:rPr>
      </w:pPr>
    </w:p>
    <w:p w14:paraId="0EC4E544">
      <w:pPr>
        <w:spacing w:line="360" w:lineRule="auto"/>
        <w:jc w:val="center"/>
        <w:rPr>
          <w:rFonts w:hint="eastAsia" w:ascii="宋体" w:hAnsi="宋体" w:cs="宋体"/>
          <w:color w:val="auto"/>
          <w:sz w:val="24"/>
          <w:highlight w:val="none"/>
        </w:rPr>
      </w:pPr>
    </w:p>
    <w:p w14:paraId="07747FA7">
      <w:pPr>
        <w:spacing w:line="360" w:lineRule="auto"/>
        <w:jc w:val="center"/>
        <w:rPr>
          <w:rFonts w:hint="eastAsia" w:ascii="宋体" w:hAnsi="宋体" w:cs="宋体"/>
          <w:color w:val="auto"/>
          <w:sz w:val="24"/>
          <w:highlight w:val="none"/>
        </w:rPr>
      </w:pPr>
    </w:p>
    <w:p w14:paraId="50AC55C3">
      <w:pPr>
        <w:spacing w:line="360" w:lineRule="auto"/>
        <w:rPr>
          <w:rFonts w:hint="eastAsia" w:ascii="宋体" w:hAnsi="宋体" w:cs="宋体"/>
          <w:color w:val="auto"/>
          <w:sz w:val="32"/>
          <w:szCs w:val="32"/>
          <w:highlight w:val="none"/>
        </w:rPr>
      </w:pPr>
    </w:p>
    <w:p w14:paraId="6AC02D40">
      <w:pPr>
        <w:snapToGrid w:val="0"/>
        <w:spacing w:line="360" w:lineRule="auto"/>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杭州市南排工程建设管理服务中心（杭州市水利科普馆）</w:t>
      </w:r>
    </w:p>
    <w:p w14:paraId="717F9B09">
      <w:pPr>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浙江省建设工程设备招标有限公司</w:t>
      </w:r>
    </w:p>
    <w:p w14:paraId="17811ABF">
      <w:pPr>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二〇二五年五月</w:t>
      </w:r>
    </w:p>
    <w:p w14:paraId="281D07F5">
      <w:pPr>
        <w:pStyle w:val="35"/>
        <w:ind w:left="840"/>
        <w:rPr>
          <w:rFonts w:hint="eastAsia" w:ascii="宋体" w:hAnsi="宋体" w:eastAsia="宋体"/>
          <w:color w:val="auto"/>
          <w:highlight w:val="none"/>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14:paraId="4415F982">
      <w:pPr>
        <w:pStyle w:val="35"/>
        <w:ind w:left="840"/>
        <w:rPr>
          <w:rFonts w:hint="eastAsia" w:ascii="宋体" w:hAnsi="宋体" w:eastAsia="宋体"/>
          <w:color w:val="auto"/>
          <w:highlight w:val="none"/>
        </w:rPr>
      </w:pPr>
    </w:p>
    <w:p w14:paraId="37E093CD">
      <w:pPr>
        <w:spacing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14:paraId="1B4E6F7D">
      <w:pPr>
        <w:spacing w:line="360" w:lineRule="auto"/>
        <w:rPr>
          <w:rFonts w:hint="eastAsia" w:ascii="宋体" w:hAnsi="宋体" w:cs="宋体"/>
          <w:color w:val="auto"/>
          <w:sz w:val="32"/>
          <w:szCs w:val="32"/>
          <w:highlight w:val="none"/>
        </w:rPr>
      </w:pPr>
    </w:p>
    <w:p w14:paraId="7D63429D">
      <w:pPr>
        <w:spacing w:line="360" w:lineRule="auto"/>
        <w:rPr>
          <w:rFonts w:hint="eastAsia" w:ascii="宋体" w:hAnsi="宋体" w:cs="宋体"/>
          <w:color w:val="auto"/>
          <w:sz w:val="32"/>
          <w:szCs w:val="32"/>
          <w:highlight w:val="none"/>
        </w:rPr>
      </w:pPr>
    </w:p>
    <w:p w14:paraId="29026601">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C016255">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16EA4AA2">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534B5B8A">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39C1ADA">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AE60F3A">
      <w:pPr>
        <w:spacing w:line="360" w:lineRule="auto"/>
        <w:ind w:firstLine="2560" w:firstLineChars="800"/>
        <w:rPr>
          <w:rFonts w:hint="eastAsia"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B6147D3">
      <w:pPr>
        <w:spacing w:line="360" w:lineRule="auto"/>
        <w:ind w:firstLine="549" w:firstLineChars="229"/>
        <w:rPr>
          <w:rFonts w:hint="eastAsia" w:ascii="宋体" w:hAnsi="宋体" w:cs="宋体"/>
          <w:color w:val="auto"/>
          <w:sz w:val="24"/>
          <w:highlight w:val="none"/>
        </w:rPr>
      </w:pPr>
      <w:bookmarkStart w:id="0" w:name="_Hlt91233176"/>
      <w:bookmarkEnd w:id="0"/>
      <w:bookmarkStart w:id="1" w:name="_Toc91899869"/>
    </w:p>
    <w:p w14:paraId="0311CC3F">
      <w:pPr>
        <w:spacing w:line="360" w:lineRule="auto"/>
        <w:ind w:firstLine="549" w:firstLineChars="229"/>
        <w:rPr>
          <w:rFonts w:hint="eastAsia" w:ascii="宋体" w:hAnsi="宋体" w:cs="宋体"/>
          <w:color w:val="auto"/>
          <w:sz w:val="24"/>
          <w:highlight w:val="none"/>
        </w:rPr>
      </w:pPr>
    </w:p>
    <w:p w14:paraId="77183EE1">
      <w:pPr>
        <w:spacing w:line="360" w:lineRule="auto"/>
        <w:ind w:firstLine="549" w:firstLineChars="229"/>
        <w:rPr>
          <w:rFonts w:hint="eastAsia" w:ascii="宋体" w:hAnsi="宋体" w:cs="宋体"/>
          <w:color w:val="auto"/>
          <w:sz w:val="24"/>
          <w:highlight w:val="none"/>
        </w:rPr>
      </w:pPr>
    </w:p>
    <w:p w14:paraId="242EFC78">
      <w:pPr>
        <w:spacing w:line="360" w:lineRule="auto"/>
        <w:ind w:firstLine="549" w:firstLineChars="229"/>
        <w:rPr>
          <w:rFonts w:hint="eastAsia" w:ascii="宋体" w:hAnsi="宋体" w:cs="宋体"/>
          <w:color w:val="auto"/>
          <w:sz w:val="24"/>
          <w:highlight w:val="none"/>
        </w:rPr>
      </w:pPr>
    </w:p>
    <w:p w14:paraId="3B481D10">
      <w:pPr>
        <w:spacing w:line="360" w:lineRule="auto"/>
        <w:ind w:firstLine="549" w:firstLineChars="229"/>
        <w:rPr>
          <w:rFonts w:hint="eastAsia" w:ascii="宋体" w:hAnsi="宋体" w:cs="宋体"/>
          <w:color w:val="auto"/>
          <w:sz w:val="24"/>
          <w:highlight w:val="none"/>
        </w:rPr>
      </w:pPr>
    </w:p>
    <w:p w14:paraId="7A437277">
      <w:pPr>
        <w:spacing w:line="360" w:lineRule="auto"/>
        <w:ind w:firstLine="549" w:firstLineChars="229"/>
        <w:rPr>
          <w:rFonts w:hint="eastAsia" w:ascii="宋体" w:hAnsi="宋体" w:cs="宋体"/>
          <w:color w:val="auto"/>
          <w:sz w:val="24"/>
          <w:highlight w:val="none"/>
        </w:rPr>
      </w:pPr>
    </w:p>
    <w:p w14:paraId="60976593">
      <w:pPr>
        <w:spacing w:line="360" w:lineRule="auto"/>
        <w:ind w:firstLine="549" w:firstLineChars="229"/>
        <w:rPr>
          <w:rFonts w:hint="eastAsia" w:ascii="宋体" w:hAnsi="宋体" w:cs="宋体"/>
          <w:color w:val="auto"/>
          <w:sz w:val="24"/>
          <w:highlight w:val="none"/>
        </w:rPr>
      </w:pPr>
    </w:p>
    <w:p w14:paraId="4BDA974F">
      <w:pPr>
        <w:spacing w:line="360" w:lineRule="auto"/>
        <w:ind w:firstLine="549" w:firstLineChars="229"/>
        <w:rPr>
          <w:rFonts w:hint="eastAsia" w:ascii="宋体" w:hAnsi="宋体" w:cs="宋体"/>
          <w:color w:val="auto"/>
          <w:sz w:val="24"/>
          <w:highlight w:val="none"/>
        </w:rPr>
      </w:pPr>
    </w:p>
    <w:p w14:paraId="33D61F2B">
      <w:pPr>
        <w:spacing w:line="360" w:lineRule="auto"/>
        <w:ind w:firstLine="549" w:firstLineChars="229"/>
        <w:rPr>
          <w:rFonts w:hint="eastAsia" w:ascii="宋体" w:hAnsi="宋体" w:cs="宋体"/>
          <w:color w:val="auto"/>
          <w:sz w:val="24"/>
          <w:highlight w:val="none"/>
        </w:rPr>
      </w:pPr>
    </w:p>
    <w:p w14:paraId="14C5C49C">
      <w:pPr>
        <w:spacing w:line="360" w:lineRule="auto"/>
        <w:ind w:firstLine="549" w:firstLineChars="229"/>
        <w:rPr>
          <w:rFonts w:hint="eastAsia" w:ascii="宋体" w:hAnsi="宋体" w:cs="宋体"/>
          <w:color w:val="auto"/>
          <w:sz w:val="24"/>
          <w:highlight w:val="none"/>
        </w:rPr>
      </w:pPr>
    </w:p>
    <w:p w14:paraId="5B78373C">
      <w:pPr>
        <w:spacing w:line="360" w:lineRule="auto"/>
        <w:ind w:firstLine="549" w:firstLineChars="229"/>
        <w:rPr>
          <w:rFonts w:hint="eastAsia" w:ascii="宋体" w:hAnsi="宋体" w:cs="宋体"/>
          <w:color w:val="auto"/>
          <w:sz w:val="24"/>
          <w:highlight w:val="none"/>
        </w:rPr>
      </w:pPr>
    </w:p>
    <w:p w14:paraId="2B2AF508">
      <w:pPr>
        <w:spacing w:line="360" w:lineRule="auto"/>
        <w:ind w:firstLine="549" w:firstLineChars="229"/>
        <w:rPr>
          <w:rFonts w:hint="eastAsia" w:ascii="宋体" w:hAnsi="宋体" w:cs="宋体"/>
          <w:color w:val="auto"/>
          <w:sz w:val="24"/>
          <w:highlight w:val="none"/>
        </w:rPr>
      </w:pPr>
    </w:p>
    <w:p w14:paraId="555D0F70">
      <w:pPr>
        <w:spacing w:line="360" w:lineRule="auto"/>
        <w:ind w:firstLine="549" w:firstLineChars="229"/>
        <w:rPr>
          <w:rFonts w:hint="eastAsia" w:ascii="宋体" w:hAnsi="宋体" w:cs="宋体"/>
          <w:color w:val="auto"/>
          <w:sz w:val="24"/>
          <w:highlight w:val="none"/>
        </w:rPr>
      </w:pPr>
    </w:p>
    <w:p w14:paraId="07CAC503">
      <w:pPr>
        <w:spacing w:line="360" w:lineRule="auto"/>
        <w:rPr>
          <w:rFonts w:hint="eastAsia" w:ascii="宋体" w:hAnsi="宋体" w:cs="宋体"/>
          <w:color w:val="auto"/>
          <w:sz w:val="24"/>
          <w:highlight w:val="none"/>
        </w:rPr>
      </w:pPr>
    </w:p>
    <w:bookmarkEnd w:id="1"/>
    <w:p w14:paraId="50FCD54A">
      <w:pPr>
        <w:spacing w:line="360" w:lineRule="auto"/>
        <w:jc w:val="center"/>
        <w:outlineLvl w:val="0"/>
        <w:rPr>
          <w:rFonts w:hint="eastAsia" w:ascii="宋体" w:hAnsi="宋体" w:cs="宋体"/>
          <w:b/>
          <w:color w:val="auto"/>
          <w:sz w:val="36"/>
          <w:szCs w:val="20"/>
          <w:highlight w:val="none"/>
        </w:rPr>
        <w:sectPr>
          <w:footerReference r:id="rId9" w:type="first"/>
          <w:footerReference r:id="rId8" w:type="default"/>
          <w:pgSz w:w="11906" w:h="16838"/>
          <w:pgMar w:top="1417" w:right="1418" w:bottom="1417" w:left="1418" w:header="851" w:footer="992" w:gutter="0"/>
          <w:pgBorders>
            <w:top w:val="none" w:sz="0" w:space="0"/>
            <w:left w:val="none" w:sz="0" w:space="0"/>
            <w:bottom w:val="none" w:sz="0" w:space="0"/>
            <w:right w:val="none" w:sz="0" w:space="0"/>
          </w:pgBorders>
          <w:pgNumType w:fmt="numberInDash" w:start="1"/>
          <w:cols w:space="720" w:num="1"/>
          <w:titlePg/>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第二部分"/>
      <w:bookmarkStart w:id="7" w:name="_Toc91899870"/>
      <w:bookmarkStart w:id="8" w:name="_Toc91899871"/>
    </w:p>
    <w:p w14:paraId="59701159">
      <w:pPr>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第一部分 招标公告</w:t>
      </w:r>
    </w:p>
    <w:p w14:paraId="7898FB8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项目概况</w:t>
      </w:r>
    </w:p>
    <w:p w14:paraId="0947609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八堡排水泵站运行和</w:t>
      </w:r>
      <w:r>
        <w:rPr>
          <w:rFonts w:hint="eastAsia" w:ascii="宋体" w:hAnsi="宋体" w:cs="宋体"/>
          <w:color w:val="auto"/>
          <w:sz w:val="24"/>
          <w:highlight w:val="none"/>
          <w:lang w:val="en-US" w:eastAsia="zh-CN"/>
        </w:rPr>
        <w:t>日常</w:t>
      </w:r>
      <w:r>
        <w:rPr>
          <w:rFonts w:hint="eastAsia" w:ascii="宋体" w:hAnsi="宋体" w:cs="宋体"/>
          <w:color w:val="auto"/>
          <w:sz w:val="24"/>
          <w:highlight w:val="none"/>
        </w:rPr>
        <w:t>维修养护招标项目的潜在投标人应在政采云平台（</w:t>
      </w:r>
      <w:r>
        <w:rPr>
          <w:rFonts w:hint="eastAsia"/>
          <w:color w:val="auto"/>
          <w:highlight w:val="none"/>
        </w:rPr>
        <w:fldChar w:fldCharType="begin"/>
      </w:r>
      <w:r>
        <w:rPr>
          <w:color w:val="auto"/>
          <w:highlight w:val="none"/>
        </w:rPr>
        <w:instrText xml:space="preserve"> HYPERLINK "https://www.zcygov.cn/）获取（下载）招标文件，并于202%20年%20月%20日%20点%20分00秒" </w:instrText>
      </w:r>
      <w:r>
        <w:rPr>
          <w:rFonts w:hint="eastAsia"/>
          <w:color w:val="auto"/>
          <w:highlight w:val="none"/>
        </w:rPr>
        <w:fldChar w:fldCharType="separate"/>
      </w:r>
      <w:r>
        <w:rPr>
          <w:rStyle w:val="25"/>
          <w:rFonts w:hint="eastAsia" w:ascii="宋体" w:hAnsi="宋体" w:eastAsia="宋体" w:cs="宋体"/>
          <w:snapToGrid/>
          <w:color w:val="auto"/>
          <w:kern w:val="2"/>
          <w:sz w:val="24"/>
          <w:szCs w:val="24"/>
          <w:highlight w:val="none"/>
        </w:rPr>
        <w:t>https://www.zcygov.cn/）获取（下载）招标文件，并于2025年</w:t>
      </w:r>
      <w:r>
        <w:rPr>
          <w:rStyle w:val="25"/>
          <w:rFonts w:hint="eastAsia" w:ascii="宋体" w:hAnsi="宋体" w:cs="宋体"/>
          <w:snapToGrid/>
          <w:color w:val="auto"/>
          <w:kern w:val="2"/>
          <w:sz w:val="24"/>
          <w:szCs w:val="24"/>
          <w:highlight w:val="none"/>
          <w:lang w:val="en-US" w:eastAsia="zh-CN"/>
        </w:rPr>
        <w:t>0</w:t>
      </w:r>
      <w:r>
        <w:rPr>
          <w:rStyle w:val="25"/>
          <w:rFonts w:hint="eastAsia" w:ascii="宋体" w:hAnsi="宋体" w:eastAsia="宋体" w:cs="宋体"/>
          <w:snapToGrid/>
          <w:color w:val="auto"/>
          <w:kern w:val="2"/>
          <w:sz w:val="24"/>
          <w:szCs w:val="24"/>
          <w:highlight w:val="none"/>
        </w:rPr>
        <w:t>6月17日09:0</w:t>
      </w:r>
      <w:r>
        <w:rPr>
          <w:rStyle w:val="25"/>
          <w:rFonts w:hint="eastAsia" w:ascii="宋体" w:hAnsi="宋体" w:eastAsia="宋体" w:cs="宋体"/>
          <w:snapToGrid/>
          <w:color w:val="auto"/>
          <w:kern w:val="2"/>
          <w:sz w:val="24"/>
          <w:szCs w:val="24"/>
          <w:highlight w:val="none"/>
        </w:rPr>
        <w:fldChar w:fldCharType="end"/>
      </w:r>
      <w:r>
        <w:rPr>
          <w:rStyle w:val="25"/>
          <w:rFonts w:hint="eastAsia" w:ascii="宋体" w:hAnsi="宋体" w:eastAsia="宋体" w:cs="宋体"/>
          <w:bCs/>
          <w:snapToGrid/>
          <w:color w:val="auto"/>
          <w:kern w:val="2"/>
          <w:sz w:val="24"/>
          <w:szCs w:val="24"/>
          <w:highlight w:val="none"/>
        </w:rPr>
        <w:t>0</w:t>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737B4324">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一、项目基本情况</w:t>
      </w:r>
    </w:p>
    <w:p w14:paraId="14C9E13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szCs w:val="22"/>
          <w:highlight w:val="none"/>
          <w:lang w:eastAsia="zh-CN"/>
        </w:rPr>
        <w:t>ZJZBC-25-GK-9032</w:t>
      </w:r>
    </w:p>
    <w:p w14:paraId="7317985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八堡排水泵站运行和日常维修养护项目</w:t>
      </w:r>
    </w:p>
    <w:p w14:paraId="606221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预算金额（元）：12150000</w:t>
      </w:r>
    </w:p>
    <w:p w14:paraId="30FD6224">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最高限价（元）：12150000</w:t>
      </w:r>
    </w:p>
    <w:p w14:paraId="74CF4494">
      <w:pPr>
        <w:pStyle w:val="6"/>
        <w:spacing w:line="360" w:lineRule="auto"/>
        <w:ind w:firstLine="480"/>
        <w:rPr>
          <w:rFonts w:hint="eastAsia" w:hAnsi="宋体" w:cs="宋体"/>
          <w:color w:val="auto"/>
          <w:sz w:val="24"/>
          <w:highlight w:val="none"/>
        </w:rPr>
      </w:pPr>
      <w:r>
        <w:rPr>
          <w:rFonts w:hint="eastAsia" w:hAnsi="宋体" w:cs="宋体"/>
          <w:color w:val="auto"/>
          <w:sz w:val="24"/>
          <w:highlight w:val="none"/>
        </w:rPr>
        <w:t>采购需求：详见招标文件第三部分</w:t>
      </w:r>
    </w:p>
    <w:p w14:paraId="6BE25370">
      <w:pPr>
        <w:pStyle w:val="18"/>
        <w:spacing w:before="0" w:beforeAutospacing="0" w:after="0" w:afterAutospacing="0" w:line="360" w:lineRule="auto"/>
        <w:ind w:firstLine="480"/>
        <w:jc w:val="both"/>
        <w:rPr>
          <w:rFonts w:hint="eastAsia" w:cs="宋体"/>
          <w:color w:val="auto"/>
          <w:szCs w:val="24"/>
          <w:highlight w:val="none"/>
        </w:rPr>
      </w:pPr>
    </w:p>
    <w:p w14:paraId="0CE98308">
      <w:pPr>
        <w:pStyle w:val="18"/>
        <w:spacing w:before="0" w:beforeAutospacing="0" w:after="0" w:afterAutospacing="0" w:line="360" w:lineRule="auto"/>
        <w:ind w:firstLine="480"/>
        <w:jc w:val="both"/>
        <w:rPr>
          <w:rFonts w:hint="eastAsia" w:eastAsia="宋体" w:cs="宋体"/>
          <w:color w:val="auto"/>
          <w:sz w:val="21"/>
          <w:szCs w:val="21"/>
          <w:highlight w:val="none"/>
          <w:lang w:eastAsia="zh-CN"/>
        </w:rPr>
      </w:pPr>
      <w:r>
        <w:rPr>
          <w:rFonts w:hint="eastAsia" w:cs="宋体"/>
          <w:color w:val="auto"/>
          <w:szCs w:val="24"/>
          <w:highlight w:val="none"/>
        </w:rPr>
        <w:t>标项名称：</w:t>
      </w:r>
      <w:r>
        <w:rPr>
          <w:rFonts w:hint="eastAsia" w:cs="宋体"/>
          <w:color w:val="auto"/>
          <w:highlight w:val="none"/>
          <w:lang w:eastAsia="zh-CN"/>
        </w:rPr>
        <w:t>八堡排水泵站运行和日常维修养护项目</w:t>
      </w:r>
    </w:p>
    <w:p w14:paraId="64BFBC85">
      <w:pPr>
        <w:pStyle w:val="18"/>
        <w:spacing w:before="0" w:beforeAutospacing="0" w:after="0" w:afterAutospacing="0" w:line="360" w:lineRule="auto"/>
        <w:ind w:firstLine="480"/>
        <w:jc w:val="both"/>
        <w:rPr>
          <w:rFonts w:hint="eastAsia" w:cs="宋体"/>
          <w:color w:val="auto"/>
          <w:szCs w:val="24"/>
          <w:highlight w:val="none"/>
        </w:rPr>
      </w:pPr>
      <w:r>
        <w:rPr>
          <w:rFonts w:hint="eastAsia" w:cs="宋体"/>
          <w:color w:val="auto"/>
          <w:szCs w:val="24"/>
          <w:highlight w:val="none"/>
        </w:rPr>
        <w:t>中小企业政策：非专门面向中小企业</w:t>
      </w:r>
    </w:p>
    <w:p w14:paraId="44AC96DE">
      <w:pPr>
        <w:pStyle w:val="18"/>
        <w:spacing w:before="0" w:beforeAutospacing="0" w:after="0" w:afterAutospacing="0" w:line="360" w:lineRule="auto"/>
        <w:ind w:firstLine="480"/>
        <w:jc w:val="both"/>
        <w:rPr>
          <w:rFonts w:hint="eastAsia" w:cs="宋体"/>
          <w:color w:val="auto"/>
          <w:sz w:val="21"/>
          <w:szCs w:val="21"/>
          <w:highlight w:val="none"/>
        </w:rPr>
      </w:pPr>
      <w:r>
        <w:rPr>
          <w:rFonts w:hint="eastAsia" w:cs="宋体"/>
          <w:color w:val="auto"/>
          <w:szCs w:val="24"/>
          <w:highlight w:val="none"/>
        </w:rPr>
        <w:t>数量：1</w:t>
      </w:r>
    </w:p>
    <w:p w14:paraId="3FD75CE2">
      <w:pPr>
        <w:pStyle w:val="6"/>
        <w:spacing w:line="360" w:lineRule="auto"/>
        <w:ind w:firstLine="480"/>
        <w:rPr>
          <w:rFonts w:hint="eastAsia" w:hAnsi="宋体" w:cs="宋体"/>
          <w:color w:val="auto"/>
          <w:sz w:val="24"/>
          <w:highlight w:val="none"/>
        </w:rPr>
      </w:pPr>
      <w:r>
        <w:rPr>
          <w:rFonts w:hint="eastAsia" w:hAnsi="宋体" w:cs="宋体"/>
          <w:bCs/>
          <w:color w:val="auto"/>
          <w:sz w:val="24"/>
          <w:highlight w:val="none"/>
        </w:rPr>
        <w:t>项目基本概况：</w:t>
      </w:r>
      <w:r>
        <w:rPr>
          <w:rFonts w:hint="eastAsia" w:hAnsi="宋体" w:cs="宋体"/>
          <w:color w:val="auto"/>
          <w:sz w:val="24"/>
          <w:highlight w:val="none"/>
        </w:rPr>
        <w:t>扩大杭嘉湖南排八堡排水泵站（以下简称“八堡泵站”）位于杭州市钱塘区下沙街道头格社区，京杭运河二通道一线船闸东侧，列入国务院172项重大水利工程，属社会公益性质水利工程。泵站设5台（其中1台备用）3600ZXQ50-4.3、斜20°安装轴流泵，单泵流量50m</w:t>
      </w:r>
      <w:r>
        <w:rPr>
          <w:rFonts w:hint="eastAsia" w:hAnsi="宋体" w:cs="宋体"/>
          <w:color w:val="auto"/>
          <w:sz w:val="24"/>
          <w:highlight w:val="none"/>
          <w:vertAlign w:val="superscript"/>
        </w:rPr>
        <w:t>3</w:t>
      </w:r>
      <w:r>
        <w:rPr>
          <w:rFonts w:hint="eastAsia" w:hAnsi="宋体" w:cs="宋体"/>
          <w:color w:val="auto"/>
          <w:sz w:val="24"/>
          <w:highlight w:val="none"/>
        </w:rPr>
        <w:t>/s，总提水能力200m</w:t>
      </w:r>
      <w:r>
        <w:rPr>
          <w:rFonts w:hint="eastAsia" w:hAnsi="宋体" w:cs="宋体"/>
          <w:color w:val="auto"/>
          <w:sz w:val="24"/>
          <w:highlight w:val="none"/>
          <w:vertAlign w:val="superscript"/>
        </w:rPr>
        <w:t>3</w:t>
      </w:r>
      <w:r>
        <w:rPr>
          <w:rFonts w:hint="eastAsia" w:hAnsi="宋体" w:cs="宋体"/>
          <w:color w:val="auto"/>
          <w:sz w:val="24"/>
          <w:highlight w:val="none"/>
        </w:rPr>
        <w:t>/s，总装机19MW。工程为大（1）型泵站，工程等别I等，泵站、挡潮排水闸等主要建筑物级别为1级。泵站任务是增加太湖流域水环境容量，促进杭嘉湖东部平原河网水体流动，提高向杭州湾排水能力，改善流域和杭嘉湖东部平原水环境，提高流域和区域防洪排涝和水资源配置能力。</w:t>
      </w:r>
    </w:p>
    <w:p w14:paraId="56150750">
      <w:pPr>
        <w:pStyle w:val="6"/>
        <w:spacing w:line="360" w:lineRule="auto"/>
        <w:ind w:firstLine="480"/>
        <w:rPr>
          <w:rFonts w:hint="eastAsia" w:hAnsi="宋体" w:cs="宋体"/>
          <w:b/>
          <w:color w:val="auto"/>
          <w:sz w:val="24"/>
          <w:highlight w:val="none"/>
        </w:rPr>
      </w:pPr>
      <w:r>
        <w:rPr>
          <w:rFonts w:hint="eastAsia" w:hAnsi="宋体" w:cs="宋体"/>
          <w:color w:val="auto"/>
          <w:sz w:val="24"/>
          <w:highlight w:val="none"/>
        </w:rPr>
        <w:t>本次项目采购内容：八堡泵站运行维护、专项维护、</w:t>
      </w:r>
      <w:r>
        <w:rPr>
          <w:rFonts w:hint="eastAsia" w:hAnsi="宋体" w:cs="宋体"/>
          <w:color w:val="auto"/>
          <w:sz w:val="24"/>
          <w:highlight w:val="none"/>
          <w:lang w:val="en-US" w:eastAsia="zh-CN"/>
        </w:rPr>
        <w:t>室外环境养护</w:t>
      </w:r>
      <w:r>
        <w:rPr>
          <w:rFonts w:hint="eastAsia" w:hAnsi="宋体" w:cs="宋体"/>
          <w:color w:val="auto"/>
          <w:sz w:val="24"/>
          <w:highlight w:val="none"/>
        </w:rPr>
        <w:t>等工作，详见招标文件第三部分采购需求。</w:t>
      </w:r>
    </w:p>
    <w:p w14:paraId="6450D98E">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项目履约期限：1.5年</w:t>
      </w:r>
      <w:r>
        <w:rPr>
          <w:rFonts w:hint="eastAsia" w:ascii="宋体" w:hAnsi="宋体" w:cs="宋体"/>
          <w:color w:val="auto"/>
          <w:kern w:val="0"/>
          <w:sz w:val="24"/>
          <w:szCs w:val="24"/>
          <w:highlight w:val="none"/>
        </w:rPr>
        <w:t>。</w:t>
      </w:r>
    </w:p>
    <w:p w14:paraId="000F8FB6">
      <w:pPr>
        <w:spacing w:line="360" w:lineRule="auto"/>
        <w:ind w:firstLine="480" w:firstLineChars="200"/>
        <w:rPr>
          <w:rFonts w:hint="eastAsia" w:ascii="宋体" w:hAnsi="宋体" w:cs="宋体"/>
          <w:b/>
          <w:color w:val="auto"/>
          <w:sz w:val="24"/>
          <w:highlight w:val="none"/>
        </w:rPr>
      </w:pPr>
      <w:r>
        <w:rPr>
          <w:rFonts w:hint="eastAsia" w:ascii="宋体" w:hAnsi="宋体" w:cs="宋体"/>
          <w:bCs/>
          <w:color w:val="auto"/>
          <w:sz w:val="24"/>
          <w:highlight w:val="none"/>
        </w:rPr>
        <w:t>本项目接受联合体投标：</w:t>
      </w:r>
      <w:r>
        <w:rPr>
          <w:rFonts w:hint="eastAsia" w:ascii="宋体" w:hAnsi="宋体" w:cs="宋体"/>
          <w:b/>
          <w:color w:val="auto"/>
          <w:sz w:val="24"/>
          <w:highlight w:val="none"/>
        </w:rPr>
        <w:sym w:font="Wingdings 2" w:char="0052"/>
      </w:r>
      <w:r>
        <w:rPr>
          <w:rFonts w:hint="eastAsia" w:ascii="宋体" w:hAnsi="宋体" w:cs="宋体"/>
          <w:b/>
          <w:color w:val="auto"/>
          <w:sz w:val="24"/>
          <w:highlight w:val="none"/>
        </w:rPr>
        <w:t>是；</w:t>
      </w:r>
      <w:sdt>
        <w:sdtPr>
          <w:rPr>
            <w:rFonts w:hint="eastAsia" w:ascii="宋体" w:hAnsi="宋体" w:cs="宋体"/>
            <w:bCs/>
            <w:color w:val="auto"/>
            <w:kern w:val="0"/>
            <w:sz w:val="24"/>
            <w:highlight w:val="none"/>
          </w:rPr>
          <w:id w:val="147453384"/>
        </w:sdtPr>
        <w:sdtEndPr>
          <w:rPr>
            <w:rFonts w:hint="eastAsia" w:ascii="宋体" w:hAnsi="宋体" w:cs="宋体"/>
            <w:bCs/>
            <w:color w:val="auto"/>
            <w:kern w:val="0"/>
            <w:sz w:val="24"/>
            <w:highlight w:val="none"/>
          </w:rPr>
        </w:sdtEndPr>
        <w:sdtContent>
          <w:r>
            <w:rPr>
              <w:rFonts w:hint="eastAsia" w:ascii="宋体" w:hAnsi="宋体" w:cs="宋体"/>
              <w:bCs/>
              <w:color w:val="auto"/>
              <w:kern w:val="0"/>
              <w:sz w:val="24"/>
              <w:highlight w:val="none"/>
            </w:rPr>
            <w:t>☐</w:t>
          </w:r>
        </w:sdtContent>
      </w:sdt>
      <w:r>
        <w:rPr>
          <w:rFonts w:hint="eastAsia" w:ascii="宋体" w:hAnsi="宋体" w:cs="宋体"/>
          <w:bCs/>
          <w:color w:val="auto"/>
          <w:sz w:val="24"/>
          <w:highlight w:val="none"/>
        </w:rPr>
        <w:t>否</w:t>
      </w:r>
      <w:r>
        <w:rPr>
          <w:rFonts w:hint="eastAsia" w:ascii="宋体" w:hAnsi="宋体" w:cs="宋体"/>
          <w:bCs/>
          <w:color w:val="auto"/>
          <w:kern w:val="0"/>
          <w:sz w:val="24"/>
          <w:highlight w:val="none"/>
        </w:rPr>
        <w:t>。</w:t>
      </w:r>
    </w:p>
    <w:p w14:paraId="26D7393A">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二、申请人的资格要求</w:t>
      </w:r>
    </w:p>
    <w:p w14:paraId="4988C1AD">
      <w:pPr>
        <w:spacing w:line="360" w:lineRule="auto"/>
        <w:ind w:firstLine="480"/>
        <w:jc w:val="left"/>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585FFF68">
      <w:pPr>
        <w:spacing w:line="360" w:lineRule="auto"/>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2.以联合体形式投标的，提供联合协议(本项目不接受联合体投标或者投标人不以联合体形式投标的，则不需要提供)；</w:t>
      </w:r>
    </w:p>
    <w:p w14:paraId="36DD3C00">
      <w:pPr>
        <w:spacing w:line="360" w:lineRule="auto"/>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3.落实政府采购政策需满足的资格要求：</w:t>
      </w:r>
    </w:p>
    <w:p w14:paraId="1DAA5F64">
      <w:pPr>
        <w:spacing w:line="360" w:lineRule="auto"/>
        <w:ind w:firstLine="482" w:firstLineChars="200"/>
        <w:rPr>
          <w:rFonts w:hint="eastAsia" w:ascii="宋体" w:hAnsi="宋体" w:cs="宋体"/>
          <w:b/>
          <w:bCs/>
          <w:snapToGrid w:val="0"/>
          <w:color w:val="auto"/>
          <w:kern w:val="28"/>
          <w:sz w:val="24"/>
          <w:szCs w:val="20"/>
          <w:highlight w:val="none"/>
        </w:rPr>
      </w:pPr>
      <w:r>
        <w:rPr>
          <w:rFonts w:hint="eastAsia" w:ascii="宋体" w:hAnsi="宋体" w:cs="宋体"/>
          <w:b/>
          <w:bCs/>
          <w:snapToGrid w:val="0"/>
          <w:color w:val="auto"/>
          <w:kern w:val="28"/>
          <w:sz w:val="24"/>
          <w:szCs w:val="20"/>
          <w:highlight w:val="none"/>
        </w:rPr>
        <w:sym w:font="Wingdings" w:char="00FE"/>
      </w:r>
      <w:r>
        <w:rPr>
          <w:rFonts w:hint="eastAsia" w:ascii="宋体" w:hAnsi="宋体" w:cs="宋体"/>
          <w:b/>
          <w:bCs/>
          <w:snapToGrid w:val="0"/>
          <w:color w:val="auto"/>
          <w:kern w:val="28"/>
          <w:sz w:val="24"/>
          <w:szCs w:val="20"/>
          <w:highlight w:val="none"/>
        </w:rPr>
        <w:t>无（注：不得限制大中型企业与小微企业组成联合体参与投标）；</w:t>
      </w:r>
    </w:p>
    <w:p w14:paraId="4EFB076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sym w:font="Wingdings" w:char="00A8"/>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0845E0AD">
      <w:pPr>
        <w:spacing w:line="360" w:lineRule="auto"/>
        <w:ind w:firstLine="897" w:firstLineChars="374"/>
        <w:rPr>
          <w:rFonts w:hint="eastAsia" w:ascii="宋体" w:hAnsi="宋体" w:cs="宋体"/>
          <w:color w:val="auto"/>
          <w:sz w:val="24"/>
          <w:highlight w:val="none"/>
        </w:rPr>
      </w:pPr>
      <w:r>
        <w:rPr>
          <w:rFonts w:hint="eastAsia" w:ascii="宋体" w:hAnsi="宋体" w:cs="宋体"/>
          <w:color w:val="auto"/>
          <w:kern w:val="0"/>
          <w:sz w:val="24"/>
          <w:highlight w:val="none"/>
        </w:rPr>
        <w:sym w:font="Wingdings" w:char="00A8"/>
      </w:r>
      <w:r>
        <w:rPr>
          <w:rFonts w:hint="eastAsia" w:ascii="宋体" w:hAnsi="宋体" w:cs="宋体"/>
          <w:color w:val="auto"/>
          <w:sz w:val="24"/>
          <w:highlight w:val="none"/>
        </w:rPr>
        <w:t>服务全部由符合政策要求的中小企业承接，提供中小企业声明函；</w:t>
      </w:r>
    </w:p>
    <w:p w14:paraId="20BC586F">
      <w:pPr>
        <w:spacing w:line="360" w:lineRule="auto"/>
        <w:ind w:firstLine="897" w:firstLineChars="374"/>
        <w:rPr>
          <w:rFonts w:hint="eastAsia"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服务全部由符合政策要求的小微企业承接，提供中小企业声明函；</w:t>
      </w:r>
    </w:p>
    <w:p w14:paraId="52D19B21">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4.本项目的特定资格要求：无。</w:t>
      </w:r>
    </w:p>
    <w:p w14:paraId="4FDC510E">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1ED641">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三、获取招标文件</w:t>
      </w:r>
    </w:p>
    <w:p w14:paraId="4C3BD233">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时间：/至2025年</w:t>
      </w:r>
      <w:r>
        <w:rPr>
          <w:rFonts w:hint="eastAsia" w:ascii="宋体" w:hAnsi="宋体" w:cs="宋体"/>
          <w:bCs/>
          <w:color w:val="auto"/>
          <w:sz w:val="24"/>
          <w:highlight w:val="none"/>
          <w:lang w:val="en-US" w:eastAsia="zh-CN"/>
        </w:rPr>
        <w:t>06</w:t>
      </w:r>
      <w:r>
        <w:rPr>
          <w:rFonts w:hint="eastAsia" w:ascii="宋体" w:hAnsi="宋体" w:cs="宋体"/>
          <w:bCs/>
          <w:color w:val="auto"/>
          <w:sz w:val="24"/>
          <w:highlight w:val="none"/>
        </w:rPr>
        <w:t>月</w:t>
      </w:r>
      <w:r>
        <w:rPr>
          <w:rFonts w:hint="eastAsia" w:ascii="宋体" w:hAnsi="宋体" w:cs="宋体"/>
          <w:bCs/>
          <w:color w:val="auto"/>
          <w:sz w:val="24"/>
          <w:highlight w:val="none"/>
          <w:lang w:val="en-US" w:eastAsia="zh-CN"/>
        </w:rPr>
        <w:t>17</w:t>
      </w:r>
      <w:r>
        <w:rPr>
          <w:rFonts w:hint="eastAsia" w:ascii="宋体" w:hAnsi="宋体" w:cs="宋体"/>
          <w:bCs/>
          <w:color w:val="auto"/>
          <w:sz w:val="24"/>
          <w:highlight w:val="none"/>
        </w:rPr>
        <w:t>日，每天上午00:00至12:00，下午12:00至23:59（北京时间，线上获取法定节假日均可，线下获取文件法定节假日除外）</w:t>
      </w:r>
    </w:p>
    <w:p w14:paraId="32BD6171">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地点（网址）：政采云平台（https://www.zcygov.cn/）</w:t>
      </w:r>
    </w:p>
    <w:p w14:paraId="142C9E11">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方式：供应商登录政采云平台https://www.zcygov.cn/在线申请获取招标文件（进入“项目采购”应用，在获取招标文件菜单中选择项目，申请获取招标文件）</w:t>
      </w:r>
    </w:p>
    <w:p w14:paraId="428F9E41">
      <w:pPr>
        <w:spacing w:line="360" w:lineRule="auto"/>
        <w:ind w:firstLine="480" w:firstLineChars="200"/>
        <w:rPr>
          <w:rFonts w:hint="eastAsia" w:ascii="宋体" w:hAnsi="宋体" w:cs="宋体"/>
          <w:b/>
          <w:color w:val="auto"/>
          <w:sz w:val="24"/>
          <w:highlight w:val="none"/>
        </w:rPr>
      </w:pPr>
      <w:r>
        <w:rPr>
          <w:rFonts w:hint="eastAsia" w:ascii="宋体" w:hAnsi="宋体" w:cs="宋体"/>
          <w:bCs/>
          <w:color w:val="auto"/>
          <w:sz w:val="24"/>
          <w:highlight w:val="none"/>
        </w:rPr>
        <w:t>售价（元）：0</w:t>
      </w:r>
      <w:r>
        <w:rPr>
          <w:rFonts w:hint="eastAsia" w:ascii="宋体" w:hAnsi="宋体" w:cs="宋体"/>
          <w:bCs/>
          <w:color w:val="auto"/>
          <w:sz w:val="24"/>
          <w:highlight w:val="none"/>
        </w:rPr>
        <w:tab/>
      </w:r>
    </w:p>
    <w:p w14:paraId="438EF549">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B1B9D80">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提交投标文件截止时间：</w:t>
      </w:r>
      <w:r>
        <w:rPr>
          <w:rFonts w:hint="eastAsia" w:ascii="宋体" w:hAnsi="宋体" w:cs="宋体"/>
          <w:bCs/>
          <w:color w:val="auto"/>
          <w:sz w:val="24"/>
          <w:highlight w:val="none"/>
          <w:lang w:eastAsia="zh-CN"/>
        </w:rPr>
        <w:t>2025年</w:t>
      </w:r>
      <w:r>
        <w:rPr>
          <w:rFonts w:hint="eastAsia" w:ascii="宋体" w:hAnsi="宋体" w:cs="宋体"/>
          <w:bCs/>
          <w:color w:val="auto"/>
          <w:sz w:val="24"/>
          <w:highlight w:val="none"/>
          <w:lang w:val="en-US" w:eastAsia="zh-CN"/>
        </w:rPr>
        <w:t>0</w:t>
      </w:r>
      <w:r>
        <w:rPr>
          <w:rFonts w:hint="eastAsia" w:ascii="宋体" w:hAnsi="宋体" w:cs="宋体"/>
          <w:bCs/>
          <w:color w:val="auto"/>
          <w:sz w:val="24"/>
          <w:highlight w:val="none"/>
          <w:lang w:eastAsia="zh-CN"/>
        </w:rPr>
        <w:t>6月17日09:00</w:t>
      </w:r>
      <w:r>
        <w:rPr>
          <w:rFonts w:hint="eastAsia" w:ascii="宋体" w:hAnsi="宋体" w:cs="宋体"/>
          <w:bCs/>
          <w:color w:val="auto"/>
          <w:sz w:val="24"/>
          <w:highlight w:val="none"/>
        </w:rPr>
        <w:t>（北京时间）</w:t>
      </w:r>
    </w:p>
    <w:p w14:paraId="071F701D">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投标地点（网址）：政采云平台（https://www.zcygov.cn/）在线递交</w:t>
      </w:r>
    </w:p>
    <w:p w14:paraId="71A9D7A1">
      <w:pPr>
        <w:spacing w:line="360" w:lineRule="auto"/>
        <w:ind w:firstLine="480" w:firstLineChars="200"/>
        <w:rPr>
          <w:rFonts w:hint="eastAsia" w:ascii="宋体" w:hAnsi="宋体" w:cs="宋体"/>
          <w:bCs/>
          <w:color w:val="auto"/>
          <w:sz w:val="24"/>
          <w:highlight w:val="none"/>
          <w:u w:val="single"/>
        </w:rPr>
      </w:pPr>
      <w:r>
        <w:rPr>
          <w:rFonts w:hint="eastAsia" w:ascii="宋体" w:hAnsi="宋体" w:cs="宋体"/>
          <w:bCs/>
          <w:color w:val="auto"/>
          <w:sz w:val="24"/>
          <w:highlight w:val="none"/>
        </w:rPr>
        <w:t>开标时间：</w:t>
      </w:r>
      <w:r>
        <w:rPr>
          <w:rFonts w:hint="eastAsia" w:ascii="宋体" w:hAnsi="宋体" w:cs="宋体"/>
          <w:bCs/>
          <w:color w:val="auto"/>
          <w:sz w:val="24"/>
          <w:highlight w:val="none"/>
          <w:lang w:eastAsia="zh-CN"/>
        </w:rPr>
        <w:t>2025年</w:t>
      </w:r>
      <w:r>
        <w:rPr>
          <w:rFonts w:hint="eastAsia" w:ascii="宋体" w:hAnsi="宋体" w:cs="宋体"/>
          <w:bCs/>
          <w:color w:val="auto"/>
          <w:sz w:val="24"/>
          <w:highlight w:val="none"/>
          <w:lang w:val="en-US" w:eastAsia="zh-CN"/>
        </w:rPr>
        <w:t>0</w:t>
      </w:r>
      <w:r>
        <w:rPr>
          <w:rFonts w:hint="eastAsia" w:ascii="宋体" w:hAnsi="宋体" w:cs="宋体"/>
          <w:bCs/>
          <w:color w:val="auto"/>
          <w:sz w:val="24"/>
          <w:highlight w:val="none"/>
          <w:lang w:eastAsia="zh-CN"/>
        </w:rPr>
        <w:t>6月17日09:00</w:t>
      </w:r>
      <w:r>
        <w:rPr>
          <w:rFonts w:hint="eastAsia" w:ascii="宋体" w:hAnsi="宋体" w:cs="宋体"/>
          <w:bCs/>
          <w:color w:val="auto"/>
          <w:sz w:val="24"/>
          <w:highlight w:val="none"/>
        </w:rPr>
        <w:t>（北京时间）</w:t>
      </w:r>
    </w:p>
    <w:p w14:paraId="02881E3D">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开标地点（网址）：政采云平台（https://www.zcygov.cn/）（线下：杭州市上城区环站东路97号云峰大厦1幢13楼开标室）</w:t>
      </w:r>
    </w:p>
    <w:p w14:paraId="52CE1055">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五、采购意向公开链接</w:t>
      </w:r>
    </w:p>
    <w:p w14:paraId="7CF2E353">
      <w:pPr>
        <w:spacing w:line="360" w:lineRule="auto"/>
        <w:ind w:firstLine="480" w:firstLineChars="200"/>
        <w:rPr>
          <w:rFonts w:hint="eastAsia" w:ascii="宋体" w:hAnsi="宋体" w:cs="宋体"/>
          <w:b w:val="0"/>
          <w:bCs/>
          <w:color w:val="auto"/>
          <w:sz w:val="24"/>
          <w:highlight w:val="none"/>
        </w:rPr>
      </w:pPr>
      <w:r>
        <w:rPr>
          <w:rFonts w:hint="eastAsia" w:ascii="宋体" w:hAnsi="宋体" w:cs="宋体"/>
          <w:b w:val="0"/>
          <w:bCs/>
          <w:color w:val="auto"/>
          <w:sz w:val="24"/>
          <w:highlight w:val="none"/>
        </w:rPr>
        <w:t>https://zfcg.czt.zj.gov.cn/site/detail?parentId=600007&amp;articleId=IT1BuZjSNNp1Z3ktpXls1w%3D%3D</w:t>
      </w:r>
    </w:p>
    <w:p w14:paraId="4201FC10">
      <w:pPr>
        <w:spacing w:line="360" w:lineRule="auto"/>
        <w:outlineLvl w:val="1"/>
        <w:rPr>
          <w:rFonts w:hint="eastAsia" w:ascii="宋体" w:hAnsi="宋体" w:cs="宋体"/>
          <w:color w:val="auto"/>
          <w:sz w:val="24"/>
          <w:highlight w:val="none"/>
        </w:rPr>
      </w:pPr>
      <w:r>
        <w:rPr>
          <w:rFonts w:hint="eastAsia" w:ascii="宋体" w:hAnsi="宋体" w:cs="宋体"/>
          <w:b/>
          <w:color w:val="auto"/>
          <w:sz w:val="24"/>
          <w:highlight w:val="none"/>
        </w:rPr>
        <w:t>六、公告期限</w:t>
      </w:r>
    </w:p>
    <w:p w14:paraId="3F836A15">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自本公告发布之日起5个工作日。</w:t>
      </w:r>
    </w:p>
    <w:p w14:paraId="7EA44CE3">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七、其他补充事宜</w:t>
      </w:r>
    </w:p>
    <w:p w14:paraId="3C9990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7B217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cs="宋体"/>
          <w:color w:val="auto"/>
          <w:sz w:val="24"/>
          <w:highlight w:val="none"/>
          <w:lang w:eastAsia="zh-CN"/>
        </w:rPr>
        <w:t>政务服务</w:t>
      </w:r>
      <w:r>
        <w:rPr>
          <w:rFonts w:hint="eastAsia" w:ascii="宋体" w:hAnsi="宋体" w:cs="宋体"/>
          <w:color w:val="auto"/>
          <w:sz w:val="24"/>
          <w:highlight w:val="none"/>
        </w:rPr>
        <w:t>网-政府采购投诉处理-在线办理。</w:t>
      </w:r>
    </w:p>
    <w:p w14:paraId="124187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F0A5E5">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招标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783D0A9">
      <w:pPr>
        <w:spacing w:line="360" w:lineRule="auto"/>
        <w:outlineLvl w:val="1"/>
        <w:rPr>
          <w:rFonts w:hint="eastAsia" w:ascii="宋体" w:hAnsi="宋体" w:cs="宋体"/>
          <w:b/>
          <w:color w:val="auto"/>
          <w:sz w:val="24"/>
          <w:highlight w:val="none"/>
        </w:rPr>
      </w:pPr>
      <w:r>
        <w:rPr>
          <w:rFonts w:hint="eastAsia" w:ascii="宋体" w:hAnsi="宋体" w:cs="宋体"/>
          <w:b/>
          <w:color w:val="auto"/>
          <w:sz w:val="24"/>
          <w:highlight w:val="none"/>
        </w:rPr>
        <w:t>八、对本次采购提出询问、质疑、投诉，请按以下方式联系</w:t>
      </w:r>
    </w:p>
    <w:p w14:paraId="207404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1.采购人信息</w:t>
      </w:r>
    </w:p>
    <w:p w14:paraId="26D3594D">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  称：杭州市南排工程建设管理服务中心（杭州市水利科普馆）</w:t>
      </w:r>
    </w:p>
    <w:p w14:paraId="1674CC49">
      <w:pPr>
        <w:spacing w:line="360" w:lineRule="auto"/>
        <w:ind w:firstLine="480" w:firstLineChars="200"/>
        <w:rPr>
          <w:rFonts w:hint="eastAsia" w:ascii="宋体" w:hAnsi="宋体" w:cs="宋体"/>
          <w:strike/>
          <w:color w:val="auto"/>
          <w:sz w:val="24"/>
          <w:highlight w:val="none"/>
        </w:rPr>
      </w:pPr>
      <w:r>
        <w:rPr>
          <w:rFonts w:hint="eastAsia" w:ascii="宋体" w:hAnsi="宋体" w:cs="宋体"/>
          <w:color w:val="auto"/>
          <w:sz w:val="24"/>
          <w:highlight w:val="none"/>
        </w:rPr>
        <w:t>地  址：杭州市钱塘区下沙街道月雅路99号</w:t>
      </w:r>
    </w:p>
    <w:p w14:paraId="0C34B2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  真：/</w:t>
      </w:r>
    </w:p>
    <w:p w14:paraId="1951754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项目联系人（询问）：张飞珍</w:t>
      </w:r>
    </w:p>
    <w:p w14:paraId="4B1D3C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项目联系方式（询问）：0571-86752308</w:t>
      </w:r>
    </w:p>
    <w:p w14:paraId="0DF980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质疑联系人：邱铃洋</w:t>
      </w:r>
    </w:p>
    <w:p w14:paraId="3E50C9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质疑联系方式：0571-86758960</w:t>
      </w:r>
    </w:p>
    <w:p w14:paraId="1F15646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2.采购代理机构信息</w:t>
      </w:r>
    </w:p>
    <w:p w14:paraId="17AFBE4C">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  称：浙江省建设工程设备招标有限公司</w:t>
      </w:r>
    </w:p>
    <w:p w14:paraId="769E6220">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址：杭州市环站东路97号云峰大厦</w:t>
      </w:r>
      <w:r>
        <w:rPr>
          <w:rFonts w:hint="eastAsia" w:ascii="宋体" w:hAnsi="宋体" w:cs="宋体"/>
          <w:color w:val="auto"/>
          <w:sz w:val="24"/>
          <w:highlight w:val="none"/>
          <w:lang w:eastAsia="zh-CN"/>
        </w:rPr>
        <w:t>1幢13楼</w:t>
      </w:r>
    </w:p>
    <w:p w14:paraId="06DE28B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  真：0571-87631300</w:t>
      </w:r>
    </w:p>
    <w:p w14:paraId="38596E29">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项目联系人（询问）：王红红</w:t>
      </w:r>
      <w:r>
        <w:rPr>
          <w:rFonts w:hint="eastAsia" w:ascii="宋体" w:hAnsi="宋体" w:cs="宋体"/>
          <w:color w:val="auto"/>
          <w:sz w:val="24"/>
          <w:highlight w:val="none"/>
          <w:lang w:eastAsia="zh-CN"/>
        </w:rPr>
        <w:t>、</w:t>
      </w:r>
      <w:r>
        <w:rPr>
          <w:rFonts w:hint="eastAsia" w:ascii="宋体" w:hAnsi="宋体" w:cs="宋体"/>
          <w:color w:val="auto"/>
          <w:sz w:val="24"/>
          <w:highlight w:val="none"/>
        </w:rPr>
        <w:t>胡馨月</w:t>
      </w:r>
    </w:p>
    <w:p w14:paraId="08E3A35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项目联系方式（询问）：0571-87630283</w:t>
      </w:r>
    </w:p>
    <w:p w14:paraId="3B642D7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质疑联系人：胡经理</w:t>
      </w:r>
    </w:p>
    <w:p w14:paraId="5901A2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质疑联系方式：0571-87630283、13777418087</w:t>
      </w:r>
    </w:p>
    <w:p w14:paraId="2C9132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3.同级政府采购监督管理部门</w:t>
      </w:r>
    </w:p>
    <w:p w14:paraId="2654D3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  称：杭州市财政局政府采购监管处/浙江省政府采购行政裁决服务中心（杭州）</w:t>
      </w:r>
    </w:p>
    <w:p w14:paraId="5F9CF4D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杭州市上城区清泰街549号城建综合大楼11楼</w:t>
      </w:r>
      <w:r>
        <w:rPr>
          <w:rFonts w:hint="eastAsia" w:ascii="宋体" w:hAnsi="宋体" w:cs="宋体"/>
          <w:color w:val="auto"/>
          <w:sz w:val="24"/>
          <w:highlight w:val="none"/>
        </w:rPr>
        <w:t>（快递仅限ems或顺丰）</w:t>
      </w:r>
    </w:p>
    <w:p w14:paraId="10B451B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  真：/</w:t>
      </w:r>
    </w:p>
    <w:p w14:paraId="59CF72ED">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联系人：朱</w:t>
      </w:r>
      <w:r>
        <w:rPr>
          <w:rFonts w:hint="eastAsia" w:ascii="宋体" w:hAnsi="宋体" w:cs="宋体"/>
          <w:color w:val="auto"/>
          <w:sz w:val="24"/>
          <w:highlight w:val="none"/>
          <w:lang w:val="en-US" w:eastAsia="zh-CN"/>
        </w:rPr>
        <w:t>老师</w:t>
      </w:r>
    </w:p>
    <w:p w14:paraId="09A1C0F8">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监督投诉电话：</w:t>
      </w:r>
      <w:r>
        <w:rPr>
          <w:rFonts w:hint="eastAsia" w:ascii="宋体" w:hAnsi="宋体" w:cs="宋体"/>
          <w:color w:val="auto"/>
          <w:sz w:val="24"/>
          <w:highlight w:val="none"/>
          <w:lang w:eastAsia="zh-CN"/>
        </w:rPr>
        <w:t>0571-87800218</w:t>
      </w:r>
    </w:p>
    <w:p w14:paraId="42D37162">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政策咨询电话：沈先生、陈先生/0571-89580457、0571-89580460</w:t>
      </w:r>
    </w:p>
    <w:p w14:paraId="5112B2FE">
      <w:pPr>
        <w:spacing w:line="360" w:lineRule="auto"/>
        <w:ind w:firstLine="480"/>
        <w:jc w:val="left"/>
        <w:rPr>
          <w:rFonts w:hint="eastAsia" w:ascii="宋体" w:hAnsi="宋体" w:cs="宋体"/>
          <w:color w:val="auto"/>
          <w:sz w:val="24"/>
          <w:highlight w:val="none"/>
        </w:rPr>
      </w:pPr>
    </w:p>
    <w:p w14:paraId="18FAA9B3">
      <w:pPr>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29BBB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6F985E0D">
      <w:pPr>
        <w:widowControl/>
        <w:jc w:val="left"/>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0B535D83">
      <w:pPr>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6"/>
      <w:r>
        <w:rPr>
          <w:rFonts w:hint="eastAsia" w:ascii="宋体" w:hAnsi="宋体" w:cs="宋体"/>
          <w:b/>
          <w:color w:val="auto"/>
          <w:sz w:val="36"/>
          <w:szCs w:val="20"/>
          <w:highlight w:val="none"/>
        </w:rPr>
        <w:t xml:space="preserve"> 投标人须知</w:t>
      </w:r>
      <w:bookmarkEnd w:id="7"/>
    </w:p>
    <w:p w14:paraId="0718C5A3">
      <w:pPr>
        <w:pStyle w:val="4"/>
        <w:ind w:left="420"/>
        <w:rPr>
          <w:rFonts w:hint="eastAsia" w:ascii="宋体" w:hAnsi="宋体" w:eastAsia="宋体"/>
          <w:b w:val="0"/>
          <w:color w:val="auto"/>
          <w:sz w:val="32"/>
          <w:szCs w:val="20"/>
          <w:highlight w:val="none"/>
        </w:rPr>
      </w:pPr>
      <w:r>
        <w:rPr>
          <w:rFonts w:hint="eastAsia" w:ascii="宋体" w:hAnsi="宋体" w:eastAsia="宋体"/>
          <w:color w:val="auto"/>
          <w:sz w:val="32"/>
          <w:szCs w:val="20"/>
          <w:highlight w:val="none"/>
        </w:rPr>
        <w:t>前附表</w:t>
      </w:r>
    </w:p>
    <w:tbl>
      <w:tblPr>
        <w:tblStyle w:val="20"/>
        <w:tblW w:w="9721" w:type="dxa"/>
        <w:tblInd w:w="-33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55"/>
        <w:gridCol w:w="1513"/>
        <w:gridCol w:w="7553"/>
      </w:tblGrid>
      <w:tr w14:paraId="4F05B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trPr>
        <w:tc>
          <w:tcPr>
            <w:tcW w:w="655" w:type="dxa"/>
            <w:tcBorders>
              <w:top w:val="single" w:color="auto" w:sz="4" w:space="0"/>
              <w:left w:val="single" w:color="auto" w:sz="4" w:space="0"/>
              <w:bottom w:val="single" w:color="auto" w:sz="4" w:space="0"/>
              <w:right w:val="single" w:color="auto" w:sz="4" w:space="0"/>
            </w:tcBorders>
            <w:vAlign w:val="center"/>
          </w:tcPr>
          <w:p w14:paraId="1E54EE53">
            <w:pPr>
              <w:adjustRightInd w:val="0"/>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513" w:type="dxa"/>
            <w:tcBorders>
              <w:top w:val="single" w:color="000000" w:sz="8" w:space="0"/>
              <w:left w:val="single" w:color="auto" w:sz="4" w:space="0"/>
              <w:bottom w:val="single" w:color="000000" w:sz="8" w:space="0"/>
              <w:right w:val="single" w:color="000000" w:sz="8" w:space="0"/>
            </w:tcBorders>
            <w:vAlign w:val="center"/>
          </w:tcPr>
          <w:p w14:paraId="0699BC62">
            <w:pPr>
              <w:adjustRightInd w:val="0"/>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事项</w:t>
            </w:r>
          </w:p>
        </w:tc>
        <w:tc>
          <w:tcPr>
            <w:tcW w:w="7553" w:type="dxa"/>
            <w:tcBorders>
              <w:top w:val="single" w:color="000000" w:sz="8" w:space="0"/>
              <w:left w:val="single" w:color="000000" w:sz="2" w:space="0"/>
              <w:bottom w:val="single" w:color="000000" w:sz="8" w:space="0"/>
              <w:right w:val="single" w:color="000000" w:sz="8" w:space="0"/>
            </w:tcBorders>
            <w:vAlign w:val="center"/>
          </w:tcPr>
          <w:p w14:paraId="7E7929F5">
            <w:pPr>
              <w:adjustRightInd w:val="0"/>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本项目的特别规定</w:t>
            </w:r>
          </w:p>
        </w:tc>
      </w:tr>
      <w:tr w14:paraId="25640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0B73718B">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513" w:type="dxa"/>
            <w:tcBorders>
              <w:top w:val="single" w:color="000000" w:sz="8" w:space="0"/>
              <w:left w:val="single" w:color="auto" w:sz="4" w:space="0"/>
              <w:bottom w:val="single" w:color="000000" w:sz="8" w:space="0"/>
              <w:right w:val="single" w:color="000000" w:sz="8" w:space="0"/>
            </w:tcBorders>
            <w:vAlign w:val="center"/>
          </w:tcPr>
          <w:p w14:paraId="08D3A079">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采购计划文号及采购预算</w:t>
            </w:r>
          </w:p>
        </w:tc>
        <w:tc>
          <w:tcPr>
            <w:tcW w:w="7553" w:type="dxa"/>
            <w:tcBorders>
              <w:top w:val="single" w:color="000000" w:sz="8" w:space="0"/>
              <w:left w:val="single" w:color="000000" w:sz="2" w:space="0"/>
              <w:bottom w:val="single" w:color="000000" w:sz="8" w:space="0"/>
              <w:right w:val="single" w:color="000000" w:sz="8" w:space="0"/>
            </w:tcBorders>
            <w:vAlign w:val="center"/>
          </w:tcPr>
          <w:p w14:paraId="37C89D30">
            <w:pPr>
              <w:pStyle w:val="56"/>
              <w:widowControl w:val="0"/>
              <w:spacing w:line="360" w:lineRule="auto"/>
              <w:rPr>
                <w:rFonts w:hint="default" w:ascii="宋体" w:hAnsi="宋体" w:eastAsia="宋体" w:cs="宋体"/>
                <w:bCs/>
                <w:color w:val="auto"/>
                <w:kern w:val="2"/>
                <w:szCs w:val="22"/>
                <w:highlight w:val="none"/>
                <w:lang w:val="en-US" w:eastAsia="zh-CN"/>
              </w:rPr>
            </w:pPr>
            <w:r>
              <w:rPr>
                <w:rFonts w:ascii="宋体" w:hAnsi="宋体" w:cs="宋体"/>
                <w:bCs/>
                <w:color w:val="auto"/>
                <w:kern w:val="2"/>
                <w:szCs w:val="22"/>
                <w:highlight w:val="none"/>
                <w:lang w:val="zh-TW"/>
              </w:rPr>
              <w:t>采购计划文号：</w:t>
            </w:r>
            <w:r>
              <w:rPr>
                <w:rFonts w:hint="eastAsia" w:ascii="宋体" w:hAnsi="宋体" w:cs="宋体"/>
                <w:bCs/>
                <w:color w:val="auto"/>
                <w:kern w:val="2"/>
                <w:szCs w:val="22"/>
                <w:highlight w:val="none"/>
                <w:lang w:val="en-US" w:eastAsia="zh-CN"/>
              </w:rPr>
              <w:t>[2025]4179号、临[2025]4180号</w:t>
            </w:r>
          </w:p>
          <w:p w14:paraId="358D8335">
            <w:pPr>
              <w:adjustRightInd w:val="0"/>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lang w:val="zh-TW"/>
              </w:rPr>
              <w:t>采购预算：</w:t>
            </w:r>
            <w:r>
              <w:rPr>
                <w:rFonts w:hint="eastAsia" w:ascii="宋体" w:hAnsi="宋体" w:cs="宋体"/>
                <w:b/>
                <w:color w:val="auto"/>
                <w:sz w:val="24"/>
                <w:highlight w:val="none"/>
              </w:rPr>
              <w:t>预算总费用1215万元。其中泵站运行维护795万元、专项维护1</w:t>
            </w:r>
            <w:r>
              <w:rPr>
                <w:rFonts w:hint="eastAsia" w:ascii="宋体" w:hAnsi="宋体" w:cs="宋体"/>
                <w:b/>
                <w:color w:val="auto"/>
                <w:sz w:val="24"/>
                <w:highlight w:val="none"/>
                <w:lang w:val="en-US" w:eastAsia="zh-CN"/>
              </w:rPr>
              <w:t>80</w:t>
            </w:r>
            <w:r>
              <w:rPr>
                <w:rFonts w:hint="eastAsia" w:ascii="宋体" w:hAnsi="宋体" w:cs="宋体"/>
                <w:b/>
                <w:color w:val="auto"/>
                <w:sz w:val="24"/>
                <w:highlight w:val="none"/>
              </w:rPr>
              <w:t>万元、室外环境养护2</w:t>
            </w:r>
            <w:r>
              <w:rPr>
                <w:rFonts w:hint="eastAsia" w:ascii="宋体" w:hAnsi="宋体" w:cs="宋体"/>
                <w:b/>
                <w:color w:val="auto"/>
                <w:sz w:val="24"/>
                <w:highlight w:val="none"/>
                <w:lang w:val="en-US" w:eastAsia="zh-CN"/>
              </w:rPr>
              <w:t>40</w:t>
            </w:r>
            <w:r>
              <w:rPr>
                <w:rFonts w:hint="eastAsia" w:ascii="宋体" w:hAnsi="宋体" w:cs="宋体"/>
                <w:b/>
                <w:color w:val="auto"/>
                <w:sz w:val="24"/>
                <w:highlight w:val="none"/>
              </w:rPr>
              <w:t>万元。</w:t>
            </w:r>
          </w:p>
          <w:p w14:paraId="40365CBD">
            <w:pPr>
              <w:pStyle w:val="16"/>
              <w:bidi w:val="0"/>
              <w:ind w:left="0" w:leftChars="0" w:firstLine="0" w:firstLineChars="0"/>
              <w:rPr>
                <w:rFonts w:hint="eastAsia"/>
                <w:color w:val="auto"/>
                <w:highlight w:val="none"/>
              </w:rPr>
            </w:pPr>
            <w:r>
              <w:rPr>
                <w:rFonts w:hint="eastAsia"/>
                <w:color w:val="auto"/>
                <w:highlight w:val="none"/>
              </w:rPr>
              <w:t>▲总报价超过</w:t>
            </w:r>
            <w:r>
              <w:rPr>
                <w:rFonts w:hint="eastAsia"/>
                <w:color w:val="auto"/>
                <w:highlight w:val="none"/>
                <w:lang w:val="en-US" w:eastAsia="zh-CN"/>
              </w:rPr>
              <w:t>预算</w:t>
            </w:r>
            <w:r>
              <w:rPr>
                <w:rFonts w:hint="eastAsia"/>
                <w:color w:val="auto"/>
                <w:highlight w:val="none"/>
              </w:rPr>
              <w:t>或单项报价超过</w:t>
            </w:r>
            <w:r>
              <w:rPr>
                <w:rFonts w:hint="eastAsia"/>
                <w:color w:val="auto"/>
                <w:highlight w:val="none"/>
                <w:lang w:val="en-US" w:eastAsia="zh-CN"/>
              </w:rPr>
              <w:t>对应</w:t>
            </w:r>
            <w:r>
              <w:rPr>
                <w:rFonts w:hint="eastAsia"/>
                <w:color w:val="auto"/>
                <w:highlight w:val="none"/>
              </w:rPr>
              <w:t>采购预算的投标无效。</w:t>
            </w:r>
          </w:p>
        </w:tc>
      </w:tr>
      <w:tr w14:paraId="00413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5D9D8050">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513" w:type="dxa"/>
            <w:tcBorders>
              <w:top w:val="single" w:color="000000" w:sz="8" w:space="0"/>
              <w:left w:val="single" w:color="auto" w:sz="4" w:space="0"/>
              <w:bottom w:val="single" w:color="000000" w:sz="8" w:space="0"/>
              <w:right w:val="single" w:color="000000" w:sz="8" w:space="0"/>
            </w:tcBorders>
            <w:vAlign w:val="center"/>
          </w:tcPr>
          <w:p w14:paraId="7BB8B878">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项目属性</w:t>
            </w:r>
          </w:p>
        </w:tc>
        <w:tc>
          <w:tcPr>
            <w:tcW w:w="7553" w:type="dxa"/>
            <w:tcBorders>
              <w:top w:val="single" w:color="000000" w:sz="8" w:space="0"/>
              <w:left w:val="single" w:color="000000" w:sz="2" w:space="0"/>
              <w:bottom w:val="single" w:color="000000" w:sz="8" w:space="0"/>
              <w:right w:val="single" w:color="000000" w:sz="8" w:space="0"/>
            </w:tcBorders>
            <w:vAlign w:val="center"/>
          </w:tcPr>
          <w:p w14:paraId="60E5ABB7">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服务类。</w:t>
            </w:r>
          </w:p>
        </w:tc>
      </w:tr>
      <w:tr w14:paraId="136F3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7BAB831E">
            <w:pPr>
              <w:adjustRightInd w:val="0"/>
              <w:snapToGrid w:val="0"/>
              <w:spacing w:line="348"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513" w:type="dxa"/>
            <w:tcBorders>
              <w:top w:val="single" w:color="000000" w:sz="8" w:space="0"/>
              <w:left w:val="single" w:color="auto" w:sz="4" w:space="0"/>
              <w:bottom w:val="single" w:color="000000" w:sz="8" w:space="0"/>
              <w:right w:val="single" w:color="000000" w:sz="8" w:space="0"/>
            </w:tcBorders>
            <w:vAlign w:val="center"/>
          </w:tcPr>
          <w:p w14:paraId="539C95F7">
            <w:pPr>
              <w:adjustRightInd w:val="0"/>
              <w:snapToGrid w:val="0"/>
              <w:spacing w:line="348" w:lineRule="auto"/>
              <w:jc w:val="left"/>
              <w:rPr>
                <w:rFonts w:hint="eastAsia"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7553" w:type="dxa"/>
            <w:tcBorders>
              <w:top w:val="single" w:color="000000" w:sz="8" w:space="0"/>
              <w:left w:val="single" w:color="000000" w:sz="2" w:space="0"/>
              <w:bottom w:val="single" w:color="000000" w:sz="8" w:space="0"/>
              <w:right w:val="single" w:color="000000" w:sz="8" w:space="0"/>
            </w:tcBorders>
            <w:vAlign w:val="center"/>
          </w:tcPr>
          <w:p w14:paraId="19AD1F43">
            <w:pPr>
              <w:pStyle w:val="18"/>
              <w:numPr>
                <w:ilvl w:val="0"/>
                <w:numId w:val="1"/>
              </w:numPr>
              <w:adjustRightInd w:val="0"/>
              <w:spacing w:before="0" w:beforeAutospacing="0" w:after="0" w:afterAutospacing="0" w:line="348" w:lineRule="auto"/>
              <w:ind w:right="143" w:rightChars="68"/>
              <w:jc w:val="both"/>
              <w:rPr>
                <w:rFonts w:hint="eastAsia" w:cs="宋体"/>
                <w:color w:val="auto"/>
                <w:highlight w:val="none"/>
              </w:rPr>
            </w:pPr>
            <w:r>
              <w:rPr>
                <w:rFonts w:hint="eastAsia" w:cs="宋体"/>
                <w:color w:val="auto"/>
                <w:highlight w:val="none"/>
              </w:rPr>
              <w:t>标的：</w:t>
            </w:r>
            <w:r>
              <w:rPr>
                <w:rFonts w:hint="eastAsia" w:cs="宋体"/>
                <w:color w:val="auto"/>
                <w:highlight w:val="none"/>
                <w:u w:val="single"/>
                <w:lang w:eastAsia="zh-CN"/>
              </w:rPr>
              <w:t>八堡排水泵站运行和日常维修养护项目</w:t>
            </w:r>
            <w:r>
              <w:rPr>
                <w:rFonts w:hint="eastAsia" w:cs="宋体"/>
                <w:color w:val="auto"/>
                <w:highlight w:val="none"/>
              </w:rPr>
              <w:t>，属于</w:t>
            </w:r>
            <w:r>
              <w:rPr>
                <w:rFonts w:hint="eastAsia" w:cs="宋体"/>
                <w:color w:val="auto"/>
                <w:highlight w:val="none"/>
                <w:u w:val="single"/>
              </w:rPr>
              <w:t>其他未列明行业-水利、环境和公共设施管理业</w:t>
            </w:r>
            <w:r>
              <w:rPr>
                <w:rFonts w:hint="eastAsia" w:cs="宋体"/>
                <w:color w:val="auto"/>
                <w:szCs w:val="24"/>
                <w:highlight w:val="none"/>
                <w:u w:val="single"/>
              </w:rPr>
              <w:t>；</w:t>
            </w:r>
          </w:p>
          <w:p w14:paraId="2726DAD5">
            <w:pPr>
              <w:pStyle w:val="18"/>
              <w:adjustRightInd w:val="0"/>
              <w:spacing w:before="0" w:beforeAutospacing="0" w:after="0" w:afterAutospacing="0" w:line="348" w:lineRule="auto"/>
              <w:ind w:right="143" w:rightChars="68"/>
              <w:jc w:val="both"/>
              <w:rPr>
                <w:rFonts w:hint="eastAsia" w:cs="宋体"/>
                <w:color w:val="auto"/>
                <w:highlight w:val="none"/>
              </w:rPr>
            </w:pPr>
            <w:r>
              <w:rPr>
                <w:rFonts w:hint="eastAsia" w:cs="宋体"/>
                <w:color w:val="auto"/>
                <w:highlight w:val="none"/>
              </w:rPr>
              <w:t>行业划分标准：</w:t>
            </w:r>
            <w:r>
              <w:rPr>
                <w:rFonts w:hint="eastAsia" w:ascii="宋体" w:hAnsi="宋体" w:cs="宋体"/>
                <w:color w:val="auto"/>
                <w:kern w:val="0"/>
                <w:sz w:val="24"/>
                <w:highlight w:val="none"/>
                <w:u w:val="single"/>
              </w:rPr>
              <w:t>根据《关于印发中小企业划型标准规定的通知》（工信部联企业〔2011〕300号）第四条规定：</w:t>
            </w:r>
            <w:r>
              <w:rPr>
                <w:rFonts w:hint="eastAsia" w:cs="宋体"/>
                <w:color w:val="auto"/>
                <w:highlight w:val="none"/>
                <w:u w:val="single"/>
              </w:rPr>
              <w:t>（十六）其他未列明行业。从业人员300人以下的为中小微型企业。其中，从业人员100人及以上的为中型企业；从业人员10人及以上的为小型企业；从业人员10人以下的为微型企业。</w:t>
            </w:r>
          </w:p>
          <w:p w14:paraId="52D18258">
            <w:pPr>
              <w:adjustRightInd w:val="0"/>
              <w:snapToGrid w:val="0"/>
              <w:spacing w:line="348" w:lineRule="auto"/>
              <w:rPr>
                <w:rFonts w:hint="eastAsia" w:ascii="宋体" w:hAnsi="宋体" w:cs="宋体"/>
                <w:color w:val="auto"/>
                <w:sz w:val="24"/>
                <w:highlight w:val="none"/>
              </w:rPr>
            </w:pPr>
            <w:r>
              <w:rPr>
                <w:rFonts w:hint="eastAsia" w:ascii="宋体" w:hAnsi="宋体" w:cs="宋体"/>
                <w:color w:val="auto"/>
                <w:sz w:val="24"/>
                <w:highlight w:val="none"/>
              </w:rPr>
              <w:t>（2）本项目扶持力度：</w:t>
            </w:r>
          </w:p>
          <w:p w14:paraId="2E6C48F7">
            <w:pPr>
              <w:adjustRightInd w:val="0"/>
              <w:snapToGrid w:val="0"/>
              <w:spacing w:line="348" w:lineRule="auto"/>
              <w:rPr>
                <w:rFonts w:hint="eastAsia" w:ascii="宋体" w:hAnsi="宋体" w:cs="宋体"/>
                <w:bCs/>
                <w:color w:val="auto"/>
                <w:sz w:val="24"/>
                <w:highlight w:val="none"/>
              </w:rPr>
            </w:pPr>
            <w:r>
              <w:rPr>
                <w:rFonts w:hint="eastAsia" w:ascii="宋体" w:hAnsi="宋体" w:cs="宋体"/>
                <w:bCs/>
                <w:color w:val="auto"/>
                <w:sz w:val="24"/>
                <w:highlight w:val="none"/>
              </w:rPr>
              <w:sym w:font="Wingdings 2" w:char="00A3"/>
            </w:r>
            <w:r>
              <w:rPr>
                <w:rFonts w:hint="eastAsia" w:ascii="宋体" w:hAnsi="宋体" w:cs="宋体"/>
                <w:bCs/>
                <w:color w:val="auto"/>
                <w:kern w:val="0"/>
                <w:sz w:val="24"/>
                <w:highlight w:val="none"/>
              </w:rPr>
              <w:t>A</w:t>
            </w:r>
            <w:r>
              <w:rPr>
                <w:rFonts w:hint="eastAsia" w:ascii="宋体" w:hAnsi="宋体" w:cs="宋体"/>
                <w:bCs/>
                <w:color w:val="auto"/>
                <w:sz w:val="24"/>
                <w:highlight w:val="none"/>
              </w:rPr>
              <w:t>专门预留中小企业份额项目；</w:t>
            </w:r>
          </w:p>
          <w:p w14:paraId="0BC42B32">
            <w:pPr>
              <w:adjustRightInd w:val="0"/>
              <w:snapToGrid w:val="0"/>
              <w:spacing w:line="348" w:lineRule="auto"/>
              <w:ind w:right="143" w:rightChars="68"/>
              <w:rPr>
                <w:rFonts w:hint="eastAsia" w:ascii="宋体" w:hAnsi="宋体" w:cs="宋体"/>
                <w:b/>
                <w:color w:val="auto"/>
                <w:sz w:val="24"/>
                <w:highlight w:val="none"/>
              </w:rPr>
            </w:pPr>
            <w:r>
              <w:rPr>
                <w:rFonts w:hint="eastAsia" w:ascii="宋体" w:hAnsi="宋体" w:cs="宋体"/>
                <w:bCs/>
                <w:color w:val="auto"/>
                <w:sz w:val="24"/>
                <w:highlight w:val="none"/>
              </w:rPr>
              <w:sym w:font="Wingdings 2" w:char="00A3"/>
            </w:r>
            <w:r>
              <w:rPr>
                <w:rFonts w:hint="eastAsia" w:ascii="宋体" w:hAnsi="宋体" w:cs="宋体"/>
                <w:bCs/>
                <w:color w:val="auto"/>
                <w:sz w:val="24"/>
                <w:highlight w:val="none"/>
              </w:rPr>
              <w:t>B适宜面向中小企业，本项目预留要求达到</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w:t>
            </w:r>
          </w:p>
          <w:p w14:paraId="131146EE">
            <w:pPr>
              <w:adjustRightInd w:val="0"/>
              <w:snapToGrid w:val="0"/>
              <w:spacing w:line="348" w:lineRule="auto"/>
              <w:rPr>
                <w:rFonts w:hint="eastAsia" w:ascii="宋体" w:hAnsi="宋体" w:cs="宋体"/>
                <w:color w:val="auto"/>
                <w:kern w:val="0"/>
                <w:sz w:val="24"/>
                <w:highlight w:val="none"/>
              </w:rPr>
            </w:pPr>
            <w:r>
              <w:rPr>
                <w:rFonts w:hint="eastAsia" w:ascii="宋体" w:hAnsi="宋体" w:cs="宋体"/>
                <w:b/>
                <w:color w:val="auto"/>
                <w:sz w:val="24"/>
                <w:highlight w:val="none"/>
              </w:rPr>
              <w:sym w:font="Wingdings 2" w:char="0052"/>
            </w:r>
            <w:r>
              <w:rPr>
                <w:rFonts w:hint="eastAsia" w:ascii="宋体" w:hAnsi="宋体" w:cs="宋体"/>
                <w:b/>
                <w:color w:val="auto"/>
                <w:sz w:val="24"/>
                <w:highlight w:val="none"/>
              </w:rPr>
              <w:t>C对于未预留份额专门面向中小企业的政府采购服务项目，以及预留份额政府采购服务项目中的非预留部分标项，对小型和微型企业的投标报价给予</w:t>
            </w:r>
            <w:r>
              <w:rPr>
                <w:rFonts w:hint="eastAsia" w:ascii="宋体" w:hAnsi="宋体" w:cs="宋体"/>
                <w:b/>
                <w:color w:val="auto"/>
                <w:sz w:val="24"/>
                <w:highlight w:val="none"/>
                <w:u w:val="single"/>
              </w:rPr>
              <w:t xml:space="preserve">10 % </w:t>
            </w:r>
            <w:r>
              <w:rPr>
                <w:rFonts w:hint="eastAsia" w:ascii="宋体" w:hAnsi="宋体" w:cs="宋体"/>
                <w:b/>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cs="宋体"/>
                <w:b/>
                <w:color w:val="auto"/>
                <w:sz w:val="24"/>
                <w:highlight w:val="none"/>
                <w:u w:val="single"/>
              </w:rPr>
              <w:t xml:space="preserve">4 % </w:t>
            </w:r>
            <w:r>
              <w:rPr>
                <w:rFonts w:hint="eastAsia" w:ascii="宋体" w:hAnsi="宋体" w:cs="宋体"/>
                <w:b/>
                <w:color w:val="auto"/>
                <w:sz w:val="24"/>
                <w:highlight w:val="none"/>
              </w:rPr>
              <w:t>的扣除，用扣除后的价格参加评审。组成联合体或者接受分包的小微企业与联合体内其他企业、分包企业之间存在直接控股、管理关系的，不享受价格扣除优惠政策。</w:t>
            </w:r>
          </w:p>
        </w:tc>
      </w:tr>
      <w:tr w14:paraId="08197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47EC9BE3">
            <w:pPr>
              <w:adjustRightInd w:val="0"/>
              <w:snapToGrid w:val="0"/>
              <w:spacing w:line="384"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513" w:type="dxa"/>
            <w:tcBorders>
              <w:top w:val="single" w:color="000000" w:sz="8" w:space="0"/>
              <w:left w:val="single" w:color="auto" w:sz="4" w:space="0"/>
              <w:bottom w:val="single" w:color="000000" w:sz="8" w:space="0"/>
              <w:right w:val="single" w:color="000000" w:sz="8" w:space="0"/>
            </w:tcBorders>
            <w:vAlign w:val="center"/>
          </w:tcPr>
          <w:p w14:paraId="2F20E299">
            <w:pPr>
              <w:adjustRightInd w:val="0"/>
              <w:snapToGrid w:val="0"/>
              <w:spacing w:line="384" w:lineRule="auto"/>
              <w:jc w:val="left"/>
              <w:rPr>
                <w:rFonts w:hint="eastAsia"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7553" w:type="dxa"/>
            <w:tcBorders>
              <w:top w:val="single" w:color="000000" w:sz="8" w:space="0"/>
              <w:left w:val="single" w:color="000000" w:sz="2" w:space="0"/>
              <w:bottom w:val="single" w:color="000000" w:sz="8" w:space="0"/>
              <w:right w:val="single" w:color="000000" w:sz="8" w:space="0"/>
            </w:tcBorders>
            <w:shd w:val="clear" w:color="auto" w:fill="auto"/>
            <w:vAlign w:val="center"/>
          </w:tcPr>
          <w:p w14:paraId="463AF52B">
            <w:pPr>
              <w:adjustRightInd w:val="0"/>
              <w:snapToGrid w:val="0"/>
              <w:spacing w:line="384" w:lineRule="auto"/>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sym w:font="Wingdings" w:char="F0FE"/>
            </w:r>
            <w:r>
              <w:rPr>
                <w:rFonts w:hint="eastAsia" w:ascii="宋体" w:hAnsi="宋体" w:cs="宋体"/>
                <w:b/>
                <w:bCs/>
                <w:color w:val="auto"/>
                <w:sz w:val="24"/>
                <w:highlight w:val="none"/>
              </w:rPr>
              <w:t>A本项目不允许采购进口产品；</w:t>
            </w:r>
          </w:p>
          <w:p w14:paraId="546173A4">
            <w:pPr>
              <w:adjustRightInd w:val="0"/>
              <w:snapToGrid w:val="0"/>
              <w:spacing w:line="384" w:lineRule="auto"/>
              <w:rPr>
                <w:rFonts w:hint="eastAsia" w:ascii="宋体" w:hAnsi="宋体" w:cs="宋体"/>
                <w:color w:val="auto"/>
                <w:highlight w:val="none"/>
              </w:rPr>
            </w:pPr>
            <w:r>
              <w:rPr>
                <w:rFonts w:hint="eastAsia" w:ascii="宋体" w:hAnsi="宋体" w:cs="宋体"/>
                <w:color w:val="auto"/>
                <w:kern w:val="0"/>
                <w:sz w:val="24"/>
                <w:highlight w:val="none"/>
              </w:rPr>
              <w:t>☐B可以就采购进口产品。优先采购向我国企业转让技术、与我国企业签订消化吸收再创新方案的供应商的进口产品，详见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14:paraId="0FCAF9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5E8E2EA3">
            <w:pPr>
              <w:adjustRightInd w:val="0"/>
              <w:snapToGrid w:val="0"/>
              <w:spacing w:line="384"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1513" w:type="dxa"/>
            <w:tcBorders>
              <w:top w:val="single" w:color="000000" w:sz="8" w:space="0"/>
              <w:left w:val="single" w:color="auto" w:sz="4" w:space="0"/>
              <w:bottom w:val="single" w:color="000000" w:sz="8" w:space="0"/>
              <w:right w:val="single" w:color="000000" w:sz="8" w:space="0"/>
            </w:tcBorders>
            <w:vAlign w:val="center"/>
          </w:tcPr>
          <w:p w14:paraId="34C351F6">
            <w:pPr>
              <w:adjustRightInd w:val="0"/>
              <w:snapToGrid w:val="0"/>
              <w:spacing w:line="384" w:lineRule="auto"/>
              <w:jc w:val="left"/>
              <w:rPr>
                <w:rFonts w:hint="eastAsia" w:ascii="宋体" w:hAnsi="宋体" w:cs="宋体"/>
                <w:b/>
                <w:color w:val="auto"/>
                <w:sz w:val="24"/>
                <w:highlight w:val="none"/>
              </w:rPr>
            </w:pPr>
            <w:r>
              <w:rPr>
                <w:rFonts w:hint="eastAsia" w:ascii="宋体" w:hAnsi="宋体" w:cs="宋体"/>
                <w:b/>
                <w:color w:val="auto"/>
                <w:sz w:val="24"/>
                <w:highlight w:val="none"/>
              </w:rPr>
              <w:t>分包</w:t>
            </w:r>
          </w:p>
        </w:tc>
        <w:tc>
          <w:tcPr>
            <w:tcW w:w="7553" w:type="dxa"/>
            <w:tcBorders>
              <w:top w:val="single" w:color="000000" w:sz="8" w:space="0"/>
              <w:left w:val="single" w:color="000000" w:sz="2" w:space="0"/>
              <w:bottom w:val="single" w:color="000000" w:sz="8" w:space="0"/>
              <w:right w:val="single" w:color="000000" w:sz="8" w:space="0"/>
            </w:tcBorders>
            <w:vAlign w:val="center"/>
          </w:tcPr>
          <w:p w14:paraId="7E54255E">
            <w:pPr>
              <w:adjustRightInd w:val="0"/>
              <w:snapToGrid w:val="0"/>
              <w:spacing w:line="384" w:lineRule="auto"/>
              <w:rPr>
                <w:rFonts w:hint="eastAsia" w:ascii="宋体" w:hAnsi="宋体" w:cs="宋体"/>
                <w:b/>
                <w:bCs/>
                <w:color w:val="auto"/>
                <w:sz w:val="24"/>
                <w:highlight w:val="none"/>
              </w:rPr>
            </w:pPr>
            <w:r>
              <w:rPr>
                <w:rFonts w:hint="eastAsia" w:ascii="宋体" w:hAnsi="宋体" w:cs="宋体"/>
                <w:b/>
                <w:bCs/>
                <w:color w:val="auto"/>
                <w:kern w:val="0"/>
                <w:sz w:val="24"/>
                <w:szCs w:val="24"/>
                <w:highlight w:val="none"/>
              </w:rPr>
              <w:sym w:font="Wingdings" w:char="00FE"/>
            </w:r>
            <w:r>
              <w:rPr>
                <w:rFonts w:hint="eastAsia" w:ascii="宋体" w:hAnsi="宋体" w:cs="宋体"/>
                <w:b/>
                <w:bCs/>
                <w:color w:val="auto"/>
                <w:kern w:val="0"/>
                <w:sz w:val="24"/>
                <w:highlight w:val="none"/>
              </w:rPr>
              <w:t>A</w:t>
            </w:r>
            <w:r>
              <w:rPr>
                <w:rFonts w:hint="eastAsia" w:ascii="宋体" w:hAnsi="宋体" w:cs="宋体"/>
                <w:b/>
                <w:bCs/>
                <w:color w:val="auto"/>
                <w:sz w:val="24"/>
                <w:highlight w:val="none"/>
              </w:rPr>
              <w:t>同意将非主体、非关键性的</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sz w:val="24"/>
                <w:highlight w:val="none"/>
                <w:u w:val="single"/>
              </w:rPr>
              <w:t xml:space="preserve">专项维护、室外环境养护 </w:t>
            </w:r>
            <w:r>
              <w:rPr>
                <w:rFonts w:hint="eastAsia" w:ascii="宋体" w:hAnsi="宋体" w:cs="宋体"/>
                <w:b/>
                <w:bCs/>
                <w:color w:val="auto"/>
                <w:sz w:val="24"/>
                <w:highlight w:val="none"/>
              </w:rPr>
              <w:t>工作分包（具体详见采购需求）；</w:t>
            </w:r>
          </w:p>
          <w:p w14:paraId="3FE06BF4">
            <w:pPr>
              <w:adjustRightInd w:val="0"/>
              <w:snapToGrid w:val="0"/>
              <w:spacing w:line="384" w:lineRule="auto"/>
              <w:rPr>
                <w:rFonts w:hint="eastAsia" w:ascii="宋体" w:hAnsi="宋体" w:cs="宋体"/>
                <w:b/>
                <w:bCs/>
                <w:color w:val="auto"/>
                <w:sz w:val="24"/>
                <w:highlight w:val="none"/>
              </w:rPr>
            </w:pPr>
            <w:r>
              <w:rPr>
                <w:rFonts w:hint="eastAsia" w:ascii="宋体" w:hAnsi="宋体" w:cs="宋体"/>
                <w:color w:val="auto"/>
                <w:kern w:val="0"/>
                <w:sz w:val="24"/>
                <w:szCs w:val="24"/>
                <w:highlight w:val="none"/>
              </w:rPr>
              <w:sym w:font="Wingdings" w:char="00A8"/>
            </w:r>
            <w:r>
              <w:rPr>
                <w:rFonts w:hint="eastAsia" w:ascii="宋体" w:hAnsi="宋体" w:cs="宋体"/>
                <w:color w:val="auto"/>
                <w:kern w:val="0"/>
                <w:sz w:val="24"/>
                <w:highlight w:val="none"/>
              </w:rPr>
              <w:t>B</w:t>
            </w:r>
            <w:r>
              <w:rPr>
                <w:rFonts w:hint="eastAsia" w:ascii="宋体" w:hAnsi="宋体" w:cs="宋体"/>
                <w:color w:val="auto"/>
                <w:sz w:val="24"/>
                <w:highlight w:val="none"/>
              </w:rPr>
              <w:t>不同意分包。</w:t>
            </w:r>
          </w:p>
          <w:p w14:paraId="15F26C2E">
            <w:pPr>
              <w:adjustRightInd w:val="0"/>
              <w:snapToGrid w:val="0"/>
              <w:spacing w:line="384" w:lineRule="auto"/>
              <w:rPr>
                <w:rFonts w:hint="eastAsia"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46879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0D59F872">
            <w:pPr>
              <w:adjustRightInd w:val="0"/>
              <w:snapToGrid w:val="0"/>
              <w:spacing w:line="384"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1513" w:type="dxa"/>
            <w:tcBorders>
              <w:top w:val="single" w:color="000000" w:sz="8" w:space="0"/>
              <w:left w:val="single" w:color="auto" w:sz="4" w:space="0"/>
              <w:bottom w:val="single" w:color="000000" w:sz="8" w:space="0"/>
              <w:right w:val="single" w:color="000000" w:sz="8" w:space="0"/>
            </w:tcBorders>
            <w:vAlign w:val="center"/>
          </w:tcPr>
          <w:p w14:paraId="690E9C26">
            <w:pPr>
              <w:adjustRightInd w:val="0"/>
              <w:snapToGrid w:val="0"/>
              <w:spacing w:line="384" w:lineRule="auto"/>
              <w:jc w:val="left"/>
              <w:rPr>
                <w:rFonts w:hint="eastAsia"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7553" w:type="dxa"/>
            <w:tcBorders>
              <w:top w:val="single" w:color="000000" w:sz="8" w:space="0"/>
              <w:left w:val="single" w:color="000000" w:sz="2" w:space="0"/>
              <w:bottom w:val="single" w:color="000000" w:sz="8" w:space="0"/>
              <w:right w:val="single" w:color="000000" w:sz="8" w:space="0"/>
            </w:tcBorders>
            <w:vAlign w:val="center"/>
          </w:tcPr>
          <w:p w14:paraId="4C1E6D61">
            <w:pPr>
              <w:keepNext w:val="0"/>
              <w:keepLines w:val="0"/>
              <w:pageBreakBefore w:val="0"/>
              <w:kinsoku/>
              <w:wordWrap/>
              <w:overflowPunct/>
              <w:topLinePunct w:val="0"/>
              <w:bidi w:val="0"/>
              <w:adjustRightInd w:val="0"/>
              <w:snapToGrid w:val="0"/>
              <w:spacing w:line="348" w:lineRule="auto"/>
              <w:textAlignment w:val="auto"/>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86549752"/>
                <w14:checkbox>
                  <w14:checked w14:val="1"/>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Wingdings" w:hAnsi="Wingdings" w:eastAsiaTheme="minorEastAsia" w:cstheme="minorEastAsia"/>
                    <w:b/>
                    <w:bCs/>
                    <w:color w:val="auto"/>
                    <w:kern w:val="0"/>
                    <w:sz w:val="24"/>
                    <w:szCs w:val="24"/>
                    <w:highlight w:val="none"/>
                    <w:lang w:val="en-US" w:eastAsia="zh-CN" w:bidi="ar-SA"/>
                  </w:rPr>
                  <w:t>þ</w:t>
                </w:r>
              </w:sdtContent>
            </w:sdt>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不组织。</w:t>
            </w:r>
          </w:p>
          <w:p w14:paraId="1300C281">
            <w:pPr>
              <w:keepNext w:val="0"/>
              <w:keepLines w:val="0"/>
              <w:pageBreakBefore w:val="0"/>
              <w:kinsoku/>
              <w:wordWrap/>
              <w:overflowPunct/>
              <w:topLinePunct w:val="0"/>
              <w:bidi w:val="0"/>
              <w:adjustRightInd w:val="0"/>
              <w:snapToGrid w:val="0"/>
              <w:spacing w:line="348" w:lineRule="auto"/>
              <w:textAlignment w:val="auto"/>
              <w:rPr>
                <w:rFonts w:hint="eastAsia" w:asciiTheme="minorEastAsia" w:hAnsiTheme="minorEastAsia" w:eastAsiaTheme="minorEastAsia" w:cstheme="minorEastAsia"/>
                <w:color w:val="auto"/>
                <w:sz w:val="24"/>
                <w:szCs w:val="20"/>
                <w:highlight w:val="none"/>
              </w:rPr>
            </w:pPr>
            <w:sdt>
              <w:sdtPr>
                <w:rPr>
                  <w:rFonts w:hint="eastAsia" w:asciiTheme="minorEastAsia" w:hAnsiTheme="minorEastAsia" w:eastAsiaTheme="minorEastAsia" w:cstheme="minorEastAsia"/>
                  <w:color w:val="auto"/>
                  <w:kern w:val="0"/>
                  <w:sz w:val="24"/>
                  <w:highlight w:val="none"/>
                </w:rPr>
                <w:id w:val="388999054"/>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kern w:val="0"/>
                <w:sz w:val="24"/>
                <w:highlight w:val="none"/>
              </w:rPr>
              <w:t>B组织，</w:t>
            </w:r>
            <w:r>
              <w:rPr>
                <w:rFonts w:hint="eastAsia" w:asciiTheme="minorEastAsia" w:hAnsiTheme="minorEastAsia" w:eastAsiaTheme="minorEastAsia" w:cstheme="minorEastAsia"/>
                <w:color w:val="auto"/>
                <w:sz w:val="24"/>
                <w:highlight w:val="none"/>
              </w:rPr>
              <w:t>时间：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szCs w:val="20"/>
                <w:highlight w:val="none"/>
              </w:rPr>
              <w:t>。</w:t>
            </w:r>
          </w:p>
          <w:p w14:paraId="64ED4CEB">
            <w:pPr>
              <w:adjustRightInd w:val="0"/>
              <w:snapToGrid w:val="0"/>
              <w:spacing w:line="384" w:lineRule="auto"/>
              <w:rPr>
                <w:rFonts w:hint="eastAsia" w:ascii="宋体" w:hAnsi="宋体" w:cs="宋体"/>
                <w:color w:val="auto"/>
                <w:sz w:val="24"/>
                <w:szCs w:val="20"/>
                <w:highlight w:val="none"/>
              </w:rPr>
            </w:pPr>
            <w:r>
              <w:rPr>
                <w:rFonts w:hint="eastAsia" w:asciiTheme="minorEastAsia" w:hAnsiTheme="minorEastAsia" w:eastAsiaTheme="minorEastAsia" w:cstheme="minorEastAsia"/>
                <w:color w:val="auto"/>
                <w:kern w:val="0"/>
                <w:sz w:val="24"/>
                <w:szCs w:val="24"/>
                <w:highlight w:val="none"/>
                <w:lang w:val="en-US" w:eastAsia="zh-CN" w:bidi="ar-SA"/>
              </w:rPr>
              <w:t>☐C不统一组织，供应商在获取采购文件后，自行至项目现场考察。</w:t>
            </w: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szCs w:val="20"/>
                <w:highlight w:val="none"/>
              </w:rPr>
              <w:t>。</w:t>
            </w:r>
          </w:p>
        </w:tc>
      </w:tr>
      <w:tr w14:paraId="61549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11BC041E">
            <w:pPr>
              <w:adjustRightInd w:val="0"/>
              <w:snapToGrid w:val="0"/>
              <w:spacing w:line="384" w:lineRule="auto"/>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1513" w:type="dxa"/>
            <w:tcBorders>
              <w:top w:val="single" w:color="000000" w:sz="8" w:space="0"/>
              <w:left w:val="single" w:color="auto" w:sz="4" w:space="0"/>
              <w:bottom w:val="single" w:color="000000" w:sz="8" w:space="0"/>
              <w:right w:val="single" w:color="000000" w:sz="8" w:space="0"/>
            </w:tcBorders>
            <w:vAlign w:val="center"/>
          </w:tcPr>
          <w:p w14:paraId="27089B5B">
            <w:pPr>
              <w:adjustRightInd w:val="0"/>
              <w:snapToGrid w:val="0"/>
              <w:spacing w:line="384" w:lineRule="auto"/>
              <w:jc w:val="left"/>
              <w:rPr>
                <w:rFonts w:hint="eastAsia" w:ascii="宋体" w:hAnsi="宋体" w:cs="宋体"/>
                <w:b/>
                <w:color w:val="auto"/>
                <w:sz w:val="24"/>
                <w:highlight w:val="none"/>
              </w:rPr>
            </w:pPr>
            <w:r>
              <w:rPr>
                <w:rFonts w:hint="eastAsia" w:ascii="宋体" w:hAnsi="宋体" w:cs="宋体"/>
                <w:b/>
                <w:color w:val="auto"/>
                <w:kern w:val="0"/>
                <w:sz w:val="24"/>
                <w:highlight w:val="none"/>
              </w:rPr>
              <w:t>履约保证金</w:t>
            </w:r>
          </w:p>
        </w:tc>
        <w:tc>
          <w:tcPr>
            <w:tcW w:w="7553" w:type="dxa"/>
            <w:tcBorders>
              <w:top w:val="single" w:color="000000" w:sz="8" w:space="0"/>
              <w:left w:val="single" w:color="000000" w:sz="2" w:space="0"/>
              <w:bottom w:val="single" w:color="000000" w:sz="8" w:space="0"/>
              <w:right w:val="single" w:color="000000" w:sz="8" w:space="0"/>
            </w:tcBorders>
            <w:vAlign w:val="center"/>
          </w:tcPr>
          <w:p w14:paraId="4A9DEC83">
            <w:pPr>
              <w:adjustRightInd w:val="0"/>
              <w:snapToGrid w:val="0"/>
              <w:spacing w:line="384" w:lineRule="auto"/>
              <w:rPr>
                <w:rFonts w:hint="eastAsia" w:ascii="宋体" w:hAnsi="宋体" w:cs="宋体"/>
                <w:color w:val="auto"/>
                <w:highlight w:val="none"/>
              </w:rPr>
            </w:pPr>
            <w:r>
              <w:rPr>
                <w:rFonts w:hint="eastAsia" w:ascii="宋体" w:hAnsi="宋体" w:cs="宋体"/>
                <w:color w:val="auto"/>
                <w:kern w:val="0"/>
                <w:sz w:val="24"/>
                <w:highlight w:val="none"/>
              </w:rPr>
              <w:sym w:font="Wingdings" w:char="00A8"/>
            </w:r>
            <w:r>
              <w:rPr>
                <w:rFonts w:hint="eastAsia" w:ascii="宋体" w:hAnsi="宋体" w:cs="宋体"/>
                <w:color w:val="auto"/>
                <w:kern w:val="0"/>
                <w:sz w:val="24"/>
                <w:highlight w:val="none"/>
              </w:rPr>
              <w:t>A本项目不设履约保证金；</w:t>
            </w:r>
          </w:p>
          <w:p w14:paraId="402ECB35">
            <w:pPr>
              <w:adjustRightInd w:val="0"/>
              <w:snapToGrid w:val="0"/>
              <w:spacing w:line="384" w:lineRule="auto"/>
              <w:rPr>
                <w:rFonts w:hint="eastAsia" w:ascii="宋体" w:hAnsi="宋体" w:cs="宋体"/>
                <w:color w:val="auto"/>
                <w:sz w:val="24"/>
                <w:highlight w:val="none"/>
              </w:rPr>
            </w:pPr>
            <w:r>
              <w:rPr>
                <w:rFonts w:hint="eastAsia" w:ascii="宋体" w:hAnsi="宋体" w:cs="宋体"/>
                <w:b/>
                <w:bCs/>
                <w:snapToGrid w:val="0"/>
                <w:color w:val="auto"/>
                <w:kern w:val="0"/>
                <w:sz w:val="24"/>
                <w:highlight w:val="none"/>
              </w:rPr>
              <w:sym w:font="Wingdings" w:char="00FE"/>
            </w:r>
            <w:r>
              <w:rPr>
                <w:rFonts w:hint="eastAsia" w:ascii="宋体" w:hAnsi="宋体" w:cs="宋体"/>
                <w:b/>
                <w:bCs/>
                <w:snapToGrid w:val="0"/>
                <w:color w:val="auto"/>
                <w:kern w:val="0"/>
                <w:sz w:val="24"/>
                <w:highlight w:val="none"/>
              </w:rPr>
              <w:t>B</w:t>
            </w:r>
            <w:r>
              <w:rPr>
                <w:rFonts w:hint="eastAsia" w:ascii="宋体" w:hAnsi="宋体" w:cs="宋体"/>
                <w:b/>
                <w:bCs/>
                <w:color w:val="auto"/>
                <w:kern w:val="0"/>
                <w:sz w:val="24"/>
                <w:highlight w:val="none"/>
              </w:rPr>
              <w:t>中标供应商在合同签订后7个工作日内，须向采购人提交合同金额</w:t>
            </w:r>
            <w:r>
              <w:rPr>
                <w:rFonts w:hint="eastAsia" w:ascii="宋体" w:hAnsi="宋体" w:cs="宋体"/>
                <w:b/>
                <w:bCs/>
                <w:color w:val="auto"/>
                <w:kern w:val="0"/>
                <w:sz w:val="24"/>
                <w:highlight w:val="none"/>
                <w:u w:val="single"/>
              </w:rPr>
              <w:t>1%</w:t>
            </w:r>
            <w:r>
              <w:rPr>
                <w:rFonts w:hint="eastAsia" w:ascii="宋体" w:hAnsi="宋体" w:cs="宋体"/>
                <w:b/>
                <w:bCs/>
                <w:color w:val="auto"/>
                <w:kern w:val="0"/>
                <w:sz w:val="24"/>
                <w:highlight w:val="none"/>
              </w:rPr>
              <w:t>的履约保证金。履约保证金以金融机构、担保机构出具的保函等非现金形式缴纳。</w:t>
            </w:r>
          </w:p>
        </w:tc>
      </w:tr>
      <w:tr w14:paraId="4E945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34B57B0D">
            <w:pPr>
              <w:adjustRightInd w:val="0"/>
              <w:snapToGrid w:val="0"/>
              <w:spacing w:line="384" w:lineRule="auto"/>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1513" w:type="dxa"/>
            <w:tcBorders>
              <w:top w:val="single" w:color="000000" w:sz="8" w:space="0"/>
              <w:left w:val="single" w:color="auto" w:sz="4" w:space="0"/>
              <w:bottom w:val="single" w:color="000000" w:sz="8" w:space="0"/>
              <w:right w:val="single" w:color="000000" w:sz="8" w:space="0"/>
            </w:tcBorders>
            <w:vAlign w:val="center"/>
          </w:tcPr>
          <w:p w14:paraId="630A07D5">
            <w:pPr>
              <w:adjustRightInd w:val="0"/>
              <w:snapToGrid w:val="0"/>
              <w:spacing w:line="384" w:lineRule="auto"/>
              <w:jc w:val="left"/>
              <w:rPr>
                <w:rFonts w:hint="eastAsia" w:ascii="宋体" w:hAnsi="宋体" w:cs="宋体"/>
                <w:b/>
                <w:color w:val="auto"/>
                <w:sz w:val="24"/>
                <w:highlight w:val="none"/>
              </w:rPr>
            </w:pPr>
            <w:r>
              <w:rPr>
                <w:rFonts w:hint="eastAsia" w:ascii="宋体" w:hAnsi="宋体" w:cs="宋体"/>
                <w:b/>
                <w:color w:val="auto"/>
                <w:sz w:val="24"/>
                <w:highlight w:val="none"/>
              </w:rPr>
              <w:t>样品提供</w:t>
            </w:r>
          </w:p>
        </w:tc>
        <w:tc>
          <w:tcPr>
            <w:tcW w:w="7553" w:type="dxa"/>
            <w:tcBorders>
              <w:top w:val="single" w:color="000000" w:sz="8" w:space="0"/>
              <w:left w:val="single" w:color="000000" w:sz="2" w:space="0"/>
              <w:bottom w:val="single" w:color="000000" w:sz="8" w:space="0"/>
              <w:right w:val="single" w:color="000000" w:sz="8" w:space="0"/>
            </w:tcBorders>
            <w:vAlign w:val="center"/>
          </w:tcPr>
          <w:p w14:paraId="2E7B4F24">
            <w:pPr>
              <w:adjustRightInd w:val="0"/>
              <w:snapToGrid w:val="0"/>
              <w:spacing w:line="384" w:lineRule="auto"/>
              <w:rPr>
                <w:rFonts w:hint="eastAsia" w:ascii="宋体" w:hAnsi="宋体" w:cs="宋体"/>
                <w:color w:val="auto"/>
                <w:sz w:val="24"/>
                <w:highlight w:val="none"/>
              </w:rPr>
            </w:pPr>
            <w:r>
              <w:rPr>
                <w:rFonts w:hint="eastAsia" w:ascii="宋体" w:hAnsi="宋体" w:cs="宋体"/>
                <w:b/>
                <w:bCs/>
                <w:color w:val="auto"/>
                <w:kern w:val="0"/>
                <w:sz w:val="24"/>
                <w:highlight w:val="none"/>
              </w:rPr>
              <w:sym w:font="Wingdings" w:char="00FE"/>
            </w:r>
            <w:r>
              <w:rPr>
                <w:rFonts w:hint="eastAsia" w:ascii="宋体" w:hAnsi="宋体" w:cs="宋体"/>
                <w:b/>
                <w:bCs/>
                <w:color w:val="auto"/>
                <w:kern w:val="0"/>
                <w:sz w:val="24"/>
                <w:highlight w:val="none"/>
              </w:rPr>
              <w:t>A</w:t>
            </w:r>
            <w:r>
              <w:rPr>
                <w:rFonts w:hint="eastAsia" w:ascii="宋体" w:hAnsi="宋体" w:cs="宋体"/>
                <w:b/>
                <w:bCs/>
                <w:color w:val="auto"/>
                <w:sz w:val="24"/>
                <w:highlight w:val="none"/>
              </w:rPr>
              <w:t>不要求提供；</w:t>
            </w:r>
          </w:p>
          <w:p w14:paraId="550B6228">
            <w:pPr>
              <w:adjustRightInd w:val="0"/>
              <w:snapToGrid w:val="0"/>
              <w:spacing w:line="384" w:lineRule="auto"/>
              <w:rPr>
                <w:rFonts w:hint="eastAsia" w:ascii="宋体" w:hAnsi="宋体" w:cs="宋体"/>
                <w:color w:val="auto"/>
                <w:kern w:val="0"/>
                <w:sz w:val="24"/>
                <w:highlight w:val="none"/>
              </w:rPr>
            </w:pPr>
            <w:r>
              <w:rPr>
                <w:rFonts w:hint="eastAsia" w:ascii="宋体" w:hAnsi="宋体" w:cs="宋体"/>
                <w:color w:val="auto"/>
                <w:kern w:val="0"/>
                <w:sz w:val="24"/>
                <w:highlight w:val="none"/>
              </w:rPr>
              <w:t>☐B要求提供（未提供样品或提供样品不满足采购需求实质性条件的供应商，投标无效）：</w:t>
            </w:r>
          </w:p>
          <w:p w14:paraId="08610932">
            <w:pPr>
              <w:adjustRightInd w:val="0"/>
              <w:snapToGrid w:val="0"/>
              <w:spacing w:line="384"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kern w:val="0"/>
                <w:sz w:val="24"/>
                <w:highlight w:val="none"/>
              </w:rPr>
              <w:t>；</w:t>
            </w:r>
          </w:p>
          <w:p w14:paraId="3CDF428A">
            <w:pPr>
              <w:adjustRightInd w:val="0"/>
              <w:snapToGrid w:val="0"/>
              <w:spacing w:line="384"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kern w:val="0"/>
                <w:sz w:val="24"/>
                <w:highlight w:val="none"/>
              </w:rPr>
              <w:t>；</w:t>
            </w:r>
          </w:p>
          <w:p w14:paraId="099ABF5D">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454C1CA5">
            <w:pPr>
              <w:adjustRightInd w:val="0"/>
              <w:snapToGrid w:val="0"/>
              <w:spacing w:line="384"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（4）是否需要随样品提交检测报告：☐否；☐是，检测机构的要求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w:t>
            </w:r>
          </w:p>
          <w:p w14:paraId="45C48D25">
            <w:pPr>
              <w:adjustRightInd w:val="0"/>
              <w:snapToGrid w:val="0"/>
              <w:spacing w:line="384" w:lineRule="auto"/>
              <w:rPr>
                <w:rFonts w:hint="eastAsia"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；地点：</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kern w:val="28"/>
                <w:sz w:val="24"/>
                <w:highlight w:val="none"/>
                <w:u w:val="single"/>
                <w:lang w:val="en-US" w:eastAsia="zh-CN"/>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6F7C5434">
            <w:pPr>
              <w:adjustRightInd w:val="0"/>
              <w:snapToGrid w:val="0"/>
              <w:spacing w:line="384"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0905425">
            <w:pPr>
              <w:adjustRightInd w:val="0"/>
              <w:snapToGrid w:val="0"/>
              <w:spacing w:line="384" w:lineRule="auto"/>
              <w:rPr>
                <w:rFonts w:hint="eastAsia"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395EA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1BC13090">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1513" w:type="dxa"/>
            <w:tcBorders>
              <w:top w:val="single" w:color="000000" w:sz="8" w:space="0"/>
              <w:left w:val="single" w:color="auto" w:sz="4" w:space="0"/>
              <w:bottom w:val="single" w:color="000000" w:sz="8" w:space="0"/>
              <w:right w:val="single" w:color="000000" w:sz="8" w:space="0"/>
            </w:tcBorders>
            <w:vAlign w:val="center"/>
          </w:tcPr>
          <w:p w14:paraId="47B1C0E4">
            <w:pPr>
              <w:adjustRightInd w:val="0"/>
              <w:snapToGrid w:val="0"/>
              <w:spacing w:line="360" w:lineRule="auto"/>
              <w:jc w:val="left"/>
              <w:rPr>
                <w:rFonts w:hint="eastAsia" w:ascii="宋体" w:hAnsi="宋体" w:cs="宋体"/>
                <w:bCs/>
                <w:color w:val="auto"/>
                <w:sz w:val="24"/>
                <w:highlight w:val="none"/>
              </w:rPr>
            </w:pPr>
            <w:r>
              <w:rPr>
                <w:rFonts w:hint="eastAsia" w:ascii="宋体" w:hAnsi="宋体" w:cs="宋体"/>
                <w:b/>
                <w:color w:val="auto"/>
                <w:sz w:val="24"/>
                <w:highlight w:val="none"/>
              </w:rPr>
              <w:t>方案讲解演示</w:t>
            </w:r>
          </w:p>
        </w:tc>
        <w:tc>
          <w:tcPr>
            <w:tcW w:w="7553" w:type="dxa"/>
            <w:tcBorders>
              <w:top w:val="single" w:color="000000" w:sz="8" w:space="0"/>
              <w:left w:val="single" w:color="000000" w:sz="2" w:space="0"/>
              <w:bottom w:val="single" w:color="000000" w:sz="8" w:space="0"/>
              <w:right w:val="single" w:color="000000" w:sz="8" w:space="0"/>
            </w:tcBorders>
            <w:vAlign w:val="center"/>
          </w:tcPr>
          <w:p w14:paraId="5AD60E25">
            <w:pPr>
              <w:adjustRightInd w:val="0"/>
              <w:snapToGrid w:val="0"/>
              <w:spacing w:line="360" w:lineRule="auto"/>
              <w:rPr>
                <w:rFonts w:hint="eastAsia" w:ascii="宋体" w:hAnsi="宋体" w:cs="宋体"/>
                <w:color w:val="auto"/>
                <w:sz w:val="24"/>
                <w:highlight w:val="none"/>
              </w:rPr>
            </w:pPr>
            <w:r>
              <w:rPr>
                <w:rFonts w:hint="eastAsia" w:ascii="宋体" w:hAnsi="宋体" w:cs="宋体"/>
                <w:b/>
                <w:bCs/>
                <w:color w:val="auto"/>
                <w:kern w:val="0"/>
                <w:sz w:val="24"/>
                <w:highlight w:val="none"/>
              </w:rPr>
              <w:sym w:font="Wingdings" w:char="00FE"/>
            </w:r>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22BA8AF4">
            <w:pPr>
              <w:adjustRightInd w:val="0"/>
              <w:snapToGrid w:val="0"/>
              <w:spacing w:line="360" w:lineRule="auto"/>
              <w:rPr>
                <w:rFonts w:hint="eastAsia" w:ascii="宋体" w:hAnsi="宋体" w:cs="宋体"/>
                <w:color w:val="auto"/>
                <w:kern w:val="0"/>
                <w:sz w:val="24"/>
                <w:highlight w:val="none"/>
              </w:rPr>
            </w:pPr>
            <w:r>
              <w:rPr>
                <w:rFonts w:hint="eastAsia" w:ascii="宋体" w:hAnsi="宋体" w:cs="宋体"/>
                <w:b/>
                <w:bCs/>
                <w:color w:val="auto"/>
                <w:kern w:val="0"/>
                <w:sz w:val="24"/>
                <w:highlight w:val="none"/>
              </w:rPr>
              <w:sym w:font="Wingdings" w:char="00A8"/>
            </w:r>
            <w:r>
              <w:rPr>
                <w:rFonts w:hint="eastAsia" w:ascii="宋体" w:hAnsi="宋体" w:cs="宋体"/>
                <w:color w:val="auto"/>
                <w:kern w:val="0"/>
                <w:sz w:val="24"/>
                <w:highlight w:val="none"/>
              </w:rPr>
              <w:t>B组织。</w:t>
            </w:r>
          </w:p>
          <w:p w14:paraId="195E58C3">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20（编制时可根据项目情况进行调整）</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3（编制时可根据项目情况进行调整）</w:t>
            </w:r>
            <w:r>
              <w:rPr>
                <w:rFonts w:hint="eastAsia" w:ascii="宋体" w:hAnsi="宋体" w:cs="宋体"/>
                <w:color w:val="auto"/>
                <w:kern w:val="0"/>
                <w:sz w:val="24"/>
                <w:highlight w:val="none"/>
              </w:rPr>
              <w:t>人。讲解演示结束后按要求解答评标委员会提问。</w:t>
            </w:r>
          </w:p>
          <w:p w14:paraId="4F01CFF0">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517B5D42">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7E76971F">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方式二：交易中心现场讲解演示。现场讲解地点为，讲解演示所用电脑等设备由投标人自备。现场讲解演示人员进场时提供讲解人员名单（加盖公章或授权代表签名）及身份证明，否则不得讲解演示。</w:t>
            </w:r>
          </w:p>
          <w:p w14:paraId="1ACF3AF5">
            <w:pPr>
              <w:adjustRightInd w:val="0"/>
              <w:snapToGrid w:val="0"/>
              <w:spacing w:line="360" w:lineRule="auto"/>
              <w:rPr>
                <w:rFonts w:hint="eastAsia"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31A9C8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right w:val="single" w:color="auto" w:sz="4" w:space="0"/>
            </w:tcBorders>
            <w:vAlign w:val="center"/>
          </w:tcPr>
          <w:p w14:paraId="10325354">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1513" w:type="dxa"/>
            <w:tcBorders>
              <w:top w:val="single" w:color="000000" w:sz="8" w:space="0"/>
              <w:left w:val="single" w:color="auto" w:sz="4" w:space="0"/>
              <w:right w:val="single" w:color="000000" w:sz="8" w:space="0"/>
            </w:tcBorders>
            <w:vAlign w:val="center"/>
          </w:tcPr>
          <w:p w14:paraId="4ECA7B53">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7553" w:type="dxa"/>
            <w:tcBorders>
              <w:top w:val="single" w:color="000000" w:sz="8" w:space="0"/>
              <w:left w:val="single" w:color="000000" w:sz="2" w:space="0"/>
              <w:bottom w:val="single" w:color="000000" w:sz="8" w:space="0"/>
              <w:right w:val="single" w:color="000000" w:sz="8" w:space="0"/>
            </w:tcBorders>
            <w:vAlign w:val="center"/>
          </w:tcPr>
          <w:p w14:paraId="60274594">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35197FF5">
            <w:pPr>
              <w:adjustRightInd w:val="0"/>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p w14:paraId="0FA88F87">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color w:val="auto"/>
                <w:sz w:val="24"/>
                <w:highlight w:val="none"/>
              </w:rPr>
              <w:t>（2）资信证明文件：根据招标文件第四部分评标</w:t>
            </w:r>
            <w:r>
              <w:rPr>
                <w:rFonts w:hint="eastAsia" w:ascii="宋体" w:hAnsi="宋体" w:cs="宋体"/>
                <w:color w:val="auto"/>
                <w:sz w:val="24"/>
                <w:highlight w:val="none"/>
                <w:lang w:val="en-US" w:eastAsia="zh-CN"/>
              </w:rPr>
              <w:t>办法</w:t>
            </w:r>
            <w:r>
              <w:rPr>
                <w:rFonts w:hint="eastAsia" w:ascii="宋体" w:hAnsi="宋体" w:cs="宋体"/>
                <w:color w:val="auto"/>
                <w:sz w:val="24"/>
                <w:highlight w:val="none"/>
              </w:rPr>
              <w:t>提供。</w:t>
            </w:r>
          </w:p>
        </w:tc>
      </w:tr>
      <w:tr w14:paraId="0ADA1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000000" w:sz="8" w:space="0"/>
              <w:bottom w:val="single" w:color="auto" w:sz="4" w:space="0"/>
              <w:right w:val="single" w:color="000000" w:sz="2" w:space="0"/>
            </w:tcBorders>
            <w:vAlign w:val="center"/>
          </w:tcPr>
          <w:p w14:paraId="340ACCE8">
            <w:pPr>
              <w:adjustRightInd w:val="0"/>
              <w:snapToGrid w:val="0"/>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1513" w:type="dxa"/>
            <w:tcBorders>
              <w:top w:val="single" w:color="000000" w:sz="8" w:space="0"/>
              <w:left w:val="single" w:color="000000" w:sz="2" w:space="0"/>
              <w:bottom w:val="single" w:color="000000" w:sz="8" w:space="0"/>
              <w:right w:val="single" w:color="000000" w:sz="8" w:space="0"/>
            </w:tcBorders>
            <w:vAlign w:val="center"/>
          </w:tcPr>
          <w:p w14:paraId="2064116D">
            <w:pPr>
              <w:snapToGrid w:val="0"/>
              <w:spacing w:line="336" w:lineRule="auto"/>
              <w:jc w:val="center"/>
              <w:rPr>
                <w:rFonts w:hint="eastAsia" w:ascii="宋体" w:hAnsi="宋体" w:cs="宋体"/>
                <w:b/>
                <w:color w:val="auto"/>
                <w:sz w:val="24"/>
                <w:highlight w:val="none"/>
              </w:rPr>
            </w:pPr>
            <w:r>
              <w:rPr>
                <w:rFonts w:hint="eastAsia" w:ascii="宋体" w:hAnsi="宋体" w:cs="宋体"/>
                <w:b/>
                <w:color w:val="auto"/>
                <w:sz w:val="24"/>
                <w:highlight w:val="none"/>
              </w:rPr>
              <w:t>节能产品、环境标志产品政府优先采购或强制采购</w:t>
            </w:r>
          </w:p>
        </w:tc>
        <w:tc>
          <w:tcPr>
            <w:tcW w:w="755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cs="宋体"/>
                <w:color w:val="auto"/>
                <w:kern w:val="0"/>
                <w:sz w:val="24"/>
                <w:highlight w:val="none"/>
              </w:rPr>
              <w:id w:val="386232013"/>
            </w:sdtPr>
            <w:sdtEndPr>
              <w:rPr>
                <w:rFonts w:hint="eastAsia" w:ascii="宋体" w:hAnsi="宋体" w:cs="宋体"/>
                <w:color w:val="auto"/>
                <w:kern w:val="0"/>
                <w:sz w:val="24"/>
                <w:highlight w:val="none"/>
                <w:lang w:val="zh-CN"/>
              </w:rPr>
            </w:sdtEndPr>
            <w:sdtContent>
              <w:p w14:paraId="7F551FC3">
                <w:pPr>
                  <w:snapToGrid w:val="0"/>
                  <w:spacing w:line="336" w:lineRule="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D118887">
                <w:pPr>
                  <w:snapToGrid w:val="0"/>
                  <w:spacing w:line="336" w:lineRule="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w:t>
                </w:r>
                <w:sdt>
                  <w:sdtPr>
                    <w:rPr>
                      <w:rFonts w:hint="eastAsia" w:asciiTheme="minorEastAsia" w:hAnsiTheme="minorEastAsia" w:eastAsiaTheme="minorEastAsia" w:cstheme="minorEastAsia"/>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2"/>
                      <w:sz w:val="24"/>
                      <w:szCs w:val="24"/>
                      <w:highlight w:val="none"/>
                      <w:lang w:val="en-US" w:eastAsia="zh-CN" w:bidi="ar-SA"/>
                    </w:rPr>
                  </w:sdtEndPr>
                  <w:sdtContent>
                    <w:r>
                      <w:rPr>
                        <w:rFonts w:hint="eastAsia" w:asciiTheme="minorEastAsia" w:hAnsiTheme="minorEastAsia" w:eastAsiaTheme="minorEastAsia" w:cstheme="minorEastAsia"/>
                        <w:color w:val="auto"/>
                        <w:kern w:val="2"/>
                        <w:sz w:val="24"/>
                        <w:szCs w:val="24"/>
                        <w:highlight w:val="none"/>
                        <w:lang w:val="en-US" w:eastAsia="zh-CN" w:bidi="ar-SA"/>
                      </w:rPr>
                      <w:t>☐</w:t>
                    </w:r>
                  </w:sdtContent>
                </w:sdt>
                <w:r>
                  <w:rPr>
                    <w:rFonts w:hint="eastAsia" w:asciiTheme="minorEastAsia" w:hAnsiTheme="minorEastAsia" w:eastAsiaTheme="minorEastAsia" w:cstheme="minorEastAsia"/>
                    <w:color w:val="auto"/>
                    <w:kern w:val="2"/>
                    <w:sz w:val="24"/>
                    <w:szCs w:val="24"/>
                    <w:highlight w:val="none"/>
                    <w:lang w:val="en-US" w:eastAsia="zh-CN" w:bidi="ar-SA"/>
                  </w:rPr>
                  <w:t xml:space="preserve">强制采购。产品：    </w:t>
                </w:r>
              </w:p>
              <w:p w14:paraId="7628F9B9">
                <w:pPr>
                  <w:snapToGrid w:val="0"/>
                  <w:spacing w:line="336" w:lineRule="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□优先采购节能产品。产品：   </w:t>
                </w:r>
              </w:p>
              <w:p w14:paraId="326FA377">
                <w:pPr>
                  <w:snapToGrid w:val="0"/>
                  <w:spacing w:line="336" w:lineRule="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□优先采购环保产品。产品：    </w:t>
                </w:r>
              </w:p>
              <w:p w14:paraId="430E04DB">
                <w:pPr>
                  <w:snapToGrid w:val="0"/>
                  <w:spacing w:line="336" w:lineRule="auto"/>
                  <w:rPr>
                    <w:rFonts w:hint="eastAsia" w:ascii="宋体" w:hAnsi="宋体" w:cs="宋体"/>
                    <w:color w:val="auto"/>
                    <w:highlight w:val="none"/>
                  </w:rPr>
                </w:pPr>
                <w:r>
                  <w:rPr>
                    <w:rFonts w:hint="eastAsia" w:asciiTheme="minorEastAsia" w:hAnsiTheme="minorEastAsia" w:eastAsiaTheme="minorEastAsia" w:cstheme="minorEastAsia"/>
                    <w:color w:val="auto"/>
                    <w:kern w:val="2"/>
                    <w:sz w:val="24"/>
                    <w:szCs w:val="24"/>
                    <w:highlight w:val="none"/>
                    <w:lang w:val="en-US" w:eastAsia="zh-CN" w:bidi="ar-SA"/>
                  </w:rPr>
                  <w:t xml:space="preserve"> ☑无</w:t>
                </w:r>
              </w:p>
            </w:sdtContent>
          </w:sdt>
        </w:tc>
      </w:tr>
      <w:tr w14:paraId="4931DA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000000" w:sz="8" w:space="0"/>
              <w:bottom w:val="single" w:color="auto" w:sz="4" w:space="0"/>
              <w:right w:val="single" w:color="000000" w:sz="2" w:space="0"/>
            </w:tcBorders>
            <w:vAlign w:val="center"/>
          </w:tcPr>
          <w:p w14:paraId="3F467914">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1513" w:type="dxa"/>
            <w:tcBorders>
              <w:top w:val="single" w:color="000000" w:sz="8" w:space="0"/>
              <w:left w:val="single" w:color="000000" w:sz="2" w:space="0"/>
              <w:bottom w:val="single" w:color="000000" w:sz="8" w:space="0"/>
              <w:right w:val="single" w:color="000000" w:sz="8" w:space="0"/>
            </w:tcBorders>
            <w:vAlign w:val="center"/>
          </w:tcPr>
          <w:p w14:paraId="702F8FDE">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报价要求</w:t>
            </w:r>
          </w:p>
        </w:tc>
        <w:tc>
          <w:tcPr>
            <w:tcW w:w="7553" w:type="dxa"/>
            <w:tcBorders>
              <w:top w:val="single" w:color="000000" w:sz="8" w:space="0"/>
              <w:left w:val="single" w:color="000000" w:sz="2" w:space="0"/>
              <w:bottom w:val="single" w:color="000000" w:sz="8" w:space="0"/>
              <w:right w:val="single" w:color="000000" w:sz="8" w:space="0"/>
            </w:tcBorders>
            <w:vAlign w:val="center"/>
          </w:tcPr>
          <w:p w14:paraId="03659B13">
            <w:pPr>
              <w:adjustRightInd w:val="0"/>
              <w:snapToGrid w:val="0"/>
              <w:spacing w:line="360" w:lineRule="auto"/>
              <w:jc w:val="left"/>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41442958">
            <w:pPr>
              <w:adjustRightInd w:val="0"/>
              <w:snapToGrid w:val="0"/>
              <w:spacing w:line="360" w:lineRule="auto"/>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436E262F">
            <w:pPr>
              <w:adjustRightInd w:val="0"/>
              <w:snapToGrid w:val="0"/>
              <w:spacing w:line="360" w:lineRule="auto"/>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rPr>
              <w:t>1.</w:t>
            </w:r>
            <w:r>
              <w:rPr>
                <w:rFonts w:hint="eastAsia" w:ascii="宋体" w:hAnsi="宋体" w:cs="宋体"/>
                <w:b/>
                <w:color w:val="auto"/>
                <w:kern w:val="0"/>
                <w:sz w:val="24"/>
                <w:highlight w:val="none"/>
                <w:lang w:val="zh-CN"/>
              </w:rPr>
              <w:t>投标文件出现不是唯一的、有选择性投标报价的；</w:t>
            </w:r>
          </w:p>
          <w:p w14:paraId="42883ADD">
            <w:pPr>
              <w:adjustRightInd w:val="0"/>
              <w:snapToGrid w:val="0"/>
              <w:spacing w:line="360" w:lineRule="auto"/>
              <w:ind w:firstLine="241" w:firstLineChars="100"/>
              <w:jc w:val="left"/>
              <w:rPr>
                <w:rFonts w:hint="eastAsia" w:ascii="宋体" w:hAnsi="宋体" w:cs="宋体"/>
                <w:color w:val="auto"/>
                <w:kern w:val="0"/>
                <w:sz w:val="24"/>
                <w:highlight w:val="none"/>
                <w:lang w:val="zh-CN"/>
              </w:rPr>
            </w:pPr>
            <w:r>
              <w:rPr>
                <w:rFonts w:hint="eastAsia" w:ascii="宋体" w:hAnsi="宋体" w:cs="宋体"/>
                <w:b/>
                <w:color w:val="auto"/>
                <w:kern w:val="0"/>
                <w:sz w:val="24"/>
                <w:highlight w:val="none"/>
              </w:rPr>
              <w:t>2.</w:t>
            </w:r>
            <w:r>
              <w:rPr>
                <w:rFonts w:hint="eastAsia" w:ascii="宋体" w:hAnsi="宋体" w:cs="宋体"/>
                <w:b/>
                <w:color w:val="auto"/>
                <w:kern w:val="0"/>
                <w:sz w:val="24"/>
                <w:highlight w:val="none"/>
                <w:lang w:val="zh-CN"/>
              </w:rPr>
              <w:t>投标报价超过招标文件中规定的预算金额或者最高限价的；</w:t>
            </w:r>
          </w:p>
          <w:p w14:paraId="007EDE80">
            <w:pPr>
              <w:adjustRightInd w:val="0"/>
              <w:snapToGrid w:val="0"/>
              <w:spacing w:line="360" w:lineRule="auto"/>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3.报价明显低于其他通过符合性审查投标人的报价，有可能影响产品质量或者不能诚信履约的，未能按要求提供书面说明或者提交相关证明材料证明其报价合理性的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2168D64D">
            <w:pPr>
              <w:adjustRightInd w:val="0"/>
              <w:snapToGrid w:val="0"/>
              <w:spacing w:line="360" w:lineRule="auto"/>
              <w:ind w:firstLine="241" w:firstLineChars="100"/>
              <w:rPr>
                <w:rFonts w:hint="eastAsia" w:ascii="宋体" w:hAnsi="宋体" w:cs="宋体"/>
                <w:color w:val="auto"/>
                <w:sz w:val="24"/>
                <w:highlight w:val="none"/>
              </w:rPr>
            </w:pPr>
            <w:r>
              <w:rPr>
                <w:rFonts w:hint="eastAsia" w:ascii="宋体" w:hAnsi="宋体" w:cs="宋体"/>
                <w:b/>
                <w:color w:val="auto"/>
                <w:kern w:val="0"/>
                <w:sz w:val="24"/>
                <w:highlight w:val="none"/>
              </w:rPr>
              <w:t>4.投标人对根据修正原则修正后的报价不确认的</w:t>
            </w:r>
            <w:r>
              <w:rPr>
                <w:rFonts w:hint="eastAsia" w:ascii="宋体" w:hAnsi="宋体" w:cs="宋体"/>
                <w:b/>
                <w:color w:val="auto"/>
                <w:sz w:val="24"/>
                <w:highlight w:val="none"/>
              </w:rPr>
              <w:t>。</w:t>
            </w:r>
          </w:p>
        </w:tc>
      </w:tr>
      <w:tr w14:paraId="62EEA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000000" w:sz="8" w:space="0"/>
              <w:right w:val="single" w:color="000000" w:sz="2" w:space="0"/>
            </w:tcBorders>
            <w:vAlign w:val="center"/>
          </w:tcPr>
          <w:p w14:paraId="667F75EC">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1513" w:type="dxa"/>
            <w:tcBorders>
              <w:top w:val="single" w:color="000000" w:sz="8" w:space="0"/>
              <w:left w:val="single" w:color="000000" w:sz="2" w:space="0"/>
              <w:right w:val="single" w:color="000000" w:sz="8" w:space="0"/>
            </w:tcBorders>
            <w:vAlign w:val="center"/>
          </w:tcPr>
          <w:p w14:paraId="263F2C24">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中小企业信用融资</w:t>
            </w:r>
          </w:p>
        </w:tc>
        <w:tc>
          <w:tcPr>
            <w:tcW w:w="7553" w:type="dxa"/>
            <w:tcBorders>
              <w:top w:val="single" w:color="000000" w:sz="8" w:space="0"/>
              <w:left w:val="single" w:color="000000" w:sz="2" w:space="0"/>
              <w:right w:val="single" w:color="000000" w:sz="8" w:space="0"/>
            </w:tcBorders>
            <w:vAlign w:val="center"/>
          </w:tcPr>
          <w:p w14:paraId="10A956F8">
            <w:pPr>
              <w:adjustRightInd w:val="0"/>
              <w:snapToGrid w:val="0"/>
              <w:spacing w:line="360" w:lineRule="auto"/>
              <w:rPr>
                <w:rFonts w:hint="eastAsia"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w:t>
            </w:r>
            <w:r>
              <w:rPr>
                <w:rFonts w:hint="eastAsia" w:ascii="宋体" w:hAnsi="宋体" w:cs="宋体"/>
                <w:snapToGrid w:val="0"/>
                <w:color w:val="auto"/>
                <w:kern w:val="28"/>
                <w:sz w:val="24"/>
                <w:highlight w:val="none"/>
                <w:lang w:val="en-US" w:eastAsia="zh-CN"/>
              </w:rPr>
              <w:t xml:space="preserve">  </w:t>
            </w:r>
            <w:r>
              <w:rPr>
                <w:rFonts w:hint="eastAsia" w:ascii="宋体" w:hAnsi="宋体" w:cs="宋体"/>
                <w:snapToGrid w:val="0"/>
                <w:color w:val="auto"/>
                <w:kern w:val="28"/>
                <w:sz w:val="24"/>
                <w:highlight w:val="none"/>
              </w:rPr>
              <w:t>操作路径：登录政采云平台 - 金融服务中心 -【融资服务】，可在热门申请中选择产品直接申请，也可点击云智贷匹配适合产品进行申请，或者在可申请项目中根据该项目进行申请。</w:t>
            </w:r>
          </w:p>
        </w:tc>
      </w:tr>
      <w:tr w14:paraId="5C680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000000" w:sz="8" w:space="0"/>
              <w:bottom w:val="single" w:color="auto" w:sz="4" w:space="0"/>
              <w:right w:val="single" w:color="000000" w:sz="2" w:space="0"/>
            </w:tcBorders>
            <w:vAlign w:val="center"/>
          </w:tcPr>
          <w:p w14:paraId="72E4BFD4">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13</w:t>
            </w:r>
          </w:p>
        </w:tc>
        <w:tc>
          <w:tcPr>
            <w:tcW w:w="1513" w:type="dxa"/>
            <w:tcBorders>
              <w:top w:val="single" w:color="000000" w:sz="8" w:space="0"/>
              <w:left w:val="single" w:color="000000" w:sz="2" w:space="0"/>
              <w:bottom w:val="single" w:color="000000" w:sz="8" w:space="0"/>
              <w:right w:val="single" w:color="000000" w:sz="8" w:space="0"/>
            </w:tcBorders>
            <w:vAlign w:val="center"/>
          </w:tcPr>
          <w:p w14:paraId="3832FDE4">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7553" w:type="dxa"/>
            <w:tcBorders>
              <w:top w:val="single" w:color="000000" w:sz="8" w:space="0"/>
              <w:left w:val="single" w:color="000000" w:sz="2" w:space="0"/>
              <w:bottom w:val="single" w:color="000000" w:sz="8" w:space="0"/>
              <w:right w:val="single" w:color="000000" w:sz="8" w:space="0"/>
            </w:tcBorders>
            <w:vAlign w:val="center"/>
          </w:tcPr>
          <w:p w14:paraId="598C7275">
            <w:pPr>
              <w:pStyle w:val="12"/>
              <w:adjustRightInd w:val="0"/>
              <w:snapToGrid w:val="0"/>
              <w:spacing w:line="360" w:lineRule="auto"/>
              <w:rPr>
                <w:rFonts w:hint="eastAsia"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szCs w:val="24"/>
                <w:highlight w:val="none"/>
                <w:u w:val="single"/>
              </w:rPr>
              <w:t>杭州市上城区环站东路97号云峰大厦1幢13楼（接受邮寄，需在投标截止前寄达签收）</w:t>
            </w:r>
            <w:r>
              <w:rPr>
                <w:rFonts w:hint="eastAsia" w:hAnsi="宋体" w:cs="宋体"/>
                <w:color w:val="auto"/>
                <w:kern w:val="28"/>
                <w:sz w:val="24"/>
                <w:szCs w:val="24"/>
                <w:highlight w:val="none"/>
              </w:rPr>
              <w:t>；备份投标文件签收人员联系电话：</w:t>
            </w:r>
            <w:r>
              <w:rPr>
                <w:rFonts w:hint="eastAsia" w:hAnsi="宋体" w:cs="宋体"/>
                <w:color w:val="auto"/>
                <w:sz w:val="24"/>
                <w:szCs w:val="24"/>
                <w:highlight w:val="none"/>
                <w:u w:val="single"/>
              </w:rPr>
              <w:t>胡馨月 17816022721</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51F34C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vMerge w:val="restart"/>
            <w:tcBorders>
              <w:top w:val="single" w:color="auto" w:sz="4" w:space="0"/>
              <w:left w:val="single" w:color="000000" w:sz="8" w:space="0"/>
              <w:right w:val="single" w:color="000000" w:sz="2" w:space="0"/>
            </w:tcBorders>
            <w:vAlign w:val="center"/>
          </w:tcPr>
          <w:p w14:paraId="6CD0C5E7">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14</w:t>
            </w:r>
          </w:p>
        </w:tc>
        <w:tc>
          <w:tcPr>
            <w:tcW w:w="1513" w:type="dxa"/>
            <w:vMerge w:val="restart"/>
            <w:tcBorders>
              <w:top w:val="single" w:color="000000" w:sz="8" w:space="0"/>
              <w:left w:val="single" w:color="000000" w:sz="2" w:space="0"/>
              <w:right w:val="single" w:color="000000" w:sz="8" w:space="0"/>
            </w:tcBorders>
            <w:vAlign w:val="center"/>
          </w:tcPr>
          <w:p w14:paraId="594F7A1D">
            <w:pPr>
              <w:adjustRightInd w:val="0"/>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特别说明</w:t>
            </w:r>
          </w:p>
        </w:tc>
        <w:tc>
          <w:tcPr>
            <w:tcW w:w="7553" w:type="dxa"/>
            <w:tcBorders>
              <w:top w:val="single" w:color="000000" w:sz="8" w:space="0"/>
              <w:left w:val="single" w:color="000000" w:sz="2" w:space="0"/>
              <w:bottom w:val="single" w:color="000000" w:sz="8" w:space="0"/>
              <w:right w:val="single" w:color="000000" w:sz="8" w:space="0"/>
            </w:tcBorders>
            <w:vAlign w:val="center"/>
          </w:tcPr>
          <w:p w14:paraId="0EBBC943">
            <w:pPr>
              <w:adjustRightInd w:val="0"/>
              <w:snapToGrid w:val="0"/>
              <w:spacing w:line="360" w:lineRule="auto"/>
              <w:rPr>
                <w:rFonts w:hint="eastAsia" w:ascii="宋体" w:hAnsi="宋体" w:cs="宋体"/>
                <w:snapToGrid w:val="0"/>
                <w:color w:val="auto"/>
                <w:kern w:val="28"/>
                <w:sz w:val="24"/>
                <w:highlight w:val="none"/>
              </w:rPr>
            </w:pPr>
            <w:r>
              <w:rPr>
                <w:rFonts w:hint="eastAsia" w:ascii="宋体" w:hAnsi="宋体" w:cs="宋体"/>
                <w:b/>
                <w:bCs/>
                <w:color w:val="auto"/>
                <w:kern w:val="0"/>
                <w:sz w:val="24"/>
                <w:highlight w:val="none"/>
              </w:rPr>
              <w:sym w:font="Wingdings" w:char="00FE"/>
            </w: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4E40B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vMerge w:val="continue"/>
            <w:tcBorders>
              <w:left w:val="single" w:color="000000" w:sz="8" w:space="0"/>
              <w:right w:val="single" w:color="000000" w:sz="2" w:space="0"/>
            </w:tcBorders>
          </w:tcPr>
          <w:p w14:paraId="4FC0A641">
            <w:pPr>
              <w:adjustRightInd w:val="0"/>
              <w:snapToGrid w:val="0"/>
              <w:spacing w:line="360" w:lineRule="auto"/>
              <w:jc w:val="center"/>
              <w:rPr>
                <w:rFonts w:hint="eastAsia" w:ascii="宋体" w:hAnsi="宋体" w:cs="宋体"/>
                <w:color w:val="auto"/>
                <w:sz w:val="24"/>
                <w:highlight w:val="none"/>
              </w:rPr>
            </w:pPr>
          </w:p>
        </w:tc>
        <w:tc>
          <w:tcPr>
            <w:tcW w:w="1513" w:type="dxa"/>
            <w:vMerge w:val="continue"/>
            <w:tcBorders>
              <w:left w:val="single" w:color="000000" w:sz="2" w:space="0"/>
              <w:right w:val="single" w:color="000000" w:sz="8" w:space="0"/>
            </w:tcBorders>
            <w:vAlign w:val="center"/>
          </w:tcPr>
          <w:p w14:paraId="5E5AD37E">
            <w:pPr>
              <w:adjustRightInd w:val="0"/>
              <w:snapToGrid w:val="0"/>
              <w:spacing w:line="360" w:lineRule="auto"/>
              <w:jc w:val="left"/>
              <w:rPr>
                <w:rFonts w:hint="eastAsia" w:ascii="宋体" w:hAnsi="宋体" w:cs="宋体"/>
                <w:b/>
                <w:color w:val="auto"/>
                <w:sz w:val="24"/>
                <w:highlight w:val="none"/>
              </w:rPr>
            </w:pPr>
          </w:p>
        </w:tc>
        <w:tc>
          <w:tcPr>
            <w:tcW w:w="7553" w:type="dxa"/>
            <w:tcBorders>
              <w:top w:val="single" w:color="000000" w:sz="8" w:space="0"/>
              <w:left w:val="single" w:color="000000" w:sz="2" w:space="0"/>
              <w:bottom w:val="single" w:color="000000" w:sz="8" w:space="0"/>
              <w:right w:val="single" w:color="000000" w:sz="8" w:space="0"/>
            </w:tcBorders>
            <w:vAlign w:val="center"/>
          </w:tcPr>
          <w:p w14:paraId="495CCC3F">
            <w:pPr>
              <w:adjustRightInd w:val="0"/>
              <w:snapToGrid w:val="0"/>
              <w:spacing w:line="360" w:lineRule="auto"/>
              <w:rPr>
                <w:rFonts w:hint="eastAsia" w:ascii="宋体" w:hAnsi="宋体" w:cs="宋体"/>
                <w:snapToGrid w:val="0"/>
                <w:color w:val="auto"/>
                <w:kern w:val="28"/>
                <w:sz w:val="24"/>
                <w:highlight w:val="none"/>
              </w:rPr>
            </w:pPr>
            <w:r>
              <w:rPr>
                <w:rFonts w:hint="eastAsia" w:ascii="宋体" w:hAnsi="宋体" w:cs="宋体"/>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74A35060">
            <w:pPr>
              <w:adjustRightInd w:val="0"/>
              <w:snapToGrid w:val="0"/>
              <w:spacing w:line="360" w:lineRule="auto"/>
              <w:rPr>
                <w:rFonts w:hint="eastAsia" w:ascii="宋体" w:hAnsi="宋体" w:cs="宋体"/>
                <w:snapToGrid w:val="0"/>
                <w:color w:val="auto"/>
                <w:kern w:val="28"/>
                <w:sz w:val="24"/>
                <w:highlight w:val="none"/>
              </w:rPr>
            </w:pPr>
            <w:r>
              <w:rPr>
                <w:rFonts w:hint="eastAsia" w:ascii="宋体" w:hAnsi="宋体" w:cs="宋体"/>
                <w:b/>
                <w:bCs/>
                <w:color w:val="auto"/>
                <w:kern w:val="0"/>
                <w:sz w:val="24"/>
                <w:highlight w:val="none"/>
              </w:rPr>
              <w:sym w:font="Wingdings" w:char="00FE"/>
            </w:r>
            <w:r>
              <w:rPr>
                <w:rFonts w:hint="eastAsia" w:ascii="宋体" w:hAnsi="宋体" w:cs="宋体"/>
                <w:b/>
                <w:bCs/>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472D2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vMerge w:val="continue"/>
            <w:tcBorders>
              <w:left w:val="single" w:color="000000" w:sz="8" w:space="0"/>
              <w:bottom w:val="single" w:color="auto" w:sz="4" w:space="0"/>
              <w:right w:val="single" w:color="000000" w:sz="2" w:space="0"/>
            </w:tcBorders>
          </w:tcPr>
          <w:p w14:paraId="64644570">
            <w:pPr>
              <w:adjustRightInd w:val="0"/>
              <w:snapToGrid w:val="0"/>
              <w:spacing w:line="360" w:lineRule="auto"/>
              <w:jc w:val="center"/>
              <w:rPr>
                <w:rFonts w:hint="eastAsia" w:ascii="宋体" w:hAnsi="宋体" w:cs="宋体"/>
                <w:color w:val="auto"/>
                <w:sz w:val="24"/>
                <w:highlight w:val="none"/>
              </w:rPr>
            </w:pPr>
          </w:p>
        </w:tc>
        <w:tc>
          <w:tcPr>
            <w:tcW w:w="1513" w:type="dxa"/>
            <w:vMerge w:val="continue"/>
            <w:tcBorders>
              <w:left w:val="single" w:color="000000" w:sz="2" w:space="0"/>
              <w:bottom w:val="single" w:color="auto" w:sz="4" w:space="0"/>
              <w:right w:val="single" w:color="000000" w:sz="8" w:space="0"/>
            </w:tcBorders>
            <w:vAlign w:val="center"/>
          </w:tcPr>
          <w:p w14:paraId="7F829783">
            <w:pPr>
              <w:adjustRightInd w:val="0"/>
              <w:snapToGrid w:val="0"/>
              <w:spacing w:line="360" w:lineRule="auto"/>
              <w:jc w:val="left"/>
              <w:rPr>
                <w:rFonts w:hint="eastAsia" w:ascii="宋体" w:hAnsi="宋体" w:cs="宋体"/>
                <w:b/>
                <w:color w:val="auto"/>
                <w:sz w:val="24"/>
                <w:highlight w:val="none"/>
              </w:rPr>
            </w:pPr>
          </w:p>
        </w:tc>
        <w:tc>
          <w:tcPr>
            <w:tcW w:w="7553" w:type="dxa"/>
            <w:tcBorders>
              <w:top w:val="single" w:color="000000" w:sz="8" w:space="0"/>
              <w:left w:val="single" w:color="000000" w:sz="2" w:space="0"/>
              <w:bottom w:val="single" w:color="000000" w:sz="8" w:space="0"/>
              <w:right w:val="single" w:color="000000" w:sz="8" w:space="0"/>
            </w:tcBorders>
            <w:vAlign w:val="center"/>
          </w:tcPr>
          <w:p w14:paraId="07470E0E">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招标文件第四部分评审因素对应的要求及第五部分采购合同的内容视为采购需求的一部分。</w:t>
            </w:r>
          </w:p>
        </w:tc>
      </w:tr>
      <w:tr w14:paraId="63C7D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6" w:hRule="atLeast"/>
        </w:trPr>
        <w:tc>
          <w:tcPr>
            <w:tcW w:w="655" w:type="dxa"/>
            <w:tcBorders>
              <w:top w:val="single" w:color="auto" w:sz="4" w:space="0"/>
              <w:left w:val="single" w:color="auto" w:sz="4" w:space="0"/>
              <w:bottom w:val="single" w:color="auto" w:sz="4" w:space="0"/>
              <w:right w:val="single" w:color="auto" w:sz="4" w:space="0"/>
            </w:tcBorders>
            <w:vAlign w:val="center"/>
          </w:tcPr>
          <w:p w14:paraId="0D13A1B6">
            <w:pPr>
              <w:adjustRightInd w:val="0"/>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171244F2">
            <w:pPr>
              <w:keepNext w:val="0"/>
              <w:keepLines w:val="0"/>
              <w:pageBreakBefore w:val="0"/>
              <w:kinsoku/>
              <w:wordWrap/>
              <w:overflowPunct/>
              <w:topLinePunct w:val="0"/>
              <w:bidi w:val="0"/>
              <w:adjustRightInd w:val="0"/>
              <w:snapToGrid w:val="0"/>
              <w:spacing w:line="348" w:lineRule="auto"/>
              <w:jc w:val="center"/>
              <w:textAlignment w:val="auto"/>
              <w:rPr>
                <w:rFonts w:hint="eastAsia" w:asciiTheme="minorEastAsia" w:hAnsiTheme="minorEastAsia" w:eastAsiaTheme="minorEastAsia" w:cstheme="minorEastAsia"/>
                <w:b/>
                <w:color w:val="auto"/>
                <w:kern w:val="2"/>
                <w:sz w:val="24"/>
                <w:szCs w:val="22"/>
                <w:highlight w:val="none"/>
                <w:lang w:val="en-US" w:eastAsia="zh-CN" w:bidi="ar-SA"/>
              </w:rPr>
            </w:pPr>
            <w:r>
              <w:rPr>
                <w:rFonts w:hint="eastAsia" w:asciiTheme="minorEastAsia" w:hAnsiTheme="minorEastAsia" w:eastAsiaTheme="minorEastAsia" w:cstheme="minorEastAsia"/>
                <w:b/>
                <w:color w:val="auto"/>
                <w:sz w:val="24"/>
                <w:highlight w:val="none"/>
                <w:lang w:val="en" w:eastAsia="zh-CN"/>
              </w:rPr>
              <w:t>中标候选人数量</w:t>
            </w:r>
          </w:p>
        </w:tc>
        <w:tc>
          <w:tcPr>
            <w:tcW w:w="7553" w:type="dxa"/>
            <w:tcBorders>
              <w:top w:val="single" w:color="000000" w:sz="8" w:space="0"/>
              <w:left w:val="single" w:color="auto" w:sz="4" w:space="0"/>
              <w:bottom w:val="single" w:color="000000" w:sz="8" w:space="0"/>
              <w:right w:val="single" w:color="000000" w:sz="8" w:space="0"/>
            </w:tcBorders>
            <w:shd w:val="clear" w:color="auto" w:fill="auto"/>
            <w:vAlign w:val="center"/>
          </w:tcPr>
          <w:p w14:paraId="15F53A91">
            <w:pPr>
              <w:keepNext w:val="0"/>
              <w:keepLines w:val="0"/>
              <w:pageBreakBefore w:val="0"/>
              <w:kinsoku/>
              <w:wordWrap/>
              <w:overflowPunct/>
              <w:topLinePunct w:val="0"/>
              <w:bidi w:val="0"/>
              <w:adjustRightInd w:val="0"/>
              <w:snapToGrid w:val="0"/>
              <w:spacing w:line="348" w:lineRule="auto"/>
              <w:textAlignment w:val="auto"/>
              <w:rPr>
                <w:rFonts w:hint="eastAsia" w:asciiTheme="minorEastAsia" w:hAnsiTheme="minorEastAsia" w:eastAsiaTheme="minorEastAsia" w:cstheme="minorEastAsia"/>
                <w:color w:val="auto"/>
                <w:kern w:val="0"/>
                <w:sz w:val="24"/>
                <w:szCs w:val="22"/>
                <w:highlight w:val="none"/>
                <w:lang w:val="en" w:eastAsia="zh-CN" w:bidi="ar-SA"/>
              </w:rPr>
            </w:pPr>
            <w:r>
              <w:rPr>
                <w:rFonts w:hint="eastAsia" w:asciiTheme="minorEastAsia" w:hAnsiTheme="minorEastAsia" w:eastAsiaTheme="minorEastAsia" w:cstheme="minorEastAsia"/>
                <w:color w:val="auto"/>
                <w:kern w:val="0"/>
                <w:sz w:val="24"/>
                <w:highlight w:val="none"/>
                <w:lang w:val="en" w:eastAsia="zh-CN"/>
              </w:rPr>
              <w:t>本项目推荐的中标候选人数量：</w:t>
            </w:r>
            <w:r>
              <w:rPr>
                <w:rFonts w:hint="eastAsia" w:asciiTheme="minorEastAsia" w:hAnsiTheme="minorEastAsia" w:eastAsiaTheme="minorEastAsia" w:cstheme="minorEastAsia"/>
                <w:color w:val="auto"/>
                <w:kern w:val="0"/>
                <w:sz w:val="24"/>
                <w:highlight w:val="none"/>
                <w:u w:val="single"/>
                <w:lang w:val="en-US" w:eastAsia="zh-CN"/>
              </w:rPr>
              <w:t xml:space="preserve">   3家    </w:t>
            </w:r>
            <w:r>
              <w:rPr>
                <w:rFonts w:hint="eastAsia" w:asciiTheme="minorEastAsia" w:hAnsiTheme="minorEastAsia" w:eastAsiaTheme="minorEastAsia" w:cstheme="minorEastAsia"/>
                <w:color w:val="auto"/>
                <w:kern w:val="0"/>
                <w:sz w:val="24"/>
                <w:highlight w:val="none"/>
                <w:lang w:val="en" w:eastAsia="zh-CN"/>
              </w:rPr>
              <w:t>。</w:t>
            </w:r>
          </w:p>
        </w:tc>
      </w:tr>
      <w:tr w14:paraId="3D75F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1B8D655D">
            <w:pPr>
              <w:adjustRightInd w:val="0"/>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5EFD6F21">
            <w:pPr>
              <w:keepNext w:val="0"/>
              <w:keepLines w:val="0"/>
              <w:pageBreakBefore w:val="0"/>
              <w:kinsoku/>
              <w:wordWrap/>
              <w:overflowPunct/>
              <w:topLinePunct w:val="0"/>
              <w:bidi w:val="0"/>
              <w:adjustRightInd w:val="0"/>
              <w:snapToGrid w:val="0"/>
              <w:spacing w:line="348" w:lineRule="auto"/>
              <w:jc w:val="center"/>
              <w:textAlignment w:val="auto"/>
              <w:rPr>
                <w:rFonts w:hint="eastAsia" w:asciiTheme="minorEastAsia" w:hAnsiTheme="minorEastAsia" w:eastAsiaTheme="minorEastAsia" w:cstheme="minorEastAsia"/>
                <w:b/>
                <w:color w:val="auto"/>
                <w:sz w:val="24"/>
                <w:highlight w:val="none"/>
                <w:lang w:val="en" w:eastAsia="zh-CN"/>
              </w:rPr>
            </w:pPr>
            <w:r>
              <w:rPr>
                <w:rFonts w:hint="eastAsia" w:asciiTheme="minorEastAsia" w:hAnsiTheme="minorEastAsia" w:eastAsiaTheme="minorEastAsia" w:cstheme="minorEastAsia"/>
                <w:b/>
                <w:color w:val="auto"/>
                <w:sz w:val="24"/>
                <w:highlight w:val="none"/>
                <w:lang w:val="en-US" w:eastAsia="zh-CN"/>
              </w:rPr>
              <w:t>合同签订、</w:t>
            </w:r>
            <w:r>
              <w:rPr>
                <w:rFonts w:hint="eastAsia" w:asciiTheme="minorEastAsia" w:hAnsiTheme="minorEastAsia" w:eastAsiaTheme="minorEastAsia" w:cstheme="minorEastAsia"/>
                <w:b/>
                <w:color w:val="auto"/>
                <w:sz w:val="24"/>
                <w:highlight w:val="none"/>
                <w:lang w:val="en" w:eastAsia="zh-CN"/>
              </w:rPr>
              <w:t>代理费用收取方式及标准</w:t>
            </w:r>
          </w:p>
        </w:tc>
        <w:tc>
          <w:tcPr>
            <w:tcW w:w="7553" w:type="dxa"/>
            <w:tcBorders>
              <w:top w:val="single" w:color="000000" w:sz="8" w:space="0"/>
              <w:left w:val="single" w:color="auto" w:sz="4" w:space="0"/>
              <w:bottom w:val="single" w:color="000000" w:sz="8" w:space="0"/>
              <w:right w:val="single" w:color="000000" w:sz="8" w:space="0"/>
            </w:tcBorders>
            <w:shd w:val="clear" w:color="auto" w:fill="auto"/>
            <w:vAlign w:val="center"/>
          </w:tcPr>
          <w:p w14:paraId="21D39AF0">
            <w:pPr>
              <w:snapToGrid w:val="0"/>
              <w:spacing w:line="360" w:lineRule="auto"/>
              <w:ind w:right="143" w:rightChars="68" w:firstLine="81" w:firstLineChars="34"/>
              <w:jc w:val="left"/>
              <w:rPr>
                <w:rFonts w:hint="eastAsia" w:ascii="宋体" w:hAnsi="宋体" w:cs="宋体"/>
                <w:bCs/>
                <w:color w:val="auto"/>
                <w:sz w:val="24"/>
                <w:highlight w:val="none"/>
              </w:rPr>
            </w:pPr>
            <w:r>
              <w:rPr>
                <w:rFonts w:hint="eastAsia" w:ascii="宋体" w:hAnsi="宋体" w:cs="宋体"/>
                <w:color w:val="auto"/>
                <w:sz w:val="24"/>
                <w:highlight w:val="none"/>
              </w:rPr>
              <w:t>本项目招标代理服务费收费标准为：</w:t>
            </w:r>
            <w:r>
              <w:rPr>
                <w:rFonts w:hint="eastAsia" w:ascii="宋体" w:hAnsi="宋体" w:cs="宋体"/>
                <w:color w:val="auto"/>
                <w:sz w:val="24"/>
                <w:highlight w:val="none"/>
                <w:lang w:val="zh-CN"/>
              </w:rPr>
              <w:t>以中标金额为计费基准，根据</w:t>
            </w:r>
            <w:r>
              <w:rPr>
                <w:rFonts w:hint="eastAsia" w:ascii="宋体" w:hAnsi="宋体" w:cs="宋体"/>
                <w:color w:val="auto"/>
                <w:sz w:val="24"/>
                <w:highlight w:val="none"/>
              </w:rPr>
              <w:t>杭价费2003（148）号文件规定的80%收取，</w:t>
            </w:r>
            <w:r>
              <w:rPr>
                <w:rFonts w:hint="eastAsia" w:ascii="宋体" w:hAnsi="宋体" w:cs="宋体"/>
                <w:bCs/>
                <w:color w:val="auto"/>
                <w:sz w:val="24"/>
                <w:highlight w:val="none"/>
              </w:rPr>
              <w:t>不足伍仟元按伍仟元计取。</w:t>
            </w:r>
          </w:p>
          <w:p w14:paraId="032FD196">
            <w:pPr>
              <w:snapToGrid w:val="0"/>
              <w:spacing w:line="360" w:lineRule="auto"/>
              <w:ind w:right="143" w:rightChars="68"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由中标供应商在领取中标通知书后7个工作日内向采购代理机构一次性缴纳。</w:t>
            </w:r>
          </w:p>
          <w:p w14:paraId="0B97310A">
            <w:pPr>
              <w:adjustRightInd w:val="0"/>
              <w:snapToGrid w:val="0"/>
              <w:spacing w:line="360" w:lineRule="auto"/>
              <w:ind w:right="143" w:rightChars="68"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收款单位：浙江省建设工程设备招标有限公司</w:t>
            </w:r>
          </w:p>
          <w:p w14:paraId="455555C8">
            <w:pPr>
              <w:adjustRightInd w:val="0"/>
              <w:snapToGrid w:val="0"/>
              <w:spacing w:line="360" w:lineRule="auto"/>
              <w:ind w:right="143" w:rightChars="68"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开户银行：中国建设银行股份有限公司杭州大关支行</w:t>
            </w:r>
          </w:p>
          <w:p w14:paraId="6CCC5F3E">
            <w:pPr>
              <w:keepNext w:val="0"/>
              <w:keepLines w:val="0"/>
              <w:pageBreakBefore w:val="0"/>
              <w:kinsoku/>
              <w:wordWrap/>
              <w:overflowPunct/>
              <w:topLinePunct w:val="0"/>
              <w:bidi w:val="0"/>
              <w:adjustRightInd w:val="0"/>
              <w:snapToGrid w:val="0"/>
              <w:spacing w:line="348" w:lineRule="auto"/>
              <w:ind w:firstLine="480" w:firstLineChars="200"/>
              <w:textAlignment w:val="auto"/>
              <w:rPr>
                <w:rFonts w:hint="eastAsia" w:asciiTheme="minorEastAsia" w:hAnsiTheme="minorEastAsia" w:eastAsiaTheme="minorEastAsia" w:cstheme="minorEastAsia"/>
                <w:color w:val="auto"/>
                <w:kern w:val="0"/>
                <w:sz w:val="24"/>
                <w:highlight w:val="none"/>
                <w:lang w:val="en" w:eastAsia="zh-CN"/>
              </w:rPr>
            </w:pPr>
            <w:r>
              <w:rPr>
                <w:rFonts w:hint="eastAsia" w:ascii="宋体" w:hAnsi="宋体" w:cs="宋体"/>
                <w:color w:val="auto"/>
                <w:sz w:val="24"/>
                <w:highlight w:val="none"/>
              </w:rPr>
              <w:t>帐    号：33001616383053002342</w:t>
            </w:r>
          </w:p>
        </w:tc>
      </w:tr>
      <w:tr w14:paraId="669EC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rPr>
        <w:tc>
          <w:tcPr>
            <w:tcW w:w="655" w:type="dxa"/>
            <w:tcBorders>
              <w:top w:val="single" w:color="auto" w:sz="4" w:space="0"/>
              <w:left w:val="single" w:color="auto" w:sz="4" w:space="0"/>
              <w:bottom w:val="single" w:color="auto" w:sz="4" w:space="0"/>
              <w:right w:val="single" w:color="auto" w:sz="4" w:space="0"/>
            </w:tcBorders>
            <w:vAlign w:val="center"/>
          </w:tcPr>
          <w:p w14:paraId="269D566D">
            <w:pPr>
              <w:adjustRightInd w:val="0"/>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1513" w:type="dxa"/>
            <w:tcBorders>
              <w:top w:val="single" w:color="auto" w:sz="4" w:space="0"/>
              <w:left w:val="single" w:color="auto" w:sz="4" w:space="0"/>
              <w:bottom w:val="single" w:color="auto" w:sz="4" w:space="0"/>
              <w:right w:val="single" w:color="auto" w:sz="4" w:space="0"/>
            </w:tcBorders>
            <w:vAlign w:val="center"/>
          </w:tcPr>
          <w:p w14:paraId="1DD38D4F">
            <w:pPr>
              <w:adjustRightInd w:val="0"/>
              <w:snapToGrid w:val="0"/>
              <w:spacing w:line="360" w:lineRule="auto"/>
              <w:jc w:val="left"/>
              <w:rPr>
                <w:rFonts w:hint="eastAsia" w:ascii="宋体" w:hAnsi="宋体" w:cs="宋体"/>
                <w:b w:val="0"/>
                <w:bCs/>
                <w:color w:val="auto"/>
                <w:sz w:val="24"/>
                <w:highlight w:val="none"/>
              </w:rPr>
            </w:pPr>
            <w:r>
              <w:rPr>
                <w:rFonts w:hint="eastAsia" w:asciiTheme="minorEastAsia" w:hAnsiTheme="minorEastAsia" w:eastAsiaTheme="minorEastAsia" w:cstheme="minorEastAsia"/>
                <w:b w:val="0"/>
                <w:bCs/>
                <w:color w:val="auto"/>
                <w:sz w:val="24"/>
                <w:highlight w:val="none"/>
                <w:lang w:val="en-US" w:eastAsia="zh-CN"/>
              </w:rPr>
              <w:t>补充说明</w:t>
            </w:r>
          </w:p>
        </w:tc>
        <w:tc>
          <w:tcPr>
            <w:tcW w:w="7553" w:type="dxa"/>
            <w:tcBorders>
              <w:top w:val="single" w:color="000000" w:sz="8" w:space="0"/>
              <w:left w:val="single" w:color="auto" w:sz="4" w:space="0"/>
              <w:bottom w:val="single" w:color="000000" w:sz="8" w:space="0"/>
              <w:right w:val="single" w:color="000000" w:sz="8" w:space="0"/>
            </w:tcBorders>
            <w:vAlign w:val="center"/>
          </w:tcPr>
          <w:p w14:paraId="654B446B">
            <w:pPr>
              <w:adjustRightInd w:val="0"/>
              <w:snapToGrid w:val="0"/>
              <w:spacing w:line="360" w:lineRule="auto"/>
              <w:ind w:right="143" w:rightChars="68" w:firstLine="81" w:firstLineChars="34"/>
              <w:jc w:val="left"/>
              <w:rPr>
                <w:rFonts w:hint="eastAsia" w:ascii="宋体" w:hAnsi="宋体" w:cs="宋体"/>
                <w:b w:val="0"/>
                <w:bCs/>
                <w:color w:val="auto"/>
                <w:kern w:val="28"/>
                <w:sz w:val="24"/>
                <w:highlight w:val="none"/>
              </w:rPr>
            </w:pPr>
            <w:r>
              <w:rPr>
                <w:rFonts w:hint="eastAsia" w:ascii="宋体" w:hAnsi="宋体" w:cs="宋体"/>
                <w:b w:val="0"/>
                <w:bCs/>
                <w:color w:val="auto"/>
                <w:sz w:val="24"/>
                <w:highlight w:val="none"/>
              </w:rPr>
              <w:t>（1）中标通知书发出之日起30日（鼓励有条件的缩短至10个工作日）内，中标供应商持中标通知书与采购人签订合同；合同签订后需在2个工作日内进行备案公示。</w:t>
            </w:r>
          </w:p>
          <w:p w14:paraId="1854974E">
            <w:pPr>
              <w:adjustRightInd w:val="0"/>
              <w:snapToGrid w:val="0"/>
              <w:spacing w:line="360" w:lineRule="auto"/>
              <w:ind w:right="143" w:rightChars="68" w:firstLine="81" w:firstLineChars="34"/>
              <w:jc w:val="left"/>
              <w:rPr>
                <w:rFonts w:hint="eastAsia" w:ascii="宋体" w:hAnsi="宋体" w:cs="宋体"/>
                <w:b w:val="0"/>
                <w:bCs/>
                <w:color w:val="auto"/>
                <w:kern w:val="28"/>
                <w:sz w:val="24"/>
                <w:highlight w:val="none"/>
              </w:rPr>
            </w:pPr>
            <w:r>
              <w:rPr>
                <w:rFonts w:hint="eastAsia" w:ascii="宋体" w:hAnsi="宋体" w:cs="宋体"/>
                <w:b w:val="0"/>
                <w:bCs/>
                <w:color w:val="auto"/>
                <w:kern w:val="28"/>
                <w:sz w:val="24"/>
                <w:highlight w:val="none"/>
              </w:rPr>
              <w:t>（2）</w:t>
            </w:r>
            <w:r>
              <w:rPr>
                <w:rFonts w:hint="eastAsia" w:ascii="宋体" w:hAnsi="宋体" w:cs="宋体"/>
                <w:b w:val="0"/>
                <w:bCs/>
                <w:color w:val="auto"/>
                <w:sz w:val="24"/>
                <w:highlight w:val="none"/>
              </w:rPr>
              <w:t>中标供应商在收到中标通知后7个工作日内提交纸质版胶装投标文件（内容同电子投标文件）一正两副或系统解密版三份，用于项目资料存档。（邮寄地址：杭州市上城区环站东路97号云峰大厦</w:t>
            </w:r>
            <w:r>
              <w:rPr>
                <w:rFonts w:hint="eastAsia" w:ascii="宋体" w:hAnsi="宋体" w:cs="宋体"/>
                <w:b w:val="0"/>
                <w:bCs/>
                <w:color w:val="auto"/>
                <w:sz w:val="24"/>
                <w:highlight w:val="none"/>
                <w:lang w:eastAsia="zh-CN"/>
              </w:rPr>
              <w:t>1幢13楼</w:t>
            </w:r>
            <w:r>
              <w:rPr>
                <w:rFonts w:hint="eastAsia" w:ascii="宋体" w:hAnsi="宋体" w:cs="宋体"/>
                <w:b w:val="0"/>
                <w:bCs/>
                <w:color w:val="auto"/>
                <w:sz w:val="24"/>
                <w:highlight w:val="none"/>
              </w:rPr>
              <w:t xml:space="preserve"> 胡馨月 17816022721收）</w:t>
            </w:r>
          </w:p>
          <w:p w14:paraId="42B076B5">
            <w:pPr>
              <w:adjustRightInd w:val="0"/>
              <w:snapToGrid w:val="0"/>
              <w:spacing w:line="360" w:lineRule="auto"/>
              <w:ind w:right="143" w:rightChars="68"/>
              <w:jc w:val="left"/>
              <w:rPr>
                <w:rFonts w:hint="eastAsia" w:ascii="宋体" w:hAnsi="宋体" w:cs="宋体"/>
                <w:b w:val="0"/>
                <w:bCs/>
                <w:color w:val="auto"/>
                <w:sz w:val="24"/>
                <w:highlight w:val="none"/>
              </w:rPr>
            </w:pPr>
            <w:r>
              <w:rPr>
                <w:rFonts w:hint="eastAsia" w:ascii="宋体" w:hAnsi="宋体" w:cs="宋体"/>
                <w:b w:val="0"/>
                <w:bCs/>
                <w:color w:val="auto"/>
                <w:kern w:val="28"/>
                <w:sz w:val="24"/>
                <w:highlight w:val="none"/>
              </w:rPr>
              <w:t>（3）</w:t>
            </w:r>
            <w:r>
              <w:rPr>
                <w:rFonts w:hint="eastAsia" w:asciiTheme="minorEastAsia" w:hAnsiTheme="minorEastAsia" w:eastAsiaTheme="minorEastAsia" w:cstheme="minorEastAsia"/>
                <w:b w:val="0"/>
                <w:bCs/>
                <w:i w:val="0"/>
                <w:iCs w:val="0"/>
                <w:color w:val="auto"/>
                <w:spacing w:val="0"/>
                <w:w w:val="100"/>
                <w:sz w:val="24"/>
                <w:szCs w:val="24"/>
                <w:highlight w:val="none"/>
                <w:vertAlign w:val="baseline"/>
                <w:lang w:val="en-US" w:eastAsia="zh-CN"/>
              </w:rPr>
              <w:t>根据《浙江省财政厅关于进一步规范政府采购秩序促进公平竞争的通知》（浙财采监〔2025〕2号）相关规定，在评审结束后、合同签订前，采购人、采购代理机构应及时通过网站查询、原件核对等方式对中标（成交）供应商在投标（响应）文件中涉及客观分评审内容的检测报告、认证证书等资料的真实性进行复核；如采购人或采购代理机构向供应商要求提交涉及客观分评审内容的资料时，中标（成交）供应商应积极配合，因未及时提供导致不利于供应商的判断，责任由供应商自行承担。</w:t>
            </w:r>
          </w:p>
        </w:tc>
      </w:tr>
    </w:tbl>
    <w:p w14:paraId="3D4A283B">
      <w:pPr>
        <w:snapToGrid w:val="0"/>
        <w:spacing w:line="360" w:lineRule="auto"/>
        <w:jc w:val="center"/>
        <w:rPr>
          <w:rFonts w:hint="eastAsia" w:ascii="宋体" w:hAnsi="宋体" w:cs="宋体"/>
          <w:b/>
          <w:color w:val="auto"/>
          <w:sz w:val="32"/>
          <w:szCs w:val="20"/>
          <w:highlight w:val="none"/>
        </w:rPr>
      </w:pPr>
    </w:p>
    <w:bookmarkEnd w:id="8"/>
    <w:p w14:paraId="3316DAC3">
      <w:pPr>
        <w:rPr>
          <w:rFonts w:hint="eastAsia" w:ascii="宋体" w:hAnsi="宋体" w:cs="宋体"/>
          <w:b/>
          <w:color w:val="auto"/>
          <w:sz w:val="32"/>
          <w:szCs w:val="20"/>
          <w:highlight w:val="none"/>
        </w:rPr>
      </w:pPr>
      <w:bookmarkStart w:id="9" w:name="第三部分"/>
      <w:bookmarkStart w:id="10" w:name="_Toc164416483"/>
      <w:r>
        <w:rPr>
          <w:rFonts w:hint="eastAsia" w:ascii="宋体" w:hAnsi="宋体" w:cs="宋体"/>
          <w:b/>
          <w:color w:val="auto"/>
          <w:sz w:val="32"/>
          <w:szCs w:val="20"/>
          <w:highlight w:val="none"/>
        </w:rPr>
        <w:br w:type="page"/>
      </w:r>
    </w:p>
    <w:p w14:paraId="74D2D871">
      <w:pPr>
        <w:pStyle w:val="4"/>
        <w:spacing w:line="360" w:lineRule="auto"/>
        <w:ind w:left="420"/>
        <w:rPr>
          <w:rFonts w:hint="eastAsia" w:ascii="宋体" w:hAnsi="宋体" w:eastAsia="宋体"/>
          <w:color w:val="auto"/>
          <w:szCs w:val="18"/>
          <w:highlight w:val="none"/>
        </w:rPr>
      </w:pPr>
      <w:r>
        <w:rPr>
          <w:rFonts w:hint="eastAsia" w:ascii="宋体" w:hAnsi="宋体" w:eastAsia="宋体"/>
          <w:color w:val="auto"/>
          <w:szCs w:val="18"/>
          <w:highlight w:val="none"/>
        </w:rPr>
        <w:t>一、总则</w:t>
      </w:r>
    </w:p>
    <w:p w14:paraId="0B768602">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1.适用范围</w:t>
      </w:r>
    </w:p>
    <w:p w14:paraId="6AE51469">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1AF6F2F9">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2.定义</w:t>
      </w:r>
    </w:p>
    <w:p w14:paraId="5D1D5C45">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7479E66D">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3573F692">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2.3 “投标人”、“投标供应商”系指是指响应招标、参加投标竞争的法人、其他组织或者自然人。</w:t>
      </w:r>
    </w:p>
    <w:p w14:paraId="16A3B121">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798F8D43">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05840FD">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43B0B331">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2.7 “▲”系指实质性要求条款，“★”系指</w:t>
      </w:r>
      <w:r>
        <w:rPr>
          <w:rFonts w:hint="eastAsia" w:ascii="宋体" w:hAnsi="宋体" w:cs="宋体"/>
          <w:color w:val="auto"/>
          <w:sz w:val="24"/>
          <w:highlight w:val="none"/>
          <w:lang w:val="en-US" w:eastAsia="zh-CN"/>
        </w:rPr>
        <w:t>重要</w:t>
      </w:r>
      <w:r>
        <w:rPr>
          <w:rFonts w:hint="eastAsia" w:ascii="宋体" w:hAnsi="宋体" w:cs="宋体"/>
          <w:color w:val="auto"/>
          <w:sz w:val="24"/>
          <w:highlight w:val="none"/>
        </w:rPr>
        <w:t>要求条款，“</w:t>
      </w:r>
      <w:r>
        <w:rPr>
          <w:rFonts w:hint="eastAsia" w:ascii="宋体" w:hAnsi="宋体" w:cs="宋体"/>
          <w:color w:val="auto"/>
          <w:sz w:val="24"/>
          <w:highlight w:val="none"/>
        </w:rPr>
        <w:sym w:font="Wingdings 2" w:char="0052"/>
      </w:r>
      <w:r>
        <w:rPr>
          <w:rFonts w:hint="eastAsia" w:ascii="宋体" w:hAnsi="宋体" w:cs="宋体"/>
          <w:color w:val="auto"/>
          <w:sz w:val="24"/>
          <w:highlight w:val="none"/>
        </w:rPr>
        <w:t>”系指适用本项目的要求，“☐”系指不适用本项目的要求。</w:t>
      </w:r>
    </w:p>
    <w:p w14:paraId="476FE19E">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3.采购项目需要落实的政府采购政策</w:t>
      </w:r>
    </w:p>
    <w:p w14:paraId="7E1D52AE">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31933394">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3.2 支持绿色发展</w:t>
      </w:r>
    </w:p>
    <w:p w14:paraId="13A4F27F">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EAA0F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4DB106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03C8FC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31644190">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3.3支持中小企业发展</w:t>
      </w:r>
    </w:p>
    <w:p w14:paraId="3C9FE56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03416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1A83DB66">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4AEBA61">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3C1423F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CBADE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01BCC5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78CC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7B8AD6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2A0AE26A">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7684A8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1EC783B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7BA07E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3.4.3 采购人应当贯彻落实知识产权保护相关法律法规，应当采购使用正版软件。</w:t>
      </w:r>
    </w:p>
    <w:p w14:paraId="3128A681">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760A30E8">
      <w:pPr>
        <w:spacing w:line="360" w:lineRule="auto"/>
        <w:ind w:firstLine="240" w:firstLineChars="100"/>
        <w:rPr>
          <w:rFonts w:hint="eastAsia"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询问、质疑、投诉、补偿救济</w:t>
      </w:r>
    </w:p>
    <w:p w14:paraId="6ACFACBC">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9E450EB">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1410A36">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6053CA7">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507939FB">
      <w:pPr>
        <w:pStyle w:val="12"/>
        <w:spacing w:line="360" w:lineRule="auto"/>
        <w:ind w:firstLine="480" w:firstLineChars="200"/>
        <w:rPr>
          <w:rFonts w:hint="eastAsia"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6CBE5E27">
      <w:pPr>
        <w:pStyle w:val="12"/>
        <w:spacing w:line="360" w:lineRule="auto"/>
        <w:ind w:firstLine="480" w:firstLineChars="200"/>
        <w:rPr>
          <w:rFonts w:hint="eastAsia"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8BB9377">
      <w:pPr>
        <w:pStyle w:val="6"/>
        <w:spacing w:line="360" w:lineRule="auto"/>
        <w:ind w:firstLine="480" w:firstLineChars="200"/>
        <w:rPr>
          <w:rFonts w:hint="eastAsia"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0E54D997">
      <w:pPr>
        <w:pStyle w:val="12"/>
        <w:spacing w:line="360" w:lineRule="auto"/>
        <w:ind w:left="479" w:leftChars="228"/>
        <w:rPr>
          <w:rFonts w:hint="eastAsia"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5F1A69A">
      <w:pPr>
        <w:pStyle w:val="1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39F275B8">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14:paraId="6D5B9847">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14:paraId="1CF8E440">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14:paraId="5A4648E0">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4.3.3.4事实依据；</w:t>
      </w:r>
    </w:p>
    <w:p w14:paraId="698CF44D">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14:paraId="3DF64A45">
      <w:pPr>
        <w:pStyle w:val="1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1B6CCF26">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881FDA2">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质疑函范本及制作说明详见附件2。</w:t>
      </w:r>
    </w:p>
    <w:p w14:paraId="42F8A340">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4.3.4对同一采购程序环节的质疑，供应商须在法定质疑期内一次性提出。</w:t>
      </w:r>
    </w:p>
    <w:p w14:paraId="6261DAC2">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0DCAEC8">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49E69E1E">
      <w:pPr>
        <w:pStyle w:val="36"/>
        <w:shd w:val="clear" w:color="auto" w:fill="FFFFFF"/>
        <w:snapToGrid w:val="0"/>
        <w:spacing w:before="0" w:beforeAutospacing="0" w:after="0" w:afterAutospacing="0" w:line="360" w:lineRule="auto"/>
        <w:ind w:firstLine="480" w:firstLineChars="200"/>
        <w:contextualSpacing/>
        <w:rPr>
          <w:rFonts w:hint="eastAsia"/>
          <w:color w:val="auto"/>
          <w:highlight w:val="none"/>
          <w:lang w:val="zh-CN"/>
        </w:rPr>
      </w:pPr>
      <w:r>
        <w:rPr>
          <w:rFonts w:hint="eastAsia"/>
          <w:color w:val="auto"/>
          <w:highlight w:val="none"/>
          <w:lang w:val="zh-CN"/>
        </w:rPr>
        <w:t>4.4供应商投诉</w:t>
      </w:r>
    </w:p>
    <w:p w14:paraId="19745D7A">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125BFCDA">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19C20366">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4.4.3供应商投诉应当有明确的请求和必要的证明材料。</w:t>
      </w:r>
    </w:p>
    <w:p w14:paraId="40E94773">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4.4.4以联合体形式参加政府采购活动的，其投诉应当由组成联合体的所有供应商共同提出。</w:t>
      </w:r>
    </w:p>
    <w:p w14:paraId="4AC38F7A">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w:t>
      </w:r>
      <w:r>
        <w:rPr>
          <w:rFonts w:hint="eastAsia"/>
          <w:color w:val="auto"/>
          <w:highlight w:val="none"/>
          <w:lang w:val="en-US" w:eastAsia="zh-CN"/>
        </w:rPr>
        <w:t>老师</w:t>
      </w:r>
      <w:r>
        <w:rPr>
          <w:rFonts w:hint="eastAsia"/>
          <w:color w:val="auto"/>
          <w:highlight w:val="none"/>
        </w:rPr>
        <w:t>，电话：</w:t>
      </w:r>
      <w:r>
        <w:rPr>
          <w:rFonts w:hint="eastAsia" w:ascii="宋体" w:hAnsi="宋体" w:eastAsia="宋体" w:cs="宋体"/>
          <w:i w:val="0"/>
          <w:caps w:val="0"/>
          <w:color w:val="auto"/>
          <w:spacing w:val="0"/>
          <w:sz w:val="24"/>
          <w:szCs w:val="24"/>
          <w:highlight w:val="none"/>
          <w:lang w:val="en-US" w:eastAsia="zh-CN"/>
        </w:rPr>
        <w:t>0571-87800218</w:t>
      </w:r>
      <w:r>
        <w:rPr>
          <w:rFonts w:hint="eastAsia"/>
          <w:color w:val="auto"/>
          <w:highlight w:val="none"/>
        </w:rPr>
        <w:t>。</w:t>
      </w:r>
    </w:p>
    <w:p w14:paraId="0C808A29">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投诉书范本及制作说明详见附件3。</w:t>
      </w:r>
    </w:p>
    <w:p w14:paraId="29B887A1">
      <w:pPr>
        <w:pStyle w:val="36"/>
        <w:shd w:val="clear" w:color="auto" w:fill="FFFFFF"/>
        <w:snapToGrid w:val="0"/>
        <w:spacing w:before="0" w:beforeAutospacing="0" w:after="0" w:afterAutospacing="0" w:line="360" w:lineRule="auto"/>
        <w:ind w:firstLine="400"/>
        <w:contextualSpacing/>
        <w:rPr>
          <w:rFonts w:hint="eastAsia"/>
          <w:color w:val="auto"/>
          <w:highlight w:val="none"/>
        </w:rPr>
      </w:pPr>
      <w:r>
        <w:rPr>
          <w:rFonts w:hint="eastAsia"/>
          <w:color w:val="auto"/>
          <w:highlight w:val="none"/>
        </w:rPr>
        <w:t>4.5 补偿救济</w:t>
      </w:r>
    </w:p>
    <w:p w14:paraId="500BE8C0">
      <w:pPr>
        <w:pStyle w:val="36"/>
        <w:shd w:val="clear" w:color="auto" w:fill="FFFFFF"/>
        <w:snapToGrid w:val="0"/>
        <w:spacing w:before="0" w:beforeAutospacing="0" w:after="0" w:afterAutospacing="0" w:line="360" w:lineRule="auto"/>
        <w:ind w:firstLine="403"/>
        <w:contextualSpacing/>
        <w:rPr>
          <w:rFonts w:hint="eastAsia"/>
          <w:color w:val="auto"/>
          <w:highlight w:val="none"/>
        </w:rPr>
      </w:pPr>
      <w:r>
        <w:rPr>
          <w:rFonts w:hint="eastAsia"/>
          <w:color w:val="auto"/>
          <w:highlight w:val="none"/>
        </w:rPr>
        <w:t>采购人（行政机关）因政策变化、规划调整而不履行政府采购合同的，供应商可依据《杭州市涉企补偿救济实施办法（试行）》向采购人（行政机关）提起补偿申请。</w:t>
      </w:r>
    </w:p>
    <w:p w14:paraId="7C64CCB6">
      <w:pPr>
        <w:pStyle w:val="4"/>
        <w:spacing w:line="360" w:lineRule="auto"/>
        <w:ind w:left="0"/>
        <w:rPr>
          <w:rFonts w:hint="eastAsia" w:ascii="宋体" w:hAnsi="宋体" w:eastAsia="宋体"/>
          <w:b w:val="0"/>
          <w:color w:val="auto"/>
          <w:szCs w:val="18"/>
          <w:highlight w:val="none"/>
        </w:rPr>
      </w:pPr>
      <w:r>
        <w:rPr>
          <w:rFonts w:hint="eastAsia" w:ascii="宋体" w:hAnsi="宋体" w:eastAsia="宋体"/>
          <w:color w:val="auto"/>
          <w:szCs w:val="18"/>
          <w:highlight w:val="none"/>
        </w:rPr>
        <w:t>二、招标文件的构成、澄清、修改</w:t>
      </w:r>
    </w:p>
    <w:p w14:paraId="67636215">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5．招标文件的构成</w:t>
      </w:r>
    </w:p>
    <w:p w14:paraId="35D35BB3">
      <w:pPr>
        <w:pStyle w:val="1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5.1 招标文件包括下列文件及附件：</w:t>
      </w:r>
    </w:p>
    <w:p w14:paraId="08700DB9">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5.1.1招标公告；</w:t>
      </w:r>
    </w:p>
    <w:p w14:paraId="1951175B">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5.1.2投标人须知；</w:t>
      </w:r>
    </w:p>
    <w:p w14:paraId="0CEECFA1">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5.1.3采购需求；</w:t>
      </w:r>
    </w:p>
    <w:p w14:paraId="6C992D8A">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5.1.4评标办法；</w:t>
      </w:r>
    </w:p>
    <w:p w14:paraId="15EEE175">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5.1.5拟签订的合同文本；</w:t>
      </w:r>
    </w:p>
    <w:p w14:paraId="6728659C">
      <w:pPr>
        <w:pStyle w:val="1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64D206D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76BA14D5">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6. 招标文件的澄清、修改</w:t>
      </w:r>
    </w:p>
    <w:p w14:paraId="0E99FFD3">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32118023">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6501F71">
      <w:pPr>
        <w:pStyle w:val="4"/>
        <w:spacing w:line="360" w:lineRule="auto"/>
        <w:ind w:left="0"/>
        <w:rPr>
          <w:rFonts w:hint="eastAsia" w:ascii="宋体" w:hAnsi="宋体" w:eastAsia="宋体"/>
          <w:b w:val="0"/>
          <w:color w:val="auto"/>
          <w:szCs w:val="18"/>
          <w:highlight w:val="none"/>
        </w:rPr>
      </w:pPr>
      <w:r>
        <w:rPr>
          <w:rFonts w:hint="eastAsia" w:ascii="宋体" w:hAnsi="宋体" w:eastAsia="宋体"/>
          <w:color w:val="auto"/>
          <w:szCs w:val="18"/>
          <w:highlight w:val="none"/>
        </w:rPr>
        <w:t>三、投标</w:t>
      </w:r>
    </w:p>
    <w:p w14:paraId="564C44A6">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7. 招标文件的获取</w:t>
      </w:r>
    </w:p>
    <w:p w14:paraId="247AD11D">
      <w:pPr>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3A202D34">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8.开标前答疑会或现场考察</w:t>
      </w:r>
    </w:p>
    <w:p w14:paraId="07DC4802">
      <w:pPr>
        <w:pStyle w:val="1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37A18D84">
      <w:pPr>
        <w:pStyle w:val="12"/>
        <w:spacing w:line="360" w:lineRule="auto"/>
        <w:rPr>
          <w:rFonts w:hint="eastAsia" w:hAnsi="宋体" w:cs="宋体"/>
          <w:b/>
          <w:color w:val="auto"/>
          <w:szCs w:val="24"/>
          <w:highlight w:val="none"/>
        </w:rPr>
      </w:pPr>
      <w:r>
        <w:rPr>
          <w:rFonts w:hint="eastAsia" w:hAnsi="宋体" w:cs="宋体"/>
          <w:b/>
          <w:color w:val="auto"/>
          <w:kern w:val="28"/>
          <w:sz w:val="24"/>
          <w:szCs w:val="24"/>
          <w:highlight w:val="none"/>
        </w:rPr>
        <w:t>9.投标保证金</w:t>
      </w:r>
    </w:p>
    <w:p w14:paraId="191B4A7B">
      <w:pPr>
        <w:pStyle w:val="6"/>
        <w:spacing w:line="360" w:lineRule="auto"/>
        <w:ind w:firstLine="470" w:firstLineChars="196"/>
        <w:rPr>
          <w:rFonts w:hint="eastAsia" w:hAnsi="宋体" w:cs="宋体"/>
          <w:color w:val="auto"/>
          <w:sz w:val="24"/>
          <w:highlight w:val="none"/>
        </w:rPr>
      </w:pPr>
      <w:r>
        <w:rPr>
          <w:rFonts w:hint="eastAsia" w:hAnsi="宋体" w:cs="宋体"/>
          <w:color w:val="auto"/>
          <w:sz w:val="24"/>
          <w:highlight w:val="none"/>
        </w:rPr>
        <w:t>本项目不需缴纳投标保证金。</w:t>
      </w:r>
    </w:p>
    <w:p w14:paraId="5C893BDB">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10. 投标文件的语言</w:t>
      </w:r>
    </w:p>
    <w:p w14:paraId="2EB3A5B5">
      <w:pPr>
        <w:autoSpaceDE w:val="0"/>
        <w:autoSpaceDN w:val="0"/>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D49A71E">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11. 投标文件的组成</w:t>
      </w:r>
    </w:p>
    <w:p w14:paraId="4C8D659C">
      <w:pPr>
        <w:snapToGrid w:val="0"/>
        <w:spacing w:line="360" w:lineRule="auto"/>
        <w:ind w:firstLine="480" w:firstLineChars="200"/>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11.1资格文件：</w:t>
      </w:r>
    </w:p>
    <w:p w14:paraId="1497AF76">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0F43401F">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11.1.2</w:t>
      </w:r>
      <w:r>
        <w:rPr>
          <w:rFonts w:hint="eastAsia" w:ascii="宋体" w:hAnsi="宋体" w:cs="宋体"/>
          <w:snapToGrid w:val="0"/>
          <w:color w:val="auto"/>
          <w:kern w:val="28"/>
          <w:sz w:val="24"/>
          <w:szCs w:val="20"/>
          <w:highlight w:val="none"/>
        </w:rPr>
        <w:t>联合协议（如果有)；</w:t>
      </w:r>
    </w:p>
    <w:p w14:paraId="58CE88C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11.1.3落实政府采购政策需满足的资格要求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691BEDA">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11.1.4本项目的特定资格要求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744F150">
      <w:pPr>
        <w:snapToGrid w:val="0"/>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2商务技术</w:t>
      </w:r>
      <w:r>
        <w:rPr>
          <w:rFonts w:hint="eastAsia" w:ascii="宋体" w:hAnsi="宋体" w:cs="宋体"/>
          <w:color w:val="auto"/>
          <w:sz w:val="24"/>
          <w:highlight w:val="none"/>
          <w:lang w:val="zh-CN"/>
        </w:rPr>
        <w:t>文件：</w:t>
      </w:r>
    </w:p>
    <w:p w14:paraId="65240C9E">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11.2.1投标函；</w:t>
      </w:r>
    </w:p>
    <w:p w14:paraId="584E6C0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364308C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CDD713A">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11.2.4符合性审查资料；</w:t>
      </w:r>
    </w:p>
    <w:p w14:paraId="33305510">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11.2.5评标标准相应的商务技术资料；</w:t>
      </w:r>
    </w:p>
    <w:p w14:paraId="1D4E3FAD">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11.2.6投标标的清单；</w:t>
      </w:r>
    </w:p>
    <w:p w14:paraId="4E549777">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11.2.7商务技术偏离表；</w:t>
      </w:r>
    </w:p>
    <w:p w14:paraId="2CC9EED7">
      <w:pPr>
        <w:snapToGrid w:val="0"/>
        <w:spacing w:line="360" w:lineRule="auto"/>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B45638C">
      <w:pPr>
        <w:snapToGrid w:val="0"/>
        <w:spacing w:line="360" w:lineRule="auto"/>
        <w:ind w:firstLine="480" w:firstLineChars="200"/>
        <w:rPr>
          <w:rFonts w:hint="eastAsia"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p>
    <w:p w14:paraId="634B7665">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0C48441F">
      <w:pPr>
        <w:snapToGrid w:val="0"/>
        <w:spacing w:line="360" w:lineRule="auto"/>
        <w:ind w:firstLine="960" w:firstLineChars="400"/>
        <w:rPr>
          <w:rFonts w:hint="eastAsia" w:ascii="宋体" w:hAnsi="宋体" w:cs="宋体"/>
          <w:color w:val="auto"/>
          <w:sz w:val="24"/>
          <w:szCs w:val="24"/>
          <w:highlight w:val="none"/>
        </w:rPr>
      </w:pPr>
      <w:r>
        <w:rPr>
          <w:rFonts w:hint="eastAsia" w:ascii="宋体" w:hAnsi="宋体" w:cs="宋体"/>
          <w:color w:val="auto"/>
          <w:sz w:val="24"/>
          <w:szCs w:val="24"/>
          <w:highlight w:val="none"/>
        </w:rPr>
        <w:t>11.3.2报价情况说明</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如果有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p>
    <w:p w14:paraId="790F3084">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11.3.3中小企业声明函（如果有）。</w:t>
      </w:r>
    </w:p>
    <w:p w14:paraId="217AFDC1">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注：</w:t>
      </w:r>
    </w:p>
    <w:p w14:paraId="73B84591">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F075869">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10BBF51D">
      <w:pPr>
        <w:spacing w:line="360" w:lineRule="auto"/>
        <w:ind w:firstLine="723" w:firstLineChars="300"/>
        <w:rPr>
          <w:rFonts w:hint="eastAsia" w:ascii="宋体" w:hAnsi="宋体" w:cs="宋体"/>
          <w:b/>
          <w:color w:val="auto"/>
          <w:sz w:val="24"/>
          <w:szCs w:val="21"/>
          <w:highlight w:val="none"/>
        </w:rPr>
      </w:pPr>
      <w:r>
        <w:rPr>
          <w:rFonts w:hint="eastAsia" w:ascii="宋体" w:hAnsi="宋体" w:cs="宋体"/>
          <w:b/>
          <w:color w:val="auto"/>
          <w:sz w:val="24"/>
          <w:highlight w:val="none"/>
        </w:rPr>
        <w:t>投标人应对投标文件中材料的真实性、合法性负责。</w:t>
      </w:r>
    </w:p>
    <w:p w14:paraId="1B6D3E4B">
      <w:pPr>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12. 投标文件的编制</w:t>
      </w:r>
    </w:p>
    <w:p w14:paraId="02D38D41">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764D1AA">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EC0697E">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570A1C6">
      <w:pPr>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13.投标文件的签署、盖章</w:t>
      </w:r>
    </w:p>
    <w:p w14:paraId="60FE4328">
      <w:pPr>
        <w:pStyle w:val="37"/>
        <w:snapToGrid w:val="0"/>
        <w:spacing w:before="0"/>
        <w:ind w:firstLine="480"/>
        <w:rPr>
          <w:rFonts w:hint="eastAsia"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C5A8E85">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98643A4">
      <w:pPr>
        <w:pStyle w:val="37"/>
        <w:snapToGrid w:val="0"/>
        <w:spacing w:before="0"/>
        <w:ind w:firstLine="480"/>
        <w:rPr>
          <w:rFonts w:hint="eastAsia"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E4EEC7A">
      <w:pPr>
        <w:pStyle w:val="37"/>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0E79135A">
      <w:pPr>
        <w:pStyle w:val="37"/>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4B1322B">
      <w:pPr>
        <w:pStyle w:val="37"/>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77C2E56">
      <w:pPr>
        <w:pStyle w:val="37"/>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4F7B636">
      <w:pPr>
        <w:pStyle w:val="1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15.备份投标文件</w:t>
      </w:r>
    </w:p>
    <w:p w14:paraId="68E423FF">
      <w:pPr>
        <w:pStyle w:val="12"/>
        <w:spacing w:line="360" w:lineRule="auto"/>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0B51A2E3">
      <w:pPr>
        <w:pStyle w:val="12"/>
        <w:spacing w:line="360" w:lineRule="auto"/>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6D51CFDA">
      <w:pPr>
        <w:pStyle w:val="1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066E2680">
      <w:pPr>
        <w:pStyle w:val="1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43382E76">
      <w:pPr>
        <w:pStyle w:val="12"/>
        <w:spacing w:line="360" w:lineRule="auto"/>
        <w:ind w:firstLine="479" w:firstLineChars="199"/>
        <w:rPr>
          <w:rFonts w:hint="eastAsia"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3991D282">
      <w:pPr>
        <w:pStyle w:val="37"/>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16.投标文件的无效处理</w:t>
      </w:r>
    </w:p>
    <w:p w14:paraId="2D65E5BC">
      <w:pPr>
        <w:pStyle w:val="11"/>
        <w:spacing w:line="360" w:lineRule="auto"/>
        <w:ind w:firstLine="360" w:firstLineChars="150"/>
        <w:rPr>
          <w:rFonts w:hint="eastAsia" w:cs="宋体"/>
          <w:color w:val="auto"/>
          <w:szCs w:val="21"/>
          <w:highlight w:val="none"/>
        </w:rPr>
      </w:pPr>
      <w:r>
        <w:rPr>
          <w:rFonts w:hint="eastAsia" w:cs="宋体"/>
          <w:color w:val="auto"/>
          <w:szCs w:val="21"/>
          <w:highlight w:val="none"/>
        </w:rPr>
        <w:t>有招标文件第四部分4.2规定的情形之一的，投标无效：</w:t>
      </w:r>
    </w:p>
    <w:p w14:paraId="0B00ED5F">
      <w:pPr>
        <w:pStyle w:val="37"/>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17.投标有效期</w:t>
      </w:r>
    </w:p>
    <w:p w14:paraId="4C7027B9">
      <w:pPr>
        <w:spacing w:line="360" w:lineRule="auto"/>
        <w:ind w:firstLine="480" w:firstLineChars="200"/>
        <w:rPr>
          <w:rFonts w:hint="eastAsia"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93D59CA">
      <w:pPr>
        <w:pStyle w:val="37"/>
        <w:spacing w:before="0"/>
        <w:ind w:firstLine="480"/>
        <w:rPr>
          <w:rFonts w:hint="eastAsia"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75EE316">
      <w:pPr>
        <w:pStyle w:val="37"/>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7AA38F58">
      <w:pPr>
        <w:pStyle w:val="4"/>
        <w:spacing w:line="360" w:lineRule="auto"/>
        <w:ind w:left="0"/>
        <w:rPr>
          <w:rFonts w:hint="eastAsia" w:ascii="宋体" w:hAnsi="宋体" w:eastAsia="宋体"/>
          <w:b w:val="0"/>
          <w:color w:val="auto"/>
          <w:szCs w:val="18"/>
          <w:highlight w:val="none"/>
        </w:rPr>
      </w:pPr>
      <w:r>
        <w:rPr>
          <w:rFonts w:hint="eastAsia" w:ascii="宋体" w:hAnsi="宋体" w:eastAsia="宋体"/>
          <w:color w:val="auto"/>
          <w:szCs w:val="18"/>
          <w:highlight w:val="none"/>
        </w:rPr>
        <w:t>四、开标、资格审查与信用信息查询</w:t>
      </w:r>
    </w:p>
    <w:p w14:paraId="7F7C1F4C">
      <w:pPr>
        <w:pStyle w:val="38"/>
        <w:spacing w:before="0" w:line="360" w:lineRule="auto"/>
        <w:ind w:left="0" w:firstLine="0"/>
        <w:contextualSpacing/>
        <w:rPr>
          <w:rFonts w:hint="eastAsia" w:ascii="宋体" w:hAnsi="宋体" w:cs="宋体"/>
          <w:color w:val="auto"/>
          <w:sz w:val="24"/>
          <w:highlight w:val="none"/>
        </w:rPr>
      </w:pPr>
      <w:r>
        <w:rPr>
          <w:rFonts w:hint="eastAsia" w:ascii="宋体" w:hAnsi="宋体" w:cs="宋体"/>
          <w:b/>
          <w:color w:val="auto"/>
          <w:sz w:val="24"/>
          <w:szCs w:val="24"/>
          <w:highlight w:val="none"/>
        </w:rPr>
        <w:t>18.开标</w:t>
      </w:r>
    </w:p>
    <w:p w14:paraId="5BAF6FE6">
      <w:pPr>
        <w:pStyle w:val="38"/>
        <w:spacing w:before="0" w:line="360" w:lineRule="auto"/>
        <w:ind w:left="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1A955820">
      <w:pPr>
        <w:pStyle w:val="38"/>
        <w:spacing w:before="0" w:line="360" w:lineRule="auto"/>
        <w:ind w:left="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14:paraId="066C42C0">
      <w:pPr>
        <w:pStyle w:val="38"/>
        <w:spacing w:before="0" w:line="360" w:lineRule="auto"/>
        <w:ind w:left="0" w:firstLine="482" w:firstLineChars="200"/>
        <w:contextualSpacing/>
        <w:rPr>
          <w:rFonts w:hint="eastAsia" w:ascii="宋体" w:hAnsi="宋体" w:cs="宋体"/>
          <w:b/>
          <w:color w:val="auto"/>
          <w:sz w:val="24"/>
          <w:highlight w:val="none"/>
        </w:rPr>
      </w:pPr>
      <w:r>
        <w:rPr>
          <w:rFonts w:hint="eastAsia" w:ascii="宋体" w:hAnsi="宋体" w:cs="宋体"/>
          <w:b/>
          <w:bCs/>
          <w:color w:val="auto"/>
          <w:sz w:val="24"/>
          <w:highlight w:val="none"/>
        </w:rPr>
        <w:t>18.3投标</w:t>
      </w:r>
      <w:r>
        <w:rPr>
          <w:rFonts w:hint="eastAsia" w:ascii="宋体" w:hAnsi="宋体" w:cs="宋体"/>
          <w:b/>
          <w:color w:val="auto"/>
          <w:sz w:val="24"/>
          <w:highlight w:val="none"/>
        </w:rPr>
        <w:t>文件未按时解密，投标人提供了备份投标文件的，以备份投标文件作为依据，否则视为投标文件撤回。投标文件已按时解密的，备份投标文件自动失效。</w:t>
      </w:r>
    </w:p>
    <w:p w14:paraId="4B25218B">
      <w:pPr>
        <w:widowControl/>
        <w:spacing w:line="360" w:lineRule="auto"/>
        <w:jc w:val="left"/>
        <w:rPr>
          <w:rFonts w:hint="eastAsia" w:ascii="宋体" w:hAnsi="宋体" w:cs="宋体"/>
          <w:b/>
          <w:color w:val="auto"/>
          <w:sz w:val="24"/>
          <w:szCs w:val="20"/>
          <w:highlight w:val="none"/>
        </w:rPr>
      </w:pPr>
      <w:r>
        <w:rPr>
          <w:rFonts w:hint="eastAsia" w:ascii="宋体" w:hAnsi="宋体" w:cs="宋体"/>
          <w:b/>
          <w:color w:val="auto"/>
          <w:sz w:val="24"/>
          <w:szCs w:val="20"/>
          <w:highlight w:val="none"/>
        </w:rPr>
        <w:t>19</w:t>
      </w:r>
      <w:r>
        <w:rPr>
          <w:rFonts w:hint="eastAsia" w:ascii="宋体" w:hAnsi="宋体" w:cs="宋体"/>
          <w:b/>
          <w:color w:val="auto"/>
          <w:sz w:val="24"/>
          <w:highlight w:val="none"/>
        </w:rPr>
        <w:t>.</w:t>
      </w:r>
      <w:r>
        <w:rPr>
          <w:rFonts w:hint="eastAsia" w:ascii="宋体" w:hAnsi="宋体" w:cs="宋体"/>
          <w:b/>
          <w:color w:val="auto"/>
          <w:sz w:val="24"/>
          <w:szCs w:val="20"/>
          <w:highlight w:val="none"/>
        </w:rPr>
        <w:t>资格审查</w:t>
      </w:r>
    </w:p>
    <w:p w14:paraId="7017B72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4431F43D">
      <w:pPr>
        <w:pStyle w:val="37"/>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65428FA8">
      <w:pPr>
        <w:pStyle w:val="37"/>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449F06FF">
      <w:pPr>
        <w:pStyle w:val="37"/>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382AC356">
      <w:pPr>
        <w:pStyle w:val="37"/>
        <w:adjustRightInd w:val="0"/>
        <w:snapToGrid w:val="0"/>
        <w:spacing w:before="0"/>
        <w:ind w:firstLine="480"/>
        <w:rPr>
          <w:rStyle w:val="26"/>
          <w:rFonts w:hint="eastAsia" w:ascii="宋体" w:hAnsi="宋体" w:cs="宋体"/>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315D76D5">
      <w:pPr>
        <w:pStyle w:val="37"/>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20.信用信息查询</w:t>
      </w:r>
    </w:p>
    <w:p w14:paraId="0DE01FA2">
      <w:pPr>
        <w:pStyle w:val="37"/>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70B7E041">
      <w:pPr>
        <w:pStyle w:val="37"/>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20.2信用信息查询记录和证据留存的具体方式：现场查询的投标人的信用记录、查询结果经确认后将与招标文件一起存档。</w:t>
      </w:r>
    </w:p>
    <w:p w14:paraId="5D4D2173">
      <w:pPr>
        <w:pStyle w:val="37"/>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20.3信用信息的使用规则：经查询列入失信被执行人名单、重大税收违法失信主体、政府采购严重违法失信行为记录名单的投标人将被拒绝参与政府采购活动。</w:t>
      </w:r>
    </w:p>
    <w:p w14:paraId="74BECFE1">
      <w:pPr>
        <w:pStyle w:val="37"/>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133CDF5D">
      <w:pPr>
        <w:pStyle w:val="4"/>
        <w:spacing w:line="360" w:lineRule="auto"/>
        <w:ind w:left="0"/>
        <w:rPr>
          <w:rFonts w:hint="eastAsia" w:ascii="宋体" w:hAnsi="宋体" w:eastAsia="宋体"/>
          <w:b w:val="0"/>
          <w:color w:val="auto"/>
          <w:highlight w:val="none"/>
        </w:rPr>
      </w:pPr>
      <w:r>
        <w:rPr>
          <w:rFonts w:hint="eastAsia" w:ascii="宋体" w:hAnsi="宋体" w:eastAsia="宋体"/>
          <w:color w:val="auto"/>
          <w:highlight w:val="none"/>
        </w:rPr>
        <w:t>五、评标</w:t>
      </w:r>
    </w:p>
    <w:p w14:paraId="5BE11841">
      <w:pPr>
        <w:spacing w:line="360" w:lineRule="auto"/>
        <w:rPr>
          <w:rFonts w:hint="eastAsia" w:ascii="宋体" w:hAnsi="宋体" w:cs="宋体"/>
          <w:b/>
          <w:color w:val="auto"/>
          <w:sz w:val="24"/>
          <w:highlight w:val="none"/>
        </w:rPr>
      </w:pPr>
      <w:bookmarkStart w:id="11" w:name="_Toc91899903"/>
      <w:r>
        <w:rPr>
          <w:rFonts w:hint="eastAsia" w:ascii="宋体" w:hAnsi="宋体" w:cs="宋体"/>
          <w:b/>
          <w:color w:val="auto"/>
          <w:sz w:val="24"/>
          <w:highlight w:val="none"/>
        </w:rPr>
        <w:t>21.</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7B43DB9E">
      <w:pPr>
        <w:pStyle w:val="4"/>
        <w:spacing w:line="360" w:lineRule="auto"/>
        <w:ind w:left="0"/>
        <w:rPr>
          <w:rFonts w:hint="eastAsia" w:ascii="宋体" w:hAnsi="宋体" w:eastAsia="宋体"/>
          <w:b w:val="0"/>
          <w:color w:val="auto"/>
          <w:highlight w:val="none"/>
        </w:rPr>
      </w:pPr>
      <w:r>
        <w:rPr>
          <w:rFonts w:hint="eastAsia" w:ascii="宋体" w:hAnsi="宋体" w:eastAsia="宋体"/>
          <w:color w:val="auto"/>
          <w:highlight w:val="none"/>
        </w:rPr>
        <w:t>六、定标</w:t>
      </w:r>
    </w:p>
    <w:p w14:paraId="48FA6CD7">
      <w:pPr>
        <w:pStyle w:val="11"/>
        <w:spacing w:line="360" w:lineRule="auto"/>
        <w:ind w:left="479" w:hanging="479" w:hangingChars="199"/>
        <w:rPr>
          <w:rFonts w:hint="eastAsia" w:cs="宋体"/>
          <w:b/>
          <w:color w:val="auto"/>
          <w:highlight w:val="none"/>
        </w:rPr>
      </w:pPr>
      <w:r>
        <w:rPr>
          <w:rFonts w:hint="eastAsia" w:cs="宋体"/>
          <w:b/>
          <w:color w:val="auto"/>
          <w:highlight w:val="none"/>
        </w:rPr>
        <w:t>22.确定中标供应商</w:t>
      </w:r>
    </w:p>
    <w:p w14:paraId="2A214147">
      <w:pPr>
        <w:pStyle w:val="37"/>
        <w:adjustRightInd w:val="0"/>
        <w:snapToGrid w:val="0"/>
        <w:spacing w:before="0"/>
        <w:ind w:firstLine="480"/>
        <w:rPr>
          <w:rFonts w:hint="eastAsia"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中标或者成交供应商。中标、成交通知书和中标、成交结果公告应当在规定时间内同时发出。</w:t>
      </w:r>
    </w:p>
    <w:p w14:paraId="03A0A86B">
      <w:pPr>
        <w:pStyle w:val="37"/>
        <w:snapToGrid w:val="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23.中标通知与中标结果公告</w:t>
      </w:r>
    </w:p>
    <w:p w14:paraId="25BA221B">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40CE1143">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2" w:name="_Hlk101184471"/>
      <w:r>
        <w:rPr>
          <w:rFonts w:hint="eastAsia" w:ascii="宋体" w:hAnsi="宋体" w:cs="宋体"/>
          <w:color w:val="auto"/>
          <w:sz w:val="24"/>
          <w:highlight w:val="none"/>
        </w:rPr>
        <w:t>资格审查情况、评审专家抽取规则、符合性审查情况、</w:t>
      </w:r>
      <w:bookmarkEnd w:id="12"/>
      <w:r>
        <w:rPr>
          <w:rFonts w:hint="eastAsia" w:ascii="宋体" w:hAnsi="宋体" w:cs="宋体"/>
          <w:color w:val="auto"/>
          <w:sz w:val="24"/>
          <w:highlight w:val="none"/>
        </w:rPr>
        <w:t>未中标情况说明、中标公告期限以及评审专家名单、评分汇总及明细。</w:t>
      </w:r>
    </w:p>
    <w:p w14:paraId="4987A5F4">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5E0F1A72">
      <w:pPr>
        <w:pStyle w:val="37"/>
        <w:snapToGrid w:val="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24.由于中标、成交供应商原因导致重新采购的，应当承担支付代理费和专家评审费等费用在内的赔偿责任。</w:t>
      </w:r>
    </w:p>
    <w:p w14:paraId="29ACFCDE">
      <w:pPr>
        <w:pStyle w:val="4"/>
        <w:spacing w:line="360" w:lineRule="auto"/>
        <w:ind w:left="0"/>
        <w:rPr>
          <w:rFonts w:hint="eastAsia" w:ascii="宋体" w:hAnsi="宋体" w:eastAsia="宋体"/>
          <w:b w:val="0"/>
          <w:color w:val="auto"/>
          <w:szCs w:val="18"/>
          <w:highlight w:val="none"/>
        </w:rPr>
      </w:pPr>
      <w:r>
        <w:rPr>
          <w:rFonts w:hint="eastAsia" w:ascii="宋体" w:hAnsi="宋体" w:eastAsia="宋体"/>
          <w:color w:val="auto"/>
          <w:szCs w:val="18"/>
          <w:highlight w:val="none"/>
        </w:rPr>
        <w:t>七、合同授予</w:t>
      </w:r>
    </w:p>
    <w:p w14:paraId="2AED34CD">
      <w:pPr>
        <w:pStyle w:val="11"/>
        <w:spacing w:line="360" w:lineRule="auto"/>
        <w:ind w:left="479" w:hanging="479" w:hangingChars="199"/>
        <w:rPr>
          <w:rFonts w:hint="eastAsia" w:cs="宋体"/>
          <w:b/>
          <w:color w:val="auto"/>
          <w:highlight w:val="none"/>
        </w:rPr>
      </w:pPr>
      <w:r>
        <w:rPr>
          <w:rFonts w:hint="eastAsia" w:cs="宋体"/>
          <w:b/>
          <w:color w:val="auto"/>
          <w:highlight w:val="none"/>
        </w:rPr>
        <w:t>25.合同主要条款详见第</w:t>
      </w:r>
      <w:r>
        <w:rPr>
          <w:rFonts w:hint="eastAsia" w:cs="宋体"/>
          <w:b/>
          <w:color w:val="auto"/>
          <w:highlight w:val="none"/>
          <w:lang w:val="en-US" w:eastAsia="zh-CN"/>
        </w:rPr>
        <w:t>五</w:t>
      </w:r>
      <w:r>
        <w:rPr>
          <w:rFonts w:hint="eastAsia" w:cs="宋体"/>
          <w:b/>
          <w:color w:val="auto"/>
          <w:highlight w:val="none"/>
        </w:rPr>
        <w:t>部分拟签订的合同文本。</w:t>
      </w:r>
    </w:p>
    <w:p w14:paraId="1C7D64A6">
      <w:pPr>
        <w:pStyle w:val="11"/>
        <w:spacing w:line="360" w:lineRule="auto"/>
        <w:ind w:left="479" w:hanging="479" w:hangingChars="199"/>
        <w:rPr>
          <w:rFonts w:hint="eastAsia" w:cs="宋体"/>
          <w:b/>
          <w:color w:val="auto"/>
          <w:highlight w:val="none"/>
        </w:rPr>
      </w:pPr>
      <w:r>
        <w:rPr>
          <w:rFonts w:hint="eastAsia" w:cs="宋体"/>
          <w:b/>
          <w:color w:val="auto"/>
          <w:highlight w:val="none"/>
        </w:rPr>
        <w:t>26.合同的签订</w:t>
      </w:r>
    </w:p>
    <w:p w14:paraId="514AA605">
      <w:pPr>
        <w:widowControl/>
        <w:shd w:val="clear" w:color="auto" w:fill="FFFFFF"/>
        <w:spacing w:line="360" w:lineRule="auto"/>
        <w:ind w:firstLine="480"/>
        <w:jc w:val="left"/>
        <w:rPr>
          <w:rFonts w:hint="eastAsia" w:ascii="宋体" w:hAnsi="宋体" w:cs="宋体"/>
          <w:color w:val="auto"/>
          <w:kern w:val="0"/>
          <w:sz w:val="24"/>
          <w:highlight w:val="none"/>
        </w:rPr>
      </w:pPr>
      <w:r>
        <w:rPr>
          <w:rFonts w:hint="eastAsia" w:ascii="宋体" w:hAnsi="宋体" w:cs="宋体"/>
          <w:color w:val="auto"/>
          <w:sz w:val="24"/>
          <w:highlight w:val="none"/>
        </w:rPr>
        <w:t>26.1</w:t>
      </w:r>
      <w:r>
        <w:rPr>
          <w:rFonts w:hint="eastAsia" w:ascii="宋体" w:hAnsi="宋体" w:cs="宋体"/>
          <w:color w:val="auto"/>
          <w:kern w:val="0"/>
          <w:sz w:val="24"/>
          <w:highlight w:val="none"/>
        </w:rPr>
        <w:t>采购人与中标人应当通过电子交易平台在中标通知书发出之日起30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招标文件确定的事项签订政府采购合同。</w:t>
      </w:r>
    </w:p>
    <w:p w14:paraId="231AC8DE">
      <w:pPr>
        <w:pStyle w:val="37"/>
        <w:snapToGrid w:val="0"/>
        <w:spacing w:before="0"/>
        <w:ind w:firstLine="480"/>
        <w:rPr>
          <w:rFonts w:hint="eastAsia" w:ascii="宋体" w:hAnsi="宋体" w:cs="宋体"/>
          <w:color w:val="auto"/>
          <w:kern w:val="0"/>
          <w:highlight w:val="none"/>
        </w:rPr>
      </w:pPr>
      <w:r>
        <w:rPr>
          <w:rFonts w:hint="eastAsia" w:ascii="宋体" w:hAnsi="宋体" w:cs="宋体"/>
          <w:color w:val="auto"/>
          <w:kern w:val="0"/>
          <w:highlight w:val="none"/>
          <w:lang w:val="zh-CN"/>
        </w:rPr>
        <w:t>26.2中标人按规定的日期、时间、地点，由法定代表人或其授权代表与采购人代表签订合同。如中标人为联合体的，由联合体成员各方法定代表人或其授权代表与采购人代表签订合同。</w:t>
      </w:r>
    </w:p>
    <w:p w14:paraId="55FA1D1F">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26.3如签订合同并生效后，供应商无故拒绝或延期，除按照合同条款处理外，列入不良行为记录一次，并给予通报。</w:t>
      </w:r>
    </w:p>
    <w:p w14:paraId="4D83F3CE">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26.4中标供应商拒绝与采购人签订合同的，采购人可以按照评审报告推荐的中标或者成交候选人名单排序，确定下一候选人为中标供应商，也可以重新开展政府采购活动。</w:t>
      </w:r>
    </w:p>
    <w:p w14:paraId="2FDD30A0">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26.5采购合同由采购人与中标供应商根据招标文件、投标文件等内容通过政府采购电子交易平台在线签订，自动备案。</w:t>
      </w:r>
    </w:p>
    <w:p w14:paraId="64285B19">
      <w:pPr>
        <w:pStyle w:val="11"/>
        <w:spacing w:line="360" w:lineRule="auto"/>
        <w:ind w:left="479" w:hanging="479" w:hangingChars="199"/>
        <w:rPr>
          <w:rFonts w:hint="eastAsia" w:cs="宋体"/>
          <w:b/>
          <w:color w:val="auto"/>
          <w:highlight w:val="none"/>
        </w:rPr>
      </w:pPr>
      <w:r>
        <w:rPr>
          <w:rFonts w:hint="eastAsia" w:cs="宋体"/>
          <w:b/>
          <w:color w:val="auto"/>
          <w:highlight w:val="none"/>
        </w:rPr>
        <w:t>27.履约保证金</w:t>
      </w:r>
    </w:p>
    <w:p w14:paraId="31830F42">
      <w:pPr>
        <w:tabs>
          <w:tab w:val="left" w:pos="0"/>
        </w:tabs>
        <w:spacing w:line="360" w:lineRule="auto"/>
        <w:ind w:firstLine="482"/>
        <w:rPr>
          <w:rFonts w:hint="eastAsia"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61214B">
      <w:pPr>
        <w:tabs>
          <w:tab w:val="left" w:pos="0"/>
        </w:tabs>
        <w:spacing w:line="360" w:lineRule="auto"/>
        <w:ind w:firstLine="482"/>
        <w:rPr>
          <w:rFonts w:hint="eastAsia" w:ascii="宋体" w:hAnsi="宋体" w:cs="宋体"/>
          <w:b/>
          <w:bCs/>
          <w:snapToGrid w:val="0"/>
          <w:color w:val="auto"/>
          <w:sz w:val="24"/>
          <w:highlight w:val="none"/>
        </w:rPr>
      </w:pPr>
      <w:r>
        <w:rPr>
          <w:rFonts w:hint="eastAsia" w:ascii="宋体" w:hAnsi="宋体" w:cs="宋体"/>
          <w:color w:val="auto"/>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cs="宋体"/>
          <w:color w:val="auto"/>
          <w:sz w:val="24"/>
          <w:highlight w:val="none"/>
          <w:lang w:eastAsia="zh-CN"/>
        </w:rPr>
        <w:t>95763</w:t>
      </w:r>
      <w:r>
        <w:rPr>
          <w:rFonts w:hint="eastAsia" w:ascii="宋体" w:hAnsi="宋体" w:cs="宋体"/>
          <w:color w:val="auto"/>
          <w:sz w:val="24"/>
          <w:highlight w:val="none"/>
        </w:rPr>
        <w:t>。</w:t>
      </w:r>
    </w:p>
    <w:p w14:paraId="645167AA">
      <w:pPr>
        <w:pStyle w:val="11"/>
        <w:spacing w:line="360" w:lineRule="auto"/>
        <w:ind w:left="479" w:hanging="479" w:hangingChars="199"/>
        <w:rPr>
          <w:rFonts w:hint="eastAsia" w:cs="宋体"/>
          <w:b/>
          <w:color w:val="auto"/>
          <w:highlight w:val="none"/>
        </w:rPr>
      </w:pPr>
      <w:r>
        <w:rPr>
          <w:rFonts w:hint="eastAsia" w:cs="宋体"/>
          <w:b/>
          <w:color w:val="auto"/>
          <w:highlight w:val="none"/>
        </w:rPr>
        <w:t>28.预付款</w:t>
      </w:r>
    </w:p>
    <w:p w14:paraId="417590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保函保险服务】出具预付款保函，具体步骤：选择产品—填写供应商信息—选择中标项目—确认信息—等待保险/保函受理—确认保单—支付保费—成功出单。政采云金融专线</w:t>
      </w:r>
      <w:r>
        <w:rPr>
          <w:rFonts w:hint="eastAsia" w:ascii="宋体" w:hAnsi="宋体" w:cs="宋体"/>
          <w:color w:val="auto"/>
          <w:sz w:val="24"/>
          <w:highlight w:val="none"/>
          <w:lang w:eastAsia="zh-CN"/>
        </w:rPr>
        <w:t>95763</w:t>
      </w:r>
      <w:r>
        <w:rPr>
          <w:rFonts w:hint="eastAsia" w:ascii="宋体" w:hAnsi="宋体" w:cs="宋体"/>
          <w:color w:val="auto"/>
          <w:sz w:val="24"/>
          <w:highlight w:val="none"/>
        </w:rPr>
        <w:t>。</w:t>
      </w:r>
    </w:p>
    <w:p w14:paraId="2A3DB808">
      <w:pPr>
        <w:pStyle w:val="4"/>
        <w:spacing w:line="360" w:lineRule="auto"/>
        <w:ind w:left="0"/>
        <w:rPr>
          <w:rFonts w:hint="eastAsia" w:ascii="宋体" w:hAnsi="宋体" w:eastAsia="宋体"/>
          <w:b w:val="0"/>
          <w:color w:val="auto"/>
          <w:szCs w:val="18"/>
          <w:highlight w:val="none"/>
        </w:rPr>
      </w:pPr>
      <w:r>
        <w:rPr>
          <w:rFonts w:hint="eastAsia" w:ascii="宋体" w:hAnsi="宋体" w:eastAsia="宋体"/>
          <w:color w:val="auto"/>
          <w:szCs w:val="18"/>
          <w:highlight w:val="none"/>
        </w:rPr>
        <w:t>八、电子交易活动的中止</w:t>
      </w:r>
    </w:p>
    <w:p w14:paraId="4A4DD84D">
      <w:pPr>
        <w:pStyle w:val="37"/>
        <w:snapToGrid w:val="0"/>
        <w:spacing w:before="0"/>
        <w:ind w:firstLine="0" w:firstLineChars="0"/>
        <w:rPr>
          <w:rFonts w:hint="eastAsia" w:ascii="宋体" w:hAnsi="宋体" w:cs="宋体"/>
          <w:color w:val="auto"/>
          <w:highlight w:val="none"/>
        </w:rPr>
      </w:pPr>
      <w:r>
        <w:rPr>
          <w:rFonts w:hint="eastAsia" w:ascii="宋体" w:hAnsi="宋体" w:cs="宋体"/>
          <w:b/>
          <w:bCs/>
          <w:color w:val="auto"/>
          <w:highlight w:val="none"/>
        </w:rPr>
        <w:t>2</w:t>
      </w:r>
      <w:r>
        <w:rPr>
          <w:rFonts w:hint="eastAsia" w:ascii="宋体" w:hAnsi="宋体" w:cs="宋体"/>
          <w:b/>
          <w:bCs/>
          <w:color w:val="auto"/>
          <w:szCs w:val="24"/>
          <w:highlight w:val="none"/>
        </w:rPr>
        <w:t>9</w:t>
      </w:r>
      <w:r>
        <w:rPr>
          <w:rFonts w:hint="eastAsia" w:ascii="宋体" w:hAnsi="宋体" w:cs="宋体"/>
          <w:b/>
          <w:color w:val="auto"/>
          <w:szCs w:val="24"/>
          <w:highlight w:val="none"/>
        </w:rPr>
        <w:t>.电子交易活动的中止。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22AD89A7">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29.1电子交易平台发生故障而无法登录访问的；</w:t>
      </w:r>
    </w:p>
    <w:p w14:paraId="5882E127">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29.2电子交易平台应用或数据库出现错误，不能进行正常操作的；</w:t>
      </w:r>
    </w:p>
    <w:p w14:paraId="631B5A9B">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29.3电子交易平台发现严重安全漏洞，有潜在泄密危险的；</w:t>
      </w:r>
    </w:p>
    <w:p w14:paraId="1BB20D54">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29.4病毒发作导致不能进行正常操作的；</w:t>
      </w:r>
    </w:p>
    <w:p w14:paraId="556184EC">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29.5其他无法保证电子交易的公平、公正和安全的情况。</w:t>
      </w:r>
    </w:p>
    <w:p w14:paraId="543CD39C">
      <w:pPr>
        <w:pStyle w:val="37"/>
        <w:snapToGrid w:val="0"/>
        <w:spacing w:before="0"/>
        <w:ind w:firstLine="0" w:firstLineChars="0"/>
        <w:rPr>
          <w:rFonts w:hint="eastAsia" w:ascii="宋体" w:hAnsi="宋体" w:cs="宋体"/>
          <w:color w:val="auto"/>
          <w:highlight w:val="none"/>
        </w:rPr>
      </w:pPr>
      <w:r>
        <w:rPr>
          <w:rFonts w:hint="eastAsia" w:ascii="宋体" w:hAnsi="宋体" w:cs="宋体"/>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14:paraId="380B94B7">
      <w:pPr>
        <w:pStyle w:val="4"/>
        <w:spacing w:line="360" w:lineRule="auto"/>
        <w:ind w:left="0"/>
        <w:rPr>
          <w:rFonts w:hint="eastAsia" w:ascii="宋体" w:hAnsi="宋体" w:eastAsia="宋体"/>
          <w:color w:val="auto"/>
          <w:szCs w:val="18"/>
          <w:highlight w:val="none"/>
        </w:rPr>
      </w:pPr>
      <w:r>
        <w:rPr>
          <w:rFonts w:hint="eastAsia" w:ascii="宋体" w:hAnsi="宋体" w:eastAsia="宋体"/>
          <w:color w:val="auto"/>
          <w:szCs w:val="18"/>
          <w:highlight w:val="none"/>
        </w:rPr>
        <w:t>九、验收</w:t>
      </w:r>
    </w:p>
    <w:p w14:paraId="26BB27AE">
      <w:pPr>
        <w:pStyle w:val="11"/>
        <w:spacing w:line="360" w:lineRule="auto"/>
        <w:ind w:firstLine="0" w:firstLineChars="0"/>
        <w:rPr>
          <w:rFonts w:hint="eastAsia" w:cs="宋体"/>
          <w:b/>
          <w:color w:val="auto"/>
          <w:highlight w:val="none"/>
        </w:rPr>
      </w:pPr>
      <w:r>
        <w:rPr>
          <w:rFonts w:hint="eastAsia" w:cs="宋体"/>
          <w:b/>
          <w:color w:val="auto"/>
          <w:highlight w:val="none"/>
        </w:rPr>
        <w:t>31.验收</w:t>
      </w:r>
    </w:p>
    <w:p w14:paraId="3538E4BF">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23868D0">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31.2采购人可以邀请参加本项目的其他投标人或者第三方机构参与验收。参与验收的投标人或者第三方机构的意见作为验收书的参考资料一并存档。</w:t>
      </w:r>
    </w:p>
    <w:p w14:paraId="10571CE3">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BE946D">
      <w:pPr>
        <w:pStyle w:val="37"/>
        <w:snapToGrid w:val="0"/>
        <w:spacing w:before="0"/>
        <w:ind w:firstLine="480"/>
        <w:rPr>
          <w:rFonts w:hint="eastAsia" w:ascii="宋体" w:hAnsi="宋体" w:cs="宋体"/>
          <w:color w:val="auto"/>
          <w:highlight w:val="none"/>
        </w:rPr>
      </w:pPr>
      <w:r>
        <w:rPr>
          <w:rFonts w:hint="eastAsia" w:ascii="宋体" w:hAnsi="宋体" w:cs="宋体"/>
          <w:color w:val="auto"/>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1"/>
      <w:bookmarkStart w:id="13" w:name="_Hlt68072990"/>
      <w:bookmarkEnd w:id="13"/>
      <w:bookmarkStart w:id="14" w:name="_Hlt74729768"/>
      <w:bookmarkEnd w:id="14"/>
      <w:bookmarkStart w:id="15" w:name="_Hlt68403820"/>
      <w:bookmarkEnd w:id="15"/>
      <w:bookmarkStart w:id="16" w:name="_Hlt68072998"/>
      <w:bookmarkEnd w:id="16"/>
      <w:bookmarkStart w:id="17" w:name="_Hlt68073093"/>
      <w:bookmarkEnd w:id="17"/>
      <w:bookmarkStart w:id="18" w:name="_Hlt75236101"/>
      <w:bookmarkEnd w:id="18"/>
      <w:bookmarkStart w:id="19" w:name="_Hlt75236011"/>
      <w:bookmarkEnd w:id="19"/>
      <w:bookmarkStart w:id="20" w:name="_Hlt75236290"/>
      <w:bookmarkEnd w:id="20"/>
      <w:bookmarkStart w:id="21" w:name="_Hlt74714665"/>
      <w:bookmarkEnd w:id="21"/>
      <w:bookmarkStart w:id="22" w:name="_Hlt74707468"/>
      <w:bookmarkEnd w:id="22"/>
      <w:bookmarkStart w:id="23" w:name="_Hlt68057669"/>
      <w:bookmarkEnd w:id="23"/>
      <w:bookmarkStart w:id="24" w:name="_Hlt74730295"/>
      <w:bookmarkEnd w:id="24"/>
    </w:p>
    <w:p w14:paraId="7EF753F4">
      <w:pPr>
        <w:pStyle w:val="37"/>
        <w:snapToGrid w:val="0"/>
        <w:spacing w:before="0"/>
        <w:ind w:firstLine="480"/>
        <w:rPr>
          <w:rFonts w:hint="eastAsia" w:ascii="宋体" w:hAnsi="宋体" w:cs="宋体"/>
          <w:color w:val="auto"/>
          <w:kern w:val="0"/>
          <w:szCs w:val="24"/>
          <w:highlight w:val="none"/>
        </w:rPr>
      </w:pPr>
      <w:r>
        <w:rPr>
          <w:rFonts w:hint="eastAsia" w:ascii="宋体" w:hAnsi="宋体" w:cs="宋体"/>
          <w:color w:val="auto"/>
          <w:highlight w:val="none"/>
        </w:rPr>
        <w:t>31.5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1C8512A1">
      <w:pPr>
        <w:tabs>
          <w:tab w:val="left" w:pos="0"/>
        </w:tabs>
        <w:spacing w:line="360" w:lineRule="auto"/>
        <w:ind w:firstLine="480"/>
        <w:rPr>
          <w:rFonts w:hint="eastAsia" w:ascii="宋体" w:hAnsi="宋体" w:cs="宋体"/>
          <w:color w:val="auto"/>
          <w:kern w:val="0"/>
          <w:sz w:val="24"/>
          <w:szCs w:val="24"/>
          <w:highlight w:val="none"/>
        </w:rPr>
      </w:pPr>
    </w:p>
    <w:p w14:paraId="03C2F7F9">
      <w:pPr>
        <w:tabs>
          <w:tab w:val="left" w:pos="0"/>
        </w:tabs>
        <w:spacing w:line="360" w:lineRule="auto"/>
        <w:ind w:firstLine="480"/>
        <w:rPr>
          <w:rFonts w:hint="eastAsia" w:ascii="宋体" w:hAnsi="宋体" w:cs="宋体"/>
          <w:color w:val="auto"/>
          <w:kern w:val="0"/>
          <w:sz w:val="24"/>
          <w:szCs w:val="24"/>
          <w:highlight w:val="none"/>
        </w:rPr>
        <w:sectPr>
          <w:footerReference r:id="rId11" w:type="first"/>
          <w:footerReference r:id="rId10" w:type="default"/>
          <w:pgSz w:w="11906" w:h="16838"/>
          <w:pgMar w:top="1417" w:right="1418" w:bottom="1417" w:left="1418" w:header="851" w:footer="992" w:gutter="0"/>
          <w:pgBorders>
            <w:top w:val="none" w:sz="0" w:space="0"/>
            <w:left w:val="none" w:sz="0" w:space="0"/>
            <w:bottom w:val="none" w:sz="0" w:space="0"/>
            <w:right w:val="none" w:sz="0" w:space="0"/>
          </w:pgBorders>
          <w:pgNumType w:fmt="numberInDash" w:start="1"/>
          <w:cols w:space="720" w:num="1"/>
          <w:titlePg/>
          <w:docGrid w:linePitch="312" w:charSpace="0"/>
        </w:sectPr>
      </w:pPr>
    </w:p>
    <w:bookmarkEnd w:id="9"/>
    <w:bookmarkEnd w:id="10"/>
    <w:p w14:paraId="6C29EA96">
      <w:pPr>
        <w:spacing w:line="360" w:lineRule="auto"/>
        <w:jc w:val="center"/>
        <w:outlineLvl w:val="0"/>
        <w:rPr>
          <w:rFonts w:hint="eastAsia" w:ascii="宋体" w:hAnsi="宋体" w:cs="宋体"/>
          <w:b/>
          <w:color w:val="auto"/>
          <w:sz w:val="36"/>
          <w:szCs w:val="36"/>
          <w:highlight w:val="none"/>
        </w:rPr>
      </w:pPr>
      <w:bookmarkStart w:id="25" w:name="第四部分"/>
      <w:r>
        <w:rPr>
          <w:rFonts w:hint="eastAsia" w:ascii="宋体" w:hAnsi="宋体" w:cs="宋体"/>
          <w:b/>
          <w:color w:val="auto"/>
          <w:sz w:val="36"/>
          <w:szCs w:val="36"/>
          <w:highlight w:val="none"/>
        </w:rPr>
        <w:t>第三部分   采购需求</w:t>
      </w:r>
    </w:p>
    <w:p w14:paraId="7349053E">
      <w:pPr>
        <w:pStyle w:val="4"/>
        <w:ind w:left="420"/>
        <w:rPr>
          <w:rFonts w:hint="eastAsia" w:ascii="宋体" w:hAnsi="宋体" w:eastAsia="宋体"/>
          <w:color w:val="auto"/>
          <w:highlight w:val="none"/>
        </w:rPr>
      </w:pPr>
      <w:bookmarkStart w:id="26" w:name="_Toc24395"/>
      <w:bookmarkStart w:id="27" w:name="_Toc530746815"/>
      <w:bookmarkStart w:id="28" w:name="_Toc12960"/>
      <w:r>
        <w:rPr>
          <w:rFonts w:hint="eastAsia" w:ascii="宋体" w:hAnsi="宋体" w:eastAsia="宋体"/>
          <w:color w:val="auto"/>
          <w:highlight w:val="none"/>
        </w:rPr>
        <w:t>一、概况</w:t>
      </w:r>
      <w:bookmarkEnd w:id="26"/>
      <w:bookmarkEnd w:id="27"/>
      <w:bookmarkEnd w:id="28"/>
    </w:p>
    <w:p w14:paraId="2F0EE189">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工程概况</w:t>
      </w:r>
    </w:p>
    <w:p w14:paraId="14FD4A47">
      <w:pPr>
        <w:widowControl/>
        <w:shd w:val="clear" w:color="auto" w:fill="FFFFFF"/>
        <w:wordWrap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扩大杭嘉湖南排八堡排水泵站（以下简称“八堡泵站”）位于杭州市钱塘区下沙街道头格社区，京杭运河二通道一线船闸东侧，列入国务院172项重大水利工程，属社会公益性质水利工程。泵站设5台（其中1台备用）3600ZXQ50-4.3、斜20°安装轴流泵，单泵流量50m</w:t>
      </w:r>
      <w:r>
        <w:rPr>
          <w:rFonts w:hint="eastAsia" w:ascii="宋体" w:hAnsi="宋体" w:cs="宋体"/>
          <w:color w:val="auto"/>
          <w:sz w:val="24"/>
          <w:szCs w:val="24"/>
          <w:highlight w:val="none"/>
          <w:vertAlign w:val="superscript"/>
        </w:rPr>
        <w:t>3</w:t>
      </w:r>
      <w:r>
        <w:rPr>
          <w:rFonts w:hint="eastAsia" w:ascii="宋体" w:hAnsi="宋体" w:cs="宋体"/>
          <w:color w:val="auto"/>
          <w:sz w:val="24"/>
          <w:szCs w:val="24"/>
          <w:highlight w:val="none"/>
        </w:rPr>
        <w:t>/s，设计排水流量200m</w:t>
      </w:r>
      <w:r>
        <w:rPr>
          <w:rFonts w:hint="eastAsia" w:ascii="宋体" w:hAnsi="宋体" w:cs="宋体"/>
          <w:color w:val="auto"/>
          <w:sz w:val="24"/>
          <w:szCs w:val="24"/>
          <w:highlight w:val="none"/>
          <w:vertAlign w:val="superscript"/>
        </w:rPr>
        <w:t>3</w:t>
      </w:r>
      <w:r>
        <w:rPr>
          <w:rFonts w:hint="eastAsia" w:ascii="宋体" w:hAnsi="宋体" w:cs="宋体"/>
          <w:color w:val="auto"/>
          <w:sz w:val="24"/>
          <w:szCs w:val="24"/>
          <w:highlight w:val="none"/>
        </w:rPr>
        <w:t>/s，总装机19MW。工程为大（1）型泵站，工程等别I等，泵站、挡潮排水闸等主要建筑物级别为1级。泵站任务是增加太湖流域水环境容量，促进杭嘉湖东部平原河网水体流动，提高向杭州湾排水能力，改善流域和杭嘉湖东部平原水环境，提高流域和区域防洪排涝和水资源配置能力。</w:t>
      </w:r>
    </w:p>
    <w:p w14:paraId="54E30003">
      <w:pPr>
        <w:pStyle w:val="10"/>
        <w:snapToGrid w:val="0"/>
        <w:ind w:firstLine="480" w:firstLineChars="200"/>
        <w:rPr>
          <w:rFonts w:hint="eastAsia" w:hAnsi="宋体" w:cs="宋体"/>
          <w:color w:val="auto"/>
          <w:szCs w:val="24"/>
          <w:highlight w:val="none"/>
        </w:rPr>
      </w:pPr>
      <w:r>
        <w:rPr>
          <w:rFonts w:hint="eastAsia" w:hAnsi="宋体" w:cs="宋体"/>
          <w:snapToGrid/>
          <w:color w:val="auto"/>
          <w:szCs w:val="24"/>
          <w:highlight w:val="none"/>
          <w:lang w:val="en-US"/>
        </w:rPr>
        <w:t>2023年，受“杜苏芮”、“卡努”等超强台风的外围影响，杭州出现多轮强降雨，八堡排水泵站快速启动防汛应急响应，及时开启泵站机组排涝；2024年，杭州受“暴力梅”袭击，运河水系发生今年第1号洪水，八堡泵站首次开启三台机组排涝；自投入运行以来，工程已累计运行</w:t>
      </w:r>
      <w:r>
        <w:rPr>
          <w:rFonts w:hAnsi="宋体" w:cs="宋体"/>
          <w:snapToGrid/>
          <w:color w:val="auto"/>
          <w:szCs w:val="24"/>
          <w:highlight w:val="none"/>
          <w:lang w:val="en-US"/>
        </w:rPr>
        <w:t>609</w:t>
      </w:r>
      <w:r>
        <w:rPr>
          <w:rFonts w:hint="eastAsia" w:hAnsi="宋体" w:cs="宋体"/>
          <w:snapToGrid/>
          <w:color w:val="auto"/>
          <w:szCs w:val="24"/>
          <w:highlight w:val="none"/>
          <w:lang w:val="en-US"/>
        </w:rPr>
        <w:t>台时，累计排水1.</w:t>
      </w:r>
      <w:r>
        <w:rPr>
          <w:rFonts w:hAnsi="宋体" w:cs="宋体"/>
          <w:snapToGrid/>
          <w:color w:val="auto"/>
          <w:szCs w:val="24"/>
          <w:highlight w:val="none"/>
          <w:lang w:val="en-US"/>
        </w:rPr>
        <w:t>09</w:t>
      </w:r>
      <w:r>
        <w:rPr>
          <w:rFonts w:hint="eastAsia" w:hAnsi="宋体" w:cs="宋体"/>
          <w:snapToGrid/>
          <w:color w:val="auto"/>
          <w:szCs w:val="24"/>
          <w:highlight w:val="none"/>
          <w:lang w:val="en-US"/>
        </w:rPr>
        <w:t>亿立方米。</w:t>
      </w:r>
    </w:p>
    <w:p w14:paraId="586A0807">
      <w:pPr>
        <w:pStyle w:val="5"/>
        <w:spacing w:before="0" w:after="0" w:line="360" w:lineRule="auto"/>
        <w:rPr>
          <w:rFonts w:hint="eastAsia" w:ascii="宋体" w:hAnsi="宋体" w:eastAsia="宋体" w:cs="宋体"/>
          <w:color w:val="auto"/>
          <w:sz w:val="24"/>
          <w:szCs w:val="24"/>
          <w:highlight w:val="none"/>
        </w:rPr>
      </w:pPr>
      <w:bookmarkStart w:id="29" w:name="_Toc465969177"/>
      <w:bookmarkStart w:id="30" w:name="_Toc459911345"/>
      <w:bookmarkStart w:id="31" w:name="_Toc14874"/>
      <w:bookmarkStart w:id="32" w:name="_Toc459912294"/>
      <w:bookmarkStart w:id="33" w:name="_Toc18519"/>
      <w:r>
        <w:rPr>
          <w:rFonts w:hint="eastAsia" w:ascii="宋体" w:hAnsi="宋体" w:eastAsia="宋体" w:cs="宋体"/>
          <w:color w:val="auto"/>
          <w:sz w:val="24"/>
          <w:szCs w:val="24"/>
          <w:highlight w:val="none"/>
        </w:rPr>
        <w:t>1.2 主要建筑物</w:t>
      </w:r>
      <w:bookmarkEnd w:id="29"/>
      <w:bookmarkEnd w:id="30"/>
      <w:bookmarkEnd w:id="31"/>
      <w:bookmarkEnd w:id="32"/>
      <w:bookmarkEnd w:id="33"/>
    </w:p>
    <w:p w14:paraId="54D72FF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工程建筑物主要包括上游引河(进水口、进水明渠、清污机桥、进水箱涵)、主泵房、进出水池、排水箱涵、挡潮排水闸、月雅河节制闸等建筑物。</w:t>
      </w:r>
    </w:p>
    <w:p w14:paraId="291570DE">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1.2.1上游引河</w:t>
      </w:r>
    </w:p>
    <w:p w14:paraId="596CB77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上游引河含进水口、进水明渠、进水箱涵等，中心线长1245.15m，进水口的导航架总长244.63m，桥面宽8m，桥面高程5.6m；进水明渠中心线长1069.6m,河底高程-2.50m，河底宽50m，采用复式断面，C20F50砼重力式挡墙；进水箱涵为钢筋混凝土箱式结构，采用6孔(单孔8m×7m)布置，长138m,箱涵内底标高-2.50m,内顶标高4.50m。</w:t>
      </w:r>
    </w:p>
    <w:p w14:paraId="32253F58">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1.2.2进水池</w:t>
      </w:r>
    </w:p>
    <w:p w14:paraId="0E32AD0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进水池长70m,底宽65.04m,池底高程从-2.50m渐变至-7.538m,采用80cm厚C25F50钢筋砼护底，C25F50钢筋砼空箱式直立挡墙，墙高9.5m～14.538m。</w:t>
      </w:r>
    </w:p>
    <w:p w14:paraId="633AD915">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1.2.3泵房</w:t>
      </w:r>
    </w:p>
    <w:p w14:paraId="0AC89696">
      <w:pPr>
        <w:pStyle w:val="5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泵站主厂房顺水流长55.00m，宽72.56m；副厂房位于主厂房东侧，顺水流长41.0m，宽31.84～38.29m；安装场位于主厂房西侧，顺水流长41.0m，宽21～24.72m；主变压器位于副厂房北侧，顺水流长20.87m，宽16m。</w:t>
      </w:r>
    </w:p>
    <w:p w14:paraId="1F5C9BBA">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1.2.4出水池</w:t>
      </w:r>
    </w:p>
    <w:p w14:paraId="46C8206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出水池长50.0m,底宽65.04m,池底高程从-7.538渐变至1.0m，底部采用80cm厚C25F50钢筋砼护底，C25F50钢筋砼空箱式直立挡墙，墙高为15.054m～9.0m。</w:t>
      </w:r>
    </w:p>
    <w:p w14:paraId="1A5783BF">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1.2.5排水箱涵</w:t>
      </w:r>
    </w:p>
    <w:p w14:paraId="133AD71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排水箱涵中心线长185.3m，用3孔+2孔型式,共5孔，总宽52m（总净宽45m）、净高7.3m，内底标高1.0m。</w:t>
      </w:r>
    </w:p>
    <w:p w14:paraId="57921804">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1.2.6管理房</w:t>
      </w:r>
    </w:p>
    <w:p w14:paraId="5E77EAD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管理房布置于泵站东侧，毗邻月雅路，长度162.00m，宽度21.60m,为钢结构，总建筑面积4679m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w:t>
      </w:r>
    </w:p>
    <w:p w14:paraId="4845842C">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1.2.7挡潮排水闸</w:t>
      </w:r>
    </w:p>
    <w:p w14:paraId="2081422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5孔，单孔净宽7.40m，闸底板标高1.00m。闸室的上游侧布置防汛道路与钱塘江海塘堤顶相接，检修平台高程为10.4m。</w:t>
      </w:r>
    </w:p>
    <w:p w14:paraId="45714EDB">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1.2.8月雅河节制闸</w:t>
      </w:r>
    </w:p>
    <w:p w14:paraId="4A2E1E51">
      <w:pPr>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1孔，净宽5m，底板标高2.00m。</w:t>
      </w:r>
    </w:p>
    <w:p w14:paraId="06E68828">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泵站设备布置</w:t>
      </w:r>
    </w:p>
    <w:p w14:paraId="6A4A1C26">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主机组间位于主厂房的西侧，长72.56m，内装3600ZXQ50-4.3型的斜20°布置的轴流水泵5台，水泵叶轮直径3600mm，单机设计流量50m</w:t>
      </w:r>
      <w:r>
        <w:rPr>
          <w:rFonts w:hint="eastAsia" w:cs="宋体"/>
          <w:snapToGrid w:val="0"/>
          <w:color w:val="auto"/>
          <w:szCs w:val="24"/>
          <w:highlight w:val="none"/>
          <w:vertAlign w:val="superscript"/>
        </w:rPr>
        <w:t>3</w:t>
      </w:r>
      <w:r>
        <w:rPr>
          <w:rFonts w:hint="eastAsia" w:cs="宋体"/>
          <w:snapToGrid w:val="0"/>
          <w:color w:val="auto"/>
          <w:szCs w:val="24"/>
          <w:highlight w:val="none"/>
        </w:rPr>
        <w:t>/s，设计净扬程4.3m，叶片调节范围为－8°～+4°，装机高程-3.80m。水泵配套安装TKS900-8型电动机5台，额定功率为3800kW，额定电压10kV，额定电流253A，电动机转速为750r/min。</w:t>
      </w:r>
    </w:p>
    <w:p w14:paraId="7F13A153">
      <w:pPr>
        <w:pStyle w:val="5"/>
        <w:tabs>
          <w:tab w:val="left" w:pos="709"/>
        </w:tabs>
        <w:spacing w:before="0" w:after="0" w:line="360" w:lineRule="auto"/>
        <w:rPr>
          <w:rFonts w:hint="eastAsia" w:ascii="宋体" w:hAnsi="宋体" w:eastAsia="宋体" w:cs="宋体"/>
          <w:color w:val="auto"/>
          <w:sz w:val="24"/>
          <w:szCs w:val="24"/>
          <w:highlight w:val="none"/>
        </w:rPr>
      </w:pPr>
      <w:bookmarkStart w:id="34" w:name="_Toc465969179"/>
      <w:bookmarkStart w:id="35" w:name="_Toc459911354"/>
      <w:bookmarkStart w:id="36" w:name="_Toc459912295"/>
      <w:bookmarkStart w:id="37" w:name="_Toc22198"/>
      <w:bookmarkStart w:id="38" w:name="_Toc10498"/>
      <w:r>
        <w:rPr>
          <w:rFonts w:hint="eastAsia" w:ascii="宋体" w:hAnsi="宋体" w:eastAsia="宋体" w:cs="宋体"/>
          <w:color w:val="auto"/>
          <w:sz w:val="24"/>
          <w:szCs w:val="24"/>
          <w:highlight w:val="none"/>
        </w:rPr>
        <w:t>1.3.1供配电系统</w:t>
      </w:r>
      <w:bookmarkEnd w:id="34"/>
      <w:bookmarkEnd w:id="35"/>
      <w:bookmarkEnd w:id="36"/>
      <w:bookmarkEnd w:id="37"/>
      <w:bookmarkEnd w:id="38"/>
    </w:p>
    <w:p w14:paraId="758E69F9">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八堡泵站采用双电源供电。1回路接入220KV拾里变35KVⅠ段母线南排间隔，路线长度7.4km；另一回路接入220KV德胜变35KVⅡ段母线新扩间隔，路线长度7.8km，两电源互为备用。</w:t>
      </w:r>
    </w:p>
    <w:p w14:paraId="444F0E31">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主变压器2台，型号为S13-25000/35，额定容量：25000kVA,额定电压:35±2×2.5%/10.5kV,额定电流：</w:t>
      </w:r>
      <w:r>
        <w:rPr>
          <w:rFonts w:hint="eastAsia" w:cs="宋体"/>
          <w:color w:val="auto"/>
          <w:kern w:val="0"/>
          <w:szCs w:val="24"/>
          <w:highlight w:val="none"/>
        </w:rPr>
        <w:t>412.39/1374.64A</w:t>
      </w:r>
      <w:r>
        <w:rPr>
          <w:rFonts w:hint="eastAsia" w:cs="宋体"/>
          <w:snapToGrid w:val="0"/>
          <w:color w:val="auto"/>
          <w:szCs w:val="24"/>
          <w:highlight w:val="none"/>
        </w:rPr>
        <w:t>，位于1#、2#主变室。</w:t>
      </w:r>
    </w:p>
    <w:p w14:paraId="78EA1EB6">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站用电接线：泵站选用4台干式变压器，其中1#站变、办公楼站变接在10kVⅠ段母线上，2#、清污机站变接于10kVII段母线上。其中1#站、2#站用变的互为备用电源办公楼站变主供办公楼用电，清污机站变主要用于清污机、月雅河节制闸用电。站用变：SCB13-1000/10kV变压器2台；SCB13-800/10kV变压器1台，位于副厂房负一层0.4kV开关室；SCB13-200/10kV变压器1台，位于清污机配电室。</w:t>
      </w:r>
    </w:p>
    <w:p w14:paraId="020F3607">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月雅河节制闸供电：由清污机配电房站用配电柜引两回0.4kV电缆线路进行供电，双电源自动切换。</w:t>
      </w:r>
    </w:p>
    <w:p w14:paraId="0FBDB3DE">
      <w:pPr>
        <w:pStyle w:val="5"/>
        <w:tabs>
          <w:tab w:val="left" w:pos="709"/>
        </w:tabs>
        <w:spacing w:before="0" w:after="0" w:line="360" w:lineRule="auto"/>
        <w:rPr>
          <w:rFonts w:hint="eastAsia" w:ascii="宋体" w:hAnsi="宋体" w:eastAsia="宋体" w:cs="宋体"/>
          <w:color w:val="auto"/>
          <w:sz w:val="24"/>
          <w:szCs w:val="24"/>
          <w:highlight w:val="none"/>
        </w:rPr>
      </w:pPr>
      <w:bookmarkStart w:id="39" w:name="_Toc15652"/>
      <w:bookmarkStart w:id="40" w:name="_Toc459911355"/>
      <w:bookmarkStart w:id="41" w:name="_Toc465969180"/>
      <w:bookmarkStart w:id="42" w:name="_Toc17538"/>
      <w:bookmarkStart w:id="43" w:name="_Toc459912296"/>
      <w:r>
        <w:rPr>
          <w:rFonts w:hint="eastAsia" w:ascii="宋体" w:hAnsi="宋体" w:eastAsia="宋体" w:cs="宋体"/>
          <w:color w:val="auto"/>
          <w:sz w:val="24"/>
          <w:szCs w:val="24"/>
          <w:highlight w:val="none"/>
        </w:rPr>
        <w:t>1.3.2继电保护系统</w:t>
      </w:r>
      <w:bookmarkEnd w:id="39"/>
      <w:bookmarkEnd w:id="40"/>
      <w:bookmarkEnd w:id="41"/>
      <w:bookmarkEnd w:id="42"/>
      <w:bookmarkEnd w:id="43"/>
    </w:p>
    <w:p w14:paraId="4AF1B85C">
      <w:pPr>
        <w:pStyle w:val="11"/>
        <w:tabs>
          <w:tab w:val="left" w:pos="3025"/>
        </w:tabs>
        <w:snapToGrid w:val="0"/>
        <w:spacing w:line="360" w:lineRule="auto"/>
        <w:rPr>
          <w:rFonts w:hint="eastAsia" w:cs="宋体"/>
          <w:color w:val="auto"/>
          <w:szCs w:val="24"/>
          <w:highlight w:val="none"/>
        </w:rPr>
      </w:pPr>
      <w:r>
        <w:rPr>
          <w:rFonts w:hint="eastAsia" w:cs="宋体"/>
          <w:color w:val="auto"/>
          <w:szCs w:val="24"/>
          <w:highlight w:val="none"/>
        </w:rPr>
        <w:t>同步电动机：采用</w:t>
      </w:r>
      <w:r>
        <w:rPr>
          <w:rFonts w:hint="eastAsia" w:cs="宋体"/>
          <w:color w:val="auto"/>
          <w:kern w:val="0"/>
          <w:szCs w:val="24"/>
          <w:highlight w:val="none"/>
        </w:rPr>
        <w:t>NSR-3661</w:t>
      </w:r>
      <w:r>
        <w:rPr>
          <w:rFonts w:hint="eastAsia" w:cs="宋体"/>
          <w:color w:val="auto"/>
          <w:szCs w:val="24"/>
          <w:highlight w:val="none"/>
        </w:rPr>
        <w:t>、</w:t>
      </w:r>
      <w:r>
        <w:rPr>
          <w:rFonts w:hint="eastAsia" w:cs="宋体"/>
          <w:color w:val="auto"/>
          <w:kern w:val="0"/>
          <w:szCs w:val="24"/>
          <w:highlight w:val="none"/>
        </w:rPr>
        <w:t>NSR-3661</w:t>
      </w:r>
      <w:r>
        <w:rPr>
          <w:rFonts w:hint="eastAsia" w:cs="宋体"/>
          <w:color w:val="auto"/>
          <w:szCs w:val="24"/>
          <w:highlight w:val="none"/>
        </w:rPr>
        <w:t>和</w:t>
      </w:r>
      <w:r>
        <w:rPr>
          <w:rFonts w:hint="eastAsia" w:cs="宋体"/>
          <w:color w:val="auto"/>
          <w:kern w:val="0"/>
          <w:szCs w:val="24"/>
          <w:highlight w:val="none"/>
        </w:rPr>
        <w:t>NSR-3653</w:t>
      </w:r>
      <w:r>
        <w:rPr>
          <w:rFonts w:hint="eastAsia" w:cs="宋体"/>
          <w:color w:val="auto"/>
          <w:szCs w:val="24"/>
          <w:highlight w:val="none"/>
        </w:rPr>
        <w:t>共3套保护装置，设有差动保护、过负荷保护、低电压保护、接地保护、堵转保护、失磁保护、失步及不平衡等保护。</w:t>
      </w:r>
    </w:p>
    <w:p w14:paraId="2525A68F">
      <w:pPr>
        <w:pStyle w:val="11"/>
        <w:tabs>
          <w:tab w:val="left" w:pos="3025"/>
        </w:tabs>
        <w:snapToGrid w:val="0"/>
        <w:spacing w:line="360" w:lineRule="auto"/>
        <w:rPr>
          <w:rFonts w:hint="eastAsia" w:cs="宋体"/>
          <w:color w:val="auto"/>
          <w:szCs w:val="24"/>
          <w:highlight w:val="none"/>
        </w:rPr>
      </w:pPr>
      <w:r>
        <w:rPr>
          <w:rFonts w:hint="eastAsia" w:cs="宋体"/>
          <w:color w:val="auto"/>
          <w:szCs w:val="24"/>
          <w:highlight w:val="none"/>
        </w:rPr>
        <w:t>主变压器：采用</w:t>
      </w:r>
      <w:r>
        <w:rPr>
          <w:rFonts w:hint="eastAsia" w:cs="宋体"/>
          <w:color w:val="auto"/>
          <w:kern w:val="0"/>
          <w:szCs w:val="24"/>
          <w:highlight w:val="none"/>
        </w:rPr>
        <w:t>NSR-378LD-DC220V-5A</w:t>
      </w:r>
      <w:r>
        <w:rPr>
          <w:rFonts w:hint="eastAsia" w:cs="宋体"/>
          <w:color w:val="auto"/>
          <w:szCs w:val="24"/>
          <w:highlight w:val="none"/>
        </w:rPr>
        <w:t>、</w:t>
      </w:r>
      <w:r>
        <w:rPr>
          <w:rFonts w:hint="eastAsia" w:cs="宋体"/>
          <w:color w:val="auto"/>
          <w:kern w:val="0"/>
          <w:szCs w:val="24"/>
          <w:highlight w:val="none"/>
        </w:rPr>
        <w:t>NSR-3853-DC220V</w:t>
      </w:r>
      <w:r>
        <w:rPr>
          <w:rFonts w:hint="eastAsia" w:cs="宋体"/>
          <w:color w:val="auto"/>
          <w:szCs w:val="24"/>
          <w:highlight w:val="none"/>
        </w:rPr>
        <w:t>和</w:t>
      </w:r>
      <w:r>
        <w:rPr>
          <w:rFonts w:hint="eastAsia" w:cs="宋体"/>
          <w:color w:val="auto"/>
          <w:kern w:val="0"/>
          <w:szCs w:val="24"/>
          <w:highlight w:val="none"/>
        </w:rPr>
        <w:t>NSR-378LR-6058-DC220V-5A</w:t>
      </w:r>
      <w:r>
        <w:rPr>
          <w:rFonts w:hint="eastAsia" w:cs="宋体"/>
          <w:color w:val="auto"/>
          <w:szCs w:val="24"/>
          <w:highlight w:val="none"/>
        </w:rPr>
        <w:t>共3套保护装置，设有差动保护、过电流保护、过负荷保护、零序过电压保护和非电量保护等。</w:t>
      </w:r>
    </w:p>
    <w:p w14:paraId="3CC4D6BB">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站用变压器：采用</w:t>
      </w:r>
      <w:r>
        <w:rPr>
          <w:rFonts w:hint="eastAsia" w:cs="宋体"/>
          <w:color w:val="auto"/>
          <w:kern w:val="0"/>
          <w:szCs w:val="24"/>
          <w:highlight w:val="none"/>
        </w:rPr>
        <w:t>NSP784-R</w:t>
      </w:r>
      <w:r>
        <w:rPr>
          <w:rFonts w:hint="eastAsia" w:cs="宋体"/>
          <w:snapToGrid w:val="0"/>
          <w:color w:val="auto"/>
          <w:szCs w:val="24"/>
          <w:highlight w:val="none"/>
        </w:rPr>
        <w:t>保护装置，设有电流速断、过电流、二次侧单相接地及过负荷等保护。</w:t>
      </w:r>
    </w:p>
    <w:p w14:paraId="3B06C74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snapToGrid w:val="0"/>
          <w:color w:val="auto"/>
          <w:sz w:val="24"/>
          <w:szCs w:val="24"/>
          <w:highlight w:val="none"/>
        </w:rPr>
        <w:t>母联：备用电源自动投入、分段开关过流保护、分段开关过流加速段保护、联切负荷功能、I、II段母线PT断线告警，并配置断路器操作回路。</w:t>
      </w:r>
    </w:p>
    <w:p w14:paraId="38D73B04">
      <w:pPr>
        <w:pStyle w:val="5"/>
        <w:tabs>
          <w:tab w:val="left" w:pos="709"/>
        </w:tabs>
        <w:spacing w:before="0" w:after="0" w:line="360" w:lineRule="auto"/>
        <w:rPr>
          <w:rFonts w:hint="eastAsia" w:ascii="宋体" w:hAnsi="宋体" w:eastAsia="宋体" w:cs="宋体"/>
          <w:color w:val="auto"/>
          <w:sz w:val="24"/>
          <w:szCs w:val="24"/>
          <w:highlight w:val="none"/>
        </w:rPr>
      </w:pPr>
      <w:bookmarkStart w:id="44" w:name="_Toc74645407"/>
      <w:bookmarkStart w:id="45" w:name="_Toc459912297"/>
      <w:bookmarkStart w:id="46" w:name="_Toc417907388"/>
      <w:bookmarkStart w:id="47" w:name="_Toc9191"/>
      <w:bookmarkStart w:id="48" w:name="_Toc12899"/>
      <w:bookmarkStart w:id="49" w:name="_Toc465969181"/>
      <w:bookmarkStart w:id="50" w:name="_Toc459911356"/>
      <w:r>
        <w:rPr>
          <w:rFonts w:hint="eastAsia" w:ascii="宋体" w:hAnsi="宋体" w:eastAsia="宋体" w:cs="宋体"/>
          <w:color w:val="auto"/>
          <w:sz w:val="24"/>
          <w:szCs w:val="24"/>
          <w:highlight w:val="none"/>
        </w:rPr>
        <w:t>1.3.3辅机系统</w:t>
      </w:r>
      <w:bookmarkEnd w:id="44"/>
      <w:bookmarkEnd w:id="45"/>
      <w:bookmarkEnd w:id="46"/>
      <w:bookmarkEnd w:id="47"/>
      <w:bookmarkEnd w:id="48"/>
      <w:bookmarkEnd w:id="49"/>
      <w:bookmarkEnd w:id="50"/>
    </w:p>
    <w:p w14:paraId="751B751A">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技术供水：采用水泵单元——集中供水方式，5台泵组共设7台技术供水泵（型式为自吸离心泵，设计流量70m</w:t>
      </w:r>
      <w:r>
        <w:rPr>
          <w:rFonts w:hint="eastAsia" w:cs="宋体"/>
          <w:snapToGrid w:val="0"/>
          <w:color w:val="auto"/>
          <w:szCs w:val="24"/>
          <w:highlight w:val="none"/>
          <w:vertAlign w:val="superscript"/>
        </w:rPr>
        <w:t>3</w:t>
      </w:r>
      <w:r>
        <w:rPr>
          <w:rFonts w:hint="eastAsia" w:cs="宋体"/>
          <w:snapToGrid w:val="0"/>
          <w:color w:val="auto"/>
          <w:szCs w:val="24"/>
          <w:highlight w:val="none"/>
        </w:rPr>
        <w:t>/h，设计扬程45m，配套电机功率18.5kW），其中一组为2用1备，设置1台粗滤器和2台精滤器，供1#和2#斜轴泵组；另一组为3用1备，设置1台粗滤器和2台精滤器，供3#~5#斜轴泵组。泵组技术供水部位包括水泵主轴密封供水、水泵推力轴承冷却供水、齿轮减速箱油冷却器供水和电动机空气冷却器供水等。外接自来水作为技术供水的备用水源。</w:t>
      </w:r>
    </w:p>
    <w:p w14:paraId="7DF78BE0">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排水系统包括渗漏排水系统和检修排水系统。</w:t>
      </w:r>
    </w:p>
    <w:p w14:paraId="4FB29F56">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厂房渗漏排水系统：主要由渗漏集水井和排水泵组成，集水井的有效容积为40m</w:t>
      </w:r>
      <w:r>
        <w:rPr>
          <w:rFonts w:hint="eastAsia" w:cs="宋体"/>
          <w:snapToGrid w:val="0"/>
          <w:color w:val="auto"/>
          <w:szCs w:val="24"/>
          <w:highlight w:val="none"/>
          <w:vertAlign w:val="superscript"/>
        </w:rPr>
        <w:t>3</w:t>
      </w:r>
      <w:r>
        <w:rPr>
          <w:rFonts w:hint="eastAsia" w:cs="宋体"/>
          <w:snapToGrid w:val="0"/>
          <w:color w:val="auto"/>
          <w:szCs w:val="24"/>
          <w:highlight w:val="none"/>
        </w:rPr>
        <w:t>。渗漏集水井内的水通过2台潜水泵（设计流量100m</w:t>
      </w:r>
      <w:r>
        <w:rPr>
          <w:rFonts w:hint="eastAsia" w:cs="宋体"/>
          <w:snapToGrid w:val="0"/>
          <w:color w:val="auto"/>
          <w:szCs w:val="24"/>
          <w:highlight w:val="none"/>
          <w:vertAlign w:val="superscript"/>
        </w:rPr>
        <w:t>3</w:t>
      </w:r>
      <w:r>
        <w:rPr>
          <w:rFonts w:hint="eastAsia" w:cs="宋体"/>
          <w:snapToGrid w:val="0"/>
          <w:color w:val="auto"/>
          <w:szCs w:val="24"/>
          <w:highlight w:val="none"/>
        </w:rPr>
        <w:t>/h，设计扬程25m，配套电机功率18.5kW）排到出水池侧，水泵的启动由液位信号器自动控制，2台水泵互为备用。</w:t>
      </w:r>
    </w:p>
    <w:p w14:paraId="3EBD303A">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检修排水系统：为泵组检修时排除水泵进、出水流道内的积水。检修排水系统主要由DN250排水支管、DN300排水总管、控制阀门和检修排水泵组成。检修排水系统按同一时间仅1台泵组进行检修设置。当某一台泵组需要检修时，打开相应连通泵组进、出水流道底部排水管路上的排水阀，先自流至排水总管，然后通过检修排水泵将水排至内河侧进水池。检修排水泵共设置2台（管道式离心泵，设计流量300m</w:t>
      </w:r>
      <w:r>
        <w:rPr>
          <w:rFonts w:hint="eastAsia" w:ascii="宋体" w:hAnsi="宋体" w:cs="宋体"/>
          <w:snapToGrid w:val="0"/>
          <w:color w:val="auto"/>
          <w:sz w:val="24"/>
          <w:szCs w:val="24"/>
          <w:highlight w:val="none"/>
          <w:vertAlign w:val="superscript"/>
        </w:rPr>
        <w:t>3</w:t>
      </w:r>
      <w:r>
        <w:rPr>
          <w:rFonts w:hint="eastAsia" w:ascii="宋体" w:hAnsi="宋体" w:cs="宋体"/>
          <w:snapToGrid w:val="0"/>
          <w:color w:val="auto"/>
          <w:sz w:val="24"/>
          <w:szCs w:val="24"/>
          <w:highlight w:val="none"/>
        </w:rPr>
        <w:t>/h，设计扬程12m，配套电机功率22kW）。</w:t>
      </w:r>
    </w:p>
    <w:p w14:paraId="1989227D">
      <w:pPr>
        <w:pStyle w:val="5"/>
        <w:tabs>
          <w:tab w:val="left" w:pos="709"/>
        </w:tabs>
        <w:spacing w:before="0" w:after="0" w:line="360" w:lineRule="auto"/>
        <w:rPr>
          <w:rFonts w:hint="eastAsia" w:ascii="宋体" w:hAnsi="宋体" w:eastAsia="宋体" w:cs="宋体"/>
          <w:color w:val="auto"/>
          <w:sz w:val="24"/>
          <w:szCs w:val="24"/>
          <w:highlight w:val="none"/>
        </w:rPr>
      </w:pPr>
      <w:bookmarkStart w:id="51" w:name="_Toc459912298"/>
      <w:bookmarkStart w:id="52" w:name="_Toc459911359"/>
      <w:bookmarkStart w:id="53" w:name="_Toc6729"/>
      <w:bookmarkStart w:id="54" w:name="_Toc465969182"/>
      <w:bookmarkStart w:id="55" w:name="_Toc1100"/>
      <w:r>
        <w:rPr>
          <w:rFonts w:hint="eastAsia" w:ascii="宋体" w:hAnsi="宋体" w:eastAsia="宋体" w:cs="宋体"/>
          <w:color w:val="auto"/>
          <w:sz w:val="24"/>
          <w:szCs w:val="24"/>
          <w:highlight w:val="none"/>
        </w:rPr>
        <w:t>1.3.4 计算机监控系统</w:t>
      </w:r>
      <w:bookmarkEnd w:id="51"/>
      <w:bookmarkEnd w:id="52"/>
      <w:bookmarkEnd w:id="53"/>
      <w:bookmarkEnd w:id="54"/>
      <w:bookmarkEnd w:id="55"/>
    </w:p>
    <w:p w14:paraId="344B4EED">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泵站计算机监控系统采用开放式、分层分布式结构的计算机监控系统。中控室设置2台主机兼操作员工作站，1台集控工作站，3台应用工作站，1台视频工作站，1台工程师工作站，1台通信工作站，1台状态监测工作站，现地单元控制层按被控对象配置5套泵组LCU、2套公用LCU、2套挡潮排水闸LCU、1套月雅河节制闸LCU。系统采用双星形网，通讯传输的介质为光缆，传输的速率为100Mbit/s，通讯规约为TCP/IP。</w:t>
      </w:r>
    </w:p>
    <w:p w14:paraId="3BAA98DF">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系统功能应由现地级和站控级协作完成。分布在现地级的各现地控制单元（LCU）负责对主机组、公用及辅机、变配电、闸门等设备进行就地测量、监视，并向监控主机发送各种数据和信息，同时接受监控主机发来的控制命令和参数，完成控制逻辑的实施；站控级的各计算机实现全站的运行监视、事件报警、数据统计和记录、与上级系统通信等功能。</w:t>
      </w:r>
    </w:p>
    <w:p w14:paraId="4DEE1417">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为确保时间统一性设1套全球定位系统时钟（GPS+北斗卫星）作为系统的基准时钟。</w:t>
      </w:r>
    </w:p>
    <w:p w14:paraId="7E7AC806">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为网络安全在泵站控制区与管理区之间设横向隔离装置。</w:t>
      </w:r>
    </w:p>
    <w:p w14:paraId="7119EAB5">
      <w:pPr>
        <w:pStyle w:val="5"/>
        <w:tabs>
          <w:tab w:val="left" w:pos="709"/>
        </w:tabs>
        <w:spacing w:before="0" w:after="0" w:line="360" w:lineRule="auto"/>
        <w:rPr>
          <w:rFonts w:hint="eastAsia" w:ascii="宋体" w:hAnsi="宋体" w:eastAsia="宋体" w:cs="宋体"/>
          <w:color w:val="auto"/>
          <w:sz w:val="24"/>
          <w:szCs w:val="24"/>
          <w:highlight w:val="none"/>
        </w:rPr>
      </w:pPr>
      <w:bookmarkStart w:id="56" w:name="_Toc15504"/>
      <w:bookmarkStart w:id="57" w:name="_Toc20486"/>
      <w:bookmarkStart w:id="58" w:name="_Toc465969183"/>
      <w:bookmarkStart w:id="59" w:name="_Toc459911360"/>
      <w:bookmarkStart w:id="60" w:name="_Toc459912299"/>
      <w:r>
        <w:rPr>
          <w:rFonts w:hint="eastAsia" w:ascii="宋体" w:hAnsi="宋体" w:eastAsia="宋体" w:cs="宋体"/>
          <w:color w:val="auto"/>
          <w:sz w:val="24"/>
          <w:szCs w:val="24"/>
          <w:highlight w:val="none"/>
        </w:rPr>
        <w:t>1.3.5直流系统</w:t>
      </w:r>
      <w:bookmarkEnd w:id="56"/>
      <w:bookmarkEnd w:id="57"/>
      <w:bookmarkEnd w:id="58"/>
      <w:bookmarkEnd w:id="59"/>
      <w:bookmarkEnd w:id="60"/>
    </w:p>
    <w:p w14:paraId="43F73A58">
      <w:pPr>
        <w:pStyle w:val="11"/>
        <w:tabs>
          <w:tab w:val="left" w:pos="3025"/>
        </w:tabs>
        <w:snapToGrid w:val="0"/>
        <w:spacing w:line="360" w:lineRule="auto"/>
        <w:rPr>
          <w:rFonts w:hint="eastAsia" w:cs="宋体"/>
          <w:snapToGrid w:val="0"/>
          <w:color w:val="auto"/>
          <w:szCs w:val="24"/>
          <w:highlight w:val="none"/>
        </w:rPr>
      </w:pPr>
      <w:r>
        <w:rPr>
          <w:rFonts w:hint="eastAsia" w:cs="宋体"/>
          <w:snapToGrid w:val="0"/>
          <w:color w:val="auto"/>
          <w:szCs w:val="24"/>
          <w:highlight w:val="none"/>
        </w:rPr>
        <w:t>泵站控制电源电压为直流220V，选用一套200Ah（德国原装进口阳光牌A600型）酸性全封闭免维护蓄电池成套装置，供泵站的控制、保护、信号的直流用电。逆变电源的额定容量为3kVA不间断电源。</w:t>
      </w:r>
    </w:p>
    <w:p w14:paraId="14445B59">
      <w:pPr>
        <w:pStyle w:val="5"/>
        <w:tabs>
          <w:tab w:val="left" w:pos="709"/>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1.3.6工程主要技术参数表</w:t>
      </w:r>
    </w:p>
    <w:p w14:paraId="6579C2CF">
      <w:pPr>
        <w:pStyle w:val="11"/>
        <w:tabs>
          <w:tab w:val="left" w:pos="3025"/>
        </w:tabs>
        <w:snapToGrid w:val="0"/>
        <w:ind w:firstLine="0" w:firstLineChars="0"/>
        <w:jc w:val="center"/>
        <w:rPr>
          <w:rFonts w:hint="eastAsia" w:cs="宋体"/>
          <w:b/>
          <w:color w:val="auto"/>
          <w:highlight w:val="none"/>
        </w:rPr>
      </w:pPr>
      <w:r>
        <w:rPr>
          <w:rFonts w:hint="eastAsia" w:cs="宋体"/>
          <w:b/>
          <w:color w:val="auto"/>
          <w:highlight w:val="none"/>
        </w:rPr>
        <w:t>表1.3.6   工程主要技术参数表</w:t>
      </w:r>
    </w:p>
    <w:tbl>
      <w:tblPr>
        <w:tblStyle w:val="20"/>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1"/>
        <w:gridCol w:w="869"/>
        <w:gridCol w:w="956"/>
        <w:gridCol w:w="951"/>
        <w:gridCol w:w="880"/>
        <w:gridCol w:w="1321"/>
        <w:gridCol w:w="882"/>
        <w:gridCol w:w="1208"/>
        <w:gridCol w:w="1107"/>
      </w:tblGrid>
      <w:tr w14:paraId="192B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2A1DF08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工程名称</w:t>
            </w:r>
          </w:p>
        </w:tc>
        <w:tc>
          <w:tcPr>
            <w:tcW w:w="1907" w:type="dxa"/>
            <w:gridSpan w:val="2"/>
            <w:vAlign w:val="center"/>
          </w:tcPr>
          <w:p w14:paraId="4BF58F9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扩大杭嘉湖南排八堡排水泵站</w:t>
            </w:r>
          </w:p>
        </w:tc>
        <w:tc>
          <w:tcPr>
            <w:tcW w:w="880" w:type="dxa"/>
            <w:vAlign w:val="center"/>
          </w:tcPr>
          <w:p w14:paraId="67B8DB9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所在地</w:t>
            </w:r>
          </w:p>
        </w:tc>
        <w:tc>
          <w:tcPr>
            <w:tcW w:w="4518" w:type="dxa"/>
            <w:gridSpan w:val="4"/>
            <w:vAlign w:val="center"/>
          </w:tcPr>
          <w:p w14:paraId="34C733A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杭州市钱塘区八堡船闸以东</w:t>
            </w:r>
          </w:p>
        </w:tc>
      </w:tr>
      <w:tr w14:paraId="645E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5EB3622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所在河流</w:t>
            </w:r>
          </w:p>
        </w:tc>
        <w:tc>
          <w:tcPr>
            <w:tcW w:w="2787" w:type="dxa"/>
            <w:gridSpan w:val="3"/>
            <w:vAlign w:val="center"/>
          </w:tcPr>
          <w:p w14:paraId="765ED8F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运河二通道与钱塘江交汇口</w:t>
            </w:r>
          </w:p>
        </w:tc>
        <w:tc>
          <w:tcPr>
            <w:tcW w:w="2203" w:type="dxa"/>
            <w:gridSpan w:val="2"/>
            <w:vAlign w:val="center"/>
          </w:tcPr>
          <w:p w14:paraId="6F8E623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运用性质</w:t>
            </w:r>
          </w:p>
        </w:tc>
        <w:tc>
          <w:tcPr>
            <w:tcW w:w="2315" w:type="dxa"/>
            <w:gridSpan w:val="2"/>
            <w:vAlign w:val="center"/>
          </w:tcPr>
          <w:p w14:paraId="74E02D3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提高流域和区域防洪排涝和水资源配置能力</w:t>
            </w:r>
          </w:p>
        </w:tc>
      </w:tr>
      <w:tr w14:paraId="648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7D00CD4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管理范围</w:t>
            </w:r>
          </w:p>
        </w:tc>
        <w:tc>
          <w:tcPr>
            <w:tcW w:w="7305" w:type="dxa"/>
            <w:gridSpan w:val="7"/>
            <w:vAlign w:val="center"/>
          </w:tcPr>
          <w:p w14:paraId="259E3E59">
            <w:pPr>
              <w:pStyle w:val="55"/>
              <w:snapToGrid w:val="0"/>
              <w:rPr>
                <w:rFonts w:hint="eastAsia" w:ascii="宋体" w:hAnsi="宋体" w:eastAsia="宋体" w:cs="宋体"/>
                <w:color w:val="auto"/>
                <w:sz w:val="21"/>
                <w:highlight w:val="none"/>
              </w:rPr>
            </w:pPr>
            <w:r>
              <w:rPr>
                <w:rFonts w:hint="eastAsia" w:ascii="宋体" w:hAnsi="宋体" w:eastAsia="宋体" w:cs="宋体"/>
                <w:snapToGrid w:val="0"/>
                <w:color w:val="auto"/>
                <w:sz w:val="21"/>
                <w:highlight w:val="none"/>
              </w:rPr>
              <w:t>导航架、引河、月雅河节制闸、清污机桥、进水箱涵、前池、泵站、出水池、排水箱涵、挡潮排水闸等</w:t>
            </w:r>
          </w:p>
        </w:tc>
      </w:tr>
      <w:tr w14:paraId="4B8E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1760" w:type="dxa"/>
            <w:gridSpan w:val="2"/>
            <w:vAlign w:val="center"/>
          </w:tcPr>
          <w:p w14:paraId="699BD07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泵站规模</w:t>
            </w:r>
          </w:p>
        </w:tc>
        <w:tc>
          <w:tcPr>
            <w:tcW w:w="956" w:type="dxa"/>
            <w:vAlign w:val="center"/>
          </w:tcPr>
          <w:p w14:paraId="7B0B486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大（1）型</w:t>
            </w:r>
          </w:p>
        </w:tc>
        <w:tc>
          <w:tcPr>
            <w:tcW w:w="951" w:type="dxa"/>
            <w:vAlign w:val="center"/>
          </w:tcPr>
          <w:p w14:paraId="130D809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泵站等级</w:t>
            </w:r>
          </w:p>
        </w:tc>
        <w:tc>
          <w:tcPr>
            <w:tcW w:w="880" w:type="dxa"/>
            <w:vAlign w:val="center"/>
          </w:tcPr>
          <w:p w14:paraId="7690632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Ⅰ</w:t>
            </w:r>
          </w:p>
        </w:tc>
        <w:tc>
          <w:tcPr>
            <w:tcW w:w="1321" w:type="dxa"/>
            <w:vAlign w:val="center"/>
          </w:tcPr>
          <w:p w14:paraId="1AA4373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主要建筑物等级</w:t>
            </w:r>
          </w:p>
        </w:tc>
        <w:tc>
          <w:tcPr>
            <w:tcW w:w="882" w:type="dxa"/>
            <w:vAlign w:val="center"/>
          </w:tcPr>
          <w:p w14:paraId="310D865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1级</w:t>
            </w:r>
          </w:p>
        </w:tc>
        <w:tc>
          <w:tcPr>
            <w:tcW w:w="1208" w:type="dxa"/>
            <w:vAlign w:val="center"/>
          </w:tcPr>
          <w:p w14:paraId="50DA05B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建筑物防洪标准</w:t>
            </w:r>
          </w:p>
        </w:tc>
        <w:tc>
          <w:tcPr>
            <w:tcW w:w="1107" w:type="dxa"/>
            <w:vAlign w:val="center"/>
          </w:tcPr>
          <w:p w14:paraId="1D9D53D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100年</w:t>
            </w:r>
          </w:p>
        </w:tc>
      </w:tr>
      <w:tr w14:paraId="141F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1760" w:type="dxa"/>
            <w:gridSpan w:val="2"/>
            <w:vAlign w:val="center"/>
          </w:tcPr>
          <w:p w14:paraId="1D58756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工程造价（亿元）</w:t>
            </w:r>
          </w:p>
        </w:tc>
        <w:tc>
          <w:tcPr>
            <w:tcW w:w="956" w:type="dxa"/>
            <w:vAlign w:val="center"/>
          </w:tcPr>
          <w:p w14:paraId="4322086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12.95</w:t>
            </w:r>
          </w:p>
        </w:tc>
        <w:tc>
          <w:tcPr>
            <w:tcW w:w="951" w:type="dxa"/>
            <w:vAlign w:val="center"/>
          </w:tcPr>
          <w:p w14:paraId="64C9279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开工日期</w:t>
            </w:r>
          </w:p>
        </w:tc>
        <w:tc>
          <w:tcPr>
            <w:tcW w:w="880" w:type="dxa"/>
            <w:vAlign w:val="center"/>
          </w:tcPr>
          <w:p w14:paraId="4FEA6E7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2019.4</w:t>
            </w:r>
          </w:p>
        </w:tc>
        <w:tc>
          <w:tcPr>
            <w:tcW w:w="1321" w:type="dxa"/>
            <w:vAlign w:val="center"/>
          </w:tcPr>
          <w:p w14:paraId="31AE16D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计划竣工日期</w:t>
            </w:r>
          </w:p>
        </w:tc>
        <w:tc>
          <w:tcPr>
            <w:tcW w:w="882" w:type="dxa"/>
            <w:vAlign w:val="center"/>
          </w:tcPr>
          <w:p w14:paraId="5E11DF5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2025.6</w:t>
            </w:r>
          </w:p>
        </w:tc>
        <w:tc>
          <w:tcPr>
            <w:tcW w:w="1208" w:type="dxa"/>
            <w:vAlign w:val="center"/>
          </w:tcPr>
          <w:p w14:paraId="5A9325E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试运行日期</w:t>
            </w:r>
          </w:p>
        </w:tc>
        <w:tc>
          <w:tcPr>
            <w:tcW w:w="1107" w:type="dxa"/>
            <w:vAlign w:val="center"/>
          </w:tcPr>
          <w:p w14:paraId="6BEE490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2023.4</w:t>
            </w:r>
          </w:p>
        </w:tc>
      </w:tr>
      <w:tr w14:paraId="1399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760" w:type="dxa"/>
            <w:gridSpan w:val="2"/>
            <w:vAlign w:val="center"/>
          </w:tcPr>
          <w:p w14:paraId="0B65B2D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装机容量（kW）</w:t>
            </w:r>
          </w:p>
        </w:tc>
        <w:tc>
          <w:tcPr>
            <w:tcW w:w="956" w:type="dxa"/>
            <w:vAlign w:val="center"/>
          </w:tcPr>
          <w:p w14:paraId="5482575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19000</w:t>
            </w:r>
          </w:p>
        </w:tc>
        <w:tc>
          <w:tcPr>
            <w:tcW w:w="951" w:type="dxa"/>
            <w:vAlign w:val="center"/>
          </w:tcPr>
          <w:p w14:paraId="48AF84B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台数</w:t>
            </w:r>
          </w:p>
        </w:tc>
        <w:tc>
          <w:tcPr>
            <w:tcW w:w="880" w:type="dxa"/>
            <w:vAlign w:val="center"/>
          </w:tcPr>
          <w:p w14:paraId="656A2B5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p>
        </w:tc>
        <w:tc>
          <w:tcPr>
            <w:tcW w:w="1321" w:type="dxa"/>
            <w:vAlign w:val="center"/>
          </w:tcPr>
          <w:p w14:paraId="1489C3A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设计排水流量（m</w:t>
            </w:r>
            <w:r>
              <w:rPr>
                <w:rFonts w:hint="eastAsia" w:ascii="宋体" w:hAnsi="宋体" w:eastAsia="宋体" w:cs="宋体"/>
                <w:color w:val="auto"/>
                <w:sz w:val="21"/>
                <w:highlight w:val="none"/>
                <w:vertAlign w:val="superscript"/>
              </w:rPr>
              <w:t>3</w:t>
            </w:r>
            <w:r>
              <w:rPr>
                <w:rFonts w:hint="eastAsia" w:ascii="宋体" w:hAnsi="宋体" w:eastAsia="宋体" w:cs="宋体"/>
                <w:color w:val="auto"/>
                <w:sz w:val="21"/>
                <w:highlight w:val="none"/>
              </w:rPr>
              <w:t>/s）</w:t>
            </w:r>
          </w:p>
        </w:tc>
        <w:tc>
          <w:tcPr>
            <w:tcW w:w="882" w:type="dxa"/>
            <w:vAlign w:val="center"/>
          </w:tcPr>
          <w:p w14:paraId="128CC4B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200</w:t>
            </w:r>
          </w:p>
        </w:tc>
        <w:tc>
          <w:tcPr>
            <w:tcW w:w="1208" w:type="dxa"/>
            <w:vAlign w:val="center"/>
          </w:tcPr>
          <w:p w14:paraId="6E130FF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设计引水流量（m</w:t>
            </w:r>
            <w:r>
              <w:rPr>
                <w:rFonts w:hint="eastAsia" w:ascii="宋体" w:hAnsi="宋体" w:eastAsia="宋体" w:cs="宋体"/>
                <w:color w:val="auto"/>
                <w:sz w:val="21"/>
                <w:highlight w:val="none"/>
                <w:vertAlign w:val="superscript"/>
              </w:rPr>
              <w:t>3</w:t>
            </w:r>
            <w:r>
              <w:rPr>
                <w:rFonts w:hint="eastAsia" w:ascii="宋体" w:hAnsi="宋体" w:eastAsia="宋体" w:cs="宋体"/>
                <w:color w:val="auto"/>
                <w:sz w:val="21"/>
                <w:highlight w:val="none"/>
              </w:rPr>
              <w:t>/s）</w:t>
            </w:r>
          </w:p>
        </w:tc>
        <w:tc>
          <w:tcPr>
            <w:tcW w:w="1107" w:type="dxa"/>
            <w:vAlign w:val="center"/>
          </w:tcPr>
          <w:p w14:paraId="7A2F574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无</w:t>
            </w:r>
          </w:p>
        </w:tc>
      </w:tr>
      <w:tr w14:paraId="1AFC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1760" w:type="dxa"/>
            <w:gridSpan w:val="2"/>
            <w:vAlign w:val="center"/>
          </w:tcPr>
          <w:p w14:paraId="519ABFC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设计扬程（m）</w:t>
            </w:r>
          </w:p>
        </w:tc>
        <w:tc>
          <w:tcPr>
            <w:tcW w:w="956" w:type="dxa"/>
            <w:vAlign w:val="center"/>
          </w:tcPr>
          <w:p w14:paraId="34875B7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4.3</w:t>
            </w:r>
          </w:p>
        </w:tc>
        <w:tc>
          <w:tcPr>
            <w:tcW w:w="951" w:type="dxa"/>
            <w:vAlign w:val="center"/>
          </w:tcPr>
          <w:p w14:paraId="0196C85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台汛平均扬程（m）</w:t>
            </w:r>
          </w:p>
        </w:tc>
        <w:tc>
          <w:tcPr>
            <w:tcW w:w="880" w:type="dxa"/>
            <w:vAlign w:val="center"/>
          </w:tcPr>
          <w:p w14:paraId="7E8C35E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3.3</w:t>
            </w:r>
          </w:p>
        </w:tc>
        <w:tc>
          <w:tcPr>
            <w:tcW w:w="1321" w:type="dxa"/>
            <w:vAlign w:val="center"/>
          </w:tcPr>
          <w:p w14:paraId="36F8A7D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最大扬程（m）</w:t>
            </w:r>
          </w:p>
        </w:tc>
        <w:tc>
          <w:tcPr>
            <w:tcW w:w="882" w:type="dxa"/>
            <w:vAlign w:val="center"/>
          </w:tcPr>
          <w:p w14:paraId="775534C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7.55</w:t>
            </w:r>
          </w:p>
        </w:tc>
        <w:tc>
          <w:tcPr>
            <w:tcW w:w="1208" w:type="dxa"/>
            <w:vAlign w:val="center"/>
          </w:tcPr>
          <w:p w14:paraId="7737D74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最小扬程（m）</w:t>
            </w:r>
          </w:p>
        </w:tc>
        <w:tc>
          <w:tcPr>
            <w:tcW w:w="1107" w:type="dxa"/>
            <w:vAlign w:val="center"/>
          </w:tcPr>
          <w:p w14:paraId="199851D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0.35</w:t>
            </w:r>
          </w:p>
        </w:tc>
      </w:tr>
      <w:tr w14:paraId="0F4C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891" w:type="dxa"/>
            <w:vMerge w:val="restart"/>
            <w:vAlign w:val="center"/>
          </w:tcPr>
          <w:p w14:paraId="607F668B">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主</w:t>
            </w:r>
          </w:p>
          <w:p w14:paraId="67A64CA2">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水</w:t>
            </w:r>
          </w:p>
          <w:p w14:paraId="08F26BD2">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泵</w:t>
            </w:r>
          </w:p>
        </w:tc>
        <w:tc>
          <w:tcPr>
            <w:tcW w:w="869" w:type="dxa"/>
            <w:vAlign w:val="center"/>
          </w:tcPr>
          <w:p w14:paraId="2695F06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型式</w:t>
            </w:r>
          </w:p>
        </w:tc>
        <w:tc>
          <w:tcPr>
            <w:tcW w:w="2787" w:type="dxa"/>
            <w:gridSpan w:val="3"/>
            <w:vAlign w:val="center"/>
          </w:tcPr>
          <w:p w14:paraId="42A9FB9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斜式轴流泵</w:t>
            </w:r>
          </w:p>
        </w:tc>
        <w:tc>
          <w:tcPr>
            <w:tcW w:w="1321" w:type="dxa"/>
            <w:vAlign w:val="center"/>
          </w:tcPr>
          <w:p w14:paraId="22ACFB7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流量（m</w:t>
            </w:r>
            <w:r>
              <w:rPr>
                <w:rFonts w:hint="eastAsia" w:ascii="宋体" w:hAnsi="宋体" w:eastAsia="宋体" w:cs="宋体"/>
                <w:color w:val="auto"/>
                <w:sz w:val="21"/>
                <w:highlight w:val="none"/>
                <w:vertAlign w:val="superscript"/>
              </w:rPr>
              <w:t>3</w:t>
            </w:r>
            <w:r>
              <w:rPr>
                <w:rFonts w:hint="eastAsia" w:ascii="宋体" w:hAnsi="宋体" w:eastAsia="宋体" w:cs="宋体"/>
                <w:color w:val="auto"/>
                <w:sz w:val="21"/>
                <w:highlight w:val="none"/>
              </w:rPr>
              <w:t>/s）</w:t>
            </w:r>
          </w:p>
        </w:tc>
        <w:tc>
          <w:tcPr>
            <w:tcW w:w="882" w:type="dxa"/>
            <w:vAlign w:val="center"/>
          </w:tcPr>
          <w:p w14:paraId="7D8EB10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50</w:t>
            </w:r>
          </w:p>
        </w:tc>
        <w:tc>
          <w:tcPr>
            <w:tcW w:w="1208" w:type="dxa"/>
            <w:vAlign w:val="center"/>
          </w:tcPr>
          <w:p w14:paraId="728A6D7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台数</w:t>
            </w:r>
          </w:p>
        </w:tc>
        <w:tc>
          <w:tcPr>
            <w:tcW w:w="1107" w:type="dxa"/>
            <w:vAlign w:val="center"/>
          </w:tcPr>
          <w:p w14:paraId="2914AFE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p>
        </w:tc>
      </w:tr>
      <w:tr w14:paraId="1184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1" w:type="dxa"/>
            <w:vMerge w:val="continue"/>
            <w:vAlign w:val="center"/>
          </w:tcPr>
          <w:p w14:paraId="0232542B">
            <w:pPr>
              <w:pStyle w:val="55"/>
              <w:snapToGrid w:val="0"/>
              <w:rPr>
                <w:rFonts w:hint="eastAsia" w:ascii="宋体" w:hAnsi="宋体" w:eastAsia="宋体" w:cs="宋体"/>
                <w:b/>
                <w:color w:val="auto"/>
                <w:sz w:val="21"/>
                <w:highlight w:val="none"/>
              </w:rPr>
            </w:pPr>
          </w:p>
        </w:tc>
        <w:tc>
          <w:tcPr>
            <w:tcW w:w="869" w:type="dxa"/>
            <w:vAlign w:val="center"/>
          </w:tcPr>
          <w:p w14:paraId="5EAD97E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2787" w:type="dxa"/>
            <w:gridSpan w:val="3"/>
            <w:vAlign w:val="center"/>
          </w:tcPr>
          <w:p w14:paraId="1536CBD5">
            <w:pPr>
              <w:pStyle w:val="55"/>
              <w:snapToGrid w:val="0"/>
              <w:rPr>
                <w:rFonts w:hint="eastAsia" w:ascii="宋体" w:hAnsi="宋体" w:eastAsia="宋体" w:cs="宋体"/>
                <w:color w:val="auto"/>
                <w:sz w:val="21"/>
                <w:highlight w:val="none"/>
              </w:rPr>
            </w:pPr>
            <w:r>
              <w:rPr>
                <w:rFonts w:hint="eastAsia" w:ascii="宋体" w:hAnsi="宋体" w:eastAsia="宋体" w:cs="宋体"/>
                <w:snapToGrid w:val="0"/>
                <w:color w:val="auto"/>
                <w:sz w:val="21"/>
                <w:highlight w:val="none"/>
              </w:rPr>
              <w:t>3600ZXQ50-4.3</w:t>
            </w:r>
          </w:p>
        </w:tc>
        <w:tc>
          <w:tcPr>
            <w:tcW w:w="1321" w:type="dxa"/>
            <w:vAlign w:val="center"/>
          </w:tcPr>
          <w:p w14:paraId="3A429DB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转速（r/min）</w:t>
            </w:r>
          </w:p>
        </w:tc>
        <w:tc>
          <w:tcPr>
            <w:tcW w:w="882" w:type="dxa"/>
            <w:vAlign w:val="center"/>
          </w:tcPr>
          <w:p w14:paraId="2E85EF9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113</w:t>
            </w:r>
          </w:p>
        </w:tc>
        <w:tc>
          <w:tcPr>
            <w:tcW w:w="1208" w:type="dxa"/>
            <w:vAlign w:val="center"/>
          </w:tcPr>
          <w:p w14:paraId="7766C0F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叶轮直径（m）</w:t>
            </w:r>
          </w:p>
        </w:tc>
        <w:tc>
          <w:tcPr>
            <w:tcW w:w="1107" w:type="dxa"/>
            <w:vAlign w:val="center"/>
          </w:tcPr>
          <w:p w14:paraId="6E50A00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3.6</w:t>
            </w:r>
          </w:p>
        </w:tc>
      </w:tr>
      <w:tr w14:paraId="6927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1" w:type="dxa"/>
            <w:vMerge w:val="continue"/>
            <w:vAlign w:val="center"/>
          </w:tcPr>
          <w:p w14:paraId="1FCD5CC0">
            <w:pPr>
              <w:pStyle w:val="55"/>
              <w:snapToGrid w:val="0"/>
              <w:rPr>
                <w:rFonts w:hint="eastAsia" w:ascii="宋体" w:hAnsi="宋体" w:eastAsia="宋体" w:cs="宋体"/>
                <w:b/>
                <w:color w:val="auto"/>
                <w:sz w:val="21"/>
                <w:highlight w:val="none"/>
              </w:rPr>
            </w:pPr>
          </w:p>
        </w:tc>
        <w:tc>
          <w:tcPr>
            <w:tcW w:w="869" w:type="dxa"/>
            <w:shd w:val="clear" w:color="auto" w:fill="auto"/>
            <w:vAlign w:val="center"/>
          </w:tcPr>
          <w:p w14:paraId="3CD0D23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叶轮中心高程（m）</w:t>
            </w:r>
          </w:p>
        </w:tc>
        <w:tc>
          <w:tcPr>
            <w:tcW w:w="956" w:type="dxa"/>
            <w:shd w:val="clear" w:color="auto" w:fill="auto"/>
            <w:vAlign w:val="center"/>
          </w:tcPr>
          <w:p w14:paraId="15DC2B9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-3.80</w:t>
            </w:r>
          </w:p>
        </w:tc>
        <w:tc>
          <w:tcPr>
            <w:tcW w:w="951" w:type="dxa"/>
            <w:vAlign w:val="center"/>
          </w:tcPr>
          <w:p w14:paraId="511D075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传动方式</w:t>
            </w:r>
          </w:p>
        </w:tc>
        <w:tc>
          <w:tcPr>
            <w:tcW w:w="880" w:type="dxa"/>
            <w:vAlign w:val="center"/>
          </w:tcPr>
          <w:p w14:paraId="7E55F87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齿轮箱变速</w:t>
            </w:r>
          </w:p>
        </w:tc>
        <w:tc>
          <w:tcPr>
            <w:tcW w:w="1321" w:type="dxa"/>
            <w:vAlign w:val="center"/>
          </w:tcPr>
          <w:p w14:paraId="37EDEF1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斜角</w:t>
            </w:r>
          </w:p>
        </w:tc>
        <w:tc>
          <w:tcPr>
            <w:tcW w:w="882" w:type="dxa"/>
            <w:vAlign w:val="center"/>
          </w:tcPr>
          <w:p w14:paraId="3CFDF1D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w:t>
            </w:r>
          </w:p>
        </w:tc>
        <w:tc>
          <w:tcPr>
            <w:tcW w:w="1208" w:type="dxa"/>
            <w:vAlign w:val="center"/>
          </w:tcPr>
          <w:p w14:paraId="56D72FF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叶片调节范围</w:t>
            </w:r>
          </w:p>
        </w:tc>
        <w:tc>
          <w:tcPr>
            <w:tcW w:w="1107" w:type="dxa"/>
            <w:vAlign w:val="center"/>
          </w:tcPr>
          <w:p w14:paraId="7AB66B5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-8°~4°</w:t>
            </w:r>
          </w:p>
        </w:tc>
      </w:tr>
      <w:tr w14:paraId="7596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restart"/>
            <w:vAlign w:val="center"/>
          </w:tcPr>
          <w:p w14:paraId="4A2FE242">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齿轮</w:t>
            </w:r>
          </w:p>
          <w:p w14:paraId="08EE26BC">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减速箱</w:t>
            </w:r>
          </w:p>
        </w:tc>
        <w:tc>
          <w:tcPr>
            <w:tcW w:w="869" w:type="dxa"/>
            <w:vAlign w:val="center"/>
          </w:tcPr>
          <w:p w14:paraId="6043E6F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型式</w:t>
            </w:r>
          </w:p>
        </w:tc>
        <w:tc>
          <w:tcPr>
            <w:tcW w:w="2787" w:type="dxa"/>
            <w:gridSpan w:val="3"/>
            <w:vAlign w:val="center"/>
          </w:tcPr>
          <w:p w14:paraId="6344184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斜式泵专用齿轮减速箱，二级传动</w:t>
            </w:r>
          </w:p>
        </w:tc>
        <w:tc>
          <w:tcPr>
            <w:tcW w:w="1321" w:type="dxa"/>
            <w:vAlign w:val="center"/>
          </w:tcPr>
          <w:p w14:paraId="0075362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传动功率（kW）</w:t>
            </w:r>
          </w:p>
        </w:tc>
        <w:tc>
          <w:tcPr>
            <w:tcW w:w="882" w:type="dxa"/>
            <w:vAlign w:val="center"/>
          </w:tcPr>
          <w:p w14:paraId="3E86298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3800</w:t>
            </w:r>
          </w:p>
        </w:tc>
        <w:tc>
          <w:tcPr>
            <w:tcW w:w="1208" w:type="dxa"/>
            <w:vAlign w:val="center"/>
          </w:tcPr>
          <w:p w14:paraId="6E8DD5A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传动比</w:t>
            </w:r>
          </w:p>
        </w:tc>
        <w:tc>
          <w:tcPr>
            <w:tcW w:w="1107" w:type="dxa"/>
            <w:vAlign w:val="center"/>
          </w:tcPr>
          <w:p w14:paraId="13A685D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1:6.64</w:t>
            </w:r>
          </w:p>
        </w:tc>
      </w:tr>
      <w:tr w14:paraId="6E1A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continue"/>
            <w:vAlign w:val="center"/>
          </w:tcPr>
          <w:p w14:paraId="20F95708">
            <w:pPr>
              <w:pStyle w:val="55"/>
              <w:snapToGrid w:val="0"/>
              <w:rPr>
                <w:rFonts w:hint="eastAsia" w:ascii="宋体" w:hAnsi="宋体" w:eastAsia="宋体" w:cs="宋体"/>
                <w:b/>
                <w:color w:val="auto"/>
                <w:sz w:val="21"/>
                <w:highlight w:val="none"/>
              </w:rPr>
            </w:pPr>
          </w:p>
        </w:tc>
        <w:tc>
          <w:tcPr>
            <w:tcW w:w="869" w:type="dxa"/>
            <w:vAlign w:val="center"/>
          </w:tcPr>
          <w:p w14:paraId="3E6B6F8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2787" w:type="dxa"/>
            <w:gridSpan w:val="3"/>
            <w:vAlign w:val="center"/>
          </w:tcPr>
          <w:p w14:paraId="01D70432">
            <w:pPr>
              <w:pStyle w:val="55"/>
              <w:snapToGrid w:val="0"/>
              <w:rPr>
                <w:rFonts w:hint="eastAsia" w:ascii="宋体" w:hAnsi="宋体" w:eastAsia="宋体" w:cs="宋体"/>
                <w:color w:val="auto"/>
                <w:sz w:val="21"/>
                <w:highlight w:val="none"/>
              </w:rPr>
            </w:pPr>
            <w:r>
              <w:rPr>
                <w:rFonts w:hint="eastAsia" w:ascii="宋体" w:hAnsi="宋体" w:eastAsia="宋体" w:cs="宋体"/>
                <w:snapToGrid w:val="0"/>
                <w:color w:val="auto"/>
                <w:sz w:val="21"/>
                <w:highlight w:val="none"/>
              </w:rPr>
              <w:t>H2SH21</w:t>
            </w:r>
          </w:p>
        </w:tc>
        <w:tc>
          <w:tcPr>
            <w:tcW w:w="1321" w:type="dxa"/>
            <w:vAlign w:val="center"/>
          </w:tcPr>
          <w:p w14:paraId="41DECA8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冷却方式</w:t>
            </w:r>
          </w:p>
        </w:tc>
        <w:tc>
          <w:tcPr>
            <w:tcW w:w="882" w:type="dxa"/>
            <w:vAlign w:val="center"/>
          </w:tcPr>
          <w:p w14:paraId="3742C16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稀油站</w:t>
            </w:r>
          </w:p>
        </w:tc>
        <w:tc>
          <w:tcPr>
            <w:tcW w:w="1208" w:type="dxa"/>
            <w:vAlign w:val="center"/>
          </w:tcPr>
          <w:p w14:paraId="0BE006F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润滑油牌号</w:t>
            </w:r>
          </w:p>
        </w:tc>
        <w:tc>
          <w:tcPr>
            <w:tcW w:w="1107" w:type="dxa"/>
            <w:vAlign w:val="center"/>
          </w:tcPr>
          <w:p w14:paraId="312B071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VG320</w:t>
            </w:r>
          </w:p>
        </w:tc>
      </w:tr>
      <w:tr w14:paraId="7783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restart"/>
            <w:vAlign w:val="center"/>
          </w:tcPr>
          <w:p w14:paraId="53880CF6">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主</w:t>
            </w:r>
          </w:p>
          <w:p w14:paraId="2D6071EC">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电</w:t>
            </w:r>
          </w:p>
          <w:p w14:paraId="624A1A80">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机</w:t>
            </w:r>
          </w:p>
        </w:tc>
        <w:tc>
          <w:tcPr>
            <w:tcW w:w="869" w:type="dxa"/>
            <w:vAlign w:val="center"/>
          </w:tcPr>
          <w:p w14:paraId="31CF086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型式</w:t>
            </w:r>
          </w:p>
        </w:tc>
        <w:tc>
          <w:tcPr>
            <w:tcW w:w="2787" w:type="dxa"/>
            <w:gridSpan w:val="3"/>
            <w:vAlign w:val="center"/>
          </w:tcPr>
          <w:p w14:paraId="213E6C7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斜式同步电动机</w:t>
            </w:r>
          </w:p>
        </w:tc>
        <w:tc>
          <w:tcPr>
            <w:tcW w:w="1321" w:type="dxa"/>
            <w:vAlign w:val="center"/>
          </w:tcPr>
          <w:p w14:paraId="5233A03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单机功率(kW)</w:t>
            </w:r>
          </w:p>
        </w:tc>
        <w:tc>
          <w:tcPr>
            <w:tcW w:w="882" w:type="dxa"/>
            <w:vAlign w:val="center"/>
          </w:tcPr>
          <w:p w14:paraId="0A267AF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3800</w:t>
            </w:r>
          </w:p>
        </w:tc>
        <w:tc>
          <w:tcPr>
            <w:tcW w:w="1208" w:type="dxa"/>
            <w:vAlign w:val="center"/>
          </w:tcPr>
          <w:p w14:paraId="3F7C7E7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台数</w:t>
            </w:r>
          </w:p>
        </w:tc>
        <w:tc>
          <w:tcPr>
            <w:tcW w:w="1107" w:type="dxa"/>
            <w:vAlign w:val="center"/>
          </w:tcPr>
          <w:p w14:paraId="02DB6B7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p>
        </w:tc>
      </w:tr>
      <w:tr w14:paraId="7667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continue"/>
            <w:vAlign w:val="center"/>
          </w:tcPr>
          <w:p w14:paraId="4A870784">
            <w:pPr>
              <w:pStyle w:val="55"/>
              <w:snapToGrid w:val="0"/>
              <w:rPr>
                <w:rFonts w:hint="eastAsia" w:ascii="宋体" w:hAnsi="宋体" w:eastAsia="宋体" w:cs="宋体"/>
                <w:b/>
                <w:color w:val="auto"/>
                <w:sz w:val="21"/>
                <w:highlight w:val="none"/>
              </w:rPr>
            </w:pPr>
          </w:p>
        </w:tc>
        <w:tc>
          <w:tcPr>
            <w:tcW w:w="869" w:type="dxa"/>
            <w:vAlign w:val="center"/>
          </w:tcPr>
          <w:p w14:paraId="1F7201D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2787" w:type="dxa"/>
            <w:gridSpan w:val="3"/>
            <w:vAlign w:val="center"/>
          </w:tcPr>
          <w:p w14:paraId="27BA150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TKS900-8</w:t>
            </w:r>
          </w:p>
        </w:tc>
        <w:tc>
          <w:tcPr>
            <w:tcW w:w="1321" w:type="dxa"/>
            <w:vAlign w:val="center"/>
          </w:tcPr>
          <w:p w14:paraId="7AB37BB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总功率(kW)</w:t>
            </w:r>
          </w:p>
        </w:tc>
        <w:tc>
          <w:tcPr>
            <w:tcW w:w="882" w:type="dxa"/>
            <w:vAlign w:val="center"/>
          </w:tcPr>
          <w:p w14:paraId="1D82FC0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19000</w:t>
            </w:r>
          </w:p>
        </w:tc>
        <w:tc>
          <w:tcPr>
            <w:tcW w:w="1208" w:type="dxa"/>
            <w:vAlign w:val="center"/>
          </w:tcPr>
          <w:p w14:paraId="649803A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电压（kV）</w:t>
            </w:r>
          </w:p>
        </w:tc>
        <w:tc>
          <w:tcPr>
            <w:tcW w:w="1107" w:type="dxa"/>
            <w:vAlign w:val="center"/>
          </w:tcPr>
          <w:p w14:paraId="60D46E7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10</w:t>
            </w:r>
          </w:p>
        </w:tc>
      </w:tr>
      <w:tr w14:paraId="2C54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continue"/>
            <w:vAlign w:val="center"/>
          </w:tcPr>
          <w:p w14:paraId="005BD49F">
            <w:pPr>
              <w:pStyle w:val="55"/>
              <w:snapToGrid w:val="0"/>
              <w:rPr>
                <w:rFonts w:hint="eastAsia" w:ascii="宋体" w:hAnsi="宋体" w:eastAsia="宋体" w:cs="宋体"/>
                <w:b/>
                <w:color w:val="auto"/>
                <w:sz w:val="21"/>
                <w:highlight w:val="none"/>
              </w:rPr>
            </w:pPr>
          </w:p>
        </w:tc>
        <w:tc>
          <w:tcPr>
            <w:tcW w:w="869" w:type="dxa"/>
            <w:vAlign w:val="center"/>
          </w:tcPr>
          <w:p w14:paraId="68045C1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电流（A）</w:t>
            </w:r>
          </w:p>
        </w:tc>
        <w:tc>
          <w:tcPr>
            <w:tcW w:w="956" w:type="dxa"/>
            <w:vAlign w:val="center"/>
          </w:tcPr>
          <w:p w14:paraId="248E43E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253</w:t>
            </w:r>
          </w:p>
        </w:tc>
        <w:tc>
          <w:tcPr>
            <w:tcW w:w="951" w:type="dxa"/>
            <w:vAlign w:val="center"/>
          </w:tcPr>
          <w:p w14:paraId="25C39EE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功率因素</w:t>
            </w:r>
          </w:p>
        </w:tc>
        <w:tc>
          <w:tcPr>
            <w:tcW w:w="880" w:type="dxa"/>
            <w:vAlign w:val="center"/>
          </w:tcPr>
          <w:p w14:paraId="1D4786E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0.95（超前）</w:t>
            </w:r>
          </w:p>
        </w:tc>
        <w:tc>
          <w:tcPr>
            <w:tcW w:w="1321" w:type="dxa"/>
            <w:vAlign w:val="center"/>
          </w:tcPr>
          <w:p w14:paraId="713C800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转速（r/min）</w:t>
            </w:r>
          </w:p>
        </w:tc>
        <w:tc>
          <w:tcPr>
            <w:tcW w:w="882" w:type="dxa"/>
            <w:vAlign w:val="center"/>
          </w:tcPr>
          <w:p w14:paraId="17811EE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750</w:t>
            </w:r>
          </w:p>
        </w:tc>
        <w:tc>
          <w:tcPr>
            <w:tcW w:w="1208" w:type="dxa"/>
            <w:vAlign w:val="center"/>
          </w:tcPr>
          <w:p w14:paraId="45A1A3A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频率（HZ）</w:t>
            </w:r>
          </w:p>
        </w:tc>
        <w:tc>
          <w:tcPr>
            <w:tcW w:w="1107" w:type="dxa"/>
            <w:vAlign w:val="center"/>
          </w:tcPr>
          <w:p w14:paraId="1917134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50</w:t>
            </w:r>
          </w:p>
        </w:tc>
      </w:tr>
      <w:tr w14:paraId="5FCF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restart"/>
            <w:vAlign w:val="center"/>
          </w:tcPr>
          <w:p w14:paraId="5F6A4D2C">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1#主变压器</w:t>
            </w:r>
          </w:p>
        </w:tc>
        <w:tc>
          <w:tcPr>
            <w:tcW w:w="869" w:type="dxa"/>
            <w:vAlign w:val="center"/>
          </w:tcPr>
          <w:p w14:paraId="02B3076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2787" w:type="dxa"/>
            <w:gridSpan w:val="3"/>
            <w:vAlign w:val="center"/>
          </w:tcPr>
          <w:p w14:paraId="2B463B8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S13-25000/35</w:t>
            </w:r>
          </w:p>
        </w:tc>
        <w:tc>
          <w:tcPr>
            <w:tcW w:w="1321" w:type="dxa"/>
            <w:vAlign w:val="center"/>
          </w:tcPr>
          <w:p w14:paraId="6E3F478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电压变比（kV）</w:t>
            </w:r>
          </w:p>
        </w:tc>
        <w:tc>
          <w:tcPr>
            <w:tcW w:w="882" w:type="dxa"/>
            <w:vAlign w:val="center"/>
          </w:tcPr>
          <w:p w14:paraId="64FE6DC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35/10.5</w:t>
            </w:r>
          </w:p>
        </w:tc>
        <w:tc>
          <w:tcPr>
            <w:tcW w:w="1208" w:type="dxa"/>
            <w:vAlign w:val="center"/>
          </w:tcPr>
          <w:p w14:paraId="35956B0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总容量（kVA）</w:t>
            </w:r>
          </w:p>
        </w:tc>
        <w:tc>
          <w:tcPr>
            <w:tcW w:w="1107" w:type="dxa"/>
            <w:vAlign w:val="center"/>
          </w:tcPr>
          <w:p w14:paraId="049DBA4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25000</w:t>
            </w:r>
          </w:p>
        </w:tc>
      </w:tr>
      <w:tr w14:paraId="2A95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continue"/>
            <w:vAlign w:val="center"/>
          </w:tcPr>
          <w:p w14:paraId="5CE2DCCB">
            <w:pPr>
              <w:pStyle w:val="55"/>
              <w:snapToGrid w:val="0"/>
              <w:rPr>
                <w:rFonts w:hint="eastAsia" w:ascii="宋体" w:hAnsi="宋体" w:eastAsia="宋体" w:cs="宋体"/>
                <w:b/>
                <w:color w:val="auto"/>
                <w:sz w:val="21"/>
                <w:highlight w:val="none"/>
              </w:rPr>
            </w:pPr>
          </w:p>
        </w:tc>
        <w:tc>
          <w:tcPr>
            <w:tcW w:w="869" w:type="dxa"/>
            <w:vAlign w:val="center"/>
          </w:tcPr>
          <w:p w14:paraId="221D706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上级变电站2路</w:t>
            </w:r>
          </w:p>
        </w:tc>
        <w:tc>
          <w:tcPr>
            <w:tcW w:w="956" w:type="dxa"/>
            <w:vAlign w:val="center"/>
          </w:tcPr>
          <w:p w14:paraId="651F232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220kV拾里变</w:t>
            </w:r>
          </w:p>
        </w:tc>
        <w:tc>
          <w:tcPr>
            <w:tcW w:w="951" w:type="dxa"/>
            <w:vAlign w:val="center"/>
          </w:tcPr>
          <w:p w14:paraId="1A7ED6A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线路长度（km）</w:t>
            </w:r>
          </w:p>
        </w:tc>
        <w:tc>
          <w:tcPr>
            <w:tcW w:w="880" w:type="dxa"/>
            <w:vAlign w:val="center"/>
          </w:tcPr>
          <w:p w14:paraId="0E09C0D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7.4</w:t>
            </w:r>
          </w:p>
        </w:tc>
        <w:tc>
          <w:tcPr>
            <w:tcW w:w="1321" w:type="dxa"/>
            <w:vAlign w:val="center"/>
          </w:tcPr>
          <w:p w14:paraId="196A8DB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接线组别</w:t>
            </w:r>
          </w:p>
        </w:tc>
        <w:tc>
          <w:tcPr>
            <w:tcW w:w="882" w:type="dxa"/>
            <w:vAlign w:val="center"/>
          </w:tcPr>
          <w:p w14:paraId="1732F32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YN,d11</w:t>
            </w:r>
          </w:p>
        </w:tc>
        <w:tc>
          <w:tcPr>
            <w:tcW w:w="1208" w:type="dxa"/>
            <w:vAlign w:val="center"/>
          </w:tcPr>
          <w:p w14:paraId="5D960ABB">
            <w:pPr>
              <w:pStyle w:val="55"/>
              <w:snapToGrid w:val="0"/>
              <w:rPr>
                <w:rFonts w:hint="eastAsia" w:ascii="宋体" w:hAnsi="宋体" w:eastAsia="宋体" w:cs="宋体"/>
                <w:color w:val="auto"/>
                <w:sz w:val="21"/>
                <w:highlight w:val="none"/>
              </w:rPr>
            </w:pPr>
          </w:p>
        </w:tc>
        <w:tc>
          <w:tcPr>
            <w:tcW w:w="1107" w:type="dxa"/>
            <w:vAlign w:val="center"/>
          </w:tcPr>
          <w:p w14:paraId="796FB5FA">
            <w:pPr>
              <w:pStyle w:val="55"/>
              <w:snapToGrid w:val="0"/>
              <w:rPr>
                <w:rFonts w:hint="eastAsia" w:ascii="宋体" w:hAnsi="宋体" w:eastAsia="宋体" w:cs="宋体"/>
                <w:color w:val="auto"/>
                <w:sz w:val="21"/>
                <w:highlight w:val="none"/>
              </w:rPr>
            </w:pPr>
          </w:p>
        </w:tc>
      </w:tr>
      <w:tr w14:paraId="6387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restart"/>
            <w:vAlign w:val="center"/>
          </w:tcPr>
          <w:p w14:paraId="7EBA951F">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2#主变压器</w:t>
            </w:r>
          </w:p>
        </w:tc>
        <w:tc>
          <w:tcPr>
            <w:tcW w:w="869" w:type="dxa"/>
            <w:vAlign w:val="center"/>
          </w:tcPr>
          <w:p w14:paraId="4D6DE85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2787" w:type="dxa"/>
            <w:gridSpan w:val="3"/>
            <w:vAlign w:val="center"/>
          </w:tcPr>
          <w:p w14:paraId="2538978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S13-25000/35</w:t>
            </w:r>
          </w:p>
        </w:tc>
        <w:tc>
          <w:tcPr>
            <w:tcW w:w="1321" w:type="dxa"/>
            <w:vAlign w:val="center"/>
          </w:tcPr>
          <w:p w14:paraId="0BD76F6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电压变比（kV）</w:t>
            </w:r>
          </w:p>
        </w:tc>
        <w:tc>
          <w:tcPr>
            <w:tcW w:w="882" w:type="dxa"/>
            <w:vAlign w:val="center"/>
          </w:tcPr>
          <w:p w14:paraId="056F78E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35/10.5</w:t>
            </w:r>
          </w:p>
        </w:tc>
        <w:tc>
          <w:tcPr>
            <w:tcW w:w="1208" w:type="dxa"/>
            <w:vAlign w:val="center"/>
          </w:tcPr>
          <w:p w14:paraId="6F74585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总容量（kVA）</w:t>
            </w:r>
          </w:p>
        </w:tc>
        <w:tc>
          <w:tcPr>
            <w:tcW w:w="1107" w:type="dxa"/>
            <w:vAlign w:val="center"/>
          </w:tcPr>
          <w:p w14:paraId="6EC9485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25000</w:t>
            </w:r>
          </w:p>
        </w:tc>
      </w:tr>
      <w:tr w14:paraId="6F2F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891" w:type="dxa"/>
            <w:vMerge w:val="continue"/>
            <w:vAlign w:val="center"/>
          </w:tcPr>
          <w:p w14:paraId="67A4DA65">
            <w:pPr>
              <w:pStyle w:val="55"/>
              <w:snapToGrid w:val="0"/>
              <w:rPr>
                <w:rFonts w:hint="eastAsia" w:ascii="宋体" w:hAnsi="宋体" w:eastAsia="宋体" w:cs="宋体"/>
                <w:b/>
                <w:color w:val="auto"/>
                <w:sz w:val="21"/>
                <w:highlight w:val="none"/>
              </w:rPr>
            </w:pPr>
          </w:p>
        </w:tc>
        <w:tc>
          <w:tcPr>
            <w:tcW w:w="869" w:type="dxa"/>
            <w:vAlign w:val="center"/>
          </w:tcPr>
          <w:p w14:paraId="77EAF14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上级变电站2路</w:t>
            </w:r>
          </w:p>
        </w:tc>
        <w:tc>
          <w:tcPr>
            <w:tcW w:w="956" w:type="dxa"/>
            <w:vAlign w:val="center"/>
          </w:tcPr>
          <w:p w14:paraId="785BA1A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220KV德胜变</w:t>
            </w:r>
          </w:p>
        </w:tc>
        <w:tc>
          <w:tcPr>
            <w:tcW w:w="951" w:type="dxa"/>
            <w:vAlign w:val="center"/>
          </w:tcPr>
          <w:p w14:paraId="3DF219F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线路长度（km）</w:t>
            </w:r>
          </w:p>
        </w:tc>
        <w:tc>
          <w:tcPr>
            <w:tcW w:w="880" w:type="dxa"/>
            <w:vAlign w:val="center"/>
          </w:tcPr>
          <w:p w14:paraId="1ACF205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7.8</w:t>
            </w:r>
          </w:p>
        </w:tc>
        <w:tc>
          <w:tcPr>
            <w:tcW w:w="1321" w:type="dxa"/>
            <w:vAlign w:val="center"/>
          </w:tcPr>
          <w:p w14:paraId="1847B53E">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接线组别</w:t>
            </w:r>
          </w:p>
        </w:tc>
        <w:tc>
          <w:tcPr>
            <w:tcW w:w="882" w:type="dxa"/>
            <w:vAlign w:val="center"/>
          </w:tcPr>
          <w:p w14:paraId="7D8C551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YN,d11</w:t>
            </w:r>
          </w:p>
        </w:tc>
        <w:tc>
          <w:tcPr>
            <w:tcW w:w="1208" w:type="dxa"/>
            <w:vAlign w:val="center"/>
          </w:tcPr>
          <w:p w14:paraId="7E7BBABE">
            <w:pPr>
              <w:pStyle w:val="55"/>
              <w:snapToGrid w:val="0"/>
              <w:rPr>
                <w:rFonts w:hint="eastAsia" w:ascii="宋体" w:hAnsi="宋体" w:eastAsia="宋体" w:cs="宋体"/>
                <w:color w:val="auto"/>
                <w:sz w:val="21"/>
                <w:highlight w:val="none"/>
              </w:rPr>
            </w:pPr>
          </w:p>
        </w:tc>
        <w:tc>
          <w:tcPr>
            <w:tcW w:w="1107" w:type="dxa"/>
            <w:vAlign w:val="center"/>
          </w:tcPr>
          <w:p w14:paraId="1F536C8B">
            <w:pPr>
              <w:pStyle w:val="55"/>
              <w:snapToGrid w:val="0"/>
              <w:rPr>
                <w:rFonts w:hint="eastAsia" w:ascii="宋体" w:hAnsi="宋体" w:eastAsia="宋体" w:cs="宋体"/>
                <w:color w:val="auto"/>
                <w:sz w:val="21"/>
                <w:highlight w:val="none"/>
              </w:rPr>
            </w:pPr>
          </w:p>
        </w:tc>
      </w:tr>
      <w:tr w14:paraId="1CD5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891" w:type="dxa"/>
            <w:vMerge w:val="restart"/>
            <w:vAlign w:val="center"/>
          </w:tcPr>
          <w:p w14:paraId="2FBE28B3">
            <w:pPr>
              <w:pStyle w:val="55"/>
              <w:snapToGrid w:val="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35kV断路器</w:t>
            </w:r>
          </w:p>
        </w:tc>
        <w:tc>
          <w:tcPr>
            <w:tcW w:w="869" w:type="dxa"/>
            <w:vAlign w:val="center"/>
          </w:tcPr>
          <w:p w14:paraId="365A804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型号</w:t>
            </w:r>
          </w:p>
        </w:tc>
        <w:tc>
          <w:tcPr>
            <w:tcW w:w="956" w:type="dxa"/>
            <w:vAlign w:val="center"/>
          </w:tcPr>
          <w:p w14:paraId="3E85FEB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VD4-40.5</w:t>
            </w:r>
          </w:p>
        </w:tc>
        <w:tc>
          <w:tcPr>
            <w:tcW w:w="1831" w:type="dxa"/>
            <w:gridSpan w:val="2"/>
            <w:vAlign w:val="center"/>
          </w:tcPr>
          <w:p w14:paraId="78BE64B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额定电压（kV）</w:t>
            </w:r>
          </w:p>
        </w:tc>
        <w:tc>
          <w:tcPr>
            <w:tcW w:w="1321" w:type="dxa"/>
            <w:vAlign w:val="center"/>
          </w:tcPr>
          <w:p w14:paraId="05C1FF4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40.5</w:t>
            </w:r>
          </w:p>
        </w:tc>
        <w:tc>
          <w:tcPr>
            <w:tcW w:w="2090" w:type="dxa"/>
            <w:gridSpan w:val="2"/>
            <w:vAlign w:val="center"/>
          </w:tcPr>
          <w:p w14:paraId="6C0218C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额定电流（A）</w:t>
            </w:r>
          </w:p>
        </w:tc>
        <w:tc>
          <w:tcPr>
            <w:tcW w:w="1107" w:type="dxa"/>
            <w:vAlign w:val="center"/>
          </w:tcPr>
          <w:p w14:paraId="1039B94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1250</w:t>
            </w:r>
          </w:p>
        </w:tc>
      </w:tr>
      <w:tr w14:paraId="5DF5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891" w:type="dxa"/>
            <w:vMerge w:val="continue"/>
            <w:vAlign w:val="center"/>
          </w:tcPr>
          <w:p w14:paraId="360FBA04">
            <w:pPr>
              <w:pStyle w:val="55"/>
              <w:snapToGrid w:val="0"/>
              <w:rPr>
                <w:rFonts w:hint="eastAsia" w:ascii="宋体" w:hAnsi="宋体" w:eastAsia="宋体" w:cs="宋体"/>
                <w:b/>
                <w:color w:val="auto"/>
                <w:sz w:val="21"/>
                <w:highlight w:val="none"/>
              </w:rPr>
            </w:pPr>
          </w:p>
        </w:tc>
        <w:tc>
          <w:tcPr>
            <w:tcW w:w="869" w:type="dxa"/>
            <w:vAlign w:val="center"/>
          </w:tcPr>
          <w:p w14:paraId="2B0442D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额定短路开断电流（kA）</w:t>
            </w:r>
          </w:p>
        </w:tc>
        <w:tc>
          <w:tcPr>
            <w:tcW w:w="956" w:type="dxa"/>
            <w:vAlign w:val="center"/>
          </w:tcPr>
          <w:p w14:paraId="2DE6D14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31.5</w:t>
            </w:r>
          </w:p>
        </w:tc>
        <w:tc>
          <w:tcPr>
            <w:tcW w:w="951" w:type="dxa"/>
            <w:vAlign w:val="center"/>
          </w:tcPr>
          <w:p w14:paraId="1C5A677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额定短路关合电流（峰值，kA）</w:t>
            </w:r>
          </w:p>
        </w:tc>
        <w:tc>
          <w:tcPr>
            <w:tcW w:w="880" w:type="dxa"/>
            <w:vAlign w:val="center"/>
          </w:tcPr>
          <w:p w14:paraId="32557A8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80</w:t>
            </w:r>
          </w:p>
        </w:tc>
        <w:tc>
          <w:tcPr>
            <w:tcW w:w="1321" w:type="dxa"/>
            <w:vAlign w:val="center"/>
          </w:tcPr>
          <w:p w14:paraId="397D71A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额定峰值耐受电流（kA）</w:t>
            </w:r>
          </w:p>
        </w:tc>
        <w:tc>
          <w:tcPr>
            <w:tcW w:w="882" w:type="dxa"/>
            <w:vAlign w:val="center"/>
          </w:tcPr>
          <w:p w14:paraId="2517EFB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80</w:t>
            </w:r>
          </w:p>
        </w:tc>
        <w:tc>
          <w:tcPr>
            <w:tcW w:w="1208" w:type="dxa"/>
            <w:vAlign w:val="center"/>
          </w:tcPr>
          <w:p w14:paraId="72A2F41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额定短时耐受电流（4s，kA）</w:t>
            </w:r>
          </w:p>
          <w:p w14:paraId="1A5A9B2C">
            <w:pPr>
              <w:pStyle w:val="55"/>
              <w:snapToGrid w:val="0"/>
              <w:rPr>
                <w:rFonts w:hint="eastAsia" w:ascii="宋体" w:hAnsi="宋体" w:eastAsia="宋体" w:cs="宋体"/>
                <w:color w:val="auto"/>
                <w:sz w:val="21"/>
                <w:highlight w:val="none"/>
              </w:rPr>
            </w:pPr>
          </w:p>
        </w:tc>
        <w:tc>
          <w:tcPr>
            <w:tcW w:w="1107" w:type="dxa"/>
            <w:vAlign w:val="center"/>
          </w:tcPr>
          <w:p w14:paraId="1EF076A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31.5kA</w:t>
            </w:r>
          </w:p>
        </w:tc>
      </w:tr>
      <w:tr w14:paraId="7F1A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9" w:hRule="atLeast"/>
          <w:jc w:val="center"/>
        </w:trPr>
        <w:tc>
          <w:tcPr>
            <w:tcW w:w="891" w:type="dxa"/>
            <w:vAlign w:val="center"/>
          </w:tcPr>
          <w:p w14:paraId="24452BE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进水流道型式</w:t>
            </w:r>
          </w:p>
        </w:tc>
        <w:tc>
          <w:tcPr>
            <w:tcW w:w="869" w:type="dxa"/>
            <w:vAlign w:val="center"/>
          </w:tcPr>
          <w:p w14:paraId="1A71D24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肘形进水流道</w:t>
            </w:r>
          </w:p>
        </w:tc>
        <w:tc>
          <w:tcPr>
            <w:tcW w:w="956" w:type="dxa"/>
            <w:vAlign w:val="center"/>
          </w:tcPr>
          <w:p w14:paraId="7B3CEEE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出水流道型式</w:t>
            </w:r>
          </w:p>
        </w:tc>
        <w:tc>
          <w:tcPr>
            <w:tcW w:w="951" w:type="dxa"/>
            <w:vAlign w:val="center"/>
          </w:tcPr>
          <w:p w14:paraId="64AD8B6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变径扩散管</w:t>
            </w:r>
          </w:p>
        </w:tc>
        <w:tc>
          <w:tcPr>
            <w:tcW w:w="880" w:type="dxa"/>
            <w:vAlign w:val="center"/>
          </w:tcPr>
          <w:p w14:paraId="2EE0CCE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断流方式</w:t>
            </w:r>
          </w:p>
        </w:tc>
        <w:tc>
          <w:tcPr>
            <w:tcW w:w="1321" w:type="dxa"/>
            <w:vAlign w:val="center"/>
          </w:tcPr>
          <w:p w14:paraId="19AA933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快速闸门断流</w:t>
            </w:r>
          </w:p>
        </w:tc>
        <w:tc>
          <w:tcPr>
            <w:tcW w:w="882" w:type="dxa"/>
            <w:vAlign w:val="center"/>
          </w:tcPr>
          <w:p w14:paraId="741F68FD">
            <w:pPr>
              <w:pStyle w:val="55"/>
              <w:snapToGrid w:val="0"/>
              <w:rPr>
                <w:rFonts w:hint="eastAsia" w:ascii="宋体" w:hAnsi="宋体" w:eastAsia="宋体" w:cs="宋体"/>
                <w:color w:val="auto"/>
                <w:sz w:val="21"/>
                <w:highlight w:val="none"/>
              </w:rPr>
            </w:pPr>
          </w:p>
        </w:tc>
        <w:tc>
          <w:tcPr>
            <w:tcW w:w="1208" w:type="dxa"/>
            <w:vAlign w:val="center"/>
          </w:tcPr>
          <w:p w14:paraId="6F25C9B0">
            <w:pPr>
              <w:pStyle w:val="55"/>
              <w:snapToGrid w:val="0"/>
              <w:rPr>
                <w:rFonts w:hint="eastAsia" w:ascii="宋体" w:hAnsi="宋体" w:eastAsia="宋体" w:cs="宋体"/>
                <w:color w:val="auto"/>
                <w:sz w:val="21"/>
                <w:highlight w:val="none"/>
              </w:rPr>
            </w:pPr>
          </w:p>
        </w:tc>
        <w:tc>
          <w:tcPr>
            <w:tcW w:w="1107" w:type="dxa"/>
            <w:vAlign w:val="center"/>
          </w:tcPr>
          <w:p w14:paraId="4B6E710A">
            <w:pPr>
              <w:pStyle w:val="55"/>
              <w:snapToGrid w:val="0"/>
              <w:rPr>
                <w:rFonts w:hint="eastAsia" w:ascii="宋体" w:hAnsi="宋体" w:eastAsia="宋体" w:cs="宋体"/>
                <w:color w:val="auto"/>
                <w:sz w:val="21"/>
                <w:highlight w:val="none"/>
              </w:rPr>
            </w:pPr>
          </w:p>
        </w:tc>
      </w:tr>
      <w:tr w14:paraId="05DD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9" w:hRule="atLeast"/>
          <w:jc w:val="center"/>
        </w:trPr>
        <w:tc>
          <w:tcPr>
            <w:tcW w:w="891" w:type="dxa"/>
            <w:vAlign w:val="center"/>
          </w:tcPr>
          <w:p w14:paraId="69585065">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泵站下游检修闸门型式</w:t>
            </w:r>
          </w:p>
        </w:tc>
        <w:tc>
          <w:tcPr>
            <w:tcW w:w="869" w:type="dxa"/>
            <w:vAlign w:val="center"/>
          </w:tcPr>
          <w:p w14:paraId="150CDEE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平面钢闸门</w:t>
            </w:r>
          </w:p>
        </w:tc>
        <w:tc>
          <w:tcPr>
            <w:tcW w:w="956" w:type="dxa"/>
            <w:vAlign w:val="center"/>
          </w:tcPr>
          <w:p w14:paraId="7D78C0D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泵站上游工作闸门型式</w:t>
            </w:r>
          </w:p>
        </w:tc>
        <w:tc>
          <w:tcPr>
            <w:tcW w:w="951" w:type="dxa"/>
            <w:vAlign w:val="center"/>
          </w:tcPr>
          <w:p w14:paraId="2F5A554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平面钢闸门，设小拍门</w:t>
            </w:r>
          </w:p>
        </w:tc>
        <w:tc>
          <w:tcPr>
            <w:tcW w:w="880" w:type="dxa"/>
            <w:vAlign w:val="center"/>
          </w:tcPr>
          <w:p w14:paraId="675A724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泵站上游事故闸门型式</w:t>
            </w:r>
          </w:p>
        </w:tc>
        <w:tc>
          <w:tcPr>
            <w:tcW w:w="1321" w:type="dxa"/>
            <w:vAlign w:val="center"/>
          </w:tcPr>
          <w:p w14:paraId="14957A9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潜孔式平面钢闸门</w:t>
            </w:r>
          </w:p>
        </w:tc>
        <w:tc>
          <w:tcPr>
            <w:tcW w:w="882" w:type="dxa"/>
            <w:vAlign w:val="center"/>
          </w:tcPr>
          <w:p w14:paraId="793D7A79">
            <w:pPr>
              <w:pStyle w:val="55"/>
              <w:snapToGrid w:val="0"/>
              <w:rPr>
                <w:rFonts w:hint="eastAsia" w:ascii="宋体" w:hAnsi="宋体" w:eastAsia="宋体" w:cs="宋体"/>
                <w:color w:val="auto"/>
                <w:sz w:val="21"/>
                <w:highlight w:val="none"/>
              </w:rPr>
            </w:pPr>
          </w:p>
        </w:tc>
        <w:tc>
          <w:tcPr>
            <w:tcW w:w="1208" w:type="dxa"/>
            <w:vAlign w:val="center"/>
          </w:tcPr>
          <w:p w14:paraId="4DE23925">
            <w:pPr>
              <w:pStyle w:val="55"/>
              <w:snapToGrid w:val="0"/>
              <w:rPr>
                <w:rFonts w:hint="eastAsia" w:ascii="宋体" w:hAnsi="宋体" w:eastAsia="宋体" w:cs="宋体"/>
                <w:color w:val="auto"/>
                <w:sz w:val="21"/>
                <w:highlight w:val="none"/>
              </w:rPr>
            </w:pPr>
          </w:p>
        </w:tc>
        <w:tc>
          <w:tcPr>
            <w:tcW w:w="1107" w:type="dxa"/>
            <w:vAlign w:val="center"/>
          </w:tcPr>
          <w:p w14:paraId="2826932E">
            <w:pPr>
              <w:pStyle w:val="55"/>
              <w:snapToGrid w:val="0"/>
              <w:rPr>
                <w:rFonts w:hint="eastAsia" w:ascii="宋体" w:hAnsi="宋体" w:eastAsia="宋体" w:cs="宋体"/>
                <w:color w:val="auto"/>
                <w:sz w:val="21"/>
                <w:highlight w:val="none"/>
              </w:rPr>
            </w:pPr>
          </w:p>
        </w:tc>
      </w:tr>
      <w:tr w14:paraId="3CD6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9" w:hRule="atLeast"/>
          <w:jc w:val="center"/>
        </w:trPr>
        <w:tc>
          <w:tcPr>
            <w:tcW w:w="891" w:type="dxa"/>
            <w:vAlign w:val="center"/>
          </w:tcPr>
          <w:p w14:paraId="0708E3D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检修闸门起重设备</w:t>
            </w:r>
          </w:p>
        </w:tc>
        <w:tc>
          <w:tcPr>
            <w:tcW w:w="869" w:type="dxa"/>
            <w:vAlign w:val="center"/>
          </w:tcPr>
          <w:p w14:paraId="5EC9971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门机</w:t>
            </w:r>
          </w:p>
          <w:p w14:paraId="6B94F7B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（2*16t）</w:t>
            </w:r>
          </w:p>
        </w:tc>
        <w:tc>
          <w:tcPr>
            <w:tcW w:w="956" w:type="dxa"/>
            <w:vAlign w:val="center"/>
          </w:tcPr>
          <w:p w14:paraId="0943366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主厂房起重设备</w:t>
            </w:r>
          </w:p>
        </w:tc>
        <w:tc>
          <w:tcPr>
            <w:tcW w:w="951" w:type="dxa"/>
            <w:vAlign w:val="center"/>
          </w:tcPr>
          <w:p w14:paraId="2960194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桥式行车</w:t>
            </w:r>
          </w:p>
          <w:p w14:paraId="3C0DAB5C">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40+25/5t</w:t>
            </w:r>
          </w:p>
        </w:tc>
        <w:tc>
          <w:tcPr>
            <w:tcW w:w="880" w:type="dxa"/>
            <w:vAlign w:val="center"/>
          </w:tcPr>
          <w:p w14:paraId="1DAF42C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液压闸门起重设备</w:t>
            </w:r>
          </w:p>
        </w:tc>
        <w:tc>
          <w:tcPr>
            <w:tcW w:w="1321" w:type="dxa"/>
            <w:vAlign w:val="center"/>
          </w:tcPr>
          <w:p w14:paraId="1A49655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桥式行车</w:t>
            </w:r>
          </w:p>
          <w:p w14:paraId="21541CD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40/10t</w:t>
            </w:r>
          </w:p>
        </w:tc>
        <w:tc>
          <w:tcPr>
            <w:tcW w:w="882" w:type="dxa"/>
            <w:vAlign w:val="center"/>
          </w:tcPr>
          <w:p w14:paraId="118A12B8">
            <w:pPr>
              <w:pStyle w:val="55"/>
              <w:snapToGrid w:val="0"/>
              <w:rPr>
                <w:rFonts w:hint="eastAsia" w:ascii="宋体" w:hAnsi="宋体" w:eastAsia="宋体" w:cs="宋体"/>
                <w:color w:val="auto"/>
                <w:sz w:val="21"/>
                <w:highlight w:val="none"/>
              </w:rPr>
            </w:pPr>
          </w:p>
        </w:tc>
        <w:tc>
          <w:tcPr>
            <w:tcW w:w="1208" w:type="dxa"/>
            <w:vAlign w:val="center"/>
          </w:tcPr>
          <w:p w14:paraId="3B81E3AC">
            <w:pPr>
              <w:pStyle w:val="55"/>
              <w:snapToGrid w:val="0"/>
              <w:rPr>
                <w:rFonts w:hint="eastAsia" w:ascii="宋体" w:hAnsi="宋体" w:eastAsia="宋体" w:cs="宋体"/>
                <w:color w:val="auto"/>
                <w:sz w:val="21"/>
                <w:highlight w:val="none"/>
              </w:rPr>
            </w:pPr>
          </w:p>
        </w:tc>
        <w:tc>
          <w:tcPr>
            <w:tcW w:w="1107" w:type="dxa"/>
            <w:vAlign w:val="center"/>
          </w:tcPr>
          <w:p w14:paraId="6F3A4E57">
            <w:pPr>
              <w:pStyle w:val="55"/>
              <w:snapToGrid w:val="0"/>
              <w:rPr>
                <w:rFonts w:hint="eastAsia" w:ascii="宋体" w:hAnsi="宋体" w:eastAsia="宋体" w:cs="宋体"/>
                <w:color w:val="auto"/>
                <w:sz w:val="21"/>
                <w:highlight w:val="none"/>
              </w:rPr>
            </w:pPr>
          </w:p>
        </w:tc>
      </w:tr>
      <w:tr w14:paraId="59CD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065" w:type="dxa"/>
            <w:gridSpan w:val="9"/>
            <w:vAlign w:val="center"/>
          </w:tcPr>
          <w:p w14:paraId="6BA0A93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主要部位高程（m）</w:t>
            </w:r>
          </w:p>
        </w:tc>
      </w:tr>
      <w:tr w14:paraId="2899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4A66F6D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集水廊道层</w:t>
            </w:r>
          </w:p>
        </w:tc>
        <w:tc>
          <w:tcPr>
            <w:tcW w:w="956" w:type="dxa"/>
            <w:vAlign w:val="center"/>
          </w:tcPr>
          <w:p w14:paraId="41CFB18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▽-8.55</w:t>
            </w:r>
          </w:p>
        </w:tc>
        <w:tc>
          <w:tcPr>
            <w:tcW w:w="951" w:type="dxa"/>
            <w:vAlign w:val="center"/>
          </w:tcPr>
          <w:p w14:paraId="591EC4D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叶轮中心</w:t>
            </w:r>
          </w:p>
        </w:tc>
        <w:tc>
          <w:tcPr>
            <w:tcW w:w="880" w:type="dxa"/>
            <w:vAlign w:val="center"/>
          </w:tcPr>
          <w:p w14:paraId="37B08E64">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▽-3.8</w:t>
            </w:r>
          </w:p>
        </w:tc>
        <w:tc>
          <w:tcPr>
            <w:tcW w:w="1321" w:type="dxa"/>
            <w:vAlign w:val="center"/>
          </w:tcPr>
          <w:p w14:paraId="48816D33">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辅助设备层</w:t>
            </w:r>
          </w:p>
        </w:tc>
        <w:tc>
          <w:tcPr>
            <w:tcW w:w="882" w:type="dxa"/>
            <w:vAlign w:val="center"/>
          </w:tcPr>
          <w:p w14:paraId="777FA8F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▽-0.4</w:t>
            </w:r>
          </w:p>
        </w:tc>
        <w:tc>
          <w:tcPr>
            <w:tcW w:w="1208" w:type="dxa"/>
            <w:vAlign w:val="center"/>
          </w:tcPr>
          <w:p w14:paraId="21A053E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主机层</w:t>
            </w:r>
          </w:p>
        </w:tc>
        <w:tc>
          <w:tcPr>
            <w:tcW w:w="1107" w:type="dxa"/>
            <w:vAlign w:val="center"/>
          </w:tcPr>
          <w:p w14:paraId="0A2776B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▽2.0</w:t>
            </w:r>
          </w:p>
        </w:tc>
      </w:tr>
      <w:tr w14:paraId="48CC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249137A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厂房一楼</w:t>
            </w:r>
          </w:p>
        </w:tc>
        <w:tc>
          <w:tcPr>
            <w:tcW w:w="956" w:type="dxa"/>
            <w:vAlign w:val="center"/>
          </w:tcPr>
          <w:p w14:paraId="143CABB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▽7.2</w:t>
            </w:r>
          </w:p>
        </w:tc>
        <w:tc>
          <w:tcPr>
            <w:tcW w:w="951" w:type="dxa"/>
            <w:vAlign w:val="center"/>
          </w:tcPr>
          <w:p w14:paraId="132BC3F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液压启闭机层</w:t>
            </w:r>
          </w:p>
        </w:tc>
        <w:tc>
          <w:tcPr>
            <w:tcW w:w="880" w:type="dxa"/>
            <w:vAlign w:val="center"/>
          </w:tcPr>
          <w:p w14:paraId="16286DC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▽10.5</w:t>
            </w:r>
          </w:p>
        </w:tc>
        <w:tc>
          <w:tcPr>
            <w:tcW w:w="1321" w:type="dxa"/>
            <w:vAlign w:val="center"/>
          </w:tcPr>
          <w:p w14:paraId="0905B54F">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厂房二楼</w:t>
            </w:r>
          </w:p>
        </w:tc>
        <w:tc>
          <w:tcPr>
            <w:tcW w:w="882" w:type="dxa"/>
            <w:vAlign w:val="center"/>
          </w:tcPr>
          <w:p w14:paraId="23F291B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▽11.4</w:t>
            </w:r>
          </w:p>
        </w:tc>
        <w:tc>
          <w:tcPr>
            <w:tcW w:w="1208" w:type="dxa"/>
            <w:vAlign w:val="center"/>
          </w:tcPr>
          <w:p w14:paraId="2C9B06F7">
            <w:pPr>
              <w:pStyle w:val="55"/>
              <w:snapToGrid w:val="0"/>
              <w:rPr>
                <w:rFonts w:hint="eastAsia" w:ascii="宋体" w:hAnsi="宋体" w:eastAsia="宋体" w:cs="宋体"/>
                <w:color w:val="auto"/>
                <w:sz w:val="21"/>
                <w:highlight w:val="none"/>
              </w:rPr>
            </w:pPr>
          </w:p>
        </w:tc>
        <w:tc>
          <w:tcPr>
            <w:tcW w:w="1107" w:type="dxa"/>
            <w:vAlign w:val="center"/>
          </w:tcPr>
          <w:p w14:paraId="36B4DA3D">
            <w:pPr>
              <w:pStyle w:val="55"/>
              <w:snapToGrid w:val="0"/>
              <w:rPr>
                <w:rFonts w:hint="eastAsia" w:ascii="宋体" w:hAnsi="宋体" w:eastAsia="宋体" w:cs="宋体"/>
                <w:color w:val="auto"/>
                <w:sz w:val="21"/>
                <w:highlight w:val="none"/>
              </w:rPr>
            </w:pPr>
          </w:p>
        </w:tc>
      </w:tr>
      <w:tr w14:paraId="0606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065" w:type="dxa"/>
            <w:gridSpan w:val="9"/>
            <w:vAlign w:val="center"/>
          </w:tcPr>
          <w:p w14:paraId="3225F538">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主要建筑物长度（m）</w:t>
            </w:r>
          </w:p>
        </w:tc>
      </w:tr>
      <w:tr w14:paraId="3A8F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619045A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进水箱涵</w:t>
            </w:r>
          </w:p>
        </w:tc>
        <w:tc>
          <w:tcPr>
            <w:tcW w:w="956" w:type="dxa"/>
            <w:vAlign w:val="center"/>
          </w:tcPr>
          <w:p w14:paraId="3B31DEE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138</w:t>
            </w:r>
          </w:p>
        </w:tc>
        <w:tc>
          <w:tcPr>
            <w:tcW w:w="951" w:type="dxa"/>
            <w:vAlign w:val="center"/>
          </w:tcPr>
          <w:p w14:paraId="50A89BF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前池</w:t>
            </w:r>
          </w:p>
        </w:tc>
        <w:tc>
          <w:tcPr>
            <w:tcW w:w="880" w:type="dxa"/>
            <w:vAlign w:val="center"/>
          </w:tcPr>
          <w:p w14:paraId="3904BC8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70.00</w:t>
            </w:r>
          </w:p>
        </w:tc>
        <w:tc>
          <w:tcPr>
            <w:tcW w:w="1321" w:type="dxa"/>
            <w:vAlign w:val="center"/>
          </w:tcPr>
          <w:p w14:paraId="59109B42">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出水池</w:t>
            </w:r>
          </w:p>
        </w:tc>
        <w:tc>
          <w:tcPr>
            <w:tcW w:w="882" w:type="dxa"/>
            <w:vAlign w:val="center"/>
          </w:tcPr>
          <w:p w14:paraId="784B7991">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50</w:t>
            </w:r>
          </w:p>
        </w:tc>
        <w:tc>
          <w:tcPr>
            <w:tcW w:w="1208" w:type="dxa"/>
            <w:vAlign w:val="center"/>
          </w:tcPr>
          <w:p w14:paraId="11FD755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排水箱涵</w:t>
            </w:r>
          </w:p>
        </w:tc>
        <w:tc>
          <w:tcPr>
            <w:tcW w:w="1107" w:type="dxa"/>
            <w:vAlign w:val="center"/>
          </w:tcPr>
          <w:p w14:paraId="0A7F810B">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185.3</w:t>
            </w:r>
          </w:p>
        </w:tc>
      </w:tr>
      <w:tr w14:paraId="11D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0" w:type="dxa"/>
            <w:gridSpan w:val="2"/>
            <w:vAlign w:val="center"/>
          </w:tcPr>
          <w:p w14:paraId="4F2781E7">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观测项目</w:t>
            </w:r>
          </w:p>
        </w:tc>
        <w:tc>
          <w:tcPr>
            <w:tcW w:w="7305" w:type="dxa"/>
            <w:gridSpan w:val="7"/>
            <w:vAlign w:val="center"/>
          </w:tcPr>
          <w:p w14:paraId="0A11DC8B">
            <w:pPr>
              <w:pStyle w:val="55"/>
              <w:snapToGrid w:val="0"/>
              <w:rPr>
                <w:rFonts w:hint="eastAsia" w:ascii="宋体" w:hAnsi="宋体" w:eastAsia="宋体" w:cs="宋体"/>
                <w:color w:val="auto"/>
                <w:sz w:val="21"/>
                <w:highlight w:val="none"/>
              </w:rPr>
            </w:pPr>
            <w:r>
              <w:rPr>
                <w:rFonts w:hint="eastAsia" w:ascii="宋体" w:hAnsi="宋体" w:eastAsia="宋体" w:cs="宋体"/>
                <w:snapToGrid w:val="0"/>
                <w:color w:val="auto"/>
                <w:sz w:val="21"/>
                <w:highlight w:val="none"/>
              </w:rPr>
              <w:t>水（潮）位、流量、变形、渗流、应力及冲淤等</w:t>
            </w:r>
          </w:p>
        </w:tc>
      </w:tr>
      <w:tr w14:paraId="2628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1760" w:type="dxa"/>
            <w:gridSpan w:val="2"/>
            <w:vAlign w:val="center"/>
          </w:tcPr>
          <w:p w14:paraId="0C03A306">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水文地质基础情况</w:t>
            </w:r>
          </w:p>
        </w:tc>
        <w:tc>
          <w:tcPr>
            <w:tcW w:w="2787" w:type="dxa"/>
            <w:gridSpan w:val="3"/>
            <w:vAlign w:val="center"/>
          </w:tcPr>
          <w:p w14:paraId="3F5A1780">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粉砂土地基</w:t>
            </w:r>
          </w:p>
        </w:tc>
        <w:tc>
          <w:tcPr>
            <w:tcW w:w="2203" w:type="dxa"/>
            <w:gridSpan w:val="2"/>
            <w:vAlign w:val="center"/>
          </w:tcPr>
          <w:p w14:paraId="2D668479">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高程基准面</w:t>
            </w:r>
          </w:p>
        </w:tc>
        <w:tc>
          <w:tcPr>
            <w:tcW w:w="2315" w:type="dxa"/>
            <w:gridSpan w:val="2"/>
            <w:vAlign w:val="center"/>
          </w:tcPr>
          <w:p w14:paraId="3493BC9A">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国家85高程系</w:t>
            </w:r>
          </w:p>
        </w:tc>
      </w:tr>
      <w:tr w14:paraId="610F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9" w:hRule="atLeast"/>
          <w:jc w:val="center"/>
        </w:trPr>
        <w:tc>
          <w:tcPr>
            <w:tcW w:w="1760" w:type="dxa"/>
            <w:gridSpan w:val="2"/>
            <w:vAlign w:val="center"/>
          </w:tcPr>
          <w:p w14:paraId="349210DD">
            <w:pPr>
              <w:pStyle w:val="55"/>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备注</w:t>
            </w:r>
          </w:p>
        </w:tc>
        <w:tc>
          <w:tcPr>
            <w:tcW w:w="7305" w:type="dxa"/>
            <w:gridSpan w:val="7"/>
            <w:vAlign w:val="center"/>
          </w:tcPr>
          <w:p w14:paraId="65AB0596">
            <w:pPr>
              <w:pStyle w:val="55"/>
              <w:snapToGrid w:val="0"/>
              <w:rPr>
                <w:rFonts w:hint="eastAsia" w:ascii="宋体" w:hAnsi="宋体" w:eastAsia="宋体" w:cs="宋体"/>
                <w:color w:val="auto"/>
                <w:sz w:val="21"/>
                <w:highlight w:val="none"/>
              </w:rPr>
            </w:pPr>
          </w:p>
        </w:tc>
      </w:tr>
    </w:tbl>
    <w:p w14:paraId="594BBCCB">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工程室外环境</w:t>
      </w:r>
    </w:p>
    <w:p w14:paraId="72449D3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八堡排水泵站室外总面积约270000m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，其中水域面积77500m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，景观绿化面积192500m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，景观绿化主要为</w:t>
      </w:r>
      <w:r>
        <w:rPr>
          <w:rFonts w:hint="eastAsia" w:ascii="宋体" w:hAnsi="宋体" w:cs="宋体"/>
          <w:color w:val="auto"/>
          <w:sz w:val="24"/>
          <w:szCs w:val="24"/>
          <w:highlight w:val="none"/>
          <w:lang w:val="en-US" w:eastAsia="zh-CN"/>
        </w:rPr>
        <w:t>园</w:t>
      </w:r>
      <w:r>
        <w:rPr>
          <w:rFonts w:hint="eastAsia" w:ascii="宋体" w:hAnsi="宋体" w:cs="宋体"/>
          <w:color w:val="auto"/>
          <w:sz w:val="24"/>
          <w:szCs w:val="24"/>
          <w:highlight w:val="none"/>
        </w:rPr>
        <w:t>内所有乔木、果树、灌木、地被、草坪等植物以及</w:t>
      </w:r>
      <w:r>
        <w:rPr>
          <w:rFonts w:hint="eastAsia" w:ascii="宋体" w:hAnsi="宋体" w:cs="宋体"/>
          <w:color w:val="auto"/>
          <w:sz w:val="24"/>
          <w:szCs w:val="24"/>
          <w:highlight w:val="none"/>
          <w:lang w:val="en-US" w:eastAsia="zh-CN"/>
        </w:rPr>
        <w:t>园区内</w:t>
      </w:r>
      <w:r>
        <w:rPr>
          <w:rFonts w:hint="eastAsia" w:ascii="宋体" w:hAnsi="宋体" w:cs="宋体"/>
          <w:color w:val="auto"/>
          <w:sz w:val="24"/>
          <w:szCs w:val="24"/>
          <w:highlight w:val="none"/>
        </w:rPr>
        <w:t>铺装道路、沥青路面、路灯、垃圾桶等设施。</w:t>
      </w:r>
    </w:p>
    <w:p w14:paraId="46A68151">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olor w:val="auto"/>
          <w:highlight w:val="none"/>
          <w:lang w:val="en-US" w:eastAsia="zh-CN"/>
        </w:rPr>
        <w:drawing>
          <wp:anchor distT="0" distB="0" distL="0" distR="0" simplePos="0" relativeHeight="251677696" behindDoc="1" locked="0" layoutInCell="1" allowOverlap="1">
            <wp:simplePos x="0" y="0"/>
            <wp:positionH relativeFrom="column">
              <wp:posOffset>1778000</wp:posOffset>
            </wp:positionH>
            <wp:positionV relativeFrom="paragraph">
              <wp:posOffset>-1628775</wp:posOffset>
            </wp:positionV>
            <wp:extent cx="2205990" cy="5963920"/>
            <wp:effectExtent l="0" t="0" r="17780" b="3810"/>
            <wp:wrapTight wrapText="bothSides">
              <wp:wrapPolygon>
                <wp:start x="21600" y="0"/>
                <wp:lineTo x="149" y="0"/>
                <wp:lineTo x="149" y="21526"/>
                <wp:lineTo x="21600" y="21526"/>
                <wp:lineTo x="21600" y="0"/>
              </wp:wrapPolygon>
            </wp:wrapTight>
            <wp:docPr id="1" name="图片 1" descr="调整方案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调整方案平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2214077" cy="5985557"/>
                    </a:xfrm>
                    <a:prstGeom prst="rect">
                      <a:avLst/>
                    </a:prstGeom>
                    <a:noFill/>
                    <a:ln>
                      <a:noFill/>
                    </a:ln>
                  </pic:spPr>
                </pic:pic>
              </a:graphicData>
            </a:graphic>
          </wp:anchor>
        </w:drawing>
      </w:r>
      <w:r>
        <w:rPr>
          <w:rFonts w:hint="eastAsia" w:ascii="宋体" w:hAnsi="宋体" w:eastAsia="宋体" w:cs="宋体"/>
          <w:color w:val="auto"/>
          <w:sz w:val="24"/>
          <w:szCs w:val="24"/>
          <w:highlight w:val="none"/>
        </w:rPr>
        <w:t>1.5 工程总平面图</w:t>
      </w:r>
    </w:p>
    <w:p w14:paraId="63120F9B">
      <w:pPr>
        <w:pStyle w:val="4"/>
        <w:ind w:left="420"/>
        <w:rPr>
          <w:rFonts w:hint="eastAsia" w:ascii="宋体" w:hAnsi="宋体" w:eastAsia="宋体"/>
          <w:color w:val="auto"/>
          <w:highlight w:val="none"/>
        </w:rPr>
      </w:pPr>
      <w:r>
        <w:rPr>
          <w:rFonts w:hint="eastAsia" w:ascii="宋体" w:hAnsi="宋体" w:eastAsia="宋体"/>
          <w:color w:val="auto"/>
          <w:highlight w:val="none"/>
        </w:rPr>
        <w:t>二、内容及服务要求</w:t>
      </w:r>
    </w:p>
    <w:p w14:paraId="37A0BE4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snapToGrid w:val="0"/>
          <w:color w:val="auto"/>
          <w:sz w:val="24"/>
          <w:szCs w:val="24"/>
          <w:highlight w:val="none"/>
        </w:rPr>
        <w:t>除超常洪水和重大险情等应急事件造成的抢险费用和工程修复费用，以及除险加固、机组大修和管理区物业服务等费用以外，为完成本项目有可能发生的费用</w:t>
      </w:r>
      <w:r>
        <w:rPr>
          <w:rFonts w:hint="eastAsia" w:ascii="宋体" w:hAnsi="宋体" w:cs="宋体"/>
          <w:color w:val="auto"/>
          <w:sz w:val="24"/>
          <w:szCs w:val="24"/>
          <w:highlight w:val="none"/>
        </w:rPr>
        <w:t>均包含在合同内，具体内容为八堡泵站运行维护、专项维护、室外环境养护三部分。</w:t>
      </w:r>
    </w:p>
    <w:p w14:paraId="026B37B9">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2.1泵站运行维护</w:t>
      </w:r>
    </w:p>
    <w:p w14:paraId="6B72693E">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2.1.1泵站运行内容：</w:t>
      </w:r>
    </w:p>
    <w:p w14:paraId="5E1986A9">
      <w:pPr>
        <w:snapToGrid w:val="0"/>
        <w:spacing w:line="360" w:lineRule="auto"/>
        <w:ind w:firstLine="480" w:firstLineChars="200"/>
        <w:rPr>
          <w:rFonts w:hint="eastAsia" w:ascii="宋体" w:hAnsi="宋体" w:cs="宋体"/>
          <w:color w:val="auto"/>
          <w:sz w:val="24"/>
          <w:szCs w:val="24"/>
          <w:highlight w:val="none"/>
        </w:rPr>
      </w:pPr>
      <w:bookmarkStart w:id="61" w:name="_Hlk193807178"/>
      <w:r>
        <w:rPr>
          <w:rFonts w:hint="eastAsia" w:ascii="宋体" w:hAnsi="宋体" w:cs="宋体"/>
          <w:color w:val="auto"/>
          <w:sz w:val="24"/>
          <w:szCs w:val="24"/>
          <w:highlight w:val="none"/>
        </w:rPr>
        <w:t>泵站运行的范围为初步设计批准的建设红线内，内容主要为进水口、引河、清污机桥、进水箱涵、前池、泵站、出水池、排水闸、月雅河闸等水工建筑以及泵站各机电、金结设备的运行、巡查、保洁等工作。设备主要包括5套水泵机组、10套清污机、10套工作闸门、10套事故闸门、10套外江排水闸门、1套月雅河节制闸门、2座35kV/10kV变电站、高低压变配电系统及相关的辅助设备、控制保护设备等。运行管理主要工作内容有三部分：一是泵站运行管理；二是泵站的机电设备（含管理范围内电力线路）、金属结构设备以及水工建筑物的日常安全巡查；三是泵站拦污栅及清污机侧垃圾清运。其中泵站运行管理包括：①泵站5套水泵机组运行管理；②月雅河节制闸运行管理；③挡潮排水闸运行管理；④主变压器、高压开关柜等变电设备运行管理；⑤机械及辅助设备运行管理；⑥水工建筑物运行管理。</w:t>
      </w:r>
    </w:p>
    <w:p w14:paraId="12977AEE">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2.1.2泵站日常维护内容：</w:t>
      </w:r>
    </w:p>
    <w:p w14:paraId="22964159">
      <w:pPr>
        <w:snapToGrid w:val="0"/>
        <w:spacing w:line="360" w:lineRule="auto"/>
        <w:ind w:firstLine="480" w:firstLineChars="200"/>
        <w:rPr>
          <w:rFonts w:hint="eastAsia" w:ascii="宋体" w:hAnsi="宋体" w:cs="宋体"/>
          <w:color w:val="auto"/>
          <w:sz w:val="24"/>
          <w:szCs w:val="24"/>
          <w:highlight w:val="none"/>
        </w:rPr>
      </w:pPr>
      <w:bookmarkStart w:id="62" w:name="_Hlk193810057"/>
      <w:r>
        <w:rPr>
          <w:rFonts w:hint="eastAsia" w:ascii="宋体" w:hAnsi="宋体" w:cs="宋体"/>
          <w:color w:val="auto"/>
          <w:sz w:val="24"/>
          <w:szCs w:val="24"/>
          <w:highlight w:val="none"/>
        </w:rPr>
        <w:t>为保障工程安全运行，供应商全力做好工程设施设备和水工建筑物的日常维护、设施监管、维护消缺协调工作，确保工程设施设备良好状态。根据《标准化管理手册》要求开展常态化养护工作。供应商应根据规定定期对泵站机电设备、建筑物工程进行全面评级。评级应根据每年汛前、汛后检查情况、汛期运行情况及维修检修记录、观测资料、缺陷记载等情况进行。</w:t>
      </w:r>
    </w:p>
    <w:bookmarkEnd w:id="62"/>
    <w:p w14:paraId="432F116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泵站管理范围内的水工建筑物和设备日常维护管理（包括设备本身的保洁）。日常维护指运行中不使用起重设备的水泵阀门、示流信号器、传感器的更换，电机碳刷更换、轴承加油脂，液压站补油、滤油，电气设备的熔丝、传感信号器更换等。</w:t>
      </w:r>
      <w:bookmarkStart w:id="63" w:name="_Hlk193807015"/>
      <w:r>
        <w:rPr>
          <w:rFonts w:hint="eastAsia" w:ascii="宋体" w:hAnsi="宋体" w:cs="宋体"/>
          <w:color w:val="auto"/>
          <w:sz w:val="24"/>
          <w:szCs w:val="24"/>
          <w:highlight w:val="none"/>
        </w:rPr>
        <w:t>单项材料、备件壹万元及以上的经采购人确认，并落实资金保障。</w:t>
      </w:r>
      <w:bookmarkEnd w:id="63"/>
    </w:p>
    <w:p w14:paraId="3A323CE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除了上述日常维护内容外，其余确需维修由项目管理方、中标供应商协商解决，若因中标供应商操作不当造成损坏等情况，该维修费用均由中标供应商自行承担。</w:t>
      </w:r>
    </w:p>
    <w:p w14:paraId="10DBFE0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泵站内机泵设备大修费用及运行水电费由采购人承担，泵站机组大修标准参考《泵站技术管理规程》、《浙江省水利工程维修养护经费编制细则》（2018年）。</w:t>
      </w:r>
    </w:p>
    <w:p w14:paraId="3D96EA7A">
      <w:pPr>
        <w:snapToGrid w:val="0"/>
        <w:spacing w:line="360" w:lineRule="auto"/>
        <w:ind w:firstLine="415" w:firstLineChars="197"/>
        <w:rPr>
          <w:rFonts w:hint="eastAsia" w:ascii="宋体" w:hAnsi="宋体" w:cs="宋体"/>
          <w:b/>
          <w:color w:val="auto"/>
          <w:szCs w:val="21"/>
          <w:highlight w:val="none"/>
        </w:rPr>
      </w:pPr>
      <w:r>
        <w:rPr>
          <w:rFonts w:hint="eastAsia" w:ascii="宋体" w:hAnsi="宋体" w:cs="宋体"/>
          <w:b/>
          <w:color w:val="auto"/>
          <w:szCs w:val="21"/>
          <w:highlight w:val="none"/>
        </w:rPr>
        <w:t>表2.1.2-1                  水工建筑物日常维护清单</w:t>
      </w:r>
    </w:p>
    <w:tbl>
      <w:tblPr>
        <w:tblStyle w:val="20"/>
        <w:tblW w:w="9028" w:type="dxa"/>
        <w:jc w:val="center"/>
        <w:tblLayout w:type="fixed"/>
        <w:tblCellMar>
          <w:top w:w="0" w:type="dxa"/>
          <w:left w:w="108" w:type="dxa"/>
          <w:bottom w:w="0" w:type="dxa"/>
          <w:right w:w="108" w:type="dxa"/>
        </w:tblCellMar>
      </w:tblPr>
      <w:tblGrid>
        <w:gridCol w:w="675"/>
        <w:gridCol w:w="3180"/>
        <w:gridCol w:w="780"/>
        <w:gridCol w:w="750"/>
        <w:gridCol w:w="3643"/>
      </w:tblGrid>
      <w:tr w14:paraId="2668357D">
        <w:tblPrEx>
          <w:tblCellMar>
            <w:top w:w="0" w:type="dxa"/>
            <w:left w:w="108" w:type="dxa"/>
            <w:bottom w:w="0" w:type="dxa"/>
            <w:right w:w="108" w:type="dxa"/>
          </w:tblCellMar>
        </w:tblPrEx>
        <w:trPr>
          <w:trHeight w:val="285" w:hRule="atLeast"/>
          <w:jc w:val="center"/>
        </w:trPr>
        <w:tc>
          <w:tcPr>
            <w:tcW w:w="675" w:type="dxa"/>
            <w:tcBorders>
              <w:top w:val="single" w:color="auto" w:sz="4" w:space="0"/>
              <w:left w:val="single" w:color="auto" w:sz="4" w:space="0"/>
              <w:bottom w:val="single" w:color="auto" w:sz="4" w:space="0"/>
              <w:right w:val="single" w:color="auto" w:sz="4" w:space="0"/>
            </w:tcBorders>
            <w:noWrap/>
            <w:vAlign w:val="center"/>
          </w:tcPr>
          <w:p w14:paraId="1DA51A26">
            <w:pPr>
              <w:jc w:val="center"/>
              <w:rPr>
                <w:rFonts w:hint="eastAsia" w:ascii="宋体" w:hAnsi="宋体" w:cs="宋体"/>
                <w:color w:val="auto"/>
                <w:highlight w:val="none"/>
              </w:rPr>
            </w:pPr>
            <w:r>
              <w:rPr>
                <w:rFonts w:hint="eastAsia" w:ascii="宋体" w:hAnsi="宋体" w:cs="宋体"/>
                <w:color w:val="auto"/>
                <w:highlight w:val="none"/>
              </w:rPr>
              <w:t>序号</w:t>
            </w:r>
          </w:p>
        </w:tc>
        <w:tc>
          <w:tcPr>
            <w:tcW w:w="3180" w:type="dxa"/>
            <w:tcBorders>
              <w:top w:val="single" w:color="auto" w:sz="4" w:space="0"/>
              <w:left w:val="nil"/>
              <w:bottom w:val="single" w:color="auto" w:sz="4" w:space="0"/>
              <w:right w:val="single" w:color="auto" w:sz="4" w:space="0"/>
            </w:tcBorders>
            <w:noWrap/>
            <w:vAlign w:val="center"/>
          </w:tcPr>
          <w:p w14:paraId="56E493B6">
            <w:pPr>
              <w:jc w:val="center"/>
              <w:rPr>
                <w:rFonts w:hint="eastAsia" w:ascii="宋体" w:hAnsi="宋体" w:cs="宋体"/>
                <w:color w:val="auto"/>
                <w:highlight w:val="none"/>
              </w:rPr>
            </w:pPr>
            <w:r>
              <w:rPr>
                <w:rFonts w:hint="eastAsia" w:ascii="宋体" w:hAnsi="宋体" w:cs="宋体"/>
                <w:color w:val="auto"/>
                <w:highlight w:val="none"/>
              </w:rPr>
              <w:t>项目</w:t>
            </w:r>
          </w:p>
        </w:tc>
        <w:tc>
          <w:tcPr>
            <w:tcW w:w="780" w:type="dxa"/>
            <w:tcBorders>
              <w:top w:val="single" w:color="auto" w:sz="4" w:space="0"/>
              <w:left w:val="nil"/>
              <w:bottom w:val="single" w:color="auto" w:sz="4" w:space="0"/>
              <w:right w:val="single" w:color="auto" w:sz="4" w:space="0"/>
            </w:tcBorders>
            <w:noWrap/>
            <w:vAlign w:val="center"/>
          </w:tcPr>
          <w:p w14:paraId="663E25BE">
            <w:pPr>
              <w:jc w:val="center"/>
              <w:rPr>
                <w:rFonts w:hint="eastAsia" w:ascii="宋体" w:hAnsi="宋体" w:cs="宋体"/>
                <w:color w:val="auto"/>
                <w:highlight w:val="none"/>
              </w:rPr>
            </w:pPr>
            <w:r>
              <w:rPr>
                <w:rFonts w:hint="eastAsia" w:ascii="宋体" w:hAnsi="宋体" w:cs="宋体"/>
                <w:color w:val="auto"/>
                <w:highlight w:val="none"/>
              </w:rPr>
              <w:t>单位</w:t>
            </w:r>
          </w:p>
        </w:tc>
        <w:tc>
          <w:tcPr>
            <w:tcW w:w="750" w:type="dxa"/>
            <w:tcBorders>
              <w:top w:val="single" w:color="auto" w:sz="4" w:space="0"/>
              <w:left w:val="nil"/>
              <w:bottom w:val="single" w:color="auto" w:sz="4" w:space="0"/>
              <w:right w:val="single" w:color="auto" w:sz="4" w:space="0"/>
            </w:tcBorders>
            <w:noWrap/>
            <w:vAlign w:val="center"/>
          </w:tcPr>
          <w:p w14:paraId="2AFB58C0">
            <w:pPr>
              <w:jc w:val="center"/>
              <w:rPr>
                <w:rFonts w:hint="eastAsia" w:ascii="宋体" w:hAnsi="宋体" w:cs="宋体"/>
                <w:color w:val="auto"/>
                <w:highlight w:val="none"/>
              </w:rPr>
            </w:pPr>
            <w:r>
              <w:rPr>
                <w:rFonts w:hint="eastAsia" w:ascii="宋体" w:hAnsi="宋体" w:cs="宋体"/>
                <w:color w:val="auto"/>
                <w:highlight w:val="none"/>
              </w:rPr>
              <w:t>数量</w:t>
            </w:r>
          </w:p>
        </w:tc>
        <w:tc>
          <w:tcPr>
            <w:tcW w:w="3643" w:type="dxa"/>
            <w:tcBorders>
              <w:top w:val="single" w:color="auto" w:sz="4" w:space="0"/>
              <w:left w:val="nil"/>
              <w:bottom w:val="single" w:color="auto" w:sz="4" w:space="0"/>
              <w:right w:val="single" w:color="auto" w:sz="4" w:space="0"/>
            </w:tcBorders>
            <w:noWrap/>
            <w:vAlign w:val="center"/>
          </w:tcPr>
          <w:p w14:paraId="03AD1B2A">
            <w:pPr>
              <w:jc w:val="center"/>
              <w:rPr>
                <w:rFonts w:hint="eastAsia" w:ascii="宋体" w:hAnsi="宋体" w:cs="宋体"/>
                <w:color w:val="auto"/>
                <w:highlight w:val="none"/>
              </w:rPr>
            </w:pPr>
            <w:r>
              <w:rPr>
                <w:rFonts w:hint="eastAsia" w:ascii="宋体" w:hAnsi="宋体" w:cs="宋体"/>
                <w:color w:val="auto"/>
                <w:highlight w:val="none"/>
              </w:rPr>
              <w:t>要求</w:t>
            </w:r>
          </w:p>
        </w:tc>
      </w:tr>
      <w:tr w14:paraId="6D89C2C2">
        <w:tblPrEx>
          <w:tblCellMar>
            <w:top w:w="0" w:type="dxa"/>
            <w:left w:w="108" w:type="dxa"/>
            <w:bottom w:w="0" w:type="dxa"/>
            <w:right w:w="108" w:type="dxa"/>
          </w:tblCellMar>
        </w:tblPrEx>
        <w:trPr>
          <w:trHeight w:val="366" w:hRule="atLeast"/>
          <w:jc w:val="center"/>
        </w:trPr>
        <w:tc>
          <w:tcPr>
            <w:tcW w:w="675" w:type="dxa"/>
            <w:tcBorders>
              <w:top w:val="nil"/>
              <w:left w:val="single" w:color="auto" w:sz="4" w:space="0"/>
              <w:bottom w:val="single" w:color="auto" w:sz="4" w:space="0"/>
              <w:right w:val="single" w:color="auto" w:sz="4" w:space="0"/>
            </w:tcBorders>
            <w:noWrap/>
            <w:vAlign w:val="center"/>
          </w:tcPr>
          <w:p w14:paraId="4800F8FF">
            <w:pPr>
              <w:rPr>
                <w:rFonts w:hint="eastAsia" w:ascii="宋体" w:hAnsi="宋体" w:cs="宋体"/>
                <w:color w:val="auto"/>
                <w:highlight w:val="none"/>
              </w:rPr>
            </w:pPr>
            <w:r>
              <w:rPr>
                <w:rFonts w:hint="eastAsia" w:ascii="宋体" w:hAnsi="宋体" w:cs="宋体"/>
                <w:color w:val="auto"/>
                <w:highlight w:val="none"/>
              </w:rPr>
              <w:t>1</w:t>
            </w:r>
          </w:p>
        </w:tc>
        <w:tc>
          <w:tcPr>
            <w:tcW w:w="3180" w:type="dxa"/>
            <w:tcBorders>
              <w:top w:val="nil"/>
              <w:left w:val="nil"/>
              <w:bottom w:val="single" w:color="auto" w:sz="4" w:space="0"/>
              <w:right w:val="single" w:color="auto" w:sz="4" w:space="0"/>
            </w:tcBorders>
            <w:vAlign w:val="center"/>
          </w:tcPr>
          <w:p w14:paraId="3812326E">
            <w:pPr>
              <w:rPr>
                <w:rFonts w:hint="eastAsia" w:ascii="宋体" w:hAnsi="宋体" w:cs="宋体"/>
                <w:color w:val="auto"/>
                <w:highlight w:val="none"/>
              </w:rPr>
            </w:pPr>
            <w:r>
              <w:rPr>
                <w:rFonts w:hint="eastAsia" w:ascii="宋体" w:hAnsi="宋体" w:cs="宋体"/>
                <w:color w:val="auto"/>
                <w:highlight w:val="none"/>
              </w:rPr>
              <w:t>引河、前池等水面巡查及垃圾清理</w:t>
            </w:r>
          </w:p>
        </w:tc>
        <w:tc>
          <w:tcPr>
            <w:tcW w:w="780" w:type="dxa"/>
            <w:tcBorders>
              <w:top w:val="nil"/>
              <w:left w:val="nil"/>
              <w:bottom w:val="single" w:color="auto" w:sz="4" w:space="0"/>
              <w:right w:val="single" w:color="auto" w:sz="4" w:space="0"/>
            </w:tcBorders>
            <w:noWrap/>
            <w:vAlign w:val="center"/>
          </w:tcPr>
          <w:p w14:paraId="1AC24AAD">
            <w:pPr>
              <w:rPr>
                <w:rFonts w:hint="eastAsia" w:ascii="宋体" w:hAnsi="宋体" w:cs="宋体"/>
                <w:color w:val="auto"/>
                <w:highlight w:val="none"/>
              </w:rPr>
            </w:pPr>
            <w:r>
              <w:rPr>
                <w:rFonts w:hint="eastAsia" w:ascii="宋体" w:hAnsi="宋体" w:cs="宋体"/>
                <w:color w:val="auto"/>
                <w:highlight w:val="none"/>
              </w:rPr>
              <w:t>㎡</w:t>
            </w:r>
          </w:p>
        </w:tc>
        <w:tc>
          <w:tcPr>
            <w:tcW w:w="750" w:type="dxa"/>
            <w:tcBorders>
              <w:top w:val="nil"/>
              <w:left w:val="nil"/>
              <w:bottom w:val="single" w:color="auto" w:sz="4" w:space="0"/>
              <w:right w:val="single" w:color="auto" w:sz="4" w:space="0"/>
            </w:tcBorders>
            <w:noWrap/>
            <w:vAlign w:val="center"/>
          </w:tcPr>
          <w:p w14:paraId="15119F60">
            <w:pPr>
              <w:rPr>
                <w:rFonts w:hint="eastAsia" w:ascii="宋体" w:hAnsi="宋体" w:cs="宋体"/>
                <w:color w:val="auto"/>
                <w:highlight w:val="none"/>
              </w:rPr>
            </w:pPr>
            <w:r>
              <w:rPr>
                <w:rFonts w:hint="eastAsia" w:ascii="宋体" w:hAnsi="宋体" w:cs="宋体"/>
                <w:color w:val="auto"/>
                <w:highlight w:val="none"/>
              </w:rPr>
              <w:t>77500</w:t>
            </w:r>
          </w:p>
        </w:tc>
        <w:tc>
          <w:tcPr>
            <w:tcW w:w="3643" w:type="dxa"/>
            <w:tcBorders>
              <w:top w:val="nil"/>
              <w:left w:val="nil"/>
              <w:bottom w:val="single" w:color="auto" w:sz="4" w:space="0"/>
              <w:right w:val="single" w:color="auto" w:sz="4" w:space="0"/>
            </w:tcBorders>
            <w:noWrap/>
            <w:vAlign w:val="center"/>
          </w:tcPr>
          <w:p w14:paraId="2D40D308">
            <w:pPr>
              <w:rPr>
                <w:rFonts w:hint="eastAsia" w:ascii="宋体" w:hAnsi="宋体" w:cs="宋体"/>
                <w:color w:val="auto"/>
                <w:highlight w:val="none"/>
              </w:rPr>
            </w:pPr>
            <w:r>
              <w:rPr>
                <w:rFonts w:hint="eastAsia" w:ascii="宋体" w:hAnsi="宋体" w:cs="宋体"/>
                <w:color w:val="auto"/>
                <w:highlight w:val="none"/>
              </w:rPr>
              <w:t>引河、前池等水面漂浮物及垃圾清理，保证水域面无漂浮物、垃圾。</w:t>
            </w:r>
          </w:p>
        </w:tc>
      </w:tr>
      <w:tr w14:paraId="6FA03A13">
        <w:tblPrEx>
          <w:tblCellMar>
            <w:top w:w="0" w:type="dxa"/>
            <w:left w:w="108" w:type="dxa"/>
            <w:bottom w:w="0" w:type="dxa"/>
            <w:right w:w="108" w:type="dxa"/>
          </w:tblCellMar>
        </w:tblPrEx>
        <w:trPr>
          <w:trHeight w:val="333" w:hRule="atLeast"/>
          <w:jc w:val="center"/>
        </w:trPr>
        <w:tc>
          <w:tcPr>
            <w:tcW w:w="675" w:type="dxa"/>
            <w:tcBorders>
              <w:top w:val="nil"/>
              <w:left w:val="single" w:color="auto" w:sz="4" w:space="0"/>
              <w:bottom w:val="single" w:color="auto" w:sz="4" w:space="0"/>
              <w:right w:val="single" w:color="auto" w:sz="4" w:space="0"/>
            </w:tcBorders>
            <w:noWrap/>
            <w:vAlign w:val="center"/>
          </w:tcPr>
          <w:p w14:paraId="1CF45019">
            <w:pPr>
              <w:rPr>
                <w:rFonts w:hint="eastAsia" w:ascii="宋体" w:hAnsi="宋体" w:cs="宋体"/>
                <w:color w:val="auto"/>
                <w:highlight w:val="none"/>
              </w:rPr>
            </w:pPr>
            <w:r>
              <w:rPr>
                <w:rFonts w:hint="eastAsia" w:ascii="宋体" w:hAnsi="宋体" w:cs="宋体"/>
                <w:color w:val="auto"/>
                <w:highlight w:val="none"/>
              </w:rPr>
              <w:t>2</w:t>
            </w:r>
          </w:p>
        </w:tc>
        <w:tc>
          <w:tcPr>
            <w:tcW w:w="3180" w:type="dxa"/>
            <w:tcBorders>
              <w:top w:val="nil"/>
              <w:left w:val="nil"/>
              <w:bottom w:val="single" w:color="auto" w:sz="4" w:space="0"/>
              <w:right w:val="single" w:color="auto" w:sz="4" w:space="0"/>
            </w:tcBorders>
            <w:vAlign w:val="center"/>
          </w:tcPr>
          <w:p w14:paraId="3D739A90">
            <w:pPr>
              <w:rPr>
                <w:rFonts w:hint="eastAsia" w:ascii="宋体" w:hAnsi="宋体" w:cs="宋体"/>
                <w:color w:val="auto"/>
                <w:highlight w:val="none"/>
              </w:rPr>
            </w:pPr>
            <w:r>
              <w:rPr>
                <w:rFonts w:hint="eastAsia" w:ascii="宋体" w:hAnsi="宋体" w:cs="宋体"/>
                <w:color w:val="auto"/>
                <w:highlight w:val="none"/>
              </w:rPr>
              <w:t>管理范围内水工建筑物、围墙等安全巡查维护</w:t>
            </w:r>
          </w:p>
        </w:tc>
        <w:tc>
          <w:tcPr>
            <w:tcW w:w="780" w:type="dxa"/>
            <w:tcBorders>
              <w:top w:val="nil"/>
              <w:left w:val="nil"/>
              <w:bottom w:val="single" w:color="auto" w:sz="4" w:space="0"/>
              <w:right w:val="single" w:color="auto" w:sz="4" w:space="0"/>
            </w:tcBorders>
            <w:noWrap/>
            <w:vAlign w:val="center"/>
          </w:tcPr>
          <w:p w14:paraId="7E2481FF">
            <w:pPr>
              <w:rPr>
                <w:rFonts w:hint="eastAsia" w:ascii="宋体" w:hAnsi="宋体" w:cs="宋体"/>
                <w:color w:val="auto"/>
                <w:highlight w:val="none"/>
              </w:rPr>
            </w:pPr>
            <w:r>
              <w:rPr>
                <w:rFonts w:hint="eastAsia" w:ascii="宋体" w:hAnsi="宋体" w:cs="宋体"/>
                <w:color w:val="auto"/>
                <w:highlight w:val="none"/>
              </w:rPr>
              <w:t>项</w:t>
            </w:r>
          </w:p>
        </w:tc>
        <w:tc>
          <w:tcPr>
            <w:tcW w:w="750" w:type="dxa"/>
            <w:tcBorders>
              <w:top w:val="nil"/>
              <w:left w:val="nil"/>
              <w:bottom w:val="single" w:color="auto" w:sz="4" w:space="0"/>
              <w:right w:val="single" w:color="auto" w:sz="4" w:space="0"/>
            </w:tcBorders>
            <w:noWrap/>
            <w:vAlign w:val="center"/>
          </w:tcPr>
          <w:p w14:paraId="37CDD575">
            <w:pPr>
              <w:rPr>
                <w:rFonts w:hint="eastAsia" w:ascii="宋体" w:hAnsi="宋体" w:cs="宋体"/>
                <w:color w:val="auto"/>
                <w:highlight w:val="none"/>
              </w:rPr>
            </w:pPr>
            <w:r>
              <w:rPr>
                <w:rFonts w:hint="eastAsia" w:ascii="宋体" w:hAnsi="宋体" w:cs="宋体"/>
                <w:color w:val="auto"/>
                <w:highlight w:val="none"/>
              </w:rPr>
              <w:t>1</w:t>
            </w:r>
          </w:p>
        </w:tc>
        <w:tc>
          <w:tcPr>
            <w:tcW w:w="3643" w:type="dxa"/>
            <w:tcBorders>
              <w:top w:val="nil"/>
              <w:left w:val="nil"/>
              <w:bottom w:val="single" w:color="auto" w:sz="4" w:space="0"/>
              <w:right w:val="single" w:color="auto" w:sz="4" w:space="0"/>
            </w:tcBorders>
            <w:noWrap/>
            <w:vAlign w:val="center"/>
          </w:tcPr>
          <w:p w14:paraId="146D3778">
            <w:pPr>
              <w:rPr>
                <w:rFonts w:hint="eastAsia" w:ascii="宋体" w:hAnsi="宋体" w:cs="宋体"/>
                <w:color w:val="auto"/>
                <w:highlight w:val="none"/>
              </w:rPr>
            </w:pPr>
            <w:r>
              <w:rPr>
                <w:rFonts w:hint="eastAsia" w:ascii="宋体" w:hAnsi="宋体" w:cs="宋体"/>
                <w:color w:val="auto"/>
                <w:highlight w:val="none"/>
              </w:rPr>
              <w:t>管理范围内导航架至排水闸1.8km沿线水工建筑物、围墙等每日巡查，按需维护。</w:t>
            </w:r>
          </w:p>
        </w:tc>
      </w:tr>
      <w:tr w14:paraId="0E145640">
        <w:tblPrEx>
          <w:tblCellMar>
            <w:top w:w="0" w:type="dxa"/>
            <w:left w:w="108" w:type="dxa"/>
            <w:bottom w:w="0" w:type="dxa"/>
            <w:right w:w="108" w:type="dxa"/>
          </w:tblCellMar>
        </w:tblPrEx>
        <w:trPr>
          <w:trHeight w:val="306" w:hRule="atLeast"/>
          <w:jc w:val="center"/>
        </w:trPr>
        <w:tc>
          <w:tcPr>
            <w:tcW w:w="675" w:type="dxa"/>
            <w:tcBorders>
              <w:top w:val="nil"/>
              <w:left w:val="single" w:color="auto" w:sz="4" w:space="0"/>
              <w:bottom w:val="single" w:color="auto" w:sz="4" w:space="0"/>
              <w:right w:val="single" w:color="auto" w:sz="4" w:space="0"/>
            </w:tcBorders>
            <w:noWrap/>
            <w:vAlign w:val="center"/>
          </w:tcPr>
          <w:p w14:paraId="41DDF516">
            <w:pPr>
              <w:rPr>
                <w:rFonts w:hint="eastAsia" w:ascii="宋体" w:hAnsi="宋体" w:cs="宋体"/>
                <w:color w:val="auto"/>
                <w:highlight w:val="none"/>
              </w:rPr>
            </w:pPr>
            <w:r>
              <w:rPr>
                <w:rFonts w:hint="eastAsia" w:ascii="宋体" w:hAnsi="宋体" w:cs="宋体"/>
                <w:color w:val="auto"/>
                <w:highlight w:val="none"/>
              </w:rPr>
              <w:t>3</w:t>
            </w:r>
          </w:p>
        </w:tc>
        <w:tc>
          <w:tcPr>
            <w:tcW w:w="3180" w:type="dxa"/>
            <w:tcBorders>
              <w:top w:val="nil"/>
              <w:left w:val="nil"/>
              <w:bottom w:val="single" w:color="auto" w:sz="4" w:space="0"/>
              <w:right w:val="single" w:color="auto" w:sz="4" w:space="0"/>
            </w:tcBorders>
            <w:noWrap/>
            <w:vAlign w:val="center"/>
          </w:tcPr>
          <w:p w14:paraId="1BF7B501">
            <w:pPr>
              <w:rPr>
                <w:rFonts w:hint="eastAsia" w:ascii="宋体" w:hAnsi="宋体" w:cs="宋体"/>
                <w:color w:val="auto"/>
                <w:highlight w:val="none"/>
              </w:rPr>
            </w:pPr>
            <w:r>
              <w:rPr>
                <w:rFonts w:hint="eastAsia" w:ascii="宋体" w:hAnsi="宋体" w:cs="宋体"/>
                <w:color w:val="auto"/>
                <w:highlight w:val="none"/>
              </w:rPr>
              <w:t>管理范围内电缆井清理及维护</w:t>
            </w:r>
          </w:p>
        </w:tc>
        <w:tc>
          <w:tcPr>
            <w:tcW w:w="780" w:type="dxa"/>
            <w:tcBorders>
              <w:top w:val="nil"/>
              <w:left w:val="nil"/>
              <w:bottom w:val="single" w:color="auto" w:sz="4" w:space="0"/>
              <w:right w:val="single" w:color="auto" w:sz="4" w:space="0"/>
            </w:tcBorders>
            <w:noWrap/>
            <w:vAlign w:val="center"/>
          </w:tcPr>
          <w:p w14:paraId="73485F6D">
            <w:pPr>
              <w:rPr>
                <w:rFonts w:hint="eastAsia" w:ascii="宋体" w:hAnsi="宋体" w:cs="宋体"/>
                <w:color w:val="auto"/>
                <w:highlight w:val="none"/>
              </w:rPr>
            </w:pPr>
            <w:r>
              <w:rPr>
                <w:rFonts w:hint="eastAsia" w:ascii="宋体" w:hAnsi="宋体" w:cs="宋体"/>
                <w:color w:val="auto"/>
                <w:highlight w:val="none"/>
              </w:rPr>
              <w:t>项</w:t>
            </w:r>
          </w:p>
        </w:tc>
        <w:tc>
          <w:tcPr>
            <w:tcW w:w="750" w:type="dxa"/>
            <w:tcBorders>
              <w:top w:val="nil"/>
              <w:left w:val="nil"/>
              <w:bottom w:val="single" w:color="auto" w:sz="4" w:space="0"/>
              <w:right w:val="single" w:color="auto" w:sz="4" w:space="0"/>
            </w:tcBorders>
            <w:noWrap/>
            <w:vAlign w:val="center"/>
          </w:tcPr>
          <w:p w14:paraId="48DA94E1">
            <w:pPr>
              <w:rPr>
                <w:rFonts w:hint="eastAsia" w:ascii="宋体" w:hAnsi="宋体" w:cs="宋体"/>
                <w:color w:val="auto"/>
                <w:highlight w:val="none"/>
              </w:rPr>
            </w:pPr>
            <w:r>
              <w:rPr>
                <w:rFonts w:hint="eastAsia" w:ascii="宋体" w:hAnsi="宋体" w:cs="宋体"/>
                <w:color w:val="auto"/>
                <w:highlight w:val="none"/>
              </w:rPr>
              <w:t>1</w:t>
            </w:r>
          </w:p>
        </w:tc>
        <w:tc>
          <w:tcPr>
            <w:tcW w:w="3643" w:type="dxa"/>
            <w:tcBorders>
              <w:top w:val="nil"/>
              <w:left w:val="nil"/>
              <w:bottom w:val="single" w:color="auto" w:sz="4" w:space="0"/>
              <w:right w:val="single" w:color="auto" w:sz="4" w:space="0"/>
            </w:tcBorders>
            <w:noWrap/>
            <w:vAlign w:val="center"/>
          </w:tcPr>
          <w:p w14:paraId="0FA42862">
            <w:pPr>
              <w:rPr>
                <w:rFonts w:hint="eastAsia" w:ascii="宋体" w:hAnsi="宋体" w:cs="宋体"/>
                <w:color w:val="auto"/>
                <w:highlight w:val="none"/>
              </w:rPr>
            </w:pPr>
            <w:r>
              <w:rPr>
                <w:rFonts w:hint="eastAsia" w:ascii="宋体" w:hAnsi="宋体" w:cs="宋体"/>
                <w:color w:val="auto"/>
                <w:highlight w:val="none"/>
              </w:rPr>
              <w:t>每年清理不少于1次，台风前后视情增加</w:t>
            </w:r>
          </w:p>
        </w:tc>
      </w:tr>
      <w:tr w14:paraId="31674A39">
        <w:tblPrEx>
          <w:tblCellMar>
            <w:top w:w="0" w:type="dxa"/>
            <w:left w:w="108" w:type="dxa"/>
            <w:bottom w:w="0" w:type="dxa"/>
            <w:right w:w="108" w:type="dxa"/>
          </w:tblCellMar>
        </w:tblPrEx>
        <w:trPr>
          <w:trHeight w:val="303" w:hRule="atLeast"/>
          <w:jc w:val="center"/>
        </w:trPr>
        <w:tc>
          <w:tcPr>
            <w:tcW w:w="675" w:type="dxa"/>
            <w:tcBorders>
              <w:top w:val="single" w:color="auto" w:sz="4" w:space="0"/>
              <w:left w:val="single" w:color="auto" w:sz="4" w:space="0"/>
              <w:bottom w:val="single" w:color="auto" w:sz="4" w:space="0"/>
              <w:right w:val="single" w:color="auto" w:sz="4" w:space="0"/>
            </w:tcBorders>
            <w:noWrap/>
            <w:vAlign w:val="center"/>
          </w:tcPr>
          <w:p w14:paraId="6DC88AAB">
            <w:pPr>
              <w:rPr>
                <w:rFonts w:hint="eastAsia" w:ascii="宋体" w:hAnsi="宋体" w:cs="宋体"/>
                <w:color w:val="auto"/>
                <w:highlight w:val="none"/>
              </w:rPr>
            </w:pPr>
            <w:r>
              <w:rPr>
                <w:rFonts w:hint="eastAsia" w:ascii="宋体" w:hAnsi="宋体" w:cs="宋体"/>
                <w:color w:val="auto"/>
                <w:highlight w:val="none"/>
              </w:rPr>
              <w:t>4</w:t>
            </w:r>
          </w:p>
        </w:tc>
        <w:tc>
          <w:tcPr>
            <w:tcW w:w="3180" w:type="dxa"/>
            <w:tcBorders>
              <w:top w:val="single" w:color="auto" w:sz="4" w:space="0"/>
              <w:left w:val="nil"/>
              <w:bottom w:val="single" w:color="auto" w:sz="4" w:space="0"/>
              <w:right w:val="single" w:color="auto" w:sz="4" w:space="0"/>
            </w:tcBorders>
            <w:noWrap/>
            <w:vAlign w:val="center"/>
          </w:tcPr>
          <w:p w14:paraId="61AAF736">
            <w:pPr>
              <w:rPr>
                <w:rFonts w:hint="eastAsia" w:ascii="宋体" w:hAnsi="宋体" w:cs="宋体"/>
                <w:color w:val="auto"/>
                <w:highlight w:val="none"/>
              </w:rPr>
            </w:pPr>
            <w:r>
              <w:rPr>
                <w:rFonts w:hint="eastAsia" w:ascii="宋体" w:hAnsi="宋体" w:cs="宋体"/>
                <w:color w:val="auto"/>
                <w:highlight w:val="none"/>
              </w:rPr>
              <w:t>界桩、围栏、标识标牌维护</w:t>
            </w:r>
          </w:p>
        </w:tc>
        <w:tc>
          <w:tcPr>
            <w:tcW w:w="780" w:type="dxa"/>
            <w:tcBorders>
              <w:top w:val="single" w:color="auto" w:sz="4" w:space="0"/>
              <w:left w:val="nil"/>
              <w:bottom w:val="single" w:color="auto" w:sz="4" w:space="0"/>
              <w:right w:val="single" w:color="auto" w:sz="4" w:space="0"/>
            </w:tcBorders>
            <w:noWrap/>
            <w:vAlign w:val="center"/>
          </w:tcPr>
          <w:p w14:paraId="251C705E">
            <w:pPr>
              <w:rPr>
                <w:rFonts w:hint="eastAsia" w:ascii="宋体" w:hAnsi="宋体" w:cs="宋体"/>
                <w:color w:val="auto"/>
                <w:highlight w:val="none"/>
              </w:rPr>
            </w:pPr>
            <w:r>
              <w:rPr>
                <w:rFonts w:hint="eastAsia" w:ascii="宋体" w:hAnsi="宋体" w:cs="宋体"/>
                <w:color w:val="auto"/>
                <w:highlight w:val="none"/>
              </w:rPr>
              <w:t>项</w:t>
            </w:r>
          </w:p>
        </w:tc>
        <w:tc>
          <w:tcPr>
            <w:tcW w:w="750" w:type="dxa"/>
            <w:tcBorders>
              <w:top w:val="single" w:color="auto" w:sz="4" w:space="0"/>
              <w:left w:val="nil"/>
              <w:bottom w:val="single" w:color="auto" w:sz="4" w:space="0"/>
              <w:right w:val="single" w:color="auto" w:sz="4" w:space="0"/>
            </w:tcBorders>
            <w:noWrap/>
            <w:vAlign w:val="center"/>
          </w:tcPr>
          <w:p w14:paraId="0EAC58D0">
            <w:pPr>
              <w:rPr>
                <w:rFonts w:hint="eastAsia" w:ascii="宋体" w:hAnsi="宋体" w:cs="宋体"/>
                <w:color w:val="auto"/>
                <w:highlight w:val="none"/>
              </w:rPr>
            </w:pPr>
            <w:r>
              <w:rPr>
                <w:rFonts w:hint="eastAsia" w:ascii="宋体" w:hAnsi="宋体" w:cs="宋体"/>
                <w:color w:val="auto"/>
                <w:highlight w:val="none"/>
              </w:rPr>
              <w:t>1</w:t>
            </w:r>
          </w:p>
        </w:tc>
        <w:tc>
          <w:tcPr>
            <w:tcW w:w="3643" w:type="dxa"/>
            <w:tcBorders>
              <w:top w:val="single" w:color="auto" w:sz="4" w:space="0"/>
              <w:left w:val="nil"/>
              <w:bottom w:val="single" w:color="auto" w:sz="4" w:space="0"/>
              <w:right w:val="single" w:color="auto" w:sz="4" w:space="0"/>
            </w:tcBorders>
            <w:noWrap/>
            <w:vAlign w:val="center"/>
          </w:tcPr>
          <w:p w14:paraId="54FD7ED5">
            <w:pPr>
              <w:rPr>
                <w:rFonts w:hint="eastAsia" w:ascii="宋体" w:hAnsi="宋体" w:cs="宋体"/>
                <w:color w:val="auto"/>
                <w:highlight w:val="none"/>
              </w:rPr>
            </w:pPr>
            <w:r>
              <w:rPr>
                <w:rFonts w:hint="eastAsia" w:ascii="宋体" w:hAnsi="宋体" w:cs="宋体"/>
                <w:color w:val="auto"/>
                <w:highlight w:val="none"/>
              </w:rPr>
              <w:t>定期检查，按需维护。</w:t>
            </w:r>
          </w:p>
        </w:tc>
      </w:tr>
      <w:tr w14:paraId="3A14708F">
        <w:tblPrEx>
          <w:tblCellMar>
            <w:top w:w="0" w:type="dxa"/>
            <w:left w:w="108" w:type="dxa"/>
            <w:bottom w:w="0" w:type="dxa"/>
            <w:right w:w="108" w:type="dxa"/>
          </w:tblCellMar>
        </w:tblPrEx>
        <w:trPr>
          <w:trHeight w:val="285" w:hRule="atLeast"/>
          <w:jc w:val="center"/>
        </w:trPr>
        <w:tc>
          <w:tcPr>
            <w:tcW w:w="675" w:type="dxa"/>
            <w:tcBorders>
              <w:top w:val="single" w:color="auto" w:sz="4" w:space="0"/>
              <w:left w:val="single" w:color="auto" w:sz="4" w:space="0"/>
              <w:bottom w:val="single" w:color="auto" w:sz="4" w:space="0"/>
              <w:right w:val="single" w:color="auto" w:sz="4" w:space="0"/>
            </w:tcBorders>
            <w:noWrap/>
            <w:vAlign w:val="center"/>
          </w:tcPr>
          <w:p w14:paraId="57422E8D">
            <w:pPr>
              <w:rPr>
                <w:rFonts w:hint="eastAsia" w:ascii="宋体" w:hAnsi="宋体" w:cs="宋体"/>
                <w:color w:val="auto"/>
                <w:highlight w:val="none"/>
              </w:rPr>
            </w:pPr>
            <w:r>
              <w:rPr>
                <w:rFonts w:hint="eastAsia" w:ascii="宋体" w:hAnsi="宋体" w:cs="宋体"/>
                <w:color w:val="auto"/>
                <w:highlight w:val="none"/>
              </w:rPr>
              <w:t>5</w:t>
            </w:r>
          </w:p>
        </w:tc>
        <w:tc>
          <w:tcPr>
            <w:tcW w:w="3180" w:type="dxa"/>
            <w:tcBorders>
              <w:top w:val="single" w:color="auto" w:sz="4" w:space="0"/>
              <w:left w:val="nil"/>
              <w:bottom w:val="single" w:color="auto" w:sz="4" w:space="0"/>
              <w:right w:val="single" w:color="auto" w:sz="4" w:space="0"/>
            </w:tcBorders>
            <w:noWrap/>
            <w:vAlign w:val="center"/>
          </w:tcPr>
          <w:p w14:paraId="0024D42B">
            <w:pPr>
              <w:rPr>
                <w:rFonts w:hint="eastAsia" w:ascii="宋体" w:hAnsi="宋体" w:cs="宋体"/>
                <w:color w:val="auto"/>
                <w:highlight w:val="none"/>
              </w:rPr>
            </w:pPr>
            <w:r>
              <w:rPr>
                <w:rFonts w:hint="eastAsia" w:ascii="宋体" w:hAnsi="宋体" w:cs="宋体"/>
                <w:color w:val="auto"/>
                <w:highlight w:val="none"/>
              </w:rPr>
              <w:t>泵站厂房11.4高程以下、月雅河闸、排水闸等水工建筑物日常维护</w:t>
            </w:r>
          </w:p>
        </w:tc>
        <w:tc>
          <w:tcPr>
            <w:tcW w:w="780" w:type="dxa"/>
            <w:tcBorders>
              <w:top w:val="single" w:color="auto" w:sz="4" w:space="0"/>
              <w:left w:val="nil"/>
              <w:bottom w:val="single" w:color="auto" w:sz="4" w:space="0"/>
              <w:right w:val="single" w:color="auto" w:sz="4" w:space="0"/>
            </w:tcBorders>
            <w:noWrap/>
            <w:vAlign w:val="center"/>
          </w:tcPr>
          <w:p w14:paraId="034DCB18">
            <w:pPr>
              <w:rPr>
                <w:rFonts w:hint="eastAsia" w:ascii="宋体" w:hAnsi="宋体" w:cs="宋体"/>
                <w:color w:val="auto"/>
                <w:highlight w:val="none"/>
              </w:rPr>
            </w:pPr>
            <w:r>
              <w:rPr>
                <w:rFonts w:hint="eastAsia" w:ascii="宋体" w:hAnsi="宋体" w:cs="宋体"/>
                <w:color w:val="auto"/>
                <w:highlight w:val="none"/>
              </w:rPr>
              <w:t>项</w:t>
            </w:r>
          </w:p>
        </w:tc>
        <w:tc>
          <w:tcPr>
            <w:tcW w:w="750" w:type="dxa"/>
            <w:tcBorders>
              <w:top w:val="single" w:color="auto" w:sz="4" w:space="0"/>
              <w:left w:val="nil"/>
              <w:bottom w:val="single" w:color="auto" w:sz="4" w:space="0"/>
              <w:right w:val="single" w:color="auto" w:sz="4" w:space="0"/>
            </w:tcBorders>
            <w:noWrap/>
            <w:vAlign w:val="center"/>
          </w:tcPr>
          <w:p w14:paraId="15C08B5C">
            <w:pPr>
              <w:rPr>
                <w:rFonts w:hint="eastAsia" w:ascii="宋体" w:hAnsi="宋体" w:cs="宋体"/>
                <w:color w:val="auto"/>
                <w:highlight w:val="none"/>
              </w:rPr>
            </w:pPr>
            <w:r>
              <w:rPr>
                <w:rFonts w:hint="eastAsia" w:ascii="宋体" w:hAnsi="宋体" w:cs="宋体"/>
                <w:color w:val="auto"/>
                <w:highlight w:val="none"/>
              </w:rPr>
              <w:t>1</w:t>
            </w:r>
          </w:p>
        </w:tc>
        <w:tc>
          <w:tcPr>
            <w:tcW w:w="3643" w:type="dxa"/>
            <w:tcBorders>
              <w:top w:val="single" w:color="auto" w:sz="4" w:space="0"/>
              <w:left w:val="nil"/>
              <w:bottom w:val="single" w:color="auto" w:sz="4" w:space="0"/>
              <w:right w:val="single" w:color="auto" w:sz="4" w:space="0"/>
            </w:tcBorders>
            <w:noWrap/>
            <w:vAlign w:val="center"/>
          </w:tcPr>
          <w:p w14:paraId="50789A89">
            <w:pPr>
              <w:rPr>
                <w:rFonts w:hint="eastAsia" w:ascii="宋体" w:hAnsi="宋体" w:cs="宋体"/>
                <w:color w:val="auto"/>
                <w:highlight w:val="none"/>
              </w:rPr>
            </w:pPr>
            <w:r>
              <w:rPr>
                <w:rFonts w:hint="eastAsia" w:ascii="宋体" w:hAnsi="宋体" w:cs="宋体"/>
                <w:color w:val="auto"/>
                <w:highlight w:val="none"/>
              </w:rPr>
              <w:t>单次单点5㎡以下墙面修补、沥青（混凝土）道路修补3㎡以下；堤防冲沟处理；门、窗、锁、井盖、管道等破损更换。</w:t>
            </w:r>
          </w:p>
        </w:tc>
      </w:tr>
    </w:tbl>
    <w:p w14:paraId="236C04E0">
      <w:pPr>
        <w:snapToGrid w:val="0"/>
        <w:spacing w:line="360" w:lineRule="auto"/>
        <w:ind w:firstLine="420" w:firstLineChars="200"/>
        <w:rPr>
          <w:rFonts w:hint="eastAsia" w:ascii="宋体" w:hAnsi="宋体" w:cs="宋体"/>
          <w:color w:val="auto"/>
          <w:szCs w:val="21"/>
          <w:highlight w:val="none"/>
        </w:rPr>
      </w:pPr>
    </w:p>
    <w:p w14:paraId="5C1307B4">
      <w:pPr>
        <w:snapToGrid w:val="0"/>
        <w:spacing w:line="360" w:lineRule="auto"/>
        <w:ind w:firstLine="415" w:firstLineChars="197"/>
        <w:rPr>
          <w:rFonts w:hint="eastAsia" w:ascii="宋体" w:hAnsi="宋体" w:cs="宋体"/>
          <w:bCs/>
          <w:snapToGrid w:val="0"/>
          <w:color w:val="auto"/>
          <w:szCs w:val="21"/>
          <w:highlight w:val="none"/>
        </w:rPr>
      </w:pPr>
      <w:r>
        <w:rPr>
          <w:rFonts w:hint="eastAsia" w:ascii="宋体" w:hAnsi="宋体" w:cs="宋体"/>
          <w:b/>
          <w:color w:val="auto"/>
          <w:szCs w:val="21"/>
          <w:highlight w:val="none"/>
        </w:rPr>
        <w:t>表2.1.2-2                 泵站维修养护</w:t>
      </w:r>
      <w:r>
        <w:rPr>
          <w:rFonts w:hint="eastAsia" w:ascii="宋体" w:hAnsi="宋体" w:cs="宋体"/>
          <w:b/>
          <w:bCs/>
          <w:snapToGrid w:val="0"/>
          <w:color w:val="auto"/>
          <w:szCs w:val="21"/>
          <w:highlight w:val="none"/>
        </w:rPr>
        <w:t>主要机电设备表</w:t>
      </w:r>
    </w:p>
    <w:tbl>
      <w:tblPr>
        <w:tblStyle w:val="20"/>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28"/>
        <w:gridCol w:w="708"/>
        <w:gridCol w:w="709"/>
        <w:gridCol w:w="4044"/>
      </w:tblGrid>
      <w:tr w14:paraId="5FB8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tcPr>
          <w:p w14:paraId="429B5D86">
            <w:pPr>
              <w:jc w:val="center"/>
              <w:rPr>
                <w:rFonts w:hint="eastAsia" w:ascii="宋体" w:hAnsi="宋体" w:cs="宋体"/>
                <w:color w:val="auto"/>
                <w:highlight w:val="none"/>
              </w:rPr>
            </w:pPr>
            <w:r>
              <w:rPr>
                <w:rFonts w:hint="eastAsia" w:ascii="宋体" w:hAnsi="宋体" w:cs="宋体"/>
                <w:color w:val="auto"/>
                <w:highlight w:val="none"/>
              </w:rPr>
              <w:t>序号</w:t>
            </w:r>
          </w:p>
        </w:tc>
        <w:tc>
          <w:tcPr>
            <w:tcW w:w="2928" w:type="dxa"/>
          </w:tcPr>
          <w:p w14:paraId="530638A7">
            <w:pPr>
              <w:jc w:val="center"/>
              <w:rPr>
                <w:rFonts w:hint="eastAsia" w:ascii="宋体" w:hAnsi="宋体" w:cs="宋体"/>
                <w:color w:val="auto"/>
                <w:highlight w:val="none"/>
              </w:rPr>
            </w:pPr>
            <w:r>
              <w:rPr>
                <w:rFonts w:hint="eastAsia" w:ascii="宋体" w:hAnsi="宋体" w:cs="宋体"/>
                <w:color w:val="auto"/>
                <w:highlight w:val="none"/>
              </w:rPr>
              <w:t>设备名称</w:t>
            </w:r>
          </w:p>
        </w:tc>
        <w:tc>
          <w:tcPr>
            <w:tcW w:w="708" w:type="dxa"/>
          </w:tcPr>
          <w:p w14:paraId="3A1DB547">
            <w:pPr>
              <w:jc w:val="center"/>
              <w:rPr>
                <w:rFonts w:hint="eastAsia" w:ascii="宋体" w:hAnsi="宋体" w:cs="宋体"/>
                <w:color w:val="auto"/>
                <w:highlight w:val="none"/>
              </w:rPr>
            </w:pPr>
            <w:r>
              <w:rPr>
                <w:rFonts w:hint="eastAsia" w:ascii="宋体" w:hAnsi="宋体" w:cs="宋体"/>
                <w:color w:val="auto"/>
                <w:highlight w:val="none"/>
              </w:rPr>
              <w:t>单位</w:t>
            </w:r>
          </w:p>
        </w:tc>
        <w:tc>
          <w:tcPr>
            <w:tcW w:w="709" w:type="dxa"/>
          </w:tcPr>
          <w:p w14:paraId="4F04E01B">
            <w:pPr>
              <w:jc w:val="center"/>
              <w:rPr>
                <w:rFonts w:hint="eastAsia" w:ascii="宋体" w:hAnsi="宋体" w:cs="宋体"/>
                <w:color w:val="auto"/>
                <w:highlight w:val="none"/>
              </w:rPr>
            </w:pPr>
            <w:r>
              <w:rPr>
                <w:rFonts w:hint="eastAsia" w:ascii="宋体" w:hAnsi="宋体" w:cs="宋体"/>
                <w:color w:val="auto"/>
                <w:highlight w:val="none"/>
              </w:rPr>
              <w:t>数量</w:t>
            </w:r>
          </w:p>
        </w:tc>
        <w:tc>
          <w:tcPr>
            <w:tcW w:w="4044" w:type="dxa"/>
          </w:tcPr>
          <w:p w14:paraId="2C4403FB">
            <w:pPr>
              <w:jc w:val="center"/>
              <w:rPr>
                <w:rFonts w:hint="eastAsia" w:ascii="宋体" w:hAnsi="宋体" w:cs="宋体"/>
                <w:color w:val="auto"/>
                <w:highlight w:val="none"/>
              </w:rPr>
            </w:pPr>
            <w:r>
              <w:rPr>
                <w:rFonts w:hint="eastAsia" w:ascii="宋体" w:hAnsi="宋体" w:cs="宋体"/>
                <w:color w:val="auto"/>
                <w:highlight w:val="none"/>
              </w:rPr>
              <w:t>要求</w:t>
            </w:r>
          </w:p>
        </w:tc>
      </w:tr>
      <w:tr w14:paraId="5AEE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tcPr>
          <w:p w14:paraId="7356F053">
            <w:pPr>
              <w:rPr>
                <w:rFonts w:hint="eastAsia" w:ascii="宋体" w:hAnsi="宋体" w:cs="宋体"/>
                <w:color w:val="auto"/>
                <w:highlight w:val="none"/>
              </w:rPr>
            </w:pPr>
            <w:r>
              <w:rPr>
                <w:rFonts w:hint="eastAsia" w:ascii="宋体" w:hAnsi="宋体" w:cs="宋体"/>
                <w:color w:val="auto"/>
                <w:highlight w:val="none"/>
              </w:rPr>
              <w:t>一</w:t>
            </w:r>
          </w:p>
        </w:tc>
        <w:tc>
          <w:tcPr>
            <w:tcW w:w="2928" w:type="dxa"/>
          </w:tcPr>
          <w:p w14:paraId="48D38319">
            <w:pPr>
              <w:rPr>
                <w:rFonts w:hint="eastAsia" w:ascii="宋体" w:hAnsi="宋体" w:cs="宋体"/>
                <w:b/>
                <w:color w:val="auto"/>
                <w:highlight w:val="none"/>
              </w:rPr>
            </w:pPr>
            <w:r>
              <w:rPr>
                <w:rFonts w:hint="eastAsia" w:ascii="宋体" w:hAnsi="宋体" w:cs="宋体"/>
                <w:b/>
                <w:color w:val="auto"/>
                <w:highlight w:val="none"/>
              </w:rPr>
              <w:t>日常养护项目</w:t>
            </w:r>
          </w:p>
        </w:tc>
        <w:tc>
          <w:tcPr>
            <w:tcW w:w="708" w:type="dxa"/>
          </w:tcPr>
          <w:p w14:paraId="65738E32">
            <w:pPr>
              <w:rPr>
                <w:rFonts w:hint="eastAsia" w:ascii="宋体" w:hAnsi="宋体" w:cs="宋体"/>
                <w:color w:val="auto"/>
                <w:highlight w:val="none"/>
              </w:rPr>
            </w:pPr>
          </w:p>
        </w:tc>
        <w:tc>
          <w:tcPr>
            <w:tcW w:w="709" w:type="dxa"/>
          </w:tcPr>
          <w:p w14:paraId="0A753CD3">
            <w:pPr>
              <w:rPr>
                <w:rFonts w:hint="eastAsia" w:ascii="宋体" w:hAnsi="宋体" w:cs="宋体"/>
                <w:color w:val="auto"/>
                <w:highlight w:val="none"/>
              </w:rPr>
            </w:pPr>
          </w:p>
        </w:tc>
        <w:tc>
          <w:tcPr>
            <w:tcW w:w="4044" w:type="dxa"/>
          </w:tcPr>
          <w:p w14:paraId="59E437AE">
            <w:pPr>
              <w:rPr>
                <w:rFonts w:hint="eastAsia" w:ascii="宋体" w:hAnsi="宋体" w:cs="宋体"/>
                <w:color w:val="auto"/>
                <w:highlight w:val="none"/>
              </w:rPr>
            </w:pPr>
          </w:p>
        </w:tc>
      </w:tr>
      <w:tr w14:paraId="7371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7FE4703">
            <w:pPr>
              <w:rPr>
                <w:rFonts w:hint="eastAsia" w:ascii="宋体" w:hAnsi="宋体" w:cs="宋体"/>
                <w:color w:val="auto"/>
                <w:highlight w:val="none"/>
              </w:rPr>
            </w:pPr>
            <w:r>
              <w:rPr>
                <w:rFonts w:hint="eastAsia" w:ascii="宋体" w:hAnsi="宋体" w:cs="宋体"/>
                <w:color w:val="auto"/>
                <w:highlight w:val="none"/>
              </w:rPr>
              <w:t>1</w:t>
            </w:r>
          </w:p>
        </w:tc>
        <w:tc>
          <w:tcPr>
            <w:tcW w:w="2928" w:type="dxa"/>
            <w:vAlign w:val="center"/>
          </w:tcPr>
          <w:p w14:paraId="40673D3F">
            <w:pPr>
              <w:rPr>
                <w:rFonts w:hint="eastAsia" w:ascii="宋体" w:hAnsi="宋体" w:cs="宋体"/>
                <w:color w:val="auto"/>
                <w:highlight w:val="none"/>
              </w:rPr>
            </w:pPr>
            <w:r>
              <w:rPr>
                <w:rFonts w:hint="eastAsia" w:ascii="宋体" w:hAnsi="宋体" w:cs="宋体"/>
                <w:color w:val="auto"/>
                <w:highlight w:val="none"/>
              </w:rPr>
              <w:t>导航架拦污栅</w:t>
            </w:r>
          </w:p>
        </w:tc>
        <w:tc>
          <w:tcPr>
            <w:tcW w:w="708" w:type="dxa"/>
          </w:tcPr>
          <w:p w14:paraId="6F8EB2D5">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0264428">
            <w:pPr>
              <w:rPr>
                <w:rFonts w:hint="eastAsia" w:ascii="宋体" w:hAnsi="宋体" w:cs="宋体"/>
                <w:color w:val="auto"/>
                <w:highlight w:val="none"/>
              </w:rPr>
            </w:pPr>
            <w:r>
              <w:rPr>
                <w:rFonts w:hint="eastAsia" w:ascii="宋体" w:hAnsi="宋体" w:cs="宋体"/>
                <w:color w:val="auto"/>
                <w:highlight w:val="none"/>
              </w:rPr>
              <w:t>24</w:t>
            </w:r>
          </w:p>
        </w:tc>
        <w:tc>
          <w:tcPr>
            <w:tcW w:w="4044" w:type="dxa"/>
          </w:tcPr>
          <w:p w14:paraId="24E439F1">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933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0DC8A87A">
            <w:pPr>
              <w:rPr>
                <w:rFonts w:hint="eastAsia" w:ascii="宋体" w:hAnsi="宋体" w:cs="宋体"/>
                <w:color w:val="auto"/>
                <w:highlight w:val="none"/>
              </w:rPr>
            </w:pPr>
            <w:r>
              <w:rPr>
                <w:rFonts w:hint="eastAsia" w:ascii="宋体" w:hAnsi="宋体" w:cs="宋体"/>
                <w:color w:val="auto"/>
                <w:highlight w:val="none"/>
              </w:rPr>
              <w:t>2</w:t>
            </w:r>
          </w:p>
        </w:tc>
        <w:tc>
          <w:tcPr>
            <w:tcW w:w="2928" w:type="dxa"/>
            <w:vAlign w:val="center"/>
          </w:tcPr>
          <w:p w14:paraId="3D96608C">
            <w:pPr>
              <w:rPr>
                <w:rFonts w:hint="eastAsia" w:ascii="宋体" w:hAnsi="宋体" w:cs="宋体"/>
                <w:color w:val="auto"/>
                <w:highlight w:val="none"/>
              </w:rPr>
            </w:pPr>
            <w:r>
              <w:rPr>
                <w:rFonts w:hint="eastAsia" w:ascii="宋体" w:hAnsi="宋体" w:cs="宋体"/>
                <w:color w:val="auto"/>
                <w:highlight w:val="none"/>
              </w:rPr>
              <w:t>清污机</w:t>
            </w:r>
          </w:p>
        </w:tc>
        <w:tc>
          <w:tcPr>
            <w:tcW w:w="708" w:type="dxa"/>
          </w:tcPr>
          <w:p w14:paraId="452806D0">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20329EF9">
            <w:pPr>
              <w:rPr>
                <w:rFonts w:hint="eastAsia" w:ascii="宋体" w:hAnsi="宋体" w:cs="宋体"/>
                <w:color w:val="auto"/>
                <w:highlight w:val="none"/>
              </w:rPr>
            </w:pPr>
            <w:r>
              <w:rPr>
                <w:rFonts w:hint="eastAsia" w:ascii="宋体" w:hAnsi="宋体" w:cs="宋体"/>
                <w:color w:val="auto"/>
                <w:highlight w:val="none"/>
              </w:rPr>
              <w:t>12</w:t>
            </w:r>
          </w:p>
        </w:tc>
        <w:tc>
          <w:tcPr>
            <w:tcW w:w="4044" w:type="dxa"/>
          </w:tcPr>
          <w:p w14:paraId="51EE6FA4">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52D1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04CB2EC2">
            <w:pPr>
              <w:rPr>
                <w:rFonts w:hint="eastAsia" w:ascii="宋体" w:hAnsi="宋体" w:cs="宋体"/>
                <w:color w:val="auto"/>
                <w:highlight w:val="none"/>
              </w:rPr>
            </w:pPr>
            <w:r>
              <w:rPr>
                <w:rFonts w:hint="eastAsia" w:ascii="宋体" w:hAnsi="宋体" w:cs="宋体"/>
                <w:color w:val="auto"/>
                <w:highlight w:val="none"/>
              </w:rPr>
              <w:t>3</w:t>
            </w:r>
          </w:p>
        </w:tc>
        <w:tc>
          <w:tcPr>
            <w:tcW w:w="2928" w:type="dxa"/>
            <w:vAlign w:val="center"/>
          </w:tcPr>
          <w:p w14:paraId="50E93B79">
            <w:pPr>
              <w:rPr>
                <w:rFonts w:hint="eastAsia" w:ascii="宋体" w:hAnsi="宋体" w:cs="宋体"/>
                <w:color w:val="auto"/>
                <w:highlight w:val="none"/>
              </w:rPr>
            </w:pPr>
            <w:r>
              <w:rPr>
                <w:rFonts w:hint="eastAsia" w:ascii="宋体" w:hAnsi="宋体" w:cs="宋体"/>
                <w:color w:val="auto"/>
                <w:highlight w:val="none"/>
              </w:rPr>
              <w:t>皮带机</w:t>
            </w:r>
          </w:p>
        </w:tc>
        <w:tc>
          <w:tcPr>
            <w:tcW w:w="708" w:type="dxa"/>
          </w:tcPr>
          <w:p w14:paraId="151032DC">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511A0F64">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797321D1">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0AD3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EE0F868">
            <w:pPr>
              <w:rPr>
                <w:rFonts w:hint="eastAsia" w:ascii="宋体" w:hAnsi="宋体" w:cs="宋体"/>
                <w:color w:val="auto"/>
                <w:highlight w:val="none"/>
              </w:rPr>
            </w:pPr>
            <w:r>
              <w:rPr>
                <w:rFonts w:hint="eastAsia" w:ascii="宋体" w:hAnsi="宋体" w:cs="宋体"/>
                <w:color w:val="auto"/>
                <w:highlight w:val="none"/>
              </w:rPr>
              <w:t>4</w:t>
            </w:r>
          </w:p>
        </w:tc>
        <w:tc>
          <w:tcPr>
            <w:tcW w:w="2928" w:type="dxa"/>
            <w:vAlign w:val="center"/>
          </w:tcPr>
          <w:p w14:paraId="3CEA8ABB">
            <w:pPr>
              <w:rPr>
                <w:rFonts w:hint="eastAsia" w:ascii="宋体" w:hAnsi="宋体" w:cs="宋体"/>
                <w:color w:val="auto"/>
                <w:highlight w:val="none"/>
              </w:rPr>
            </w:pPr>
            <w:r>
              <w:rPr>
                <w:rFonts w:hint="eastAsia" w:ascii="宋体" w:hAnsi="宋体" w:cs="宋体"/>
                <w:color w:val="auto"/>
                <w:highlight w:val="none"/>
              </w:rPr>
              <w:t>水泵进口拦污栅</w:t>
            </w:r>
          </w:p>
        </w:tc>
        <w:tc>
          <w:tcPr>
            <w:tcW w:w="708" w:type="dxa"/>
          </w:tcPr>
          <w:p w14:paraId="51A64AD9">
            <w:pPr>
              <w:rPr>
                <w:rFonts w:hint="eastAsia" w:ascii="宋体" w:hAnsi="宋体" w:cs="宋体"/>
                <w:color w:val="auto"/>
                <w:highlight w:val="none"/>
              </w:rPr>
            </w:pPr>
            <w:r>
              <w:rPr>
                <w:rFonts w:hint="eastAsia" w:ascii="宋体" w:hAnsi="宋体" w:cs="宋体"/>
                <w:color w:val="auto"/>
                <w:highlight w:val="none"/>
              </w:rPr>
              <w:t>台</w:t>
            </w:r>
          </w:p>
        </w:tc>
        <w:tc>
          <w:tcPr>
            <w:tcW w:w="709" w:type="dxa"/>
          </w:tcPr>
          <w:p w14:paraId="43B01883">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5CD6E62D">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13D8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DAA1129">
            <w:pPr>
              <w:rPr>
                <w:rFonts w:hint="eastAsia" w:ascii="宋体" w:hAnsi="宋体" w:cs="宋体"/>
                <w:color w:val="auto"/>
                <w:highlight w:val="none"/>
              </w:rPr>
            </w:pPr>
            <w:r>
              <w:rPr>
                <w:rFonts w:hint="eastAsia" w:ascii="宋体" w:hAnsi="宋体" w:cs="宋体"/>
                <w:color w:val="auto"/>
                <w:highlight w:val="none"/>
              </w:rPr>
              <w:t>5</w:t>
            </w:r>
          </w:p>
        </w:tc>
        <w:tc>
          <w:tcPr>
            <w:tcW w:w="2928" w:type="dxa"/>
            <w:vAlign w:val="center"/>
          </w:tcPr>
          <w:p w14:paraId="32F9F510">
            <w:pPr>
              <w:rPr>
                <w:rFonts w:hint="eastAsia" w:ascii="宋体" w:hAnsi="宋体" w:cs="宋体"/>
                <w:color w:val="auto"/>
                <w:highlight w:val="none"/>
              </w:rPr>
            </w:pPr>
            <w:r>
              <w:rPr>
                <w:rFonts w:hint="eastAsia" w:ascii="宋体" w:hAnsi="宋体" w:cs="宋体"/>
                <w:color w:val="auto"/>
                <w:highlight w:val="none"/>
              </w:rPr>
              <w:t>技术供水泵</w:t>
            </w:r>
          </w:p>
        </w:tc>
        <w:tc>
          <w:tcPr>
            <w:tcW w:w="708" w:type="dxa"/>
          </w:tcPr>
          <w:p w14:paraId="4937027C">
            <w:pPr>
              <w:rPr>
                <w:rFonts w:hint="eastAsia" w:ascii="宋体" w:hAnsi="宋体" w:cs="宋体"/>
                <w:color w:val="auto"/>
                <w:highlight w:val="none"/>
              </w:rPr>
            </w:pPr>
            <w:r>
              <w:rPr>
                <w:rFonts w:hint="eastAsia" w:ascii="宋体" w:hAnsi="宋体" w:cs="宋体"/>
                <w:color w:val="auto"/>
                <w:highlight w:val="none"/>
              </w:rPr>
              <w:t>台</w:t>
            </w:r>
          </w:p>
        </w:tc>
        <w:tc>
          <w:tcPr>
            <w:tcW w:w="709" w:type="dxa"/>
          </w:tcPr>
          <w:p w14:paraId="25E9149C">
            <w:pPr>
              <w:rPr>
                <w:rFonts w:hint="eastAsia" w:ascii="宋体" w:hAnsi="宋体" w:cs="宋体"/>
                <w:color w:val="auto"/>
                <w:highlight w:val="none"/>
              </w:rPr>
            </w:pPr>
            <w:r>
              <w:rPr>
                <w:rFonts w:hint="eastAsia" w:ascii="宋体" w:hAnsi="宋体" w:cs="宋体"/>
                <w:color w:val="auto"/>
                <w:highlight w:val="none"/>
              </w:rPr>
              <w:t>7</w:t>
            </w:r>
          </w:p>
        </w:tc>
        <w:tc>
          <w:tcPr>
            <w:tcW w:w="4044" w:type="dxa"/>
          </w:tcPr>
          <w:p w14:paraId="1BEC04CB">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E3E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75" w:type="dxa"/>
            <w:vAlign w:val="center"/>
          </w:tcPr>
          <w:p w14:paraId="69ADDA68">
            <w:pPr>
              <w:rPr>
                <w:rFonts w:hint="eastAsia" w:ascii="宋体" w:hAnsi="宋体" w:cs="宋体"/>
                <w:color w:val="auto"/>
                <w:highlight w:val="none"/>
              </w:rPr>
            </w:pPr>
            <w:r>
              <w:rPr>
                <w:rFonts w:hint="eastAsia" w:ascii="宋体" w:hAnsi="宋体" w:cs="宋体"/>
                <w:color w:val="auto"/>
                <w:highlight w:val="none"/>
              </w:rPr>
              <w:t>6</w:t>
            </w:r>
          </w:p>
        </w:tc>
        <w:tc>
          <w:tcPr>
            <w:tcW w:w="2928" w:type="dxa"/>
            <w:vAlign w:val="center"/>
          </w:tcPr>
          <w:p w14:paraId="6138624F">
            <w:pPr>
              <w:rPr>
                <w:rFonts w:hint="eastAsia" w:ascii="宋体" w:hAnsi="宋体" w:cs="宋体"/>
                <w:color w:val="auto"/>
                <w:highlight w:val="none"/>
              </w:rPr>
            </w:pPr>
            <w:r>
              <w:rPr>
                <w:rFonts w:hint="eastAsia" w:ascii="宋体" w:hAnsi="宋体" w:cs="宋体"/>
                <w:color w:val="auto"/>
                <w:highlight w:val="none"/>
              </w:rPr>
              <w:t>进口检修闸门</w:t>
            </w:r>
          </w:p>
        </w:tc>
        <w:tc>
          <w:tcPr>
            <w:tcW w:w="708" w:type="dxa"/>
          </w:tcPr>
          <w:p w14:paraId="78AAC03F">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6774B4E6">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0C54607F">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2972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87B0775">
            <w:pPr>
              <w:rPr>
                <w:rFonts w:hint="eastAsia" w:ascii="宋体" w:hAnsi="宋体" w:cs="宋体"/>
                <w:color w:val="auto"/>
                <w:highlight w:val="none"/>
              </w:rPr>
            </w:pPr>
            <w:r>
              <w:rPr>
                <w:rFonts w:hint="eastAsia" w:ascii="宋体" w:hAnsi="宋体" w:cs="宋体"/>
                <w:color w:val="auto"/>
                <w:highlight w:val="none"/>
              </w:rPr>
              <w:t>7</w:t>
            </w:r>
          </w:p>
        </w:tc>
        <w:tc>
          <w:tcPr>
            <w:tcW w:w="2928" w:type="dxa"/>
            <w:vAlign w:val="center"/>
          </w:tcPr>
          <w:p w14:paraId="39809916">
            <w:pPr>
              <w:rPr>
                <w:rFonts w:hint="eastAsia" w:ascii="宋体" w:hAnsi="宋体" w:cs="宋体"/>
                <w:color w:val="auto"/>
                <w:highlight w:val="none"/>
              </w:rPr>
            </w:pPr>
            <w:r>
              <w:rPr>
                <w:rFonts w:hint="eastAsia" w:ascii="宋体" w:hAnsi="宋体" w:cs="宋体"/>
                <w:color w:val="auto"/>
                <w:highlight w:val="none"/>
              </w:rPr>
              <w:t>检修门机</w:t>
            </w:r>
          </w:p>
        </w:tc>
        <w:tc>
          <w:tcPr>
            <w:tcW w:w="708" w:type="dxa"/>
          </w:tcPr>
          <w:p w14:paraId="0674713B">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0A563E3A">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62C03308">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704B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F49C600">
            <w:pPr>
              <w:rPr>
                <w:rFonts w:hint="eastAsia" w:ascii="宋体" w:hAnsi="宋体" w:cs="宋体"/>
                <w:color w:val="auto"/>
                <w:highlight w:val="none"/>
              </w:rPr>
            </w:pPr>
            <w:r>
              <w:rPr>
                <w:rFonts w:hint="eastAsia" w:ascii="宋体" w:hAnsi="宋体" w:cs="宋体"/>
                <w:color w:val="auto"/>
                <w:highlight w:val="none"/>
              </w:rPr>
              <w:t>8</w:t>
            </w:r>
          </w:p>
        </w:tc>
        <w:tc>
          <w:tcPr>
            <w:tcW w:w="2928" w:type="dxa"/>
            <w:vAlign w:val="center"/>
          </w:tcPr>
          <w:p w14:paraId="7D03B01F">
            <w:pPr>
              <w:rPr>
                <w:rFonts w:hint="eastAsia" w:ascii="宋体" w:hAnsi="宋体" w:cs="宋体"/>
                <w:color w:val="auto"/>
                <w:highlight w:val="none"/>
              </w:rPr>
            </w:pPr>
            <w:r>
              <w:rPr>
                <w:rFonts w:hint="eastAsia" w:ascii="宋体" w:hAnsi="宋体" w:cs="宋体"/>
                <w:color w:val="auto"/>
                <w:highlight w:val="none"/>
              </w:rPr>
              <w:t>水泵</w:t>
            </w:r>
          </w:p>
        </w:tc>
        <w:tc>
          <w:tcPr>
            <w:tcW w:w="708" w:type="dxa"/>
          </w:tcPr>
          <w:p w14:paraId="3028399A">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5249E03">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2DDD794D">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1D25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3E6DDA0">
            <w:pPr>
              <w:rPr>
                <w:rFonts w:hint="eastAsia" w:ascii="宋体" w:hAnsi="宋体" w:cs="宋体"/>
                <w:color w:val="auto"/>
                <w:highlight w:val="none"/>
              </w:rPr>
            </w:pPr>
            <w:r>
              <w:rPr>
                <w:rFonts w:hint="eastAsia" w:ascii="宋体" w:hAnsi="宋体" w:cs="宋体"/>
                <w:color w:val="auto"/>
                <w:highlight w:val="none"/>
              </w:rPr>
              <w:t>9</w:t>
            </w:r>
          </w:p>
        </w:tc>
        <w:tc>
          <w:tcPr>
            <w:tcW w:w="2928" w:type="dxa"/>
            <w:vAlign w:val="center"/>
          </w:tcPr>
          <w:p w14:paraId="3CAF499B">
            <w:pPr>
              <w:rPr>
                <w:rFonts w:hint="eastAsia" w:ascii="宋体" w:hAnsi="宋体" w:cs="宋体"/>
                <w:color w:val="auto"/>
                <w:highlight w:val="none"/>
              </w:rPr>
            </w:pPr>
            <w:r>
              <w:rPr>
                <w:rFonts w:hint="eastAsia" w:ascii="宋体" w:hAnsi="宋体" w:cs="宋体"/>
                <w:color w:val="auto"/>
                <w:highlight w:val="none"/>
              </w:rPr>
              <w:t>齿轮箱</w:t>
            </w:r>
          </w:p>
        </w:tc>
        <w:tc>
          <w:tcPr>
            <w:tcW w:w="708" w:type="dxa"/>
          </w:tcPr>
          <w:p w14:paraId="075C6BB3">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665AC598">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7CDBAD31">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F94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AD448E0">
            <w:pPr>
              <w:rPr>
                <w:rFonts w:hint="eastAsia" w:ascii="宋体" w:hAnsi="宋体" w:cs="宋体"/>
                <w:color w:val="auto"/>
                <w:highlight w:val="none"/>
              </w:rPr>
            </w:pPr>
            <w:r>
              <w:rPr>
                <w:rFonts w:hint="eastAsia" w:ascii="宋体" w:hAnsi="宋体" w:cs="宋体"/>
                <w:color w:val="auto"/>
                <w:highlight w:val="none"/>
              </w:rPr>
              <w:t>10</w:t>
            </w:r>
          </w:p>
        </w:tc>
        <w:tc>
          <w:tcPr>
            <w:tcW w:w="2928" w:type="dxa"/>
            <w:vAlign w:val="center"/>
          </w:tcPr>
          <w:p w14:paraId="2175F40A">
            <w:pPr>
              <w:rPr>
                <w:rFonts w:hint="eastAsia" w:ascii="宋体" w:hAnsi="宋体" w:cs="宋体"/>
                <w:color w:val="auto"/>
                <w:highlight w:val="none"/>
              </w:rPr>
            </w:pPr>
            <w:r>
              <w:rPr>
                <w:rFonts w:hint="eastAsia" w:ascii="宋体" w:hAnsi="宋体" w:cs="宋体"/>
                <w:color w:val="auto"/>
                <w:highlight w:val="none"/>
              </w:rPr>
              <w:t>电机</w:t>
            </w:r>
          </w:p>
        </w:tc>
        <w:tc>
          <w:tcPr>
            <w:tcW w:w="708" w:type="dxa"/>
          </w:tcPr>
          <w:p w14:paraId="51EDA478">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5EF774B8">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6611ECB7">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2BFC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41BB6D0">
            <w:pPr>
              <w:rPr>
                <w:rFonts w:hint="eastAsia" w:ascii="宋体" w:hAnsi="宋体" w:cs="宋体"/>
                <w:color w:val="auto"/>
                <w:highlight w:val="none"/>
              </w:rPr>
            </w:pPr>
            <w:r>
              <w:rPr>
                <w:rFonts w:hint="eastAsia" w:ascii="宋体" w:hAnsi="宋体" w:cs="宋体"/>
                <w:color w:val="auto"/>
                <w:highlight w:val="none"/>
              </w:rPr>
              <w:t>11</w:t>
            </w:r>
          </w:p>
        </w:tc>
        <w:tc>
          <w:tcPr>
            <w:tcW w:w="2928" w:type="dxa"/>
            <w:vAlign w:val="center"/>
          </w:tcPr>
          <w:p w14:paraId="6E51191A">
            <w:pPr>
              <w:rPr>
                <w:rFonts w:hint="eastAsia" w:ascii="宋体" w:hAnsi="宋体" w:cs="宋体"/>
                <w:color w:val="auto"/>
                <w:highlight w:val="none"/>
              </w:rPr>
            </w:pPr>
            <w:r>
              <w:rPr>
                <w:rFonts w:hint="eastAsia" w:ascii="宋体" w:hAnsi="宋体" w:cs="宋体"/>
                <w:color w:val="auto"/>
                <w:highlight w:val="none"/>
              </w:rPr>
              <w:t>水泵组辅机</w:t>
            </w:r>
          </w:p>
        </w:tc>
        <w:tc>
          <w:tcPr>
            <w:tcW w:w="708" w:type="dxa"/>
          </w:tcPr>
          <w:p w14:paraId="6F42B3D0">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F0DA454">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591688A8">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717D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3D69ADA">
            <w:pPr>
              <w:rPr>
                <w:rFonts w:hint="eastAsia" w:ascii="宋体" w:hAnsi="宋体" w:cs="宋体"/>
                <w:color w:val="auto"/>
                <w:highlight w:val="none"/>
              </w:rPr>
            </w:pPr>
            <w:r>
              <w:rPr>
                <w:rFonts w:hint="eastAsia" w:ascii="宋体" w:hAnsi="宋体" w:cs="宋体"/>
                <w:color w:val="auto"/>
                <w:highlight w:val="none"/>
              </w:rPr>
              <w:t>12</w:t>
            </w:r>
          </w:p>
        </w:tc>
        <w:tc>
          <w:tcPr>
            <w:tcW w:w="2928" w:type="dxa"/>
            <w:vAlign w:val="center"/>
          </w:tcPr>
          <w:p w14:paraId="66A405AD">
            <w:pPr>
              <w:rPr>
                <w:rFonts w:hint="eastAsia" w:ascii="宋体" w:hAnsi="宋体" w:cs="宋体"/>
                <w:color w:val="auto"/>
                <w:highlight w:val="none"/>
              </w:rPr>
            </w:pPr>
            <w:r>
              <w:rPr>
                <w:rFonts w:hint="eastAsia" w:ascii="宋体" w:hAnsi="宋体" w:cs="宋体"/>
                <w:color w:val="auto"/>
                <w:highlight w:val="none"/>
              </w:rPr>
              <w:t>泵站出水口工作闸门、启闭机</w:t>
            </w:r>
          </w:p>
        </w:tc>
        <w:tc>
          <w:tcPr>
            <w:tcW w:w="708" w:type="dxa"/>
          </w:tcPr>
          <w:p w14:paraId="5E10F9EA">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90E025D">
            <w:pPr>
              <w:rPr>
                <w:rFonts w:hint="eastAsia" w:ascii="宋体" w:hAnsi="宋体" w:cs="宋体"/>
                <w:color w:val="auto"/>
                <w:highlight w:val="none"/>
              </w:rPr>
            </w:pPr>
            <w:r>
              <w:rPr>
                <w:rFonts w:hint="eastAsia" w:ascii="宋体" w:hAnsi="宋体" w:cs="宋体"/>
                <w:color w:val="auto"/>
                <w:highlight w:val="none"/>
              </w:rPr>
              <w:t>10</w:t>
            </w:r>
          </w:p>
        </w:tc>
        <w:tc>
          <w:tcPr>
            <w:tcW w:w="4044" w:type="dxa"/>
          </w:tcPr>
          <w:p w14:paraId="2F3D98A3">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5E36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6EC3346C">
            <w:pPr>
              <w:rPr>
                <w:rFonts w:hint="eastAsia" w:ascii="宋体" w:hAnsi="宋体" w:cs="宋体"/>
                <w:color w:val="auto"/>
                <w:highlight w:val="none"/>
              </w:rPr>
            </w:pPr>
            <w:r>
              <w:rPr>
                <w:rFonts w:hint="eastAsia" w:ascii="宋体" w:hAnsi="宋体" w:cs="宋体"/>
                <w:color w:val="auto"/>
                <w:highlight w:val="none"/>
              </w:rPr>
              <w:t>13</w:t>
            </w:r>
          </w:p>
        </w:tc>
        <w:tc>
          <w:tcPr>
            <w:tcW w:w="2928" w:type="dxa"/>
            <w:vAlign w:val="center"/>
          </w:tcPr>
          <w:p w14:paraId="4EA6EFB8">
            <w:pPr>
              <w:rPr>
                <w:rFonts w:hint="eastAsia" w:ascii="宋体" w:hAnsi="宋体" w:cs="宋体"/>
                <w:color w:val="auto"/>
                <w:highlight w:val="none"/>
              </w:rPr>
            </w:pPr>
            <w:r>
              <w:rPr>
                <w:rFonts w:hint="eastAsia" w:ascii="宋体" w:hAnsi="宋体" w:cs="宋体"/>
                <w:color w:val="auto"/>
                <w:highlight w:val="none"/>
              </w:rPr>
              <w:t>泵站出水口事故闸门、启闭机</w:t>
            </w:r>
          </w:p>
        </w:tc>
        <w:tc>
          <w:tcPr>
            <w:tcW w:w="708" w:type="dxa"/>
          </w:tcPr>
          <w:p w14:paraId="5F917E19">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22B303A5">
            <w:pPr>
              <w:rPr>
                <w:rFonts w:hint="eastAsia" w:ascii="宋体" w:hAnsi="宋体" w:cs="宋体"/>
                <w:color w:val="auto"/>
                <w:highlight w:val="none"/>
              </w:rPr>
            </w:pPr>
            <w:r>
              <w:rPr>
                <w:rFonts w:hint="eastAsia" w:ascii="宋体" w:hAnsi="宋体" w:cs="宋体"/>
                <w:color w:val="auto"/>
                <w:highlight w:val="none"/>
              </w:rPr>
              <w:t>10</w:t>
            </w:r>
          </w:p>
        </w:tc>
        <w:tc>
          <w:tcPr>
            <w:tcW w:w="4044" w:type="dxa"/>
          </w:tcPr>
          <w:p w14:paraId="19CB77FE">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2E14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1841E21F">
            <w:pPr>
              <w:rPr>
                <w:rFonts w:hint="eastAsia" w:ascii="宋体" w:hAnsi="宋体" w:cs="宋体"/>
                <w:color w:val="auto"/>
                <w:highlight w:val="none"/>
              </w:rPr>
            </w:pPr>
            <w:r>
              <w:rPr>
                <w:rFonts w:hint="eastAsia" w:ascii="宋体" w:hAnsi="宋体" w:cs="宋体"/>
                <w:color w:val="auto"/>
                <w:highlight w:val="none"/>
              </w:rPr>
              <w:t>14</w:t>
            </w:r>
          </w:p>
        </w:tc>
        <w:tc>
          <w:tcPr>
            <w:tcW w:w="2928" w:type="dxa"/>
            <w:vAlign w:val="center"/>
          </w:tcPr>
          <w:p w14:paraId="29BB42B4">
            <w:pPr>
              <w:rPr>
                <w:rFonts w:hint="eastAsia" w:ascii="宋体" w:hAnsi="宋体" w:cs="宋体"/>
                <w:color w:val="auto"/>
                <w:highlight w:val="none"/>
              </w:rPr>
            </w:pPr>
            <w:r>
              <w:rPr>
                <w:rFonts w:hint="eastAsia" w:ascii="宋体" w:hAnsi="宋体" w:cs="宋体"/>
                <w:color w:val="auto"/>
                <w:highlight w:val="none"/>
              </w:rPr>
              <w:t>出口闸门液压站</w:t>
            </w:r>
          </w:p>
        </w:tc>
        <w:tc>
          <w:tcPr>
            <w:tcW w:w="708" w:type="dxa"/>
          </w:tcPr>
          <w:p w14:paraId="36E83294">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156CF5D">
            <w:pPr>
              <w:rPr>
                <w:rFonts w:hint="eastAsia" w:ascii="宋体" w:hAnsi="宋体" w:cs="宋体"/>
                <w:color w:val="auto"/>
                <w:highlight w:val="none"/>
              </w:rPr>
            </w:pPr>
            <w:r>
              <w:rPr>
                <w:rFonts w:hint="eastAsia" w:ascii="宋体" w:hAnsi="宋体" w:cs="宋体"/>
                <w:color w:val="auto"/>
                <w:highlight w:val="none"/>
              </w:rPr>
              <w:t>5</w:t>
            </w:r>
          </w:p>
        </w:tc>
        <w:tc>
          <w:tcPr>
            <w:tcW w:w="4044" w:type="dxa"/>
          </w:tcPr>
          <w:p w14:paraId="7AAAB84C">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F60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A68F04D">
            <w:pPr>
              <w:rPr>
                <w:rFonts w:hint="eastAsia" w:ascii="宋体" w:hAnsi="宋体" w:cs="宋体"/>
                <w:color w:val="auto"/>
                <w:highlight w:val="none"/>
              </w:rPr>
            </w:pPr>
            <w:r>
              <w:rPr>
                <w:rFonts w:hint="eastAsia" w:ascii="宋体" w:hAnsi="宋体" w:cs="宋体"/>
                <w:color w:val="auto"/>
                <w:highlight w:val="none"/>
              </w:rPr>
              <w:t>15</w:t>
            </w:r>
          </w:p>
        </w:tc>
        <w:tc>
          <w:tcPr>
            <w:tcW w:w="2928" w:type="dxa"/>
            <w:vAlign w:val="center"/>
          </w:tcPr>
          <w:p w14:paraId="4398A182">
            <w:pPr>
              <w:rPr>
                <w:rFonts w:hint="eastAsia" w:ascii="宋体" w:hAnsi="宋体" w:cs="宋体"/>
                <w:color w:val="auto"/>
                <w:highlight w:val="none"/>
              </w:rPr>
            </w:pPr>
            <w:r>
              <w:rPr>
                <w:rFonts w:hint="eastAsia" w:ascii="宋体" w:hAnsi="宋体" w:cs="宋体"/>
                <w:color w:val="auto"/>
                <w:highlight w:val="none"/>
              </w:rPr>
              <w:t>放空箱涵闸门、启闭机及附属设备</w:t>
            </w:r>
          </w:p>
        </w:tc>
        <w:tc>
          <w:tcPr>
            <w:tcW w:w="708" w:type="dxa"/>
          </w:tcPr>
          <w:p w14:paraId="760523B2">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D52C9B3">
            <w:pPr>
              <w:rPr>
                <w:rFonts w:hint="eastAsia" w:ascii="宋体" w:hAnsi="宋体" w:cs="宋体"/>
                <w:color w:val="auto"/>
                <w:highlight w:val="none"/>
              </w:rPr>
            </w:pPr>
            <w:r>
              <w:rPr>
                <w:rFonts w:hint="eastAsia" w:ascii="宋体" w:hAnsi="宋体" w:cs="宋体"/>
                <w:color w:val="auto"/>
                <w:highlight w:val="none"/>
              </w:rPr>
              <w:t>2</w:t>
            </w:r>
          </w:p>
        </w:tc>
        <w:tc>
          <w:tcPr>
            <w:tcW w:w="4044" w:type="dxa"/>
          </w:tcPr>
          <w:p w14:paraId="7D73CE69">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DFB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59BD6526">
            <w:pPr>
              <w:rPr>
                <w:rFonts w:hint="eastAsia" w:ascii="宋体" w:hAnsi="宋体" w:cs="宋体"/>
                <w:color w:val="auto"/>
                <w:highlight w:val="none"/>
              </w:rPr>
            </w:pPr>
            <w:r>
              <w:rPr>
                <w:rFonts w:hint="eastAsia" w:ascii="宋体" w:hAnsi="宋体" w:cs="宋体"/>
                <w:color w:val="auto"/>
                <w:highlight w:val="none"/>
              </w:rPr>
              <w:t>17</w:t>
            </w:r>
          </w:p>
        </w:tc>
        <w:tc>
          <w:tcPr>
            <w:tcW w:w="2928" w:type="dxa"/>
            <w:vAlign w:val="center"/>
          </w:tcPr>
          <w:p w14:paraId="30B06CA7">
            <w:pPr>
              <w:rPr>
                <w:rFonts w:hint="eastAsia" w:ascii="宋体" w:hAnsi="宋体" w:cs="宋体"/>
                <w:color w:val="auto"/>
                <w:highlight w:val="none"/>
              </w:rPr>
            </w:pPr>
            <w:r>
              <w:rPr>
                <w:rFonts w:hint="eastAsia" w:ascii="宋体" w:hAnsi="宋体" w:cs="宋体"/>
                <w:color w:val="auto"/>
                <w:highlight w:val="none"/>
              </w:rPr>
              <w:t>月雅河节制闸闸门、启闭机</w:t>
            </w:r>
          </w:p>
        </w:tc>
        <w:tc>
          <w:tcPr>
            <w:tcW w:w="708" w:type="dxa"/>
          </w:tcPr>
          <w:p w14:paraId="5F560E15">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2FDF9F43">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0C72B140">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35EE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394BC731">
            <w:pPr>
              <w:rPr>
                <w:rFonts w:hint="eastAsia" w:ascii="宋体" w:hAnsi="宋体" w:cs="宋体"/>
                <w:color w:val="auto"/>
                <w:highlight w:val="none"/>
              </w:rPr>
            </w:pPr>
            <w:r>
              <w:rPr>
                <w:rFonts w:hint="eastAsia" w:ascii="宋体" w:hAnsi="宋体" w:cs="宋体"/>
                <w:color w:val="auto"/>
                <w:highlight w:val="none"/>
              </w:rPr>
              <w:t>19</w:t>
            </w:r>
          </w:p>
        </w:tc>
        <w:tc>
          <w:tcPr>
            <w:tcW w:w="2928" w:type="dxa"/>
            <w:vAlign w:val="center"/>
          </w:tcPr>
          <w:p w14:paraId="0F147345">
            <w:pPr>
              <w:rPr>
                <w:rFonts w:hint="eastAsia" w:ascii="宋体" w:hAnsi="宋体" w:cs="宋体"/>
                <w:color w:val="auto"/>
                <w:highlight w:val="none"/>
              </w:rPr>
            </w:pPr>
            <w:r>
              <w:rPr>
                <w:rFonts w:hint="eastAsia" w:ascii="宋体" w:hAnsi="宋体" w:cs="宋体"/>
                <w:color w:val="auto"/>
                <w:highlight w:val="none"/>
              </w:rPr>
              <w:t>月雅河节制闸液压站</w:t>
            </w:r>
          </w:p>
        </w:tc>
        <w:tc>
          <w:tcPr>
            <w:tcW w:w="708" w:type="dxa"/>
          </w:tcPr>
          <w:p w14:paraId="0B0EA4B4">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0AEADBA9">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4D16D8F1">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1B32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E4A0C5A">
            <w:pPr>
              <w:rPr>
                <w:rFonts w:hint="eastAsia" w:ascii="宋体" w:hAnsi="宋体" w:cs="宋体"/>
                <w:color w:val="auto"/>
                <w:highlight w:val="none"/>
              </w:rPr>
            </w:pPr>
            <w:r>
              <w:rPr>
                <w:rFonts w:hint="eastAsia" w:ascii="宋体" w:hAnsi="宋体" w:cs="宋体"/>
                <w:color w:val="auto"/>
                <w:highlight w:val="none"/>
              </w:rPr>
              <w:t>20</w:t>
            </w:r>
          </w:p>
        </w:tc>
        <w:tc>
          <w:tcPr>
            <w:tcW w:w="2928" w:type="dxa"/>
            <w:vAlign w:val="center"/>
          </w:tcPr>
          <w:p w14:paraId="3CB9DDA0">
            <w:pPr>
              <w:rPr>
                <w:rFonts w:hint="eastAsia" w:ascii="宋体" w:hAnsi="宋体" w:cs="宋体"/>
                <w:color w:val="auto"/>
                <w:highlight w:val="none"/>
              </w:rPr>
            </w:pPr>
            <w:r>
              <w:rPr>
                <w:rFonts w:hint="eastAsia" w:ascii="宋体" w:hAnsi="宋体" w:cs="宋体"/>
                <w:color w:val="auto"/>
                <w:highlight w:val="none"/>
              </w:rPr>
              <w:t>挡潮排水闸工作闸门</w:t>
            </w:r>
          </w:p>
        </w:tc>
        <w:tc>
          <w:tcPr>
            <w:tcW w:w="708" w:type="dxa"/>
          </w:tcPr>
          <w:p w14:paraId="18AE6047">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598BCCF5">
            <w:pPr>
              <w:rPr>
                <w:rFonts w:hint="eastAsia" w:ascii="宋体" w:hAnsi="宋体" w:cs="宋体"/>
                <w:color w:val="auto"/>
                <w:highlight w:val="none"/>
              </w:rPr>
            </w:pPr>
            <w:r>
              <w:rPr>
                <w:rFonts w:hint="eastAsia" w:ascii="宋体" w:hAnsi="宋体" w:cs="宋体"/>
                <w:color w:val="auto"/>
                <w:highlight w:val="none"/>
              </w:rPr>
              <w:t>10</w:t>
            </w:r>
          </w:p>
        </w:tc>
        <w:tc>
          <w:tcPr>
            <w:tcW w:w="4044" w:type="dxa"/>
            <w:vAlign w:val="center"/>
          </w:tcPr>
          <w:p w14:paraId="602581E1">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22FE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8C85DE0">
            <w:pPr>
              <w:rPr>
                <w:rFonts w:hint="eastAsia" w:ascii="宋体" w:hAnsi="宋体" w:cs="宋体"/>
                <w:color w:val="auto"/>
                <w:highlight w:val="none"/>
              </w:rPr>
            </w:pPr>
            <w:r>
              <w:rPr>
                <w:rFonts w:hint="eastAsia" w:ascii="宋体" w:hAnsi="宋体" w:cs="宋体"/>
                <w:color w:val="auto"/>
                <w:highlight w:val="none"/>
              </w:rPr>
              <w:t>21</w:t>
            </w:r>
          </w:p>
        </w:tc>
        <w:tc>
          <w:tcPr>
            <w:tcW w:w="2928" w:type="dxa"/>
            <w:vAlign w:val="center"/>
          </w:tcPr>
          <w:p w14:paraId="74068144">
            <w:pPr>
              <w:rPr>
                <w:rFonts w:hint="eastAsia" w:ascii="宋体" w:hAnsi="宋体" w:cs="宋体"/>
                <w:color w:val="auto"/>
                <w:highlight w:val="none"/>
              </w:rPr>
            </w:pPr>
            <w:r>
              <w:rPr>
                <w:rFonts w:hint="eastAsia" w:ascii="宋体" w:hAnsi="宋体" w:cs="宋体"/>
                <w:color w:val="auto"/>
                <w:highlight w:val="none"/>
              </w:rPr>
              <w:t>挡潮排水闸启闭机液压站</w:t>
            </w:r>
          </w:p>
        </w:tc>
        <w:tc>
          <w:tcPr>
            <w:tcW w:w="708" w:type="dxa"/>
          </w:tcPr>
          <w:p w14:paraId="0838B267">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66564598">
            <w:pPr>
              <w:rPr>
                <w:rFonts w:hint="eastAsia" w:ascii="宋体" w:hAnsi="宋体" w:cs="宋体"/>
                <w:color w:val="auto"/>
                <w:highlight w:val="none"/>
              </w:rPr>
            </w:pPr>
            <w:r>
              <w:rPr>
                <w:rFonts w:hint="eastAsia" w:ascii="宋体" w:hAnsi="宋体" w:cs="宋体"/>
                <w:color w:val="auto"/>
                <w:highlight w:val="none"/>
              </w:rPr>
              <w:t>2</w:t>
            </w:r>
          </w:p>
        </w:tc>
        <w:tc>
          <w:tcPr>
            <w:tcW w:w="4044" w:type="dxa"/>
          </w:tcPr>
          <w:p w14:paraId="1CD092EF">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2977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31246225">
            <w:pPr>
              <w:rPr>
                <w:rFonts w:hint="eastAsia" w:ascii="宋体" w:hAnsi="宋体" w:cs="宋体"/>
                <w:color w:val="auto"/>
                <w:highlight w:val="none"/>
              </w:rPr>
            </w:pPr>
            <w:r>
              <w:rPr>
                <w:rFonts w:hint="eastAsia" w:ascii="宋体" w:hAnsi="宋体" w:cs="宋体"/>
                <w:color w:val="auto"/>
                <w:highlight w:val="none"/>
              </w:rPr>
              <w:t>22</w:t>
            </w:r>
          </w:p>
        </w:tc>
        <w:tc>
          <w:tcPr>
            <w:tcW w:w="2928" w:type="dxa"/>
            <w:vAlign w:val="center"/>
          </w:tcPr>
          <w:p w14:paraId="5C282099">
            <w:pPr>
              <w:rPr>
                <w:rFonts w:hint="eastAsia" w:ascii="宋体" w:hAnsi="宋体" w:cs="宋体"/>
                <w:color w:val="auto"/>
                <w:highlight w:val="none"/>
              </w:rPr>
            </w:pPr>
            <w:r>
              <w:rPr>
                <w:rFonts w:hint="eastAsia" w:ascii="宋体" w:hAnsi="宋体" w:cs="宋体"/>
                <w:color w:val="auto"/>
                <w:highlight w:val="none"/>
              </w:rPr>
              <w:t>检修门及附属设备</w:t>
            </w:r>
          </w:p>
        </w:tc>
        <w:tc>
          <w:tcPr>
            <w:tcW w:w="708" w:type="dxa"/>
          </w:tcPr>
          <w:p w14:paraId="45C0AA59">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79950F5C">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14CDB76A">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6F8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6A31E26B">
            <w:pPr>
              <w:rPr>
                <w:rFonts w:hint="eastAsia" w:ascii="宋体" w:hAnsi="宋体" w:cs="宋体"/>
                <w:color w:val="auto"/>
                <w:highlight w:val="none"/>
              </w:rPr>
            </w:pPr>
            <w:r>
              <w:rPr>
                <w:rFonts w:hint="eastAsia" w:ascii="宋体" w:hAnsi="宋体" w:cs="宋体"/>
                <w:color w:val="auto"/>
                <w:highlight w:val="none"/>
              </w:rPr>
              <w:t>23</w:t>
            </w:r>
          </w:p>
        </w:tc>
        <w:tc>
          <w:tcPr>
            <w:tcW w:w="2928" w:type="dxa"/>
            <w:vAlign w:val="center"/>
          </w:tcPr>
          <w:p w14:paraId="6BF694AB">
            <w:pPr>
              <w:rPr>
                <w:rFonts w:hint="eastAsia" w:ascii="宋体" w:hAnsi="宋体" w:cs="宋体"/>
                <w:color w:val="auto"/>
                <w:highlight w:val="none"/>
              </w:rPr>
            </w:pPr>
            <w:r>
              <w:rPr>
                <w:rFonts w:hint="eastAsia" w:ascii="宋体" w:hAnsi="宋体" w:cs="宋体"/>
                <w:color w:val="auto"/>
                <w:highlight w:val="none"/>
              </w:rPr>
              <w:t>桥机</w:t>
            </w:r>
          </w:p>
        </w:tc>
        <w:tc>
          <w:tcPr>
            <w:tcW w:w="708" w:type="dxa"/>
          </w:tcPr>
          <w:p w14:paraId="748F1F5D">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38A157BF">
            <w:pPr>
              <w:rPr>
                <w:rFonts w:hint="eastAsia" w:ascii="宋体" w:hAnsi="宋体" w:cs="宋体"/>
                <w:color w:val="auto"/>
                <w:highlight w:val="none"/>
              </w:rPr>
            </w:pPr>
            <w:r>
              <w:rPr>
                <w:rFonts w:hint="eastAsia" w:ascii="宋体" w:hAnsi="宋体" w:cs="宋体"/>
                <w:color w:val="auto"/>
                <w:highlight w:val="none"/>
              </w:rPr>
              <w:t>2</w:t>
            </w:r>
          </w:p>
        </w:tc>
        <w:tc>
          <w:tcPr>
            <w:tcW w:w="4044" w:type="dxa"/>
          </w:tcPr>
          <w:p w14:paraId="29ECFD83">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323A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2E1D73F8">
            <w:pPr>
              <w:rPr>
                <w:rFonts w:hint="eastAsia" w:ascii="宋体" w:hAnsi="宋体" w:cs="宋体"/>
                <w:color w:val="auto"/>
                <w:highlight w:val="none"/>
              </w:rPr>
            </w:pPr>
            <w:r>
              <w:rPr>
                <w:rFonts w:hint="eastAsia" w:ascii="宋体" w:hAnsi="宋体" w:cs="宋体"/>
                <w:color w:val="auto"/>
                <w:highlight w:val="none"/>
              </w:rPr>
              <w:t>24</w:t>
            </w:r>
          </w:p>
        </w:tc>
        <w:tc>
          <w:tcPr>
            <w:tcW w:w="2928" w:type="dxa"/>
            <w:vAlign w:val="center"/>
          </w:tcPr>
          <w:p w14:paraId="4877CFDD">
            <w:pPr>
              <w:rPr>
                <w:rFonts w:hint="eastAsia" w:ascii="宋体" w:hAnsi="宋体" w:cs="宋体"/>
                <w:color w:val="auto"/>
                <w:highlight w:val="none"/>
              </w:rPr>
            </w:pPr>
            <w:r>
              <w:rPr>
                <w:rFonts w:hint="eastAsia" w:ascii="宋体" w:hAnsi="宋体" w:cs="宋体"/>
                <w:color w:val="auto"/>
                <w:highlight w:val="none"/>
              </w:rPr>
              <w:t>变压器</w:t>
            </w:r>
          </w:p>
        </w:tc>
        <w:tc>
          <w:tcPr>
            <w:tcW w:w="708" w:type="dxa"/>
          </w:tcPr>
          <w:p w14:paraId="1A62FB86">
            <w:pPr>
              <w:rPr>
                <w:rFonts w:hint="eastAsia" w:ascii="宋体" w:hAnsi="宋体" w:cs="宋体"/>
                <w:color w:val="auto"/>
                <w:highlight w:val="none"/>
              </w:rPr>
            </w:pPr>
            <w:r>
              <w:rPr>
                <w:rFonts w:hint="eastAsia" w:ascii="宋体" w:hAnsi="宋体" w:cs="宋体"/>
                <w:color w:val="auto"/>
                <w:highlight w:val="none"/>
              </w:rPr>
              <w:t>台</w:t>
            </w:r>
          </w:p>
        </w:tc>
        <w:tc>
          <w:tcPr>
            <w:tcW w:w="709" w:type="dxa"/>
          </w:tcPr>
          <w:p w14:paraId="09DA48F3">
            <w:pPr>
              <w:rPr>
                <w:rFonts w:hint="eastAsia" w:ascii="宋体" w:hAnsi="宋体" w:cs="宋体"/>
                <w:color w:val="auto"/>
                <w:highlight w:val="none"/>
              </w:rPr>
            </w:pPr>
            <w:r>
              <w:rPr>
                <w:rFonts w:hint="eastAsia" w:ascii="宋体" w:hAnsi="宋体" w:cs="宋体"/>
                <w:color w:val="auto"/>
                <w:highlight w:val="none"/>
              </w:rPr>
              <w:t>6</w:t>
            </w:r>
          </w:p>
        </w:tc>
        <w:tc>
          <w:tcPr>
            <w:tcW w:w="4044" w:type="dxa"/>
          </w:tcPr>
          <w:p w14:paraId="37F61078">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3CB6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7BACD918">
            <w:pPr>
              <w:rPr>
                <w:rFonts w:hint="eastAsia" w:ascii="宋体" w:hAnsi="宋体" w:cs="宋体"/>
                <w:color w:val="auto"/>
                <w:highlight w:val="none"/>
              </w:rPr>
            </w:pPr>
            <w:r>
              <w:rPr>
                <w:rFonts w:hint="eastAsia" w:ascii="宋体" w:hAnsi="宋体" w:cs="宋体"/>
                <w:color w:val="auto"/>
                <w:highlight w:val="none"/>
              </w:rPr>
              <w:t>25</w:t>
            </w:r>
          </w:p>
        </w:tc>
        <w:tc>
          <w:tcPr>
            <w:tcW w:w="2928" w:type="dxa"/>
            <w:vAlign w:val="center"/>
          </w:tcPr>
          <w:p w14:paraId="33C924CF">
            <w:pPr>
              <w:rPr>
                <w:rFonts w:hint="eastAsia" w:ascii="宋体" w:hAnsi="宋体" w:cs="宋体"/>
                <w:color w:val="auto"/>
                <w:highlight w:val="none"/>
              </w:rPr>
            </w:pPr>
            <w:r>
              <w:rPr>
                <w:rFonts w:hint="eastAsia" w:ascii="宋体" w:hAnsi="宋体" w:cs="宋体"/>
                <w:color w:val="auto"/>
                <w:highlight w:val="none"/>
              </w:rPr>
              <w:t>高低压开关柜</w:t>
            </w:r>
          </w:p>
        </w:tc>
        <w:tc>
          <w:tcPr>
            <w:tcW w:w="708" w:type="dxa"/>
          </w:tcPr>
          <w:p w14:paraId="346989E0">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43645ACD">
            <w:pPr>
              <w:rPr>
                <w:rFonts w:hint="eastAsia" w:ascii="宋体" w:hAnsi="宋体" w:cs="宋体"/>
                <w:color w:val="auto"/>
                <w:highlight w:val="none"/>
              </w:rPr>
            </w:pPr>
            <w:r>
              <w:rPr>
                <w:rFonts w:hint="eastAsia" w:ascii="宋体" w:hAnsi="宋体" w:cs="宋体"/>
                <w:color w:val="auto"/>
                <w:highlight w:val="none"/>
              </w:rPr>
              <w:t>38</w:t>
            </w:r>
          </w:p>
        </w:tc>
        <w:tc>
          <w:tcPr>
            <w:tcW w:w="4044" w:type="dxa"/>
          </w:tcPr>
          <w:p w14:paraId="06ACAED6">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53CC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236F477F">
            <w:pPr>
              <w:rPr>
                <w:rFonts w:hint="eastAsia" w:ascii="宋体" w:hAnsi="宋体" w:cs="宋体"/>
                <w:color w:val="auto"/>
                <w:highlight w:val="none"/>
              </w:rPr>
            </w:pPr>
            <w:r>
              <w:rPr>
                <w:rFonts w:hint="eastAsia" w:ascii="宋体" w:hAnsi="宋体" w:cs="宋体"/>
                <w:color w:val="auto"/>
                <w:highlight w:val="none"/>
              </w:rPr>
              <w:t>26</w:t>
            </w:r>
          </w:p>
        </w:tc>
        <w:tc>
          <w:tcPr>
            <w:tcW w:w="2928" w:type="dxa"/>
            <w:vAlign w:val="center"/>
          </w:tcPr>
          <w:p w14:paraId="000F3FF6">
            <w:pPr>
              <w:rPr>
                <w:rFonts w:hint="eastAsia" w:ascii="宋体" w:hAnsi="宋体" w:cs="宋体"/>
                <w:color w:val="auto"/>
                <w:highlight w:val="none"/>
              </w:rPr>
            </w:pPr>
            <w:r>
              <w:rPr>
                <w:rFonts w:hint="eastAsia" w:ascii="宋体" w:hAnsi="宋体" w:cs="宋体"/>
                <w:color w:val="auto"/>
                <w:highlight w:val="none"/>
              </w:rPr>
              <w:t>自动化控制系统</w:t>
            </w:r>
          </w:p>
        </w:tc>
        <w:tc>
          <w:tcPr>
            <w:tcW w:w="708" w:type="dxa"/>
          </w:tcPr>
          <w:p w14:paraId="462FD348">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1FA3CB82">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5BCF0AF9">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7EF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45C0073D">
            <w:pPr>
              <w:rPr>
                <w:rFonts w:hint="eastAsia" w:ascii="宋体" w:hAnsi="宋体" w:cs="宋体"/>
                <w:color w:val="auto"/>
                <w:highlight w:val="none"/>
              </w:rPr>
            </w:pPr>
            <w:r>
              <w:rPr>
                <w:rFonts w:hint="eastAsia" w:ascii="宋体" w:hAnsi="宋体" w:cs="宋体"/>
                <w:color w:val="auto"/>
                <w:highlight w:val="none"/>
              </w:rPr>
              <w:t>27</w:t>
            </w:r>
          </w:p>
        </w:tc>
        <w:tc>
          <w:tcPr>
            <w:tcW w:w="2928" w:type="dxa"/>
            <w:vAlign w:val="center"/>
          </w:tcPr>
          <w:p w14:paraId="7EEBC41D">
            <w:pPr>
              <w:rPr>
                <w:rFonts w:hint="eastAsia" w:ascii="宋体" w:hAnsi="宋体" w:cs="宋体"/>
                <w:color w:val="auto"/>
                <w:highlight w:val="none"/>
              </w:rPr>
            </w:pPr>
            <w:r>
              <w:rPr>
                <w:rFonts w:hint="eastAsia" w:ascii="宋体" w:hAnsi="宋体" w:cs="宋体"/>
                <w:color w:val="auto"/>
                <w:highlight w:val="none"/>
              </w:rPr>
              <w:t>视频监视系统</w:t>
            </w:r>
          </w:p>
        </w:tc>
        <w:tc>
          <w:tcPr>
            <w:tcW w:w="708" w:type="dxa"/>
          </w:tcPr>
          <w:p w14:paraId="78D19F7F">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2CA3A7C8">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550BB208">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0109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64BAA0F9">
            <w:pPr>
              <w:rPr>
                <w:rFonts w:hint="eastAsia" w:ascii="宋体" w:hAnsi="宋体" w:cs="宋体"/>
                <w:color w:val="auto"/>
                <w:highlight w:val="none"/>
              </w:rPr>
            </w:pPr>
            <w:r>
              <w:rPr>
                <w:rFonts w:hint="eastAsia" w:ascii="宋体" w:hAnsi="宋体" w:cs="宋体"/>
                <w:color w:val="auto"/>
                <w:highlight w:val="none"/>
              </w:rPr>
              <w:t>28</w:t>
            </w:r>
          </w:p>
        </w:tc>
        <w:tc>
          <w:tcPr>
            <w:tcW w:w="2928" w:type="dxa"/>
            <w:vAlign w:val="center"/>
          </w:tcPr>
          <w:p w14:paraId="5DEEDFFE">
            <w:pPr>
              <w:rPr>
                <w:rFonts w:hint="eastAsia" w:ascii="宋体" w:hAnsi="宋体" w:cs="宋体"/>
                <w:color w:val="auto"/>
                <w:highlight w:val="none"/>
              </w:rPr>
            </w:pPr>
            <w:r>
              <w:rPr>
                <w:rFonts w:hint="eastAsia" w:ascii="宋体" w:hAnsi="宋体" w:cs="宋体"/>
                <w:color w:val="auto"/>
                <w:highlight w:val="none"/>
              </w:rPr>
              <w:t>水文监测设施</w:t>
            </w:r>
          </w:p>
        </w:tc>
        <w:tc>
          <w:tcPr>
            <w:tcW w:w="708" w:type="dxa"/>
          </w:tcPr>
          <w:p w14:paraId="602847FF">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6ADE83AF">
            <w:pPr>
              <w:rPr>
                <w:rFonts w:hint="eastAsia" w:ascii="宋体" w:hAnsi="宋体" w:cs="宋体"/>
                <w:color w:val="auto"/>
                <w:highlight w:val="none"/>
              </w:rPr>
            </w:pPr>
            <w:r>
              <w:rPr>
                <w:rFonts w:hint="eastAsia" w:ascii="宋体" w:hAnsi="宋体" w:cs="宋体"/>
                <w:color w:val="auto"/>
                <w:highlight w:val="none"/>
              </w:rPr>
              <w:t>12</w:t>
            </w:r>
          </w:p>
        </w:tc>
        <w:tc>
          <w:tcPr>
            <w:tcW w:w="4044" w:type="dxa"/>
          </w:tcPr>
          <w:p w14:paraId="399ECABA">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64F0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62C1A61F">
            <w:pPr>
              <w:rPr>
                <w:rFonts w:hint="eastAsia" w:ascii="宋体" w:hAnsi="宋体" w:cs="宋体"/>
                <w:color w:val="auto"/>
                <w:highlight w:val="none"/>
              </w:rPr>
            </w:pPr>
            <w:r>
              <w:rPr>
                <w:rFonts w:hint="eastAsia" w:ascii="宋体" w:hAnsi="宋体" w:cs="宋体"/>
                <w:color w:val="auto"/>
                <w:highlight w:val="none"/>
              </w:rPr>
              <w:t>29</w:t>
            </w:r>
          </w:p>
        </w:tc>
        <w:tc>
          <w:tcPr>
            <w:tcW w:w="2928" w:type="dxa"/>
            <w:vAlign w:val="center"/>
          </w:tcPr>
          <w:p w14:paraId="384AE0C8">
            <w:pPr>
              <w:rPr>
                <w:rFonts w:hint="eastAsia" w:ascii="宋体" w:hAnsi="宋体" w:cs="宋体"/>
                <w:color w:val="auto"/>
                <w:highlight w:val="none"/>
              </w:rPr>
            </w:pPr>
            <w:r>
              <w:rPr>
                <w:rFonts w:hint="eastAsia" w:ascii="宋体" w:hAnsi="宋体" w:cs="宋体"/>
                <w:color w:val="auto"/>
                <w:highlight w:val="none"/>
              </w:rPr>
              <w:t>泵站电缆桥架维护</w:t>
            </w:r>
          </w:p>
        </w:tc>
        <w:tc>
          <w:tcPr>
            <w:tcW w:w="708" w:type="dxa"/>
          </w:tcPr>
          <w:p w14:paraId="07734C05">
            <w:pPr>
              <w:rPr>
                <w:rFonts w:hint="eastAsia" w:ascii="宋体" w:hAnsi="宋体" w:cs="宋体"/>
                <w:color w:val="auto"/>
                <w:highlight w:val="none"/>
              </w:rPr>
            </w:pPr>
            <w:r>
              <w:rPr>
                <w:rFonts w:hint="eastAsia" w:ascii="宋体" w:hAnsi="宋体" w:cs="宋体"/>
                <w:color w:val="auto"/>
                <w:highlight w:val="none"/>
              </w:rPr>
              <w:t>套</w:t>
            </w:r>
          </w:p>
        </w:tc>
        <w:tc>
          <w:tcPr>
            <w:tcW w:w="709" w:type="dxa"/>
          </w:tcPr>
          <w:p w14:paraId="1BEAE07B">
            <w:pPr>
              <w:rPr>
                <w:rFonts w:hint="eastAsia" w:ascii="宋体" w:hAnsi="宋体" w:cs="宋体"/>
                <w:color w:val="auto"/>
                <w:highlight w:val="none"/>
              </w:rPr>
            </w:pPr>
            <w:r>
              <w:rPr>
                <w:rFonts w:hint="eastAsia" w:ascii="宋体" w:hAnsi="宋体" w:cs="宋体"/>
                <w:color w:val="auto"/>
                <w:highlight w:val="none"/>
              </w:rPr>
              <w:t>1</w:t>
            </w:r>
          </w:p>
        </w:tc>
        <w:tc>
          <w:tcPr>
            <w:tcW w:w="4044" w:type="dxa"/>
          </w:tcPr>
          <w:p w14:paraId="48E315C3">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r w14:paraId="71D9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21CA09CD">
            <w:pPr>
              <w:rPr>
                <w:rFonts w:hint="eastAsia" w:ascii="宋体" w:hAnsi="宋体" w:cs="宋体"/>
                <w:color w:val="auto"/>
                <w:highlight w:val="none"/>
              </w:rPr>
            </w:pPr>
            <w:r>
              <w:rPr>
                <w:rFonts w:hint="eastAsia" w:ascii="宋体" w:hAnsi="宋体" w:cs="宋体"/>
                <w:color w:val="auto"/>
                <w:highlight w:val="none"/>
              </w:rPr>
              <w:t>30</w:t>
            </w:r>
          </w:p>
        </w:tc>
        <w:tc>
          <w:tcPr>
            <w:tcW w:w="2928" w:type="dxa"/>
            <w:vAlign w:val="center"/>
          </w:tcPr>
          <w:p w14:paraId="04F07C62">
            <w:pPr>
              <w:rPr>
                <w:rFonts w:hint="eastAsia" w:ascii="宋体" w:hAnsi="宋体" w:cs="宋体"/>
                <w:color w:val="auto"/>
                <w:highlight w:val="none"/>
              </w:rPr>
            </w:pPr>
            <w:r>
              <w:rPr>
                <w:rFonts w:hint="eastAsia" w:ascii="宋体" w:hAnsi="宋体" w:cs="宋体"/>
                <w:color w:val="auto"/>
                <w:highlight w:val="none"/>
              </w:rPr>
              <w:t>泵站、排水闸闸室等电缆沟积水、杂物清除</w:t>
            </w:r>
          </w:p>
        </w:tc>
        <w:tc>
          <w:tcPr>
            <w:tcW w:w="708" w:type="dxa"/>
          </w:tcPr>
          <w:p w14:paraId="5EAB02AE">
            <w:pPr>
              <w:rPr>
                <w:rFonts w:hint="eastAsia" w:ascii="宋体" w:hAnsi="宋体" w:cs="宋体"/>
                <w:color w:val="auto"/>
                <w:highlight w:val="none"/>
              </w:rPr>
            </w:pPr>
          </w:p>
        </w:tc>
        <w:tc>
          <w:tcPr>
            <w:tcW w:w="709" w:type="dxa"/>
          </w:tcPr>
          <w:p w14:paraId="3279CD6C">
            <w:pPr>
              <w:rPr>
                <w:rFonts w:hint="eastAsia" w:ascii="宋体" w:hAnsi="宋体" w:cs="宋体"/>
                <w:color w:val="auto"/>
                <w:highlight w:val="none"/>
              </w:rPr>
            </w:pPr>
          </w:p>
        </w:tc>
        <w:tc>
          <w:tcPr>
            <w:tcW w:w="4044" w:type="dxa"/>
          </w:tcPr>
          <w:p w14:paraId="21F9B347">
            <w:pPr>
              <w:rPr>
                <w:rFonts w:hint="eastAsia" w:ascii="宋体" w:hAnsi="宋体" w:cs="宋体"/>
                <w:color w:val="auto"/>
                <w:highlight w:val="none"/>
              </w:rPr>
            </w:pPr>
            <w:r>
              <w:rPr>
                <w:rFonts w:hint="eastAsia" w:ascii="宋体" w:hAnsi="宋体" w:cs="宋体"/>
                <w:color w:val="auto"/>
                <w:highlight w:val="none"/>
              </w:rPr>
              <w:t>每月定期对各部检查，随时发现缺陷处理</w:t>
            </w:r>
          </w:p>
        </w:tc>
      </w:tr>
    </w:tbl>
    <w:p w14:paraId="3DF6ADCA">
      <w:pPr>
        <w:snapToGrid w:val="0"/>
        <w:spacing w:line="360" w:lineRule="auto"/>
        <w:ind w:firstLine="482" w:firstLineChars="200"/>
        <w:outlineLvl w:val="2"/>
        <w:rPr>
          <w:rFonts w:hint="eastAsia" w:ascii="宋体" w:hAnsi="宋体" w:cs="宋体"/>
          <w:b/>
          <w:bCs/>
          <w:snapToGrid w:val="0"/>
          <w:color w:val="auto"/>
          <w:sz w:val="24"/>
          <w:szCs w:val="24"/>
          <w:highlight w:val="none"/>
        </w:rPr>
      </w:pPr>
      <w:r>
        <w:rPr>
          <w:rFonts w:hint="eastAsia" w:ascii="宋体" w:hAnsi="宋体" w:cs="宋体"/>
          <w:b/>
          <w:bCs/>
          <w:snapToGrid w:val="0"/>
          <w:color w:val="auto"/>
          <w:sz w:val="24"/>
          <w:szCs w:val="24"/>
          <w:highlight w:val="none"/>
        </w:rPr>
        <w:t>2.1.3泵站运维服务要求</w:t>
      </w:r>
    </w:p>
    <w:p w14:paraId="19DEA653">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2.1.3.1适用的规范和标准</w:t>
      </w:r>
    </w:p>
    <w:p w14:paraId="73947259">
      <w:pPr>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工程运行维护管理行为应满足以下规范要求（以最新发布的规程规范为准但不限于）</w:t>
      </w:r>
    </w:p>
    <w:p w14:paraId="3BC15B2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color w:val="auto"/>
          <w:highlight w:val="none"/>
        </w:rPr>
        <w:fldChar w:fldCharType="begin"/>
      </w:r>
      <w:r>
        <w:rPr>
          <w:color w:val="auto"/>
          <w:highlight w:val="none"/>
        </w:rPr>
        <w:instrText xml:space="preserve"> HYPERLINK "http://www.baidu.com/link?url=JUwHfQLgSOfLk5xm959mazA2cn4Ea-rxHkmTESiDie9wxvrV7Vm2zNtoN18H7Y7LYm3K0gZqnvpA3-84K38J5CzD3j3PUXMfHtUaEFfXoPS" \t "_blank" </w:instrText>
      </w:r>
      <w:r>
        <w:rPr>
          <w:rFonts w:hint="eastAsia"/>
          <w:color w:val="auto"/>
          <w:highlight w:val="none"/>
        </w:rPr>
        <w:fldChar w:fldCharType="separate"/>
      </w:r>
      <w:r>
        <w:rPr>
          <w:rFonts w:hint="eastAsia" w:ascii="宋体" w:hAnsi="宋体" w:cs="宋体"/>
          <w:color w:val="auto"/>
          <w:sz w:val="24"/>
          <w:szCs w:val="24"/>
          <w:highlight w:val="none"/>
        </w:rPr>
        <w:t>中华人民共和国水法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512CBA6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color w:val="auto"/>
          <w:highlight w:val="none"/>
        </w:rPr>
        <w:fldChar w:fldCharType="begin"/>
      </w:r>
      <w:r>
        <w:rPr>
          <w:color w:val="auto"/>
          <w:highlight w:val="none"/>
        </w:rPr>
        <w:instrText xml:space="preserve"> HYPERLINK "http://www.baidu.com/link?url=JUwHfQLgSOfLk5xm959mazA2cn4Ea-rxHkmTESiDie9wxvrV7Vm2zNtoN18H7Y7LYm3K0gZqnvpA3-84K38J5CzD3j3PUXMfHtUaEFfXoPS" \t "_blank" </w:instrText>
      </w:r>
      <w:r>
        <w:rPr>
          <w:rFonts w:hint="eastAsia"/>
          <w:color w:val="auto"/>
          <w:highlight w:val="none"/>
        </w:rPr>
        <w:fldChar w:fldCharType="separate"/>
      </w:r>
      <w:r>
        <w:rPr>
          <w:rFonts w:hint="eastAsia" w:ascii="宋体" w:hAnsi="宋体" w:cs="宋体"/>
          <w:color w:val="auto"/>
          <w:sz w:val="24"/>
          <w:szCs w:val="24"/>
          <w:highlight w:val="none"/>
        </w:rPr>
        <w:t>中华人民共和国防洪法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45D3FED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color w:val="auto"/>
          <w:highlight w:val="none"/>
        </w:rPr>
        <w:fldChar w:fldCharType="begin"/>
      </w:r>
      <w:r>
        <w:rPr>
          <w:color w:val="auto"/>
          <w:highlight w:val="none"/>
        </w:rPr>
        <w:instrText xml:space="preserve"> HYPERLINK "http://www.baidu.com/link?url=JUwHfQLgSOfLk5xm959mazA2cn4Ea-rxHkmTESiDie9wxvrV7Vm2zNtoN18H7Y7LYm3K0gZqnvpA3-84K38J5CzD3j3PUXMfHtUaEFfXoPS" \t "_blank" </w:instrText>
      </w:r>
      <w:r>
        <w:rPr>
          <w:rFonts w:hint="eastAsia"/>
          <w:color w:val="auto"/>
          <w:highlight w:val="none"/>
        </w:rPr>
        <w:fldChar w:fldCharType="separate"/>
      </w:r>
      <w:r>
        <w:rPr>
          <w:rFonts w:hint="eastAsia" w:ascii="宋体" w:hAnsi="宋体" w:cs="宋体"/>
          <w:color w:val="auto"/>
          <w:sz w:val="24"/>
          <w:szCs w:val="24"/>
          <w:highlight w:val="none"/>
        </w:rPr>
        <w:t>中华人民共和国水污染防治法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6D5582F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（4）《泵站技术管理规程》</w:t>
      </w:r>
    </w:p>
    <w:p w14:paraId="4434318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（5）《泵站运行规程》</w:t>
      </w:r>
    </w:p>
    <w:p w14:paraId="50FAB2B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（6）《水闸管理技术规程》</w:t>
      </w:r>
    </w:p>
    <w:p w14:paraId="6743AD5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（7）《水工钢闸门和启闭机安全运行规程》</w:t>
      </w:r>
    </w:p>
    <w:p w14:paraId="045D03D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（8）《泵站现场测试与安全检测规程》</w:t>
      </w:r>
    </w:p>
    <w:p w14:paraId="4BC1EFF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（9）《泵站计算机监控与信息系统技术导则》</w:t>
      </w:r>
    </w:p>
    <w:p w14:paraId="42306A1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（10）《电力安全工作规程》</w:t>
      </w:r>
    </w:p>
    <w:p w14:paraId="14A357A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（11）《浙江省水利工程安全管理条例》</w:t>
      </w:r>
    </w:p>
    <w:p w14:paraId="375E87E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（12）《浙江省水利工程管理单位定岗标准》</w:t>
      </w:r>
    </w:p>
    <w:p w14:paraId="188C4AD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（13）《浙江省水利工程维修养护定额标准》</w:t>
      </w:r>
    </w:p>
    <w:p w14:paraId="4082C1F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（14）《八堡排水泵站标准化管理制度手册》</w:t>
      </w:r>
    </w:p>
    <w:p w14:paraId="29B163D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（15）《八堡排水泵站标准化管理手册》</w:t>
      </w:r>
    </w:p>
    <w:p w14:paraId="0CE8FE9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（16）《八堡排水泵站标准化管理操作手册》</w:t>
      </w:r>
    </w:p>
    <w:p w14:paraId="2AAB257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（17）签署的管理合同；</w:t>
      </w:r>
    </w:p>
    <w:p w14:paraId="090599C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（18）招标文件；</w:t>
      </w:r>
    </w:p>
    <w:p w14:paraId="063A934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（19）管理过程中双方共同签署的有关补充协议；</w:t>
      </w:r>
    </w:p>
    <w:p w14:paraId="7623D8C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（20）投标文件或投标文件</w:t>
      </w:r>
    </w:p>
    <w:p w14:paraId="09E0C47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（21）其他相关行业的规范和标准</w:t>
      </w:r>
    </w:p>
    <w:p w14:paraId="5477F112">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2.1.3.2组织保障</w:t>
      </w:r>
    </w:p>
    <w:p w14:paraId="0DCB39B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（1）根据采购人的要求和工程管理的实际需要，成立相应的管理组织机构。</w:t>
      </w:r>
    </w:p>
    <w:bookmarkEnd w:id="61"/>
    <w:p w14:paraId="5BB4696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（2）运行维护总人员不少于30人（详见泵站运行</w:t>
      </w:r>
      <w:r>
        <w:rPr>
          <w:rFonts w:hint="eastAsia" w:ascii="宋体" w:hAnsi="宋体" w:cs="宋体"/>
          <w:color w:val="auto"/>
          <w:sz w:val="24"/>
          <w:szCs w:val="24"/>
          <w:highlight w:val="none"/>
          <w:lang w:val="en-US" w:eastAsia="zh-CN"/>
        </w:rPr>
        <w:t>维护</w:t>
      </w:r>
      <w:r>
        <w:rPr>
          <w:rFonts w:hint="eastAsia" w:ascii="宋体" w:hAnsi="宋体" w:cs="宋体"/>
          <w:color w:val="auto"/>
          <w:sz w:val="24"/>
          <w:szCs w:val="24"/>
          <w:highlight w:val="none"/>
        </w:rPr>
        <w:t>人员配置表），其中现场机构管理人员不少于5人，运行值班人员不少于16人，检修维护人员不少于</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人，运行技术人员不少于3人。工程主机电气设备运行、闸门启闭操作等重要岗位全部实行持证上岗，主要需持有电工证、闸门运行工证或相应的上岗培训证。日常维护保养根据维修类别进行组织，运行技术人员根据项目管理方要求进行工作调度安排，其他人员自行配置,主汛期开机运行时加强保障力量。▲</w:t>
      </w:r>
      <w:bookmarkStart w:id="64" w:name="_Hlk167281971"/>
      <w:r>
        <w:rPr>
          <w:rFonts w:hint="eastAsia" w:ascii="宋体" w:hAnsi="宋体" w:cs="宋体"/>
          <w:b/>
          <w:bCs/>
          <w:color w:val="auto"/>
          <w:sz w:val="24"/>
          <w:szCs w:val="24"/>
          <w:highlight w:val="none"/>
        </w:rPr>
        <w:t>以联合体形式投标的，牵头单位必须为泵站运行和日常维护单位。泵站运行维护人员</w:t>
      </w:r>
      <w:r>
        <w:rPr>
          <w:rFonts w:hint="eastAsia" w:ascii="宋体" w:hAnsi="宋体" w:cs="宋体"/>
          <w:b/>
          <w:bCs/>
          <w:color w:val="auto"/>
          <w:sz w:val="24"/>
          <w:szCs w:val="24"/>
          <w:highlight w:val="none"/>
          <w:lang w:val="en-US" w:eastAsia="zh-CN"/>
        </w:rPr>
        <w:t>严格按运行维护人员配置表要求，除平台维护员和网络安全员外</w:t>
      </w:r>
      <w:r>
        <w:rPr>
          <w:rFonts w:hint="eastAsia" w:ascii="宋体" w:hAnsi="宋体" w:cs="宋体"/>
          <w:b/>
          <w:bCs/>
          <w:color w:val="auto"/>
          <w:sz w:val="24"/>
          <w:szCs w:val="24"/>
          <w:highlight w:val="none"/>
        </w:rPr>
        <w:t>均为牵头单位在职人员</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rPr>
        <w:t>须提供三个月以上社保证明</w:t>
      </w:r>
      <w:r>
        <w:rPr>
          <w:rFonts w:hint="eastAsia" w:ascii="宋体" w:hAnsi="宋体" w:cs="宋体"/>
          <w:color w:val="auto"/>
          <w:sz w:val="24"/>
          <w:szCs w:val="24"/>
          <w:highlight w:val="none"/>
        </w:rPr>
        <w:t>。</w:t>
      </w:r>
      <w:bookmarkEnd w:id="64"/>
    </w:p>
    <w:p w14:paraId="5712704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拟投入工程的现场管理机构人数，技术力量配置应满足工程管理的需要，主要岗位人员相对固定，原则上不得更换，确需更换的，需提前一周报采购人同意，且更换后的人员不得低于原投标承诺人员所具有的资格和业绩条件；采购人有权审核供应商的运行维护人员，并有权要求供应商更换不合格的运行维护人员。</w:t>
      </w:r>
    </w:p>
    <w:p w14:paraId="1C60C6F3">
      <w:pPr>
        <w:snapToGrid w:val="0"/>
        <w:spacing w:line="360" w:lineRule="auto"/>
        <w:ind w:firstLine="480" w:firstLineChars="200"/>
        <w:rPr>
          <w:rFonts w:hint="eastAsia" w:ascii="宋体" w:hAnsi="宋体" w:cs="宋体"/>
          <w:b/>
          <w:bCs/>
          <w:color w:val="auto"/>
          <w:sz w:val="24"/>
          <w:szCs w:val="24"/>
          <w:highlight w:val="none"/>
        </w:rPr>
      </w:pPr>
      <w:r>
        <w:rPr>
          <w:rFonts w:hint="eastAsia" w:ascii="宋体" w:hAnsi="宋体" w:cs="宋体"/>
          <w:color w:val="auto"/>
          <w:sz w:val="24"/>
          <w:szCs w:val="24"/>
          <w:highlight w:val="none"/>
        </w:rPr>
        <w:t>（4）</w:t>
      </w:r>
      <w:bookmarkStart w:id="65" w:name="_Hlk167282083"/>
      <w:r>
        <w:rPr>
          <w:rFonts w:hint="eastAsia" w:ascii="宋体" w:hAnsi="宋体" w:cs="宋体"/>
          <w:color w:val="auto"/>
          <w:sz w:val="24"/>
          <w:szCs w:val="24"/>
          <w:highlight w:val="none"/>
        </w:rPr>
        <w:t>项目经理、技术负责人每月在现场时间应满22天，节假日项目经理或技术负责人至少一人在岗，每天不少于8小时。工程运行期和防汛响应期间项目经理或技术负责人离开现场需报甲方同意，且必须保证</w:t>
      </w:r>
      <w:r>
        <w:rPr>
          <w:rFonts w:hint="eastAsia" w:ascii="宋体" w:hAnsi="宋体" w:cs="宋体"/>
          <w:color w:val="auto"/>
          <w:sz w:val="24"/>
          <w:szCs w:val="24"/>
          <w:highlight w:val="none"/>
          <w:lang w:val="en-US" w:eastAsia="zh-CN"/>
        </w:rPr>
        <w:t>至少</w:t>
      </w:r>
      <w:r>
        <w:rPr>
          <w:rFonts w:hint="eastAsia" w:ascii="宋体" w:hAnsi="宋体" w:cs="宋体"/>
          <w:color w:val="auto"/>
          <w:sz w:val="24"/>
          <w:szCs w:val="24"/>
          <w:highlight w:val="none"/>
        </w:rPr>
        <w:t>1人在现场。采购人根据管理需要，要求项目经理到场的时候，项目经理必须到场。</w:t>
      </w:r>
      <w:r>
        <w:rPr>
          <w:rFonts w:hint="eastAsia" w:ascii="宋体" w:hAnsi="宋体" w:cs="宋体"/>
          <w:color w:val="auto"/>
          <w:sz w:val="24"/>
          <w:szCs w:val="24"/>
          <w:highlight w:val="none"/>
          <w:lang w:val="en-US" w:eastAsia="zh-CN"/>
        </w:rPr>
        <w:t>平台维护</w:t>
      </w:r>
      <w:r>
        <w:rPr>
          <w:rFonts w:hint="eastAsia" w:ascii="宋体" w:hAnsi="宋体" w:cs="宋体"/>
          <w:color w:val="auto"/>
          <w:sz w:val="24"/>
          <w:szCs w:val="24"/>
          <w:highlight w:val="none"/>
        </w:rPr>
        <w:t>员</w:t>
      </w:r>
      <w:r>
        <w:rPr>
          <w:rFonts w:hint="eastAsia" w:ascii="宋体" w:hAnsi="宋体" w:cs="宋体"/>
          <w:color w:val="auto"/>
          <w:sz w:val="24"/>
          <w:szCs w:val="24"/>
          <w:highlight w:val="none"/>
          <w:lang w:val="en-US" w:eastAsia="zh-CN"/>
        </w:rPr>
        <w:t>驻场时间每月</w:t>
      </w:r>
      <w:r>
        <w:rPr>
          <w:rFonts w:hint="eastAsia" w:ascii="宋体" w:hAnsi="宋体" w:cs="宋体"/>
          <w:color w:val="auto"/>
          <w:sz w:val="24"/>
          <w:szCs w:val="24"/>
          <w:highlight w:val="none"/>
        </w:rPr>
        <w:t>应满22天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网络安防员</w:t>
      </w:r>
      <w:r>
        <w:rPr>
          <w:rFonts w:hint="eastAsia" w:ascii="宋体" w:hAnsi="宋体" w:cs="宋体"/>
          <w:color w:val="auto"/>
          <w:sz w:val="24"/>
          <w:szCs w:val="24"/>
          <w:highlight w:val="none"/>
          <w:lang w:val="en-US" w:eastAsia="zh-CN"/>
        </w:rPr>
        <w:t>驻场时间每周不少于2个工作日，平台维护</w:t>
      </w:r>
      <w:r>
        <w:rPr>
          <w:rFonts w:hint="eastAsia" w:ascii="宋体" w:hAnsi="宋体" w:cs="宋体"/>
          <w:color w:val="auto"/>
          <w:sz w:val="24"/>
          <w:szCs w:val="24"/>
          <w:highlight w:val="none"/>
        </w:rPr>
        <w:t>员</w:t>
      </w:r>
      <w:r>
        <w:rPr>
          <w:rFonts w:hint="eastAsia" w:ascii="宋体" w:hAnsi="宋体" w:cs="宋体"/>
          <w:color w:val="auto"/>
          <w:sz w:val="24"/>
          <w:szCs w:val="24"/>
          <w:highlight w:val="none"/>
          <w:lang w:val="en-US" w:eastAsia="zh-CN"/>
        </w:rPr>
        <w:t>与</w:t>
      </w:r>
      <w:r>
        <w:rPr>
          <w:rFonts w:hint="eastAsia" w:ascii="宋体" w:hAnsi="宋体" w:cs="宋体"/>
          <w:color w:val="auto"/>
          <w:sz w:val="24"/>
          <w:szCs w:val="24"/>
          <w:highlight w:val="none"/>
        </w:rPr>
        <w:t>网络安防员在防汛应急响应期或其他有需要时，提供全天24小时不间断驻场维护</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rPr>
        <w:t>▲项目主要岗位人员不得兼职</w:t>
      </w:r>
      <w:bookmarkEnd w:id="65"/>
      <w:r>
        <w:rPr>
          <w:rFonts w:hint="eastAsia" w:ascii="宋体" w:hAnsi="宋体" w:cs="宋体"/>
          <w:b/>
          <w:bCs/>
          <w:color w:val="auto"/>
          <w:sz w:val="24"/>
          <w:szCs w:val="24"/>
          <w:highlight w:val="none"/>
        </w:rPr>
        <w:t>，如签订合同前发现项目主要岗位人员存在兼职情况，采购人有权判定中标结果无效，由此产生的损失由中标人承担。</w:t>
      </w:r>
    </w:p>
    <w:p w14:paraId="24FBF5D4">
      <w:pPr>
        <w:pStyle w:val="10"/>
        <w:snapToGrid w:val="0"/>
        <w:ind w:firstLine="480" w:firstLineChars="200"/>
        <w:rPr>
          <w:rFonts w:hint="eastAsia" w:hAnsi="宋体" w:cs="宋体"/>
          <w:color w:val="auto"/>
          <w:szCs w:val="24"/>
          <w:highlight w:val="none"/>
        </w:rPr>
      </w:pPr>
      <w:r>
        <w:rPr>
          <w:rFonts w:hint="eastAsia" w:hAnsi="宋体" w:cs="宋体"/>
          <w:color w:val="auto"/>
          <w:szCs w:val="24"/>
          <w:highlight w:val="none"/>
        </w:rPr>
        <w:t>（</w:t>
      </w:r>
      <w:r>
        <w:rPr>
          <w:rFonts w:hint="eastAsia" w:hAnsi="宋体" w:cs="宋体"/>
          <w:color w:val="auto"/>
          <w:szCs w:val="24"/>
          <w:highlight w:val="none"/>
          <w:lang w:val="en-US"/>
        </w:rPr>
        <w:t>5</w:t>
      </w:r>
      <w:r>
        <w:rPr>
          <w:rFonts w:hint="eastAsia" w:hAnsi="宋体" w:cs="宋体"/>
          <w:color w:val="auto"/>
          <w:szCs w:val="24"/>
          <w:highlight w:val="none"/>
        </w:rPr>
        <w:t>）本项目主要岗位人员为项目经理、技术负责人。</w:t>
      </w:r>
    </w:p>
    <w:p w14:paraId="5D3DDB0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表4                         泵站运行维护人员配置表</w:t>
      </w:r>
    </w:p>
    <w:tbl>
      <w:tblPr>
        <w:tblStyle w:val="20"/>
        <w:tblW w:w="917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407"/>
        <w:gridCol w:w="7329"/>
      </w:tblGrid>
      <w:tr w14:paraId="0BA5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6" w:type="dxa"/>
            <w:vMerge w:val="restart"/>
            <w:vAlign w:val="center"/>
          </w:tcPr>
          <w:p w14:paraId="53F90C23">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07" w:type="dxa"/>
            <w:vMerge w:val="restart"/>
            <w:vAlign w:val="center"/>
          </w:tcPr>
          <w:p w14:paraId="37DC1153">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 xml:space="preserve">岗位/人数 </w:t>
            </w:r>
          </w:p>
        </w:tc>
        <w:tc>
          <w:tcPr>
            <w:tcW w:w="7329" w:type="dxa"/>
            <w:vMerge w:val="restart"/>
            <w:vAlign w:val="center"/>
          </w:tcPr>
          <w:p w14:paraId="642C7183">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人员要求</w:t>
            </w:r>
          </w:p>
        </w:tc>
      </w:tr>
      <w:tr w14:paraId="2510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36" w:type="dxa"/>
            <w:vMerge w:val="continue"/>
            <w:vAlign w:val="center"/>
          </w:tcPr>
          <w:p w14:paraId="3AF99BEA">
            <w:pPr>
              <w:widowControl/>
              <w:snapToGrid w:val="0"/>
              <w:spacing w:line="360" w:lineRule="auto"/>
              <w:jc w:val="left"/>
              <w:rPr>
                <w:rFonts w:hint="eastAsia" w:ascii="宋体" w:hAnsi="宋体" w:cs="宋体"/>
                <w:color w:val="auto"/>
                <w:szCs w:val="21"/>
                <w:highlight w:val="none"/>
              </w:rPr>
            </w:pPr>
          </w:p>
        </w:tc>
        <w:tc>
          <w:tcPr>
            <w:tcW w:w="1407" w:type="dxa"/>
            <w:vMerge w:val="continue"/>
            <w:vAlign w:val="center"/>
          </w:tcPr>
          <w:p w14:paraId="2C0B5E11">
            <w:pPr>
              <w:widowControl/>
              <w:snapToGrid w:val="0"/>
              <w:spacing w:line="360" w:lineRule="auto"/>
              <w:jc w:val="left"/>
              <w:rPr>
                <w:rFonts w:hint="eastAsia" w:ascii="宋体" w:hAnsi="宋体" w:cs="宋体"/>
                <w:color w:val="auto"/>
                <w:szCs w:val="21"/>
                <w:highlight w:val="none"/>
              </w:rPr>
            </w:pPr>
          </w:p>
        </w:tc>
        <w:tc>
          <w:tcPr>
            <w:tcW w:w="7329" w:type="dxa"/>
            <w:vMerge w:val="continue"/>
            <w:vAlign w:val="center"/>
          </w:tcPr>
          <w:p w14:paraId="55826C09">
            <w:pPr>
              <w:widowControl/>
              <w:snapToGrid w:val="0"/>
              <w:spacing w:line="360" w:lineRule="auto"/>
              <w:jc w:val="left"/>
              <w:rPr>
                <w:rFonts w:hint="eastAsia" w:ascii="宋体" w:hAnsi="宋体" w:cs="宋体"/>
                <w:color w:val="auto"/>
                <w:szCs w:val="21"/>
                <w:highlight w:val="none"/>
              </w:rPr>
            </w:pPr>
          </w:p>
        </w:tc>
      </w:tr>
      <w:tr w14:paraId="77DF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 w:type="dxa"/>
            <w:vAlign w:val="center"/>
          </w:tcPr>
          <w:p w14:paraId="5B1724A7">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407" w:type="dxa"/>
            <w:vAlign w:val="center"/>
          </w:tcPr>
          <w:p w14:paraId="17ED3038">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项目经理/1</w:t>
            </w:r>
          </w:p>
        </w:tc>
        <w:tc>
          <w:tcPr>
            <w:tcW w:w="7329" w:type="dxa"/>
            <w:vAlign w:val="center"/>
          </w:tcPr>
          <w:p w14:paraId="4CE823D1">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电力工程、电气及其自动化、机械工程</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水工</w:t>
            </w:r>
            <w:r>
              <w:rPr>
                <w:rFonts w:hint="eastAsia" w:ascii="宋体" w:hAnsi="宋体" w:cs="宋体"/>
                <w:color w:val="auto"/>
                <w:szCs w:val="21"/>
                <w:highlight w:val="none"/>
              </w:rPr>
              <w:t>等相关专业本科及以上学历；掌握水利相关法律、法规，熟悉泵站管理相关技术规程，具有良好的管理、组织和协调能力。具有5年以上大型泵站工程运行管理经历或大型泵站工程机电设备安装经历。</w:t>
            </w:r>
          </w:p>
        </w:tc>
      </w:tr>
      <w:tr w14:paraId="2FB7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36" w:type="dxa"/>
            <w:vAlign w:val="center"/>
          </w:tcPr>
          <w:p w14:paraId="7E0CF086">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407" w:type="dxa"/>
            <w:vAlign w:val="center"/>
          </w:tcPr>
          <w:p w14:paraId="7D383029">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技术负责人/1</w:t>
            </w:r>
          </w:p>
        </w:tc>
        <w:tc>
          <w:tcPr>
            <w:tcW w:w="7329" w:type="dxa"/>
            <w:vAlign w:val="center"/>
          </w:tcPr>
          <w:p w14:paraId="3FC5D343">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电力工程、电气及其自动化、机械工程</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水工</w:t>
            </w:r>
            <w:r>
              <w:rPr>
                <w:rFonts w:hint="eastAsia" w:ascii="宋体" w:hAnsi="宋体" w:cs="宋体"/>
                <w:color w:val="auto"/>
                <w:szCs w:val="21"/>
                <w:highlight w:val="none"/>
              </w:rPr>
              <w:t>等相关专业本科及以上学历；掌握水利相关法律、法规，熟悉泵站管理相关技术规程，具有较强的管理、组织和协调能力；具有5年以上水利工程运行管理经历。</w:t>
            </w:r>
          </w:p>
        </w:tc>
      </w:tr>
      <w:tr w14:paraId="4B13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36" w:type="dxa"/>
            <w:vAlign w:val="center"/>
          </w:tcPr>
          <w:p w14:paraId="540A32FA">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407" w:type="dxa"/>
            <w:vAlign w:val="center"/>
          </w:tcPr>
          <w:p w14:paraId="04F697A3">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安全运行及检修管理人员/3</w:t>
            </w:r>
          </w:p>
        </w:tc>
        <w:tc>
          <w:tcPr>
            <w:tcW w:w="7329" w:type="dxa"/>
            <w:vAlign w:val="center"/>
          </w:tcPr>
          <w:p w14:paraId="74703C80">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w:t>
            </w:r>
            <w:r>
              <w:rPr>
                <w:rFonts w:hint="eastAsia" w:ascii="宋体" w:hAnsi="宋体" w:cs="宋体"/>
                <w:color w:val="auto"/>
                <w:szCs w:val="21"/>
                <w:highlight w:val="none"/>
                <w:lang w:val="en-US" w:eastAsia="zh-CN"/>
              </w:rPr>
              <w:t>气</w:t>
            </w:r>
            <w:r>
              <w:rPr>
                <w:rFonts w:hint="eastAsia" w:ascii="宋体" w:hAnsi="宋体" w:cs="宋体"/>
                <w:color w:val="auto"/>
                <w:szCs w:val="21"/>
                <w:highlight w:val="none"/>
              </w:rPr>
              <w:t>、自动化、机电、</w:t>
            </w:r>
            <w:r>
              <w:rPr>
                <w:rFonts w:hint="eastAsia" w:ascii="宋体" w:hAnsi="宋体" w:cs="宋体"/>
                <w:color w:val="auto"/>
                <w:szCs w:val="21"/>
                <w:highlight w:val="none"/>
                <w:lang w:val="en-US" w:eastAsia="zh-CN"/>
              </w:rPr>
              <w:t>机械、</w:t>
            </w:r>
            <w:r>
              <w:rPr>
                <w:rFonts w:hint="eastAsia" w:ascii="宋体" w:hAnsi="宋体" w:cs="宋体"/>
                <w:color w:val="auto"/>
                <w:szCs w:val="21"/>
                <w:highlight w:val="none"/>
              </w:rPr>
              <w:t>水工等相关专业大专及以上学历；具有5年以上水利工程运行管理经历；掌握水利相关法律、法规，熟悉泵站管理相关技术规程；掌握电</w:t>
            </w:r>
            <w:r>
              <w:rPr>
                <w:rFonts w:hint="eastAsia" w:ascii="宋体" w:hAnsi="宋体" w:cs="宋体"/>
                <w:color w:val="auto"/>
                <w:szCs w:val="21"/>
                <w:highlight w:val="none"/>
                <w:lang w:val="en-US" w:eastAsia="zh-CN"/>
              </w:rPr>
              <w:t>气</w:t>
            </w:r>
            <w:r>
              <w:rPr>
                <w:rFonts w:hint="eastAsia" w:ascii="宋体" w:hAnsi="宋体" w:cs="宋体"/>
                <w:color w:val="auto"/>
                <w:szCs w:val="21"/>
                <w:highlight w:val="none"/>
              </w:rPr>
              <w:t>、自动化、机电、水工等方面的专业知识，熟悉泵站检修规程等技术标准；具有一定的组织协调能力及常见故障问题的处理能力；承担本工程的安全生产管理与监督工作；承担安全生产宣传教育工作，落实安全管理制度及技术措施。</w:t>
            </w:r>
          </w:p>
        </w:tc>
      </w:tr>
      <w:tr w14:paraId="4770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36" w:type="dxa"/>
            <w:vAlign w:val="center"/>
          </w:tcPr>
          <w:p w14:paraId="7FF3CE46">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407" w:type="dxa"/>
            <w:vAlign w:val="center"/>
          </w:tcPr>
          <w:p w14:paraId="01D9CEFC">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值班长/4</w:t>
            </w:r>
          </w:p>
        </w:tc>
        <w:tc>
          <w:tcPr>
            <w:tcW w:w="7329" w:type="dxa"/>
            <w:vAlign w:val="center"/>
          </w:tcPr>
          <w:p w14:paraId="454AE4D9">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电气</w:t>
            </w:r>
            <w:r>
              <w:rPr>
                <w:rFonts w:hint="eastAsia" w:ascii="宋体" w:hAnsi="宋体" w:cs="宋体"/>
                <w:color w:val="auto"/>
                <w:szCs w:val="21"/>
                <w:highlight w:val="none"/>
                <w:lang w:eastAsia="zh-CN"/>
              </w:rPr>
              <w:t>、</w:t>
            </w:r>
            <w:r>
              <w:rPr>
                <w:rFonts w:hint="eastAsia" w:ascii="宋体" w:hAnsi="宋体" w:cs="宋体"/>
                <w:color w:val="auto"/>
                <w:szCs w:val="21"/>
                <w:highlight w:val="none"/>
              </w:rPr>
              <w:t>自动化、机电、</w:t>
            </w:r>
            <w:r>
              <w:rPr>
                <w:rFonts w:hint="eastAsia" w:ascii="宋体" w:hAnsi="宋体" w:cs="宋体"/>
                <w:color w:val="auto"/>
                <w:szCs w:val="21"/>
                <w:highlight w:val="none"/>
                <w:lang w:val="en-US" w:eastAsia="zh-CN"/>
              </w:rPr>
              <w:t>机械、</w:t>
            </w:r>
            <w:r>
              <w:rPr>
                <w:rFonts w:hint="eastAsia" w:ascii="宋体" w:hAnsi="宋体" w:cs="宋体"/>
                <w:color w:val="auto"/>
                <w:szCs w:val="21"/>
                <w:highlight w:val="none"/>
              </w:rPr>
              <w:t>水工等相关专业大专</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以上学历，取得电工证（或闸门运行工证或泵站运行工证），并经相应岗位培训合格；能够熟练掌握电气、自动化、机电、</w:t>
            </w:r>
            <w:r>
              <w:rPr>
                <w:rFonts w:hint="eastAsia" w:ascii="宋体" w:hAnsi="宋体" w:cs="宋体"/>
                <w:color w:val="auto"/>
                <w:szCs w:val="21"/>
                <w:highlight w:val="none"/>
                <w:lang w:val="en-US" w:eastAsia="zh-CN"/>
              </w:rPr>
              <w:t>机械、</w:t>
            </w:r>
            <w:r>
              <w:rPr>
                <w:rFonts w:hint="eastAsia" w:ascii="宋体" w:hAnsi="宋体" w:cs="宋体"/>
                <w:color w:val="auto"/>
                <w:szCs w:val="21"/>
                <w:highlight w:val="none"/>
              </w:rPr>
              <w:t>水工等方面的专业知识，熟悉泵站运行规程等相关技术标准；具有一定的组织协调能力及常见故障问题的处理能力。</w:t>
            </w:r>
          </w:p>
        </w:tc>
      </w:tr>
      <w:tr w14:paraId="5B50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021E38FA">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407" w:type="dxa"/>
            <w:vAlign w:val="center"/>
          </w:tcPr>
          <w:p w14:paraId="4A1DFE0D">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值班员/12</w:t>
            </w:r>
          </w:p>
        </w:tc>
        <w:tc>
          <w:tcPr>
            <w:tcW w:w="7329" w:type="dxa"/>
            <w:vAlign w:val="center"/>
          </w:tcPr>
          <w:p w14:paraId="2E27D451">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电气、自动化、机电、</w:t>
            </w:r>
            <w:r>
              <w:rPr>
                <w:rFonts w:hint="eastAsia" w:ascii="宋体" w:hAnsi="宋体" w:cs="宋体"/>
                <w:color w:val="auto"/>
                <w:szCs w:val="21"/>
                <w:highlight w:val="none"/>
                <w:lang w:val="en-US" w:eastAsia="zh-CN"/>
              </w:rPr>
              <w:t>机械、</w:t>
            </w:r>
            <w:r>
              <w:rPr>
                <w:rFonts w:hint="eastAsia" w:ascii="宋体" w:hAnsi="宋体" w:cs="宋体"/>
                <w:color w:val="auto"/>
                <w:szCs w:val="21"/>
                <w:highlight w:val="none"/>
              </w:rPr>
              <w:t>水工等相关专业中专及以上学历；取得电工证（或闸门运行工证或泵站运行工证），经相应岗位培训合格，适应岗位工作需要；基本熟悉各类机电设备基本知识、工作原理及设备性能；掌握泵站运行规程和安全操作技能；具有一定处理机电设备常见故障的能力。</w:t>
            </w:r>
          </w:p>
        </w:tc>
      </w:tr>
      <w:tr w14:paraId="02A3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42F58BD7">
            <w:pPr>
              <w:widowControl/>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1407" w:type="dxa"/>
            <w:vAlign w:val="center"/>
          </w:tcPr>
          <w:p w14:paraId="2C19BFE6">
            <w:pPr>
              <w:widowControl/>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检修员/</w:t>
            </w:r>
            <w:r>
              <w:rPr>
                <w:rFonts w:hint="eastAsia" w:ascii="宋体" w:hAnsi="宋体" w:cs="宋体"/>
                <w:color w:val="auto"/>
                <w:szCs w:val="21"/>
                <w:highlight w:val="none"/>
                <w:lang w:eastAsia="zh-CN"/>
              </w:rPr>
              <w:t>4</w:t>
            </w:r>
          </w:p>
        </w:tc>
        <w:tc>
          <w:tcPr>
            <w:tcW w:w="7329" w:type="dxa"/>
            <w:vAlign w:val="center"/>
          </w:tcPr>
          <w:p w14:paraId="14BE161D">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电气、自动化、机电、</w:t>
            </w:r>
            <w:r>
              <w:rPr>
                <w:rFonts w:hint="eastAsia" w:ascii="宋体" w:hAnsi="宋体" w:cs="宋体"/>
                <w:color w:val="auto"/>
                <w:szCs w:val="21"/>
                <w:highlight w:val="none"/>
                <w:lang w:val="en-US" w:eastAsia="zh-CN"/>
              </w:rPr>
              <w:t>机械、</w:t>
            </w:r>
            <w:r>
              <w:rPr>
                <w:rFonts w:hint="eastAsia" w:ascii="宋体" w:hAnsi="宋体" w:cs="宋体"/>
                <w:color w:val="auto"/>
                <w:szCs w:val="21"/>
                <w:highlight w:val="none"/>
              </w:rPr>
              <w:t>水工等相关专业；经相应岗位培训合格；较为熟练掌握各类机电设备的性能、安装、调试技术；熟悉检修规程；具有一定处理机电设备常见故障的能力。</w:t>
            </w:r>
          </w:p>
        </w:tc>
      </w:tr>
      <w:tr w14:paraId="2824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57D99B3C">
            <w:pPr>
              <w:widowControl/>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407" w:type="dxa"/>
            <w:vAlign w:val="center"/>
          </w:tcPr>
          <w:p w14:paraId="68F5E98A">
            <w:pPr>
              <w:widowControl/>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平台维护员/1</w:t>
            </w:r>
          </w:p>
        </w:tc>
        <w:tc>
          <w:tcPr>
            <w:tcW w:w="7329" w:type="dxa"/>
            <w:vAlign w:val="center"/>
          </w:tcPr>
          <w:p w14:paraId="7BBB09DD">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计算机、</w:t>
            </w:r>
            <w:r>
              <w:rPr>
                <w:rFonts w:hint="eastAsia" w:ascii="宋体" w:hAnsi="宋体" w:cs="宋体"/>
                <w:color w:val="auto"/>
                <w:szCs w:val="21"/>
                <w:highlight w:val="none"/>
              </w:rPr>
              <w:t>信息化</w:t>
            </w:r>
            <w:r>
              <w:rPr>
                <w:rFonts w:hint="eastAsia" w:ascii="宋体" w:hAnsi="宋体" w:cs="宋体"/>
                <w:color w:val="auto"/>
                <w:szCs w:val="21"/>
                <w:highlight w:val="none"/>
                <w:lang w:val="en-US" w:eastAsia="zh-CN"/>
              </w:rPr>
              <w:t>等相关</w:t>
            </w:r>
            <w:r>
              <w:rPr>
                <w:rFonts w:hint="eastAsia" w:ascii="宋体" w:hAnsi="宋体" w:cs="宋体"/>
                <w:color w:val="auto"/>
                <w:szCs w:val="21"/>
                <w:highlight w:val="none"/>
              </w:rPr>
              <w:t>专业本科</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以上学历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熟悉泵站</w:t>
            </w:r>
            <w:r>
              <w:rPr>
                <w:rFonts w:hint="eastAsia" w:ascii="宋体" w:hAnsi="宋体" w:cs="宋体"/>
                <w:color w:val="auto"/>
                <w:szCs w:val="21"/>
                <w:highlight w:val="none"/>
              </w:rPr>
              <w:t>一体化智慧管控平台的技术架构、设备性能、状况和维修要求，</w:t>
            </w:r>
            <w:r>
              <w:rPr>
                <w:rFonts w:hint="eastAsia" w:ascii="宋体" w:hAnsi="宋体" w:cs="宋体"/>
                <w:color w:val="auto"/>
                <w:szCs w:val="21"/>
                <w:highlight w:val="none"/>
                <w:lang w:val="en-US" w:eastAsia="zh-CN"/>
              </w:rPr>
              <w:t>能够配合做好系统</w:t>
            </w:r>
            <w:r>
              <w:rPr>
                <w:rFonts w:hint="eastAsia" w:ascii="宋体" w:hAnsi="宋体" w:cs="宋体"/>
                <w:color w:val="auto"/>
                <w:szCs w:val="21"/>
                <w:highlight w:val="none"/>
              </w:rPr>
              <w:t>故障的处理及应用软件的修改完善。</w:t>
            </w:r>
          </w:p>
        </w:tc>
      </w:tr>
      <w:tr w14:paraId="1E0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5952FC2D">
            <w:pPr>
              <w:widowControl/>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407" w:type="dxa"/>
            <w:vAlign w:val="center"/>
          </w:tcPr>
          <w:p w14:paraId="47BC568C">
            <w:pPr>
              <w:widowControl/>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网络安防员/1</w:t>
            </w:r>
          </w:p>
        </w:tc>
        <w:tc>
          <w:tcPr>
            <w:tcW w:w="7329" w:type="dxa"/>
            <w:vAlign w:val="center"/>
          </w:tcPr>
          <w:p w14:paraId="0EBE3F74">
            <w:pPr>
              <w:widowControl/>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计算机、网络安全等相关</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大专及</w:t>
            </w:r>
            <w:r>
              <w:rPr>
                <w:rFonts w:hint="eastAsia" w:ascii="宋体" w:hAnsi="宋体" w:cs="宋体"/>
                <w:color w:val="auto"/>
                <w:szCs w:val="21"/>
                <w:highlight w:val="none"/>
              </w:rPr>
              <w:t>以上学历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能够配合做好</w:t>
            </w:r>
            <w:r>
              <w:rPr>
                <w:rFonts w:hint="eastAsia" w:ascii="宋体" w:hAnsi="宋体" w:cs="宋体"/>
                <w:color w:val="auto"/>
                <w:szCs w:val="21"/>
                <w:highlight w:val="none"/>
              </w:rPr>
              <w:t>泵站网络系统、视频会商系统、安防系统</w:t>
            </w:r>
            <w:r>
              <w:rPr>
                <w:rFonts w:hint="eastAsia" w:ascii="宋体" w:hAnsi="宋体" w:cs="宋体"/>
                <w:color w:val="auto"/>
                <w:szCs w:val="21"/>
                <w:highlight w:val="none"/>
                <w:lang w:val="en-US" w:eastAsia="zh-CN"/>
              </w:rPr>
              <w:t>等软</w:t>
            </w:r>
            <w:r>
              <w:rPr>
                <w:rFonts w:hint="eastAsia" w:ascii="宋体" w:hAnsi="宋体" w:cs="宋体"/>
                <w:color w:val="auto"/>
                <w:szCs w:val="21"/>
                <w:highlight w:val="none"/>
              </w:rPr>
              <w:t>硬件</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日常巡检维护</w:t>
            </w:r>
            <w:r>
              <w:rPr>
                <w:rFonts w:hint="eastAsia" w:ascii="宋体" w:hAnsi="宋体" w:cs="宋体"/>
                <w:color w:val="auto"/>
                <w:szCs w:val="21"/>
                <w:highlight w:val="none"/>
                <w:lang w:eastAsia="zh-CN"/>
              </w:rPr>
              <w:t>。</w:t>
            </w:r>
          </w:p>
        </w:tc>
      </w:tr>
      <w:tr w14:paraId="392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0CDF0942">
            <w:pPr>
              <w:widowControl/>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1407" w:type="dxa"/>
            <w:vAlign w:val="center"/>
          </w:tcPr>
          <w:p w14:paraId="32798BAA">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运行技术人员/3</w:t>
            </w:r>
          </w:p>
        </w:tc>
        <w:tc>
          <w:tcPr>
            <w:tcW w:w="7329" w:type="dxa"/>
            <w:vAlign w:val="center"/>
          </w:tcPr>
          <w:p w14:paraId="60A899EA">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具备水利工程调度、机械、电气、水工等相关专业本科</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以上学历，掌握水利相关法律、法规，熟悉泵站管理相关技术规程。</w:t>
            </w:r>
          </w:p>
        </w:tc>
      </w:tr>
      <w:tr w14:paraId="363D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6" w:type="dxa"/>
            <w:vAlign w:val="center"/>
          </w:tcPr>
          <w:p w14:paraId="71171CD3">
            <w:pPr>
              <w:widowControl/>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1407" w:type="dxa"/>
            <w:vAlign w:val="center"/>
          </w:tcPr>
          <w:p w14:paraId="65CD3CA2">
            <w:pPr>
              <w:widowControl/>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每班人员配置</w:t>
            </w:r>
          </w:p>
        </w:tc>
        <w:tc>
          <w:tcPr>
            <w:tcW w:w="7329" w:type="dxa"/>
            <w:vAlign w:val="center"/>
          </w:tcPr>
          <w:p w14:paraId="074433F0">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运行每班必须配4人（值班长1人，值班员3人），须有1人持电工证，1人持闸门运行工或泵站运行工，各类操作按泵站运行规程和相关规范执行。</w:t>
            </w:r>
          </w:p>
        </w:tc>
      </w:tr>
    </w:tbl>
    <w:p w14:paraId="26F7BF71">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本表中的管理人员配置不含工勤人员，工勤人员由项目部自行配置，但要满足有关行业规范及管理要求。</w:t>
      </w:r>
    </w:p>
    <w:p w14:paraId="3EF5704B">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2.1.3.3运行维护日常管理要求</w:t>
      </w:r>
    </w:p>
    <w:p w14:paraId="0F391D1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供应商应做好运行维护常态化管理工作。具体要求如下：</w:t>
      </w:r>
    </w:p>
    <w:p w14:paraId="2A8F81D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（1）供应商应及时配好配足投标文件承诺的现场管理机构的交通、办公及其它相关设施等。</w:t>
      </w:r>
    </w:p>
    <w:p w14:paraId="655AF01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（2）供应商应及时总结管理经验，修订完善工程运行管理有关实施细则、操作规程等。</w:t>
      </w:r>
    </w:p>
    <w:p w14:paraId="5E8C870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供应商应按照省级水利工程管理达标要求不断健全完善各项规章制度，主要包括值班制度、交接班制度、学习培训制度、请示报告制度、巡视检查制度、观测工作制度、养护管理制度、防汛物资及备品备件管理制度、事故处理报告制度、大事记制度及奖惩制度等；关键制度上墙明示。</w:t>
      </w:r>
    </w:p>
    <w:p w14:paraId="115C9FC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（4）供应商应加强日常的巡查、检查和保养，及时消除设备隐患，提高泵站安全运行的可靠性和经济性。</w:t>
      </w:r>
    </w:p>
    <w:p w14:paraId="6CCC9FD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（5）供应商应做好泵站辅机系统和电气设备的月度带电试运转工作，及时发现和处理故障，加强对设备的监测比较，逐步积累相关管理经验。</w:t>
      </w:r>
    </w:p>
    <w:p w14:paraId="3C6D6B3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（6）供应商应针对运行中可能出现的各种突发情况，制定有针对性的现场应急处置预案，并加强演练，确保突发情况的及时处理。</w:t>
      </w:r>
    </w:p>
    <w:p w14:paraId="6280D5E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（7）做好汛前、汛后和重要节日前后等安全自查工作，做好泵站机组段进出水流道检查，及时编写相关总结报告，做好汛后建筑物、设施设备评级工作。</w:t>
      </w:r>
    </w:p>
    <w:p w14:paraId="6B8F7A4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（8）供应商应按采购人要求及时提交相关工作月报、安全月报、工作计划和总结。</w:t>
      </w:r>
    </w:p>
    <w:p w14:paraId="5097DD6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（9）供应商应做好检修门机、液压登高车、检查船、备品备件、防汛物资等的日常管理，建立入库、出库、使用和报废等管理台账，根据工程运行需要及时补充备品备件和易耗件，确保满足工程应急维修需要。</w:t>
      </w:r>
    </w:p>
    <w:p w14:paraId="434B57D6">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（10）做好管理范围内水工建筑物、电力线路日常巡查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根据工程运行需要配置巡查车2台，确保满足工程安全巡查需要。</w:t>
      </w:r>
    </w:p>
    <w:p w14:paraId="1537905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（11）做好全年进水前池、出水池、1.3公里引河漂浮物垃圾清理工作。</w:t>
      </w:r>
    </w:p>
    <w:p w14:paraId="22F8CDE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（12）负责运行范围内的设备养护和维修协助(包括消防设施，照明系统，安防门禁、语音、部分视频)。</w:t>
      </w:r>
    </w:p>
    <w:p w14:paraId="5EDC6036">
      <w:pPr>
        <w:pStyle w:val="10"/>
        <w:ind w:firstLine="480" w:firstLineChars="200"/>
        <w:rPr>
          <w:rFonts w:hint="default" w:hAnsi="宋体" w:cs="宋体"/>
          <w:snapToGrid/>
          <w:color w:val="auto"/>
          <w:szCs w:val="24"/>
          <w:highlight w:val="none"/>
          <w:lang w:val="en-US"/>
        </w:rPr>
      </w:pPr>
      <w:r>
        <w:rPr>
          <w:rFonts w:hint="eastAsia" w:ascii="宋体" w:hAnsi="宋体" w:eastAsia="宋体" w:cs="宋体"/>
          <w:i w:val="0"/>
          <w:iCs w:val="0"/>
          <w:caps w:val="0"/>
          <w:snapToGrid/>
          <w:color w:val="auto"/>
          <w:spacing w:val="0"/>
          <w:sz w:val="24"/>
          <w:szCs w:val="24"/>
          <w:highlight w:val="none"/>
          <w:shd w:val="clear" w:fill="auto"/>
          <w:lang w:val="en-US" w:eastAsia="zh-CN"/>
        </w:rPr>
        <w:t>（13）负责八堡一体化管控平台的日常运行管理，保证</w:t>
      </w:r>
      <w:r>
        <w:rPr>
          <w:rFonts w:hint="eastAsia" w:ascii="宋体" w:hAnsi="宋体" w:eastAsia="宋体" w:cs="宋体"/>
          <w:snapToGrid/>
          <w:color w:val="auto"/>
          <w:kern w:val="2"/>
          <w:szCs w:val="24"/>
          <w:highlight w:val="none"/>
          <w:lang w:val="en-US"/>
        </w:rPr>
        <w:t>工程</w:t>
      </w:r>
      <w:r>
        <w:rPr>
          <w:rFonts w:hint="eastAsia" w:ascii="宋体" w:hAnsi="宋体" w:eastAsia="宋体" w:cs="宋体"/>
          <w:snapToGrid/>
          <w:color w:val="auto"/>
          <w:kern w:val="2"/>
          <w:szCs w:val="24"/>
          <w:highlight w:val="none"/>
          <w:lang w:val="en-US" w:eastAsia="zh-CN"/>
        </w:rPr>
        <w:t>运行数据、</w:t>
      </w:r>
      <w:r>
        <w:rPr>
          <w:rFonts w:hint="eastAsia" w:ascii="宋体" w:hAnsi="宋体" w:eastAsia="宋体" w:cs="宋体"/>
          <w:snapToGrid/>
          <w:color w:val="auto"/>
          <w:kern w:val="2"/>
          <w:szCs w:val="24"/>
          <w:highlight w:val="none"/>
          <w:lang w:val="en-US"/>
        </w:rPr>
        <w:t>管理数据</w:t>
      </w:r>
      <w:r>
        <w:rPr>
          <w:rFonts w:hint="eastAsia" w:hAnsi="宋体" w:cs="宋体"/>
          <w:snapToGrid/>
          <w:color w:val="auto"/>
          <w:kern w:val="2"/>
          <w:szCs w:val="24"/>
          <w:highlight w:val="none"/>
          <w:lang w:val="en-US" w:eastAsia="zh-CN"/>
        </w:rPr>
        <w:t>等</w:t>
      </w:r>
      <w:r>
        <w:rPr>
          <w:rFonts w:hint="eastAsia" w:ascii="宋体" w:hAnsi="宋体" w:eastAsia="宋体" w:cs="宋体"/>
          <w:snapToGrid/>
          <w:color w:val="auto"/>
          <w:kern w:val="2"/>
          <w:szCs w:val="24"/>
          <w:highlight w:val="none"/>
          <w:lang w:val="en-US"/>
        </w:rPr>
        <w:t>全面、准确、真实、完整</w:t>
      </w:r>
      <w:r>
        <w:rPr>
          <w:rFonts w:hint="eastAsia" w:hAnsi="宋体" w:cs="宋体"/>
          <w:snapToGrid/>
          <w:color w:val="auto"/>
          <w:kern w:val="2"/>
          <w:szCs w:val="24"/>
          <w:highlight w:val="none"/>
          <w:lang w:val="en-US" w:eastAsia="zh-CN"/>
        </w:rPr>
        <w:t>；</w:t>
      </w:r>
      <w:r>
        <w:rPr>
          <w:rFonts w:hint="eastAsia" w:ascii="宋体" w:hAnsi="宋体" w:eastAsia="宋体" w:cs="宋体"/>
          <w:snapToGrid/>
          <w:color w:val="auto"/>
          <w:kern w:val="2"/>
          <w:szCs w:val="24"/>
          <w:highlight w:val="none"/>
          <w:lang w:val="en-US" w:eastAsia="zh-CN"/>
        </w:rPr>
        <w:t>及时完成网络租赁续费，</w:t>
      </w:r>
      <w:r>
        <w:rPr>
          <w:rFonts w:hint="eastAsia" w:ascii="宋体" w:hAnsi="宋体" w:cs="宋体"/>
          <w:snapToGrid/>
          <w:color w:val="auto"/>
          <w:sz w:val="24"/>
          <w:szCs w:val="24"/>
          <w:highlight w:val="none"/>
          <w:lang w:val="en-US"/>
        </w:rPr>
        <w:t>保证</w:t>
      </w:r>
      <w:r>
        <w:rPr>
          <w:rFonts w:hint="eastAsia" w:hAnsi="宋体" w:cs="宋体"/>
          <w:snapToGrid/>
          <w:color w:val="auto"/>
          <w:sz w:val="24"/>
          <w:szCs w:val="24"/>
          <w:highlight w:val="none"/>
          <w:lang w:val="en-US" w:eastAsia="zh-CN"/>
        </w:rPr>
        <w:t>一体化平台网络通讯</w:t>
      </w:r>
      <w:r>
        <w:rPr>
          <w:rFonts w:hint="eastAsia" w:ascii="宋体" w:hAnsi="宋体" w:cs="宋体"/>
          <w:snapToGrid/>
          <w:color w:val="auto"/>
          <w:sz w:val="24"/>
          <w:szCs w:val="24"/>
          <w:highlight w:val="none"/>
          <w:lang w:val="en-US"/>
        </w:rPr>
        <w:t>正常运行</w:t>
      </w:r>
      <w:r>
        <w:rPr>
          <w:rFonts w:hint="eastAsia" w:hAnsi="宋体" w:cs="宋体"/>
          <w:snapToGrid/>
          <w:color w:val="auto"/>
          <w:sz w:val="24"/>
          <w:szCs w:val="24"/>
          <w:highlight w:val="none"/>
          <w:lang w:val="en-US" w:eastAsia="zh-CN"/>
        </w:rPr>
        <w:t>；配合做好一体化平台的巡检维护和网络安防服务。</w:t>
      </w:r>
    </w:p>
    <w:p w14:paraId="082FCF4F">
      <w:pPr>
        <w:pStyle w:val="10"/>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2.1.3.4运行维护安全管理要求</w:t>
      </w:r>
    </w:p>
    <w:p w14:paraId="12A8587C">
      <w:pPr>
        <w:pStyle w:val="1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供应商应做好运行维护期内安全管理工作。具体要求如下：</w:t>
      </w:r>
    </w:p>
    <w:p w14:paraId="25A79B1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（1）供应商应负责管理范围内人员、设备等安全责任，确保合同期内投入的安全生产管理经费不少于</w:t>
      </w:r>
      <w:r>
        <w:rPr>
          <w:rFonts w:hint="eastAsia" w:ascii="宋体" w:hAnsi="宋体" w:cs="宋体"/>
          <w:snapToGrid w:val="0"/>
          <w:color w:val="auto"/>
          <w:sz w:val="24"/>
          <w:szCs w:val="24"/>
          <w:highlight w:val="none"/>
        </w:rPr>
        <w:t>泵站运行维护费用的</w:t>
      </w:r>
      <w:r>
        <w:rPr>
          <w:rFonts w:hint="eastAsia" w:ascii="宋体" w:hAnsi="宋体" w:cs="宋体"/>
          <w:color w:val="auto"/>
          <w:sz w:val="24"/>
          <w:szCs w:val="24"/>
          <w:highlight w:val="none"/>
        </w:rPr>
        <w:t>1%。</w:t>
      </w:r>
    </w:p>
    <w:p w14:paraId="7B3D6E5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（2）供应商应与所有员工签订安全风险告知书，为其配备必要的安全防护用具。</w:t>
      </w:r>
    </w:p>
    <w:p w14:paraId="3B3897B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供应商应建立安全生产管理组织机构，制定安全管理制度并根据《浙江省水利工程安全管理条例》技术规定进行工程安全管理。负责安全生产的宣传、教育、培训等，健全安全生产各项规章制度，分析安全生产状况，研究安全生产工作的开展，组织安全生产检查工作，建立安全培训和学习台账等相关事宜，设置专职或兼职安全员。</w:t>
      </w:r>
    </w:p>
    <w:p w14:paraId="4E927B0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（4）供应商应做好安全生产常态化管理，每月组织一次安全检查，每月召开一次安全例会，每季度开展一次安全知识培训，每年组织一次安全生产月活动，并做好检查、会议、培训等台账记录。</w:t>
      </w:r>
    </w:p>
    <w:p w14:paraId="17A8189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（5）供应商应每年组织应急演练，能够熟练使用消防器具，所有消防器具由专人管理，定点放置，定期保养，应委托有资质的单位进行检测和维保。</w:t>
      </w:r>
    </w:p>
    <w:p w14:paraId="5ED9432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（6）供应商应组织安全保卫人员负责对运行管理区域进行巡视检查。</w:t>
      </w:r>
    </w:p>
    <w:p w14:paraId="34A417F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（7）做好工程管理范围和保护范围的管理，禁止管理区有乱垦乱种、违章搭建、修建码头及其他构筑物现象，禁止管理水面有违章泊船、捕鱼现象，禁止管理区有外来闲杂人员钓鱼、游泳等现象。</w:t>
      </w:r>
    </w:p>
    <w:p w14:paraId="611CC94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（8）供应商未及时发现安全生产隐患，或者对检查发现的安全隐患未及时整改的，或者经整改后仍不符合规范要求的，由此引发安全生产事故造成的所有损失应由供应商承担。</w:t>
      </w:r>
    </w:p>
    <w:p w14:paraId="3FE66D5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（9）由供应商原因造成的人身伤亡、财产损失均由供应商负责并承担赔偿责任。</w:t>
      </w:r>
    </w:p>
    <w:p w14:paraId="065DC5AD">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2.1.3.5运行管理要求</w:t>
      </w:r>
    </w:p>
    <w:p w14:paraId="445192DF">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2.1.3.5.1泵站运行控制一般原则</w:t>
      </w:r>
    </w:p>
    <w:p w14:paraId="7B8BEAC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根据工程的调度运用纳入杭州市及流域的防汛安全体系中，服从防汛部门的统一调度指挥，接采购人通知单运行，泵站一般的运用原则如下：</w:t>
      </w:r>
    </w:p>
    <w:p w14:paraId="052A4D9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（1）当塘栖水位在1.80m～2.40m之间开1台泵；</w:t>
      </w:r>
    </w:p>
    <w:p w14:paraId="68424B0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（2）当塘栖水位在2.40m～2.60m之间开2台泵；</w:t>
      </w:r>
    </w:p>
    <w:p w14:paraId="4A3338E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（3）当塘栖水位在2.60m～2.70m之间开3台泵；</w:t>
      </w:r>
    </w:p>
    <w:p w14:paraId="1573309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（4）当塘栖水位高于2.70m时开4台泵。</w:t>
      </w:r>
    </w:p>
    <w:p w14:paraId="68A6ACF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程调度应加强数字孪生维护和研究，提升一体化平台智能调度水平，实时依据泵站运行的海量数据，推动控制算法的创新升级与运行方案的精细化迭代，动态适应工况变化，在现有调度方案基础上，形成泵站双控点优化调度方案，最大化提升泵站运营效率与稳定性。</w:t>
      </w:r>
    </w:p>
    <w:p w14:paraId="3D763AD3">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2.1.3.5.2工程运行值班管理</w:t>
      </w:r>
    </w:p>
    <w:p w14:paraId="6086D23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程运行管理按照《标准化管理操作手册》要求，运行值班实行四班三运转，运行期2小时巡查一次，非运行期每班不少于一次；按规定的区域进行规定路线巡查并记录。对巡视中发现的设备缺陷及时安排处理，记录各种数据，并上传八堡一体化平台。</w:t>
      </w:r>
    </w:p>
    <w:p w14:paraId="179DBA8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（1）采购人根据规划设计要求和防汛抗旱调度方案，制定泵站控制运用原则和依据。</w:t>
      </w:r>
    </w:p>
    <w:p w14:paraId="703CAE4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（2）供应商应按月度编制运行计划和运行操作值班表，报采购人批准后执行。</w:t>
      </w:r>
    </w:p>
    <w:p w14:paraId="7BCB180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泵站的控制运用应按照采购人的指令进行，不得接受其它任何单位和个人的指令。对采购人的指令应详细记录、复核；执行完毕后，应向采购人报告。若因机电设备突发故障一时难以执行，应向采购人如实汇报，并及时组织抢修。</w:t>
      </w:r>
    </w:p>
    <w:p w14:paraId="3B522EB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（4）泵站应根据工程和水泵配套的实际情况，尽可能实现最优经济运行。 </w:t>
      </w:r>
    </w:p>
    <w:p w14:paraId="6F79469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泵站运行调度应发挥工程的最大效益，并确保设备的安全运行：运行过程中，应密切注视水雨情的变化，根据水泵装置特征曲线，调整机组的运行状态；若水泵发生汽蚀和振动，应按改善水泵装置汽蚀性能和降低振幅的要求进行调度。</w:t>
      </w:r>
    </w:p>
    <w:p w14:paraId="497A8A3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（6）泵站设备和工程设备在调度运行中，应加强巡视，密切观察并摘录运行的主要参数，发现异常及时抢修，并报采购人。</w:t>
      </w:r>
    </w:p>
    <w:p w14:paraId="54FC2AE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（7）机电设备运行和检修按《泵站技术管理规程》、《泵站运行规程》、《水闸管理技术规程》等有关规定（大修除外）。</w:t>
      </w:r>
    </w:p>
    <w:p w14:paraId="0639208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（8）自动监控系统硬件设施和软件系统的维护管理维护应遵守下列规定：</w:t>
      </w:r>
    </w:p>
    <w:p w14:paraId="3AABD17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①定期对传感器、可编程序控制器、指示仪表、保护设备、视频系统、通信系统、计算机及网络等系统硬件进行检查维护和清洁除尘；</w:t>
      </w:r>
    </w:p>
    <w:p w14:paraId="204B332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②按规定时间定期对传感器、指示仪表、保护设备等进行率定和精度校验，对不符合要求的设备及时向采购人报检修、校正或更换计划表；</w:t>
      </w:r>
    </w:p>
    <w:p w14:paraId="6A9995D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③定期对保护设备进行灵敏度检查、调整，对不符合要求的设备及时向采购人报检修、校正或更换计划表；</w:t>
      </w:r>
    </w:p>
    <w:p w14:paraId="5E2A9FD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④应制定计算机控制操作规程并严格执行；</w:t>
      </w:r>
    </w:p>
    <w:p w14:paraId="3D02D6C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⑤加强对计算机和网络的安全管理；</w:t>
      </w:r>
    </w:p>
    <w:p w14:paraId="3DF8C70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⑥定期对系统软件和数据库进行备份，对技术文档妥善保管；</w:t>
      </w:r>
    </w:p>
    <w:p w14:paraId="2421AB6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⑦有管理权限的厂家人员对系统进行维护时并做好登记记录；</w:t>
      </w:r>
    </w:p>
    <w:p w14:paraId="52B455A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⑧对运行中出现的问题详细记录，并报采购人联系厂家解决和维护；</w:t>
      </w:r>
    </w:p>
    <w:p w14:paraId="23A0253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⑨及时统计并上报有关报表；</w:t>
      </w:r>
    </w:p>
    <w:p w14:paraId="0D1AECC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⑩自动监控系统发生故障或显示告警信息时，应查明原因，并及时排除。</w:t>
      </w:r>
    </w:p>
    <w:p w14:paraId="4EBDA3A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（9）至少每月度开展一次机组试运行，发现问题及时整改。若该月已经执行开机任务，可不需要试运行。</w:t>
      </w:r>
    </w:p>
    <w:p w14:paraId="346160E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（10）水工建筑物管理</w:t>
      </w:r>
    </w:p>
    <w:p w14:paraId="13DB620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供应商应针对泵站运行及管理特点，制定泵站水工建筑物防洪、防震预案，报采购人批准后执行。泵站水工建筑物应按设计标准运用，当超标准运用时应采取可靠的安全应急措施，报采购人经批准后执行。</w:t>
      </w:r>
    </w:p>
    <w:p w14:paraId="0DC28E0C">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2.1.3.6维修养护管理要求</w:t>
      </w:r>
    </w:p>
    <w:p w14:paraId="56A0A8F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泵站维修养护按照《泵站技术管理规程》、《浙江省水利工程维修养护定额标准》等规程规范执行，做到早发现早处理，把事故隐患扼杀在萌芽状态，防止出现带病运行，使设备始终处于良好的热备状态。运行一年或一个排水周期结束，结合泵站一年运行情况对泵站设备进行全面检查和消缺。负责工程日常养护等工作，包括（但不限于）：</w:t>
      </w:r>
    </w:p>
    <w:p w14:paraId="7D77C33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（1）泵站机组油系统检查、维护，液压油的过滤、检测、补充；</w:t>
      </w:r>
    </w:p>
    <w:p w14:paraId="1B24982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（2）泵站机组轴承的检查、维护；</w:t>
      </w:r>
    </w:p>
    <w:p w14:paraId="02B7002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（3）泵站金属结构的检查、维护、液压部件的清洗保养；</w:t>
      </w:r>
    </w:p>
    <w:p w14:paraId="78F0A78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（4）泵站高低压电气一次设备、二次设备进行检查；</w:t>
      </w:r>
    </w:p>
    <w:p w14:paraId="6948FCA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（5）泵站机组计算机监控系统进行检查；</w:t>
      </w:r>
    </w:p>
    <w:p w14:paraId="13E7DF3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（6）每年汛后对水泵机组抽水后进行进人检查；出水流道进人检查前应提出科学技术方案后，根据实际需要予以实施；</w:t>
      </w:r>
    </w:p>
    <w:p w14:paraId="4E1805E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（7）泵站两台桥式起重机的特种设备维护和检测；</w:t>
      </w:r>
    </w:p>
    <w:p w14:paraId="4427B29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（8）检查中发现需更换的元器件进行采购；</w:t>
      </w:r>
    </w:p>
    <w:p w14:paraId="34940BE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（9）泵站运行中突发设备事故的抢修协助；</w:t>
      </w:r>
    </w:p>
    <w:p w14:paraId="604CD6E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（10）设备标识标牌保洁、设备局部油漆脱落修复；</w:t>
      </w:r>
    </w:p>
    <w:p w14:paraId="0837E08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（11）建筑物内外表面、室内外地面破损脱落部分的局部修复及桥栏杆等涂料、油漆脱落修复；</w:t>
      </w:r>
    </w:p>
    <w:p w14:paraId="2C3CB90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（12）照明灯具零星检修更换；</w:t>
      </w:r>
    </w:p>
    <w:p w14:paraId="4C497EA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（13）安全工具、用具年检和维护，行车检验、安全阀校验等；</w:t>
      </w:r>
    </w:p>
    <w:p w14:paraId="6F5AE94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（14）按规范要求及时做好工程安全监测及资料整编工作；</w:t>
      </w:r>
    </w:p>
    <w:p w14:paraId="5E21BFE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（15）做好电气预防性试验、安全监测、水文维护等，配合做好自动化维护等工作。</w:t>
      </w:r>
    </w:p>
    <w:p w14:paraId="305169C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（16）因人为损坏或管理不善造成建筑物损坏、机电设备损毁与遗失的，供应商应负责修复完善或赔偿；</w:t>
      </w:r>
    </w:p>
    <w:p w14:paraId="54EA5DE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（17）做好运行管理区域的室内外卫生保洁工作，保证卫生整洁、环境优美；</w:t>
      </w:r>
    </w:p>
    <w:p w14:paraId="7AB802E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（18）及时编制年度岁修计划、备品备件计划，报采购人批准后及时组织实施，保证项目实施的质量。积极配合采购人组织实施的项目；</w:t>
      </w:r>
    </w:p>
    <w:p w14:paraId="135EA75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（19）按照有关规定定期对水工建筑物、机电设备进行评级，编写等级评定报告；</w:t>
      </w:r>
    </w:p>
    <w:p w14:paraId="5C1BF0C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（20）做好水工建筑物、电力线路运行期日常巡查；</w:t>
      </w:r>
    </w:p>
    <w:p w14:paraId="0A628F0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做好管理范围内设备、水工（建筑物）及其它维修、养护、专项检测等的配合协助工作，做好检修门机、液压登高车、检查船、备品备件仓库、防汛物资仓库等的日常管理，并负责运行管理范围内的安全监管工作；</w:t>
      </w:r>
    </w:p>
    <w:p w14:paraId="65F5E0B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（22）负责运行范围内的设备养护和维修协助(包括消防设施，照明系统，安防门禁、语音、安防视频维修协助)。</w:t>
      </w:r>
    </w:p>
    <w:p w14:paraId="656B4803">
      <w:pPr>
        <w:snapToGrid w:val="0"/>
        <w:spacing w:line="360" w:lineRule="auto"/>
        <w:ind w:firstLine="480" w:firstLineChars="200"/>
        <w:outlineLvl w:val="2"/>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2.1.3.7保洁管理要求</w:t>
      </w:r>
    </w:p>
    <w:p w14:paraId="6EE81B3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供应商负责工程运行维护管理范围内（除泵站建筑物业管理范围外）的安防及保洁工作。</w:t>
      </w:r>
    </w:p>
    <w:p w14:paraId="7C44EC4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（1）保洁要求：保洁区域的设备、地面、墙面、楼梯、扶手、玻璃、走廊等干净，无垃圾、积灰、污渍、手印。定期开展消毒活动。</w:t>
      </w:r>
    </w:p>
    <w:p w14:paraId="4ED07F8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（2）安防要求：对安防区域定时巡视，明确巡视工作职责，对设备机房等重要区域、部位进行重点巡视并记录，及时发现和处理各种安全和事故隐患。做好采购人要求的其它环境管理工作。</w:t>
      </w:r>
    </w:p>
    <w:p w14:paraId="4588F8CB">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2.1.3.8信息和文件管理要求</w:t>
      </w:r>
    </w:p>
    <w:p w14:paraId="42E9700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配备专(兼)职档案管理人员，按照国家有关规定及采购人档案管理办法，做好工程档案管理工作，确保项目档案齐全、完整。供应商应加强工程运行管理资料的管理，按规定及时收集、整理、归档工程运行管理档案。</w:t>
      </w:r>
    </w:p>
    <w:p w14:paraId="192E03FB">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2.1.3.8.1管理月报。</w:t>
      </w:r>
    </w:p>
    <w:p w14:paraId="7166C37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每月5日前，向采购人提交当月《管理月报》，主要内容：</w:t>
      </w:r>
    </w:p>
    <w:p w14:paraId="0F302E6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（1）管理事务概述：包括工程位置、工程主要特征及合同履行情况简介。</w:t>
      </w:r>
    </w:p>
    <w:p w14:paraId="5BA8309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（2）大事记。</w:t>
      </w:r>
    </w:p>
    <w:p w14:paraId="7748D84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（3）工程运行情况及工程运行资料。</w:t>
      </w:r>
    </w:p>
    <w:p w14:paraId="6E61AD3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（4）本月主要管理工作：资源投入、重要管理活动。</w:t>
      </w:r>
    </w:p>
    <w:p w14:paraId="5DB6B50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（5）管理人情况</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包括劳动力动态、投入的设备、组织管理和存在的问题。</w:t>
      </w:r>
    </w:p>
    <w:p w14:paraId="331EE81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（6）安全和环境保护。</w:t>
      </w:r>
    </w:p>
    <w:p w14:paraId="39C0404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（7）工程声像资料。</w:t>
      </w:r>
    </w:p>
    <w:p w14:paraId="726D749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（8）建议采购人注意的事项。</w:t>
      </w:r>
    </w:p>
    <w:p w14:paraId="502F8DC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（9）其他有关事项</w:t>
      </w:r>
    </w:p>
    <w:p w14:paraId="543FA0E8">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2.1.3.8.2日常管理文件</w:t>
      </w:r>
    </w:p>
    <w:p w14:paraId="3302C74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（1）工程管理日记及工程大事记。</w:t>
      </w:r>
    </w:p>
    <w:p w14:paraId="0162A94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（2）运行管理协调会议纪要文件。</w:t>
      </w:r>
    </w:p>
    <w:p w14:paraId="607E2B8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（3）采购人通知、指令等。</w:t>
      </w:r>
    </w:p>
    <w:p w14:paraId="602DE1A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（4）运行管理记录、设备操作记录。</w:t>
      </w:r>
    </w:p>
    <w:p w14:paraId="09403CE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（5）维护、保养记录。</w:t>
      </w:r>
    </w:p>
    <w:p w14:paraId="363CDFD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（6）辅机系统检查性试运行记录。</w:t>
      </w:r>
    </w:p>
    <w:p w14:paraId="60ADF95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（7）日常巡视检查记录。</w:t>
      </w:r>
    </w:p>
    <w:p w14:paraId="1925045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（8）其他管理业务往来文件。</w:t>
      </w:r>
    </w:p>
    <w:p w14:paraId="02127B98">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（9）供应商的请示、报告。</w:t>
      </w:r>
    </w:p>
    <w:p w14:paraId="40FA6D3D">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2.1.3.8.3.汛前、汛中、汛后工程检查报告</w:t>
      </w:r>
    </w:p>
    <w:p w14:paraId="51315C6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每年的3月20日前、7月31日前、11月15日前，完成并向采购人提交。检查报告主要内容：</w:t>
      </w:r>
    </w:p>
    <w:p w14:paraId="6028110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（1）工程概要（含设计指标、设计效益）。</w:t>
      </w:r>
    </w:p>
    <w:p w14:paraId="672AE5E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（2）工程运用概要（含工程运用原则、运用情况等）。</w:t>
      </w:r>
    </w:p>
    <w:p w14:paraId="5A26944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（3）检查情况综述，检查发现的主要问题及处理意见。</w:t>
      </w:r>
    </w:p>
    <w:p w14:paraId="15F11CC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（4）度汛措施（防汛抢险组织落实情况、度汛物资准备情况。）</w:t>
      </w:r>
    </w:p>
    <w:p w14:paraId="1819A6D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（5）汛后工程岁修建议报告。</w:t>
      </w:r>
    </w:p>
    <w:p w14:paraId="7087528B">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2.1.3.8.4运行工作总结报告</w:t>
      </w:r>
    </w:p>
    <w:p w14:paraId="43D5D1E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项目完成后提交采购人。内容包括：</w:t>
      </w:r>
    </w:p>
    <w:p w14:paraId="52ACDD0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（1）工程运行管理情况综述</w:t>
      </w:r>
    </w:p>
    <w:p w14:paraId="0FE91D0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（2）履行管理合同情况</w:t>
      </w:r>
    </w:p>
    <w:p w14:paraId="19A0892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（3）工程技术管理总结</w:t>
      </w:r>
    </w:p>
    <w:p w14:paraId="114A3FC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（4）工程运行管理总结</w:t>
      </w:r>
    </w:p>
    <w:p w14:paraId="67EF8AA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（5）财务执行情况</w:t>
      </w:r>
    </w:p>
    <w:p w14:paraId="45919A54">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（6）工程存在问题</w:t>
      </w:r>
    </w:p>
    <w:p w14:paraId="1E54187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（7）建议和意见 </w:t>
      </w:r>
    </w:p>
    <w:p w14:paraId="3CB572AE">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2.1.3.8.5其他</w:t>
      </w:r>
    </w:p>
    <w:p w14:paraId="48EDFBD1">
      <w:pPr>
        <w:snapToGrid w:val="0"/>
        <w:spacing w:line="360" w:lineRule="auto"/>
        <w:ind w:firstLine="480" w:firstLineChars="200"/>
        <w:rPr>
          <w:rFonts w:hint="eastAsia" w:ascii="宋体" w:hAnsi="宋体" w:cs="宋体"/>
          <w:color w:val="auto"/>
          <w:sz w:val="24"/>
          <w:szCs w:val="24"/>
          <w:highlight w:val="none"/>
        </w:rPr>
      </w:pPr>
      <w:bookmarkStart w:id="66" w:name="_Toc193449076"/>
      <w:r>
        <w:rPr>
          <w:rFonts w:hint="eastAsia" w:ascii="宋体" w:hAnsi="宋体" w:cs="宋体"/>
          <w:color w:val="auto"/>
          <w:sz w:val="24"/>
          <w:szCs w:val="24"/>
          <w:highlight w:val="none"/>
        </w:rPr>
        <w:t>（1）提交采购人要求的不定期的管理工作报告</w:t>
      </w:r>
      <w:bookmarkEnd w:id="66"/>
    </w:p>
    <w:p w14:paraId="540A9F45">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（2）提出关于降低运行费用、提高工程效益的合理化建议。</w:t>
      </w:r>
    </w:p>
    <w:p w14:paraId="1570B8D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（3）提交日常维护工作总结</w:t>
      </w:r>
    </w:p>
    <w:p w14:paraId="2A696172">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（4）完成其它专项的总结</w:t>
      </w:r>
    </w:p>
    <w:p w14:paraId="61BCAA08">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2.1.3.9其他管理要求</w:t>
      </w:r>
    </w:p>
    <w:p w14:paraId="6FEFDB66">
      <w:pPr>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（1）供应商应主动配合，认真做好专项检查、稽查以及各类检查工作，按时提交工作报告和相关的备查资料。</w:t>
      </w:r>
    </w:p>
    <w:p w14:paraId="7022868D">
      <w:pPr>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（2）供应商应主动配合，积极参与省部级标准化管理创建，配合八堡泵站参观秩序维持工作。</w:t>
      </w:r>
    </w:p>
    <w:p w14:paraId="73F936F5">
      <w:pPr>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（3）供应商应以八堡工程一体化智慧管控平台为切入口，经采购人同意后开展数字孪生应用、运行调度优化、设备排故消缺等方面的课题研究。</w:t>
      </w:r>
    </w:p>
    <w:p w14:paraId="3D50157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（4）积极做好备品备件采购、防汛物资采购等其他必要的相关配合工作。</w:t>
      </w:r>
    </w:p>
    <w:p w14:paraId="4772E692">
      <w:pPr>
        <w:pStyle w:val="5"/>
        <w:tabs>
          <w:tab w:val="left" w:pos="709"/>
        </w:tabs>
        <w:rPr>
          <w:rFonts w:hint="eastAsia" w:ascii="宋体" w:hAnsi="宋体" w:eastAsia="宋体" w:cs="宋体"/>
          <w:color w:val="auto"/>
          <w:sz w:val="24"/>
          <w:szCs w:val="24"/>
          <w:highlight w:val="none"/>
          <w:u w:val="wave"/>
        </w:rPr>
      </w:pPr>
      <w:r>
        <w:rPr>
          <w:rFonts w:hint="eastAsia" w:ascii="宋体" w:hAnsi="宋体" w:eastAsia="宋体" w:cs="宋体"/>
          <w:color w:val="auto"/>
          <w:sz w:val="24"/>
          <w:szCs w:val="24"/>
          <w:highlight w:val="none"/>
          <w:u w:val="wave"/>
        </w:rPr>
        <w:t>2.2泵站专项维护内容（允许分包）：</w:t>
      </w:r>
    </w:p>
    <w:tbl>
      <w:tblPr>
        <w:tblStyle w:val="20"/>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129"/>
        <w:gridCol w:w="1120"/>
        <w:gridCol w:w="1036"/>
        <w:gridCol w:w="1829"/>
        <w:gridCol w:w="1245"/>
      </w:tblGrid>
      <w:tr w14:paraId="27DC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762" w:type="dxa"/>
            <w:vAlign w:val="center"/>
          </w:tcPr>
          <w:p w14:paraId="42745E74">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3129" w:type="dxa"/>
            <w:vAlign w:val="center"/>
          </w:tcPr>
          <w:p w14:paraId="232F7690">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名  称</w:t>
            </w:r>
          </w:p>
        </w:tc>
        <w:tc>
          <w:tcPr>
            <w:tcW w:w="1120" w:type="dxa"/>
            <w:vAlign w:val="center"/>
          </w:tcPr>
          <w:p w14:paraId="30D13028">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单  位</w:t>
            </w:r>
          </w:p>
        </w:tc>
        <w:tc>
          <w:tcPr>
            <w:tcW w:w="1036" w:type="dxa"/>
            <w:vAlign w:val="center"/>
          </w:tcPr>
          <w:p w14:paraId="5AB7D62E">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数  量</w:t>
            </w:r>
          </w:p>
        </w:tc>
        <w:tc>
          <w:tcPr>
            <w:tcW w:w="1829" w:type="dxa"/>
            <w:vAlign w:val="center"/>
          </w:tcPr>
          <w:p w14:paraId="47968A49">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维护周期（年）</w:t>
            </w:r>
          </w:p>
        </w:tc>
        <w:tc>
          <w:tcPr>
            <w:tcW w:w="1245" w:type="dxa"/>
            <w:vAlign w:val="center"/>
          </w:tcPr>
          <w:p w14:paraId="78B8A915">
            <w:pPr>
              <w:snapToGrid w:val="0"/>
              <w:jc w:val="center"/>
              <w:rPr>
                <w:rFonts w:hint="eastAsia" w:ascii="宋体" w:hAnsi="宋体" w:cs="宋体"/>
                <w:b/>
                <w:bCs/>
                <w:color w:val="auto"/>
                <w:szCs w:val="21"/>
                <w:highlight w:val="none"/>
              </w:rPr>
            </w:pPr>
            <w:r>
              <w:rPr>
                <w:rFonts w:hint="eastAsia" w:ascii="宋体" w:hAnsi="宋体" w:cs="宋体"/>
                <w:b/>
                <w:bCs/>
                <w:color w:val="auto"/>
                <w:szCs w:val="21"/>
                <w:highlight w:val="none"/>
              </w:rPr>
              <w:t>备 注</w:t>
            </w:r>
          </w:p>
        </w:tc>
      </w:tr>
      <w:tr w14:paraId="193D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62" w:type="dxa"/>
            <w:vAlign w:val="center"/>
          </w:tcPr>
          <w:p w14:paraId="03CAB40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129" w:type="dxa"/>
            <w:vAlign w:val="center"/>
          </w:tcPr>
          <w:p w14:paraId="1CC8FCB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电气预防性试验</w:t>
            </w:r>
          </w:p>
        </w:tc>
        <w:tc>
          <w:tcPr>
            <w:tcW w:w="1120" w:type="dxa"/>
            <w:vAlign w:val="center"/>
          </w:tcPr>
          <w:p w14:paraId="739E1C0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vAlign w:val="center"/>
          </w:tcPr>
          <w:p w14:paraId="53AF37A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vAlign w:val="center"/>
          </w:tcPr>
          <w:p w14:paraId="1A93BF6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vAlign w:val="center"/>
          </w:tcPr>
          <w:p w14:paraId="24E5FA9F">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6F1E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62" w:type="dxa"/>
            <w:tcBorders>
              <w:left w:val="single" w:color="auto" w:sz="4" w:space="0"/>
              <w:bottom w:val="single" w:color="auto" w:sz="4" w:space="0"/>
              <w:right w:val="single" w:color="auto" w:sz="4" w:space="0"/>
            </w:tcBorders>
            <w:vAlign w:val="center"/>
          </w:tcPr>
          <w:p w14:paraId="131D224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129" w:type="dxa"/>
            <w:tcBorders>
              <w:left w:val="single" w:color="auto" w:sz="4" w:space="0"/>
              <w:bottom w:val="single" w:color="auto" w:sz="4" w:space="0"/>
              <w:right w:val="single" w:color="auto" w:sz="4" w:space="0"/>
            </w:tcBorders>
            <w:vAlign w:val="center"/>
          </w:tcPr>
          <w:p w14:paraId="50A56313">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桥机特种设备检测维护</w:t>
            </w:r>
          </w:p>
        </w:tc>
        <w:tc>
          <w:tcPr>
            <w:tcW w:w="1120" w:type="dxa"/>
            <w:tcBorders>
              <w:left w:val="single" w:color="auto" w:sz="4" w:space="0"/>
              <w:bottom w:val="single" w:color="auto" w:sz="4" w:space="0"/>
              <w:right w:val="single" w:color="auto" w:sz="4" w:space="0"/>
            </w:tcBorders>
            <w:vAlign w:val="center"/>
          </w:tcPr>
          <w:p w14:paraId="7BBB360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left w:val="single" w:color="auto" w:sz="4" w:space="0"/>
              <w:bottom w:val="single" w:color="auto" w:sz="4" w:space="0"/>
              <w:right w:val="single" w:color="auto" w:sz="4" w:space="0"/>
            </w:tcBorders>
            <w:vAlign w:val="center"/>
          </w:tcPr>
          <w:p w14:paraId="67CEA6AB">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left w:val="single" w:color="auto" w:sz="4" w:space="0"/>
              <w:bottom w:val="single" w:color="auto" w:sz="4" w:space="0"/>
              <w:right w:val="single" w:color="auto" w:sz="4" w:space="0"/>
            </w:tcBorders>
            <w:vAlign w:val="center"/>
          </w:tcPr>
          <w:p w14:paraId="5548EA7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tcBorders>
              <w:left w:val="single" w:color="auto" w:sz="4" w:space="0"/>
              <w:bottom w:val="single" w:color="auto" w:sz="4" w:space="0"/>
              <w:right w:val="single" w:color="auto" w:sz="4" w:space="0"/>
            </w:tcBorders>
            <w:vAlign w:val="center"/>
          </w:tcPr>
          <w:p w14:paraId="3A3D57C1">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5DDB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38321F8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3129" w:type="dxa"/>
            <w:tcBorders>
              <w:top w:val="single" w:color="auto" w:sz="4" w:space="0"/>
              <w:left w:val="single" w:color="auto" w:sz="4" w:space="0"/>
              <w:bottom w:val="single" w:color="auto" w:sz="4" w:space="0"/>
              <w:right w:val="single" w:color="auto" w:sz="4" w:space="0"/>
            </w:tcBorders>
            <w:vAlign w:val="center"/>
          </w:tcPr>
          <w:p w14:paraId="4899F86B">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安全用具检测</w:t>
            </w:r>
          </w:p>
        </w:tc>
        <w:tc>
          <w:tcPr>
            <w:tcW w:w="1120" w:type="dxa"/>
            <w:tcBorders>
              <w:top w:val="single" w:color="auto" w:sz="4" w:space="0"/>
              <w:left w:val="single" w:color="auto" w:sz="4" w:space="0"/>
              <w:bottom w:val="single" w:color="auto" w:sz="4" w:space="0"/>
              <w:right w:val="single" w:color="auto" w:sz="4" w:space="0"/>
            </w:tcBorders>
            <w:vAlign w:val="center"/>
          </w:tcPr>
          <w:p w14:paraId="568693B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top w:val="single" w:color="auto" w:sz="4" w:space="0"/>
              <w:left w:val="single" w:color="auto" w:sz="4" w:space="0"/>
              <w:bottom w:val="single" w:color="auto" w:sz="4" w:space="0"/>
              <w:right w:val="single" w:color="auto" w:sz="4" w:space="0"/>
            </w:tcBorders>
            <w:vAlign w:val="center"/>
          </w:tcPr>
          <w:p w14:paraId="360E3F6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top w:val="single" w:color="auto" w:sz="4" w:space="0"/>
              <w:left w:val="single" w:color="auto" w:sz="4" w:space="0"/>
              <w:bottom w:val="single" w:color="auto" w:sz="4" w:space="0"/>
              <w:right w:val="single" w:color="auto" w:sz="4" w:space="0"/>
            </w:tcBorders>
            <w:vAlign w:val="center"/>
          </w:tcPr>
          <w:p w14:paraId="2541C57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tcBorders>
              <w:top w:val="single" w:color="auto" w:sz="4" w:space="0"/>
              <w:left w:val="single" w:color="auto" w:sz="4" w:space="0"/>
              <w:bottom w:val="single" w:color="auto" w:sz="4" w:space="0"/>
              <w:right w:val="single" w:color="auto" w:sz="4" w:space="0"/>
            </w:tcBorders>
            <w:vAlign w:val="center"/>
          </w:tcPr>
          <w:p w14:paraId="64B4FA14">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3DAA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1A9B9F4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3129" w:type="dxa"/>
            <w:tcBorders>
              <w:top w:val="single" w:color="auto" w:sz="4" w:space="0"/>
              <w:left w:val="single" w:color="auto" w:sz="4" w:space="0"/>
              <w:bottom w:val="single" w:color="auto" w:sz="4" w:space="0"/>
              <w:right w:val="single" w:color="auto" w:sz="4" w:space="0"/>
            </w:tcBorders>
            <w:vAlign w:val="center"/>
          </w:tcPr>
          <w:p w14:paraId="6D15D58B">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水工建筑物安全监测维护及资料分析</w:t>
            </w:r>
          </w:p>
        </w:tc>
        <w:tc>
          <w:tcPr>
            <w:tcW w:w="1120" w:type="dxa"/>
            <w:tcBorders>
              <w:top w:val="single" w:color="auto" w:sz="4" w:space="0"/>
              <w:left w:val="single" w:color="auto" w:sz="4" w:space="0"/>
              <w:bottom w:val="single" w:color="auto" w:sz="4" w:space="0"/>
              <w:right w:val="single" w:color="auto" w:sz="4" w:space="0"/>
            </w:tcBorders>
            <w:vAlign w:val="center"/>
          </w:tcPr>
          <w:p w14:paraId="6BCD143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66528CA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top w:val="single" w:color="auto" w:sz="4" w:space="0"/>
              <w:left w:val="single" w:color="auto" w:sz="4" w:space="0"/>
              <w:bottom w:val="single" w:color="auto" w:sz="4" w:space="0"/>
              <w:right w:val="single" w:color="auto" w:sz="4" w:space="0"/>
            </w:tcBorders>
            <w:vAlign w:val="center"/>
          </w:tcPr>
          <w:p w14:paraId="2AE917D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tcBorders>
              <w:top w:val="single" w:color="auto" w:sz="4" w:space="0"/>
              <w:left w:val="single" w:color="auto" w:sz="4" w:space="0"/>
              <w:bottom w:val="single" w:color="auto" w:sz="4" w:space="0"/>
              <w:right w:val="single" w:color="auto" w:sz="4" w:space="0"/>
            </w:tcBorders>
            <w:vAlign w:val="center"/>
          </w:tcPr>
          <w:p w14:paraId="121B5F68">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15EE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3077186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3129" w:type="dxa"/>
            <w:tcBorders>
              <w:top w:val="single" w:color="auto" w:sz="4" w:space="0"/>
              <w:left w:val="single" w:color="auto" w:sz="4" w:space="0"/>
              <w:bottom w:val="single" w:color="auto" w:sz="4" w:space="0"/>
              <w:right w:val="single" w:color="auto" w:sz="4" w:space="0"/>
            </w:tcBorders>
            <w:vAlign w:val="center"/>
          </w:tcPr>
          <w:p w14:paraId="6EE0FA92">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水文设施维护及资料整理分析</w:t>
            </w:r>
          </w:p>
        </w:tc>
        <w:tc>
          <w:tcPr>
            <w:tcW w:w="1120" w:type="dxa"/>
            <w:tcBorders>
              <w:top w:val="single" w:color="auto" w:sz="4" w:space="0"/>
              <w:left w:val="single" w:color="auto" w:sz="4" w:space="0"/>
              <w:bottom w:val="single" w:color="auto" w:sz="4" w:space="0"/>
              <w:right w:val="single" w:color="auto" w:sz="4" w:space="0"/>
            </w:tcBorders>
            <w:vAlign w:val="center"/>
          </w:tcPr>
          <w:p w14:paraId="3D0CCA7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0C61B36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top w:val="single" w:color="auto" w:sz="4" w:space="0"/>
              <w:left w:val="single" w:color="auto" w:sz="4" w:space="0"/>
              <w:bottom w:val="single" w:color="auto" w:sz="4" w:space="0"/>
              <w:right w:val="single" w:color="auto" w:sz="4" w:space="0"/>
            </w:tcBorders>
            <w:vAlign w:val="center"/>
          </w:tcPr>
          <w:p w14:paraId="180C54EF">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tcBorders>
              <w:top w:val="single" w:color="auto" w:sz="4" w:space="0"/>
              <w:left w:val="single" w:color="auto" w:sz="4" w:space="0"/>
              <w:bottom w:val="single" w:color="auto" w:sz="4" w:space="0"/>
              <w:right w:val="single" w:color="auto" w:sz="4" w:space="0"/>
            </w:tcBorders>
            <w:vAlign w:val="center"/>
          </w:tcPr>
          <w:p w14:paraId="3123FD42">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6498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552BEE2F">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3129" w:type="dxa"/>
            <w:tcBorders>
              <w:top w:val="single" w:color="auto" w:sz="4" w:space="0"/>
              <w:left w:val="single" w:color="auto" w:sz="4" w:space="0"/>
              <w:bottom w:val="single" w:color="auto" w:sz="4" w:space="0"/>
              <w:right w:val="single" w:color="auto" w:sz="4" w:space="0"/>
            </w:tcBorders>
            <w:vAlign w:val="center"/>
          </w:tcPr>
          <w:p w14:paraId="36A202E6">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变电设施维护</w:t>
            </w:r>
          </w:p>
        </w:tc>
        <w:tc>
          <w:tcPr>
            <w:tcW w:w="1120" w:type="dxa"/>
            <w:tcBorders>
              <w:top w:val="single" w:color="auto" w:sz="4" w:space="0"/>
              <w:left w:val="single" w:color="auto" w:sz="4" w:space="0"/>
              <w:bottom w:val="single" w:color="auto" w:sz="4" w:space="0"/>
              <w:right w:val="single" w:color="auto" w:sz="4" w:space="0"/>
            </w:tcBorders>
            <w:vAlign w:val="center"/>
          </w:tcPr>
          <w:p w14:paraId="0ECF8543">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5064E52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top w:val="single" w:color="auto" w:sz="4" w:space="0"/>
              <w:left w:val="single" w:color="auto" w:sz="4" w:space="0"/>
              <w:bottom w:val="single" w:color="auto" w:sz="4" w:space="0"/>
              <w:right w:val="single" w:color="auto" w:sz="4" w:space="0"/>
            </w:tcBorders>
            <w:vAlign w:val="center"/>
          </w:tcPr>
          <w:p w14:paraId="0CC3334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45" w:type="dxa"/>
            <w:tcBorders>
              <w:top w:val="single" w:color="auto" w:sz="4" w:space="0"/>
              <w:left w:val="single" w:color="auto" w:sz="4" w:space="0"/>
              <w:bottom w:val="single" w:color="auto" w:sz="4" w:space="0"/>
              <w:right w:val="single" w:color="auto" w:sz="4" w:space="0"/>
            </w:tcBorders>
            <w:vAlign w:val="center"/>
          </w:tcPr>
          <w:p w14:paraId="319BA453">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r w14:paraId="0562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250B813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3129" w:type="dxa"/>
            <w:tcBorders>
              <w:top w:val="single" w:color="auto" w:sz="4" w:space="0"/>
              <w:left w:val="single" w:color="auto" w:sz="4" w:space="0"/>
              <w:bottom w:val="single" w:color="auto" w:sz="4" w:space="0"/>
              <w:right w:val="single" w:color="auto" w:sz="4" w:space="0"/>
            </w:tcBorders>
            <w:vAlign w:val="center"/>
          </w:tcPr>
          <w:p w14:paraId="13745F3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自动化控制系统及信息化平台专业</w:t>
            </w:r>
            <w:r>
              <w:rPr>
                <w:rFonts w:hint="eastAsia" w:ascii="宋体" w:hAnsi="宋体" w:cs="宋体"/>
                <w:color w:val="auto"/>
                <w:szCs w:val="21"/>
                <w:highlight w:val="none"/>
                <w:lang w:val="en-US" w:eastAsia="zh-CN"/>
              </w:rPr>
              <w:t>巡检</w:t>
            </w:r>
            <w:r>
              <w:rPr>
                <w:rFonts w:hint="eastAsia" w:ascii="宋体" w:hAnsi="宋体" w:cs="宋体"/>
                <w:color w:val="auto"/>
                <w:szCs w:val="21"/>
                <w:highlight w:val="none"/>
              </w:rPr>
              <w:t>维护</w:t>
            </w:r>
          </w:p>
        </w:tc>
        <w:tc>
          <w:tcPr>
            <w:tcW w:w="1120" w:type="dxa"/>
            <w:tcBorders>
              <w:top w:val="single" w:color="auto" w:sz="4" w:space="0"/>
              <w:left w:val="single" w:color="auto" w:sz="4" w:space="0"/>
              <w:bottom w:val="single" w:color="auto" w:sz="4" w:space="0"/>
              <w:right w:val="single" w:color="auto" w:sz="4" w:space="0"/>
            </w:tcBorders>
            <w:vAlign w:val="center"/>
          </w:tcPr>
          <w:p w14:paraId="349D249B">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3ADCEE8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829" w:type="dxa"/>
            <w:tcBorders>
              <w:top w:val="single" w:color="auto" w:sz="4" w:space="0"/>
              <w:left w:val="single" w:color="auto" w:sz="4" w:space="0"/>
              <w:bottom w:val="single" w:color="auto" w:sz="4" w:space="0"/>
              <w:right w:val="single" w:color="auto" w:sz="4" w:space="0"/>
            </w:tcBorders>
            <w:vAlign w:val="center"/>
          </w:tcPr>
          <w:p w14:paraId="0282956E">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0.5</w:t>
            </w:r>
            <w:r>
              <w:rPr>
                <w:rFonts w:hint="eastAsia" w:ascii="宋体" w:hAnsi="宋体" w:cs="宋体"/>
                <w:color w:val="auto"/>
                <w:szCs w:val="21"/>
                <w:highlight w:val="none"/>
                <w:lang w:val="en-US" w:eastAsia="zh-CN"/>
              </w:rPr>
              <w:t>年，其中</w:t>
            </w:r>
            <w:r>
              <w:rPr>
                <w:rFonts w:hint="eastAsia" w:ascii="宋体" w:hAnsi="宋体" w:cs="宋体"/>
                <w:color w:val="auto"/>
                <w:szCs w:val="21"/>
                <w:highlight w:val="none"/>
              </w:rPr>
              <w:t>安防运行维护及网络安全服务</w:t>
            </w:r>
            <w:r>
              <w:rPr>
                <w:rFonts w:hint="eastAsia" w:ascii="宋体" w:hAnsi="宋体" w:cs="宋体"/>
                <w:color w:val="auto"/>
                <w:szCs w:val="21"/>
                <w:highlight w:val="none"/>
                <w:lang w:val="en-US" w:eastAsia="zh-CN"/>
              </w:rPr>
              <w:t>1.5年</w:t>
            </w:r>
          </w:p>
        </w:tc>
        <w:tc>
          <w:tcPr>
            <w:tcW w:w="1245" w:type="dxa"/>
            <w:tcBorders>
              <w:top w:val="single" w:color="auto" w:sz="4" w:space="0"/>
              <w:left w:val="single" w:color="auto" w:sz="4" w:space="0"/>
              <w:bottom w:val="single" w:color="auto" w:sz="4" w:space="0"/>
              <w:right w:val="single" w:color="auto" w:sz="4" w:space="0"/>
            </w:tcBorders>
            <w:vAlign w:val="center"/>
          </w:tcPr>
          <w:p w14:paraId="1A0D2235">
            <w:pPr>
              <w:widowControl/>
              <w:jc w:val="center"/>
              <w:rPr>
                <w:rFonts w:hint="eastAsia" w:ascii="宋体" w:hAnsi="宋体" w:cs="宋体"/>
                <w:color w:val="auto"/>
                <w:szCs w:val="21"/>
                <w:highlight w:val="none"/>
              </w:rPr>
            </w:pPr>
            <w:r>
              <w:rPr>
                <w:rFonts w:hint="eastAsia" w:ascii="宋体" w:hAnsi="宋体" w:cs="宋体"/>
                <w:color w:val="auto"/>
                <w:szCs w:val="21"/>
                <w:highlight w:val="none"/>
              </w:rPr>
              <w:t>允许分包</w:t>
            </w:r>
          </w:p>
        </w:tc>
      </w:tr>
    </w:tbl>
    <w:p w14:paraId="480D830A">
      <w:pPr>
        <w:pStyle w:val="5"/>
        <w:tabs>
          <w:tab w:val="left" w:pos="70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2.2.1电气预防性试验</w:t>
      </w:r>
    </w:p>
    <w:p w14:paraId="18387DE0">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（1）工作内容</w:t>
      </w:r>
    </w:p>
    <w:p w14:paraId="2AB9076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试验范围主要包含：①泵站5套主机组设备；②工程35KV/10KV中压变配电设备；③工程400V低压供电设备；④工程防雷地接系统；⑤工程继电保护系统、励磁系统、自动控制系统、仪器仪表等；⑥工程变压器油、液压油的油化试验（可外协）；⑦工程机电辅助设备控制系统检查；⑧泵站整组联动模拟和系统试验运行。</w:t>
      </w:r>
    </w:p>
    <w:p w14:paraId="2B7CD833">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（2）资质要求</w:t>
      </w:r>
    </w:p>
    <w:p w14:paraId="5F989B75">
      <w:pPr>
        <w:snapToGrid w:val="0"/>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检测单位资质：</w:t>
      </w:r>
      <w:bookmarkStart w:id="67" w:name="_Hlk167281806"/>
      <w:r>
        <w:rPr>
          <w:rFonts w:hint="eastAsia" w:ascii="宋体" w:hAnsi="宋体" w:cs="宋体"/>
          <w:color w:val="auto"/>
          <w:sz w:val="24"/>
          <w:szCs w:val="24"/>
          <w:highlight w:val="none"/>
        </w:rPr>
        <w:t>具有承装（修、试）电力设施许可证</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rPr>
        <w:t>级及以上资质</w:t>
      </w:r>
      <w:bookmarkEnd w:id="67"/>
      <w:r>
        <w:rPr>
          <w:rFonts w:hint="eastAsia" w:ascii="宋体" w:hAnsi="宋体" w:cs="宋体"/>
          <w:color w:val="auto"/>
          <w:sz w:val="24"/>
          <w:szCs w:val="24"/>
          <w:highlight w:val="none"/>
        </w:rPr>
        <w:t>。</w:t>
      </w:r>
    </w:p>
    <w:p w14:paraId="7E73A1F0">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（3）工程基本试验清单</w:t>
      </w:r>
    </w:p>
    <w:tbl>
      <w:tblPr>
        <w:tblStyle w:val="20"/>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334"/>
        <w:gridCol w:w="736"/>
        <w:gridCol w:w="736"/>
        <w:gridCol w:w="3358"/>
        <w:gridCol w:w="903"/>
      </w:tblGrid>
      <w:tr w14:paraId="1C0C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133F9C6C">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334" w:type="dxa"/>
            <w:vAlign w:val="center"/>
          </w:tcPr>
          <w:p w14:paraId="1C3A866C">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设备名称</w:t>
            </w:r>
          </w:p>
        </w:tc>
        <w:tc>
          <w:tcPr>
            <w:tcW w:w="736" w:type="dxa"/>
            <w:vAlign w:val="center"/>
          </w:tcPr>
          <w:p w14:paraId="0340207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36" w:type="dxa"/>
            <w:vAlign w:val="center"/>
          </w:tcPr>
          <w:p w14:paraId="7EF0C39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58" w:type="dxa"/>
            <w:vAlign w:val="center"/>
          </w:tcPr>
          <w:p w14:paraId="75E325D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说明</w:t>
            </w:r>
          </w:p>
        </w:tc>
        <w:tc>
          <w:tcPr>
            <w:tcW w:w="903" w:type="dxa"/>
            <w:vAlign w:val="center"/>
          </w:tcPr>
          <w:p w14:paraId="34E57F1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F4F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4170C3D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334" w:type="dxa"/>
            <w:vAlign w:val="center"/>
          </w:tcPr>
          <w:p w14:paraId="0111895D">
            <w:pPr>
              <w:snapToGrid w:val="0"/>
              <w:rPr>
                <w:rFonts w:hint="eastAsia" w:ascii="宋体" w:hAnsi="宋体" w:cs="宋体"/>
                <w:color w:val="auto"/>
                <w:szCs w:val="21"/>
                <w:highlight w:val="none"/>
              </w:rPr>
            </w:pPr>
            <w:r>
              <w:rPr>
                <w:rFonts w:hint="eastAsia" w:ascii="宋体" w:hAnsi="宋体" w:cs="宋体"/>
                <w:color w:val="auto"/>
                <w:szCs w:val="21"/>
                <w:highlight w:val="none"/>
              </w:rPr>
              <w:t>同步电动机</w:t>
            </w:r>
          </w:p>
        </w:tc>
        <w:tc>
          <w:tcPr>
            <w:tcW w:w="736" w:type="dxa"/>
            <w:vAlign w:val="center"/>
          </w:tcPr>
          <w:p w14:paraId="57E7DFAB">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11019ED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3358" w:type="dxa"/>
          </w:tcPr>
          <w:p w14:paraId="52A1CB16">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3800KW，10KV</w:t>
            </w:r>
          </w:p>
        </w:tc>
        <w:tc>
          <w:tcPr>
            <w:tcW w:w="903" w:type="dxa"/>
            <w:vAlign w:val="center"/>
          </w:tcPr>
          <w:p w14:paraId="15C4728F">
            <w:pPr>
              <w:snapToGrid w:val="0"/>
              <w:jc w:val="center"/>
              <w:rPr>
                <w:rFonts w:hint="eastAsia" w:ascii="宋体" w:hAnsi="宋体" w:cs="宋体"/>
                <w:color w:val="auto"/>
                <w:szCs w:val="21"/>
                <w:highlight w:val="none"/>
              </w:rPr>
            </w:pPr>
          </w:p>
        </w:tc>
      </w:tr>
      <w:tr w14:paraId="401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1D06774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2334" w:type="dxa"/>
            <w:vAlign w:val="center"/>
          </w:tcPr>
          <w:p w14:paraId="182720FA">
            <w:pPr>
              <w:snapToGrid w:val="0"/>
              <w:rPr>
                <w:rFonts w:hint="eastAsia" w:ascii="宋体" w:hAnsi="宋体" w:cs="宋体"/>
                <w:color w:val="auto"/>
                <w:szCs w:val="21"/>
                <w:highlight w:val="none"/>
              </w:rPr>
            </w:pPr>
            <w:r>
              <w:rPr>
                <w:rFonts w:hint="eastAsia" w:ascii="宋体" w:hAnsi="宋体" w:cs="宋体"/>
                <w:color w:val="auto"/>
                <w:szCs w:val="21"/>
                <w:highlight w:val="none"/>
              </w:rPr>
              <w:t>主变</w:t>
            </w:r>
          </w:p>
        </w:tc>
        <w:tc>
          <w:tcPr>
            <w:tcW w:w="736" w:type="dxa"/>
            <w:vAlign w:val="center"/>
          </w:tcPr>
          <w:p w14:paraId="179ECAFB">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3A318DE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58" w:type="dxa"/>
          </w:tcPr>
          <w:p w14:paraId="15B211B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35KV/10KV,25000KVA</w:t>
            </w:r>
          </w:p>
        </w:tc>
        <w:tc>
          <w:tcPr>
            <w:tcW w:w="903" w:type="dxa"/>
            <w:vAlign w:val="center"/>
          </w:tcPr>
          <w:p w14:paraId="7DC1A774">
            <w:pPr>
              <w:snapToGrid w:val="0"/>
              <w:jc w:val="center"/>
              <w:rPr>
                <w:rFonts w:hint="eastAsia" w:ascii="宋体" w:hAnsi="宋体" w:cs="宋体"/>
                <w:color w:val="auto"/>
                <w:szCs w:val="21"/>
                <w:highlight w:val="none"/>
              </w:rPr>
            </w:pPr>
          </w:p>
        </w:tc>
      </w:tr>
      <w:tr w14:paraId="6EA6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16E6AB9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2334" w:type="dxa"/>
            <w:vAlign w:val="center"/>
          </w:tcPr>
          <w:p w14:paraId="1B8FE10D">
            <w:pPr>
              <w:snapToGrid w:val="0"/>
              <w:rPr>
                <w:rFonts w:hint="eastAsia" w:ascii="宋体" w:hAnsi="宋体" w:cs="宋体"/>
                <w:color w:val="auto"/>
                <w:szCs w:val="21"/>
                <w:highlight w:val="none"/>
              </w:rPr>
            </w:pPr>
            <w:r>
              <w:rPr>
                <w:rFonts w:hint="eastAsia" w:ascii="宋体" w:hAnsi="宋体" w:cs="宋体"/>
                <w:color w:val="auto"/>
                <w:szCs w:val="21"/>
                <w:highlight w:val="none"/>
              </w:rPr>
              <w:t>站用变</w:t>
            </w:r>
          </w:p>
        </w:tc>
        <w:tc>
          <w:tcPr>
            <w:tcW w:w="736" w:type="dxa"/>
            <w:vAlign w:val="center"/>
          </w:tcPr>
          <w:p w14:paraId="1132883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3913C81C">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3358" w:type="dxa"/>
          </w:tcPr>
          <w:p w14:paraId="6B72EE8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含励磁变</w:t>
            </w:r>
          </w:p>
        </w:tc>
        <w:tc>
          <w:tcPr>
            <w:tcW w:w="903" w:type="dxa"/>
            <w:vAlign w:val="center"/>
          </w:tcPr>
          <w:p w14:paraId="7DA9C938">
            <w:pPr>
              <w:snapToGrid w:val="0"/>
              <w:jc w:val="center"/>
              <w:rPr>
                <w:rFonts w:hint="eastAsia" w:ascii="宋体" w:hAnsi="宋体" w:cs="宋体"/>
                <w:color w:val="auto"/>
                <w:szCs w:val="21"/>
                <w:highlight w:val="none"/>
              </w:rPr>
            </w:pPr>
          </w:p>
        </w:tc>
      </w:tr>
      <w:tr w14:paraId="430A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311F4E8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2334" w:type="dxa"/>
            <w:vAlign w:val="center"/>
          </w:tcPr>
          <w:p w14:paraId="1603E5FB">
            <w:pPr>
              <w:snapToGrid w:val="0"/>
              <w:rPr>
                <w:rFonts w:hint="eastAsia" w:ascii="宋体" w:hAnsi="宋体" w:cs="宋体"/>
                <w:color w:val="auto"/>
                <w:szCs w:val="21"/>
                <w:highlight w:val="none"/>
              </w:rPr>
            </w:pPr>
            <w:r>
              <w:rPr>
                <w:rFonts w:hint="eastAsia" w:ascii="宋体" w:hAnsi="宋体" w:cs="宋体"/>
                <w:color w:val="auto"/>
                <w:szCs w:val="21"/>
                <w:highlight w:val="none"/>
              </w:rPr>
              <w:t>35KV开关柜</w:t>
            </w:r>
          </w:p>
        </w:tc>
        <w:tc>
          <w:tcPr>
            <w:tcW w:w="736" w:type="dxa"/>
            <w:vAlign w:val="center"/>
          </w:tcPr>
          <w:p w14:paraId="6F6CFDA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0084F75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3358" w:type="dxa"/>
          </w:tcPr>
          <w:p w14:paraId="27CDA129">
            <w:pPr>
              <w:snapToGrid w:val="0"/>
              <w:jc w:val="center"/>
              <w:rPr>
                <w:rFonts w:hint="eastAsia" w:ascii="宋体" w:hAnsi="宋体" w:cs="宋体"/>
                <w:color w:val="auto"/>
                <w:szCs w:val="21"/>
                <w:highlight w:val="none"/>
              </w:rPr>
            </w:pPr>
          </w:p>
        </w:tc>
        <w:tc>
          <w:tcPr>
            <w:tcW w:w="903" w:type="dxa"/>
            <w:vAlign w:val="center"/>
          </w:tcPr>
          <w:p w14:paraId="340292D1">
            <w:pPr>
              <w:snapToGrid w:val="0"/>
              <w:jc w:val="center"/>
              <w:rPr>
                <w:rFonts w:hint="eastAsia" w:ascii="宋体" w:hAnsi="宋体" w:cs="宋体"/>
                <w:color w:val="auto"/>
                <w:szCs w:val="21"/>
                <w:highlight w:val="none"/>
              </w:rPr>
            </w:pPr>
          </w:p>
        </w:tc>
      </w:tr>
      <w:tr w14:paraId="5FBE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656FAAC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2334" w:type="dxa"/>
            <w:vAlign w:val="center"/>
          </w:tcPr>
          <w:p w14:paraId="56177C37">
            <w:pPr>
              <w:snapToGrid w:val="0"/>
              <w:rPr>
                <w:rFonts w:hint="eastAsia" w:ascii="宋体" w:hAnsi="宋体" w:cs="宋体"/>
                <w:color w:val="auto"/>
                <w:szCs w:val="21"/>
                <w:highlight w:val="none"/>
              </w:rPr>
            </w:pPr>
            <w:r>
              <w:rPr>
                <w:rFonts w:hint="eastAsia" w:ascii="宋体" w:hAnsi="宋体" w:cs="宋体"/>
                <w:color w:val="auto"/>
                <w:szCs w:val="21"/>
                <w:highlight w:val="none"/>
              </w:rPr>
              <w:t>10KV开关柜</w:t>
            </w:r>
          </w:p>
        </w:tc>
        <w:tc>
          <w:tcPr>
            <w:tcW w:w="736" w:type="dxa"/>
            <w:vAlign w:val="center"/>
          </w:tcPr>
          <w:p w14:paraId="634769C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7AA85041">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26</w:t>
            </w:r>
          </w:p>
        </w:tc>
        <w:tc>
          <w:tcPr>
            <w:tcW w:w="3358" w:type="dxa"/>
          </w:tcPr>
          <w:p w14:paraId="7663A9AA">
            <w:pPr>
              <w:snapToGrid w:val="0"/>
              <w:jc w:val="center"/>
              <w:rPr>
                <w:rFonts w:hint="eastAsia" w:ascii="宋体" w:hAnsi="宋体" w:cs="宋体"/>
                <w:color w:val="auto"/>
                <w:szCs w:val="21"/>
                <w:highlight w:val="none"/>
              </w:rPr>
            </w:pPr>
          </w:p>
        </w:tc>
        <w:tc>
          <w:tcPr>
            <w:tcW w:w="903" w:type="dxa"/>
            <w:vAlign w:val="center"/>
          </w:tcPr>
          <w:p w14:paraId="5B008968">
            <w:pPr>
              <w:snapToGrid w:val="0"/>
              <w:jc w:val="center"/>
              <w:rPr>
                <w:rFonts w:hint="eastAsia" w:ascii="宋体" w:hAnsi="宋体" w:cs="宋体"/>
                <w:color w:val="auto"/>
                <w:szCs w:val="21"/>
                <w:highlight w:val="none"/>
              </w:rPr>
            </w:pPr>
          </w:p>
        </w:tc>
      </w:tr>
      <w:tr w14:paraId="126B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361963D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2334" w:type="dxa"/>
            <w:vAlign w:val="center"/>
          </w:tcPr>
          <w:p w14:paraId="5045BF4E">
            <w:pPr>
              <w:snapToGrid w:val="0"/>
              <w:rPr>
                <w:rFonts w:hint="eastAsia" w:ascii="宋体" w:hAnsi="宋体" w:cs="宋体"/>
                <w:color w:val="auto"/>
                <w:szCs w:val="21"/>
                <w:highlight w:val="none"/>
              </w:rPr>
            </w:pPr>
            <w:r>
              <w:rPr>
                <w:rFonts w:hint="eastAsia" w:ascii="宋体" w:hAnsi="宋体" w:cs="宋体"/>
                <w:color w:val="auto"/>
                <w:szCs w:val="21"/>
                <w:highlight w:val="none"/>
              </w:rPr>
              <w:t>400V开关柜</w:t>
            </w:r>
          </w:p>
        </w:tc>
        <w:tc>
          <w:tcPr>
            <w:tcW w:w="736" w:type="dxa"/>
            <w:vAlign w:val="center"/>
          </w:tcPr>
          <w:p w14:paraId="17B3B30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2C04B46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22</w:t>
            </w:r>
          </w:p>
        </w:tc>
        <w:tc>
          <w:tcPr>
            <w:tcW w:w="3358" w:type="dxa"/>
          </w:tcPr>
          <w:p w14:paraId="3B3F51CA">
            <w:pPr>
              <w:snapToGrid w:val="0"/>
              <w:jc w:val="center"/>
              <w:rPr>
                <w:rFonts w:hint="eastAsia" w:ascii="宋体" w:hAnsi="宋体" w:cs="宋体"/>
                <w:color w:val="auto"/>
                <w:szCs w:val="21"/>
                <w:highlight w:val="none"/>
              </w:rPr>
            </w:pPr>
          </w:p>
        </w:tc>
        <w:tc>
          <w:tcPr>
            <w:tcW w:w="903" w:type="dxa"/>
            <w:vAlign w:val="center"/>
          </w:tcPr>
          <w:p w14:paraId="00948E79">
            <w:pPr>
              <w:snapToGrid w:val="0"/>
              <w:jc w:val="center"/>
              <w:rPr>
                <w:rFonts w:hint="eastAsia" w:ascii="宋体" w:hAnsi="宋体" w:cs="宋体"/>
                <w:color w:val="auto"/>
                <w:szCs w:val="21"/>
                <w:highlight w:val="none"/>
              </w:rPr>
            </w:pPr>
          </w:p>
        </w:tc>
      </w:tr>
      <w:tr w14:paraId="0FE9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61FD2D1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2334" w:type="dxa"/>
            <w:vAlign w:val="center"/>
          </w:tcPr>
          <w:p w14:paraId="073BE8B6">
            <w:pPr>
              <w:snapToGrid w:val="0"/>
              <w:rPr>
                <w:rFonts w:hint="eastAsia" w:ascii="宋体" w:hAnsi="宋体" w:cs="宋体"/>
                <w:color w:val="auto"/>
                <w:szCs w:val="21"/>
                <w:highlight w:val="none"/>
              </w:rPr>
            </w:pPr>
            <w:r>
              <w:rPr>
                <w:rFonts w:hint="eastAsia" w:ascii="宋体" w:hAnsi="宋体" w:cs="宋体"/>
                <w:color w:val="auto"/>
                <w:szCs w:val="21"/>
                <w:highlight w:val="none"/>
              </w:rPr>
              <w:t>35KV母线系统</w:t>
            </w:r>
          </w:p>
        </w:tc>
        <w:tc>
          <w:tcPr>
            <w:tcW w:w="736" w:type="dxa"/>
            <w:vAlign w:val="center"/>
          </w:tcPr>
          <w:p w14:paraId="2B338F8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段</w:t>
            </w:r>
          </w:p>
        </w:tc>
        <w:tc>
          <w:tcPr>
            <w:tcW w:w="736" w:type="dxa"/>
            <w:vAlign w:val="center"/>
          </w:tcPr>
          <w:p w14:paraId="4D43175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58" w:type="dxa"/>
          </w:tcPr>
          <w:p w14:paraId="7DA29B44">
            <w:pPr>
              <w:snapToGrid w:val="0"/>
              <w:jc w:val="center"/>
              <w:rPr>
                <w:rFonts w:hint="eastAsia" w:ascii="宋体" w:hAnsi="宋体" w:cs="宋体"/>
                <w:color w:val="auto"/>
                <w:szCs w:val="21"/>
                <w:highlight w:val="none"/>
              </w:rPr>
            </w:pPr>
          </w:p>
        </w:tc>
        <w:tc>
          <w:tcPr>
            <w:tcW w:w="903" w:type="dxa"/>
            <w:vAlign w:val="center"/>
          </w:tcPr>
          <w:p w14:paraId="77B1CED5">
            <w:pPr>
              <w:snapToGrid w:val="0"/>
              <w:jc w:val="center"/>
              <w:rPr>
                <w:rFonts w:hint="eastAsia" w:ascii="宋体" w:hAnsi="宋体" w:cs="宋体"/>
                <w:color w:val="auto"/>
                <w:szCs w:val="21"/>
                <w:highlight w:val="none"/>
              </w:rPr>
            </w:pPr>
          </w:p>
        </w:tc>
      </w:tr>
      <w:tr w14:paraId="3905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7B00D3F1">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2334" w:type="dxa"/>
            <w:vAlign w:val="center"/>
          </w:tcPr>
          <w:p w14:paraId="4D020DF6">
            <w:pPr>
              <w:snapToGrid w:val="0"/>
              <w:rPr>
                <w:rFonts w:hint="eastAsia" w:ascii="宋体" w:hAnsi="宋体" w:cs="宋体"/>
                <w:color w:val="auto"/>
                <w:szCs w:val="21"/>
                <w:highlight w:val="none"/>
              </w:rPr>
            </w:pPr>
            <w:r>
              <w:rPr>
                <w:rFonts w:hint="eastAsia" w:ascii="宋体" w:hAnsi="宋体" w:cs="宋体"/>
                <w:color w:val="auto"/>
                <w:szCs w:val="21"/>
                <w:highlight w:val="none"/>
              </w:rPr>
              <w:t>10KV母线系统</w:t>
            </w:r>
          </w:p>
        </w:tc>
        <w:tc>
          <w:tcPr>
            <w:tcW w:w="736" w:type="dxa"/>
            <w:vAlign w:val="center"/>
          </w:tcPr>
          <w:p w14:paraId="29B12E9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段</w:t>
            </w:r>
          </w:p>
        </w:tc>
        <w:tc>
          <w:tcPr>
            <w:tcW w:w="736" w:type="dxa"/>
            <w:vAlign w:val="center"/>
          </w:tcPr>
          <w:p w14:paraId="7CD2FA4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58" w:type="dxa"/>
          </w:tcPr>
          <w:p w14:paraId="41F10DC6">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母线分段，环网母线一段</w:t>
            </w:r>
          </w:p>
        </w:tc>
        <w:tc>
          <w:tcPr>
            <w:tcW w:w="903" w:type="dxa"/>
            <w:vAlign w:val="center"/>
          </w:tcPr>
          <w:p w14:paraId="5F433025">
            <w:pPr>
              <w:snapToGrid w:val="0"/>
              <w:jc w:val="center"/>
              <w:rPr>
                <w:rFonts w:hint="eastAsia" w:ascii="宋体" w:hAnsi="宋体" w:cs="宋体"/>
                <w:color w:val="auto"/>
                <w:szCs w:val="21"/>
                <w:highlight w:val="none"/>
              </w:rPr>
            </w:pPr>
          </w:p>
        </w:tc>
      </w:tr>
      <w:tr w14:paraId="0A15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17C28BFF">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2334" w:type="dxa"/>
            <w:vAlign w:val="center"/>
          </w:tcPr>
          <w:p w14:paraId="30F97CE8">
            <w:pPr>
              <w:snapToGrid w:val="0"/>
              <w:rPr>
                <w:rFonts w:hint="eastAsia" w:ascii="宋体" w:hAnsi="宋体" w:cs="宋体"/>
                <w:color w:val="auto"/>
                <w:szCs w:val="21"/>
                <w:highlight w:val="none"/>
              </w:rPr>
            </w:pPr>
            <w:r>
              <w:rPr>
                <w:rFonts w:hint="eastAsia" w:ascii="宋体" w:hAnsi="宋体" w:cs="宋体"/>
                <w:color w:val="auto"/>
                <w:szCs w:val="21"/>
                <w:highlight w:val="none"/>
              </w:rPr>
              <w:t>400V母线系统</w:t>
            </w:r>
          </w:p>
        </w:tc>
        <w:tc>
          <w:tcPr>
            <w:tcW w:w="736" w:type="dxa"/>
            <w:vAlign w:val="center"/>
          </w:tcPr>
          <w:p w14:paraId="76E9376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段</w:t>
            </w:r>
          </w:p>
        </w:tc>
        <w:tc>
          <w:tcPr>
            <w:tcW w:w="736" w:type="dxa"/>
            <w:vAlign w:val="center"/>
          </w:tcPr>
          <w:p w14:paraId="68C5F19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58" w:type="dxa"/>
          </w:tcPr>
          <w:p w14:paraId="0392F75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3段厂用，排水闸、连接井各一段</w:t>
            </w:r>
          </w:p>
        </w:tc>
        <w:tc>
          <w:tcPr>
            <w:tcW w:w="903" w:type="dxa"/>
            <w:vAlign w:val="center"/>
          </w:tcPr>
          <w:p w14:paraId="4FE7BEBB">
            <w:pPr>
              <w:snapToGrid w:val="0"/>
              <w:jc w:val="center"/>
              <w:rPr>
                <w:rFonts w:hint="eastAsia" w:ascii="宋体" w:hAnsi="宋体" w:cs="宋体"/>
                <w:color w:val="auto"/>
                <w:szCs w:val="21"/>
                <w:highlight w:val="none"/>
              </w:rPr>
            </w:pPr>
          </w:p>
        </w:tc>
      </w:tr>
      <w:tr w14:paraId="5476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051151A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2334" w:type="dxa"/>
            <w:vAlign w:val="center"/>
          </w:tcPr>
          <w:p w14:paraId="440CCFFD">
            <w:pPr>
              <w:snapToGrid w:val="0"/>
              <w:rPr>
                <w:rFonts w:hint="eastAsia" w:ascii="宋体" w:hAnsi="宋体" w:cs="宋体"/>
                <w:color w:val="auto"/>
                <w:szCs w:val="21"/>
                <w:highlight w:val="none"/>
              </w:rPr>
            </w:pPr>
            <w:r>
              <w:rPr>
                <w:rFonts w:hint="eastAsia" w:ascii="宋体" w:hAnsi="宋体" w:cs="宋体"/>
                <w:color w:val="auto"/>
                <w:szCs w:val="21"/>
                <w:highlight w:val="none"/>
              </w:rPr>
              <w:t>全厂防雷接地系统</w:t>
            </w:r>
          </w:p>
        </w:tc>
        <w:tc>
          <w:tcPr>
            <w:tcW w:w="736" w:type="dxa"/>
            <w:vAlign w:val="center"/>
          </w:tcPr>
          <w:p w14:paraId="0CB7628F">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个</w:t>
            </w:r>
          </w:p>
        </w:tc>
        <w:tc>
          <w:tcPr>
            <w:tcW w:w="736" w:type="dxa"/>
            <w:vAlign w:val="center"/>
          </w:tcPr>
          <w:p w14:paraId="662B0AC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58" w:type="dxa"/>
          </w:tcPr>
          <w:p w14:paraId="683CA5DB">
            <w:pPr>
              <w:snapToGrid w:val="0"/>
              <w:jc w:val="center"/>
              <w:rPr>
                <w:rFonts w:hint="eastAsia" w:ascii="宋体" w:hAnsi="宋体" w:cs="宋体"/>
                <w:color w:val="auto"/>
                <w:szCs w:val="21"/>
                <w:highlight w:val="none"/>
              </w:rPr>
            </w:pPr>
          </w:p>
        </w:tc>
        <w:tc>
          <w:tcPr>
            <w:tcW w:w="903" w:type="dxa"/>
            <w:vAlign w:val="center"/>
          </w:tcPr>
          <w:p w14:paraId="15982DF5">
            <w:pPr>
              <w:snapToGrid w:val="0"/>
              <w:jc w:val="center"/>
              <w:rPr>
                <w:rFonts w:hint="eastAsia" w:ascii="宋体" w:hAnsi="宋体" w:cs="宋体"/>
                <w:color w:val="auto"/>
                <w:szCs w:val="21"/>
                <w:highlight w:val="none"/>
              </w:rPr>
            </w:pPr>
          </w:p>
        </w:tc>
      </w:tr>
      <w:tr w14:paraId="0491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6A29A9FF">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2334" w:type="dxa"/>
            <w:vAlign w:val="center"/>
          </w:tcPr>
          <w:p w14:paraId="5FB221AD">
            <w:pPr>
              <w:snapToGrid w:val="0"/>
              <w:rPr>
                <w:rFonts w:hint="eastAsia" w:ascii="宋体" w:hAnsi="宋体" w:cs="宋体"/>
                <w:color w:val="auto"/>
                <w:szCs w:val="21"/>
                <w:highlight w:val="none"/>
              </w:rPr>
            </w:pPr>
            <w:r>
              <w:rPr>
                <w:rFonts w:hint="eastAsia" w:ascii="宋体" w:hAnsi="宋体" w:cs="宋体"/>
                <w:color w:val="auto"/>
                <w:szCs w:val="21"/>
                <w:highlight w:val="none"/>
              </w:rPr>
              <w:t>全站继电保护</w:t>
            </w:r>
          </w:p>
        </w:tc>
        <w:tc>
          <w:tcPr>
            <w:tcW w:w="736" w:type="dxa"/>
            <w:vAlign w:val="center"/>
          </w:tcPr>
          <w:p w14:paraId="5D10C75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36" w:type="dxa"/>
            <w:vAlign w:val="center"/>
          </w:tcPr>
          <w:p w14:paraId="3DE1544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3358" w:type="dxa"/>
          </w:tcPr>
          <w:p w14:paraId="3D35E19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电动机5套，主变2套，线路2套，站变4套</w:t>
            </w:r>
          </w:p>
        </w:tc>
        <w:tc>
          <w:tcPr>
            <w:tcW w:w="903" w:type="dxa"/>
            <w:vAlign w:val="center"/>
          </w:tcPr>
          <w:p w14:paraId="6AAA3E4C">
            <w:pPr>
              <w:snapToGrid w:val="0"/>
              <w:jc w:val="center"/>
              <w:rPr>
                <w:rFonts w:hint="eastAsia" w:ascii="宋体" w:hAnsi="宋体" w:cs="宋体"/>
                <w:color w:val="auto"/>
                <w:szCs w:val="21"/>
                <w:highlight w:val="none"/>
              </w:rPr>
            </w:pPr>
          </w:p>
        </w:tc>
      </w:tr>
      <w:tr w14:paraId="5913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02E44516">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2334" w:type="dxa"/>
            <w:vAlign w:val="center"/>
          </w:tcPr>
          <w:p w14:paraId="76F173F2">
            <w:pPr>
              <w:snapToGrid w:val="0"/>
              <w:rPr>
                <w:rFonts w:hint="eastAsia" w:ascii="宋体" w:hAnsi="宋体" w:cs="宋体"/>
                <w:color w:val="auto"/>
                <w:szCs w:val="21"/>
                <w:highlight w:val="none"/>
              </w:rPr>
            </w:pPr>
            <w:r>
              <w:rPr>
                <w:rFonts w:hint="eastAsia" w:ascii="宋体" w:hAnsi="宋体" w:cs="宋体"/>
                <w:color w:val="auto"/>
                <w:szCs w:val="21"/>
                <w:highlight w:val="none"/>
              </w:rPr>
              <w:t>全站自动化控制系统</w:t>
            </w:r>
          </w:p>
        </w:tc>
        <w:tc>
          <w:tcPr>
            <w:tcW w:w="736" w:type="dxa"/>
            <w:vAlign w:val="center"/>
          </w:tcPr>
          <w:p w14:paraId="1838278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36" w:type="dxa"/>
            <w:vAlign w:val="center"/>
          </w:tcPr>
          <w:p w14:paraId="21E6B3D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58" w:type="dxa"/>
          </w:tcPr>
          <w:p w14:paraId="21B9B52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自动化控制回路检查</w:t>
            </w:r>
          </w:p>
        </w:tc>
        <w:tc>
          <w:tcPr>
            <w:tcW w:w="903" w:type="dxa"/>
            <w:vAlign w:val="center"/>
          </w:tcPr>
          <w:p w14:paraId="604F1CD3">
            <w:pPr>
              <w:snapToGrid w:val="0"/>
              <w:jc w:val="center"/>
              <w:rPr>
                <w:rFonts w:hint="eastAsia" w:ascii="宋体" w:hAnsi="宋体" w:cs="宋体"/>
                <w:color w:val="auto"/>
                <w:szCs w:val="21"/>
                <w:highlight w:val="none"/>
              </w:rPr>
            </w:pPr>
          </w:p>
        </w:tc>
      </w:tr>
      <w:tr w14:paraId="4359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3EB6418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2334" w:type="dxa"/>
            <w:vAlign w:val="center"/>
          </w:tcPr>
          <w:p w14:paraId="00A28CEA">
            <w:pPr>
              <w:snapToGrid w:val="0"/>
              <w:rPr>
                <w:rFonts w:hint="eastAsia" w:ascii="宋体" w:hAnsi="宋体" w:cs="宋体"/>
                <w:color w:val="auto"/>
                <w:szCs w:val="21"/>
                <w:highlight w:val="none"/>
              </w:rPr>
            </w:pPr>
            <w:r>
              <w:rPr>
                <w:rFonts w:hint="eastAsia" w:ascii="宋体" w:hAnsi="宋体" w:cs="宋体"/>
                <w:color w:val="auto"/>
                <w:szCs w:val="21"/>
                <w:highlight w:val="none"/>
              </w:rPr>
              <w:t>全站励磁系统</w:t>
            </w:r>
          </w:p>
        </w:tc>
        <w:tc>
          <w:tcPr>
            <w:tcW w:w="736" w:type="dxa"/>
            <w:vAlign w:val="center"/>
          </w:tcPr>
          <w:p w14:paraId="277A838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36" w:type="dxa"/>
            <w:vAlign w:val="center"/>
          </w:tcPr>
          <w:p w14:paraId="19E3C49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3358" w:type="dxa"/>
          </w:tcPr>
          <w:p w14:paraId="6B4CAC7F">
            <w:pPr>
              <w:snapToGrid w:val="0"/>
              <w:jc w:val="center"/>
              <w:rPr>
                <w:rFonts w:hint="eastAsia" w:ascii="宋体" w:hAnsi="宋体" w:cs="宋体"/>
                <w:color w:val="auto"/>
                <w:szCs w:val="21"/>
                <w:highlight w:val="none"/>
              </w:rPr>
            </w:pPr>
          </w:p>
        </w:tc>
        <w:tc>
          <w:tcPr>
            <w:tcW w:w="903" w:type="dxa"/>
            <w:vAlign w:val="center"/>
          </w:tcPr>
          <w:p w14:paraId="46CDE4B5">
            <w:pPr>
              <w:snapToGrid w:val="0"/>
              <w:jc w:val="center"/>
              <w:rPr>
                <w:rFonts w:hint="eastAsia" w:ascii="宋体" w:hAnsi="宋体" w:cs="宋体"/>
                <w:color w:val="auto"/>
                <w:szCs w:val="21"/>
                <w:highlight w:val="none"/>
              </w:rPr>
            </w:pPr>
          </w:p>
        </w:tc>
      </w:tr>
      <w:tr w14:paraId="492C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337DA98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2334" w:type="dxa"/>
            <w:vAlign w:val="center"/>
          </w:tcPr>
          <w:p w14:paraId="34992570">
            <w:pPr>
              <w:snapToGrid w:val="0"/>
              <w:rPr>
                <w:rFonts w:hint="eastAsia" w:ascii="宋体" w:hAnsi="宋体" w:cs="宋体"/>
                <w:color w:val="auto"/>
                <w:szCs w:val="21"/>
                <w:highlight w:val="none"/>
              </w:rPr>
            </w:pPr>
            <w:r>
              <w:rPr>
                <w:rFonts w:hint="eastAsia" w:ascii="宋体" w:hAnsi="宋体" w:cs="宋体"/>
                <w:color w:val="auto"/>
                <w:szCs w:val="21"/>
                <w:highlight w:val="none"/>
              </w:rPr>
              <w:t>油压控制系统</w:t>
            </w:r>
          </w:p>
        </w:tc>
        <w:tc>
          <w:tcPr>
            <w:tcW w:w="736" w:type="dxa"/>
            <w:vAlign w:val="center"/>
          </w:tcPr>
          <w:p w14:paraId="6ACF772C">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36" w:type="dxa"/>
            <w:vAlign w:val="center"/>
          </w:tcPr>
          <w:p w14:paraId="74A81E6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3358" w:type="dxa"/>
          </w:tcPr>
          <w:p w14:paraId="0BDC9F2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叶片调节5套，启闭机油压系统8套、锁定装置油压系统1套</w:t>
            </w:r>
          </w:p>
        </w:tc>
        <w:tc>
          <w:tcPr>
            <w:tcW w:w="903" w:type="dxa"/>
            <w:vAlign w:val="center"/>
          </w:tcPr>
          <w:p w14:paraId="534A7273">
            <w:pPr>
              <w:snapToGrid w:val="0"/>
              <w:jc w:val="center"/>
              <w:rPr>
                <w:rFonts w:hint="eastAsia" w:ascii="宋体" w:hAnsi="宋体" w:cs="宋体"/>
                <w:color w:val="auto"/>
                <w:szCs w:val="21"/>
                <w:highlight w:val="none"/>
              </w:rPr>
            </w:pPr>
          </w:p>
        </w:tc>
      </w:tr>
      <w:tr w14:paraId="73B5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7E669ED1">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2334" w:type="dxa"/>
            <w:vAlign w:val="center"/>
          </w:tcPr>
          <w:p w14:paraId="4F42C44C">
            <w:pPr>
              <w:snapToGrid w:val="0"/>
              <w:rPr>
                <w:rFonts w:hint="eastAsia" w:ascii="宋体" w:hAnsi="宋体" w:cs="宋体"/>
                <w:color w:val="auto"/>
                <w:szCs w:val="21"/>
                <w:highlight w:val="none"/>
              </w:rPr>
            </w:pPr>
            <w:r>
              <w:rPr>
                <w:rFonts w:hint="eastAsia" w:ascii="宋体" w:hAnsi="宋体" w:cs="宋体"/>
                <w:color w:val="auto"/>
                <w:szCs w:val="21"/>
                <w:highlight w:val="none"/>
              </w:rPr>
              <w:t>空压机系统</w:t>
            </w:r>
          </w:p>
        </w:tc>
        <w:tc>
          <w:tcPr>
            <w:tcW w:w="736" w:type="dxa"/>
            <w:vAlign w:val="center"/>
          </w:tcPr>
          <w:p w14:paraId="59649A1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1320E4E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58" w:type="dxa"/>
          </w:tcPr>
          <w:p w14:paraId="216273D5">
            <w:pPr>
              <w:snapToGrid w:val="0"/>
              <w:jc w:val="center"/>
              <w:rPr>
                <w:rFonts w:hint="eastAsia" w:ascii="宋体" w:hAnsi="宋体" w:cs="宋体"/>
                <w:color w:val="auto"/>
                <w:szCs w:val="21"/>
                <w:highlight w:val="none"/>
              </w:rPr>
            </w:pPr>
          </w:p>
        </w:tc>
        <w:tc>
          <w:tcPr>
            <w:tcW w:w="903" w:type="dxa"/>
            <w:vAlign w:val="center"/>
          </w:tcPr>
          <w:p w14:paraId="3001EAD1">
            <w:pPr>
              <w:snapToGrid w:val="0"/>
              <w:jc w:val="center"/>
              <w:rPr>
                <w:rFonts w:hint="eastAsia" w:ascii="宋体" w:hAnsi="宋体" w:cs="宋体"/>
                <w:color w:val="auto"/>
                <w:szCs w:val="21"/>
                <w:highlight w:val="none"/>
              </w:rPr>
            </w:pPr>
          </w:p>
        </w:tc>
      </w:tr>
      <w:tr w14:paraId="4FBF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35A1D3B3">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16</w:t>
            </w:r>
          </w:p>
        </w:tc>
        <w:tc>
          <w:tcPr>
            <w:tcW w:w="2334" w:type="dxa"/>
            <w:vAlign w:val="center"/>
          </w:tcPr>
          <w:p w14:paraId="4955359D">
            <w:pPr>
              <w:snapToGrid w:val="0"/>
              <w:rPr>
                <w:rFonts w:hint="eastAsia" w:ascii="宋体" w:hAnsi="宋体" w:cs="宋体"/>
                <w:color w:val="auto"/>
                <w:szCs w:val="21"/>
                <w:highlight w:val="none"/>
              </w:rPr>
            </w:pPr>
            <w:r>
              <w:rPr>
                <w:rFonts w:hint="eastAsia" w:ascii="宋体" w:hAnsi="宋体" w:cs="宋体"/>
                <w:color w:val="auto"/>
                <w:szCs w:val="21"/>
                <w:highlight w:val="none"/>
              </w:rPr>
              <w:t>水系统</w:t>
            </w:r>
          </w:p>
        </w:tc>
        <w:tc>
          <w:tcPr>
            <w:tcW w:w="736" w:type="dxa"/>
            <w:vAlign w:val="center"/>
          </w:tcPr>
          <w:p w14:paraId="1C61E6D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台</w:t>
            </w:r>
          </w:p>
        </w:tc>
        <w:tc>
          <w:tcPr>
            <w:tcW w:w="736" w:type="dxa"/>
            <w:vAlign w:val="center"/>
          </w:tcPr>
          <w:p w14:paraId="7F3BAE6A">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3358" w:type="dxa"/>
          </w:tcPr>
          <w:p w14:paraId="4C46DE3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技术供水7台，冲淤泵2台，挡潮排水闸冲淤泵1台，渗漏水2台，检修水2台</w:t>
            </w:r>
          </w:p>
        </w:tc>
        <w:tc>
          <w:tcPr>
            <w:tcW w:w="903" w:type="dxa"/>
            <w:vAlign w:val="center"/>
          </w:tcPr>
          <w:p w14:paraId="45ADFF78">
            <w:pPr>
              <w:snapToGrid w:val="0"/>
              <w:jc w:val="center"/>
              <w:rPr>
                <w:rFonts w:hint="eastAsia" w:ascii="宋体" w:hAnsi="宋体" w:cs="宋体"/>
                <w:color w:val="auto"/>
                <w:szCs w:val="21"/>
                <w:highlight w:val="none"/>
              </w:rPr>
            </w:pPr>
          </w:p>
        </w:tc>
      </w:tr>
      <w:tr w14:paraId="20B4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46733931">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17</w:t>
            </w:r>
          </w:p>
        </w:tc>
        <w:tc>
          <w:tcPr>
            <w:tcW w:w="2334" w:type="dxa"/>
            <w:vAlign w:val="center"/>
          </w:tcPr>
          <w:p w14:paraId="271B5C48">
            <w:pPr>
              <w:snapToGrid w:val="0"/>
              <w:rPr>
                <w:rFonts w:hint="eastAsia" w:ascii="宋体" w:hAnsi="宋体" w:cs="宋体"/>
                <w:color w:val="auto"/>
                <w:szCs w:val="21"/>
                <w:highlight w:val="none"/>
              </w:rPr>
            </w:pPr>
            <w:r>
              <w:rPr>
                <w:rFonts w:hint="eastAsia" w:ascii="宋体" w:hAnsi="宋体" w:cs="宋体"/>
                <w:color w:val="auto"/>
                <w:szCs w:val="21"/>
                <w:highlight w:val="none"/>
              </w:rPr>
              <w:t>仪器仪表</w:t>
            </w:r>
          </w:p>
        </w:tc>
        <w:tc>
          <w:tcPr>
            <w:tcW w:w="736" w:type="dxa"/>
            <w:vAlign w:val="center"/>
          </w:tcPr>
          <w:p w14:paraId="3E5F300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只</w:t>
            </w:r>
          </w:p>
        </w:tc>
        <w:tc>
          <w:tcPr>
            <w:tcW w:w="736" w:type="dxa"/>
            <w:vAlign w:val="center"/>
          </w:tcPr>
          <w:p w14:paraId="41DF8D67">
            <w:pPr>
              <w:snapToGrid w:val="0"/>
              <w:jc w:val="center"/>
              <w:rPr>
                <w:rFonts w:hint="eastAsia" w:ascii="宋体" w:hAnsi="宋体" w:cs="宋体"/>
                <w:color w:val="auto"/>
                <w:szCs w:val="21"/>
                <w:highlight w:val="none"/>
              </w:rPr>
            </w:pPr>
          </w:p>
        </w:tc>
        <w:tc>
          <w:tcPr>
            <w:tcW w:w="3358" w:type="dxa"/>
          </w:tcPr>
          <w:p w14:paraId="59F9EF35">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全站</w:t>
            </w:r>
          </w:p>
        </w:tc>
        <w:tc>
          <w:tcPr>
            <w:tcW w:w="903" w:type="dxa"/>
            <w:vAlign w:val="center"/>
          </w:tcPr>
          <w:p w14:paraId="22AD677C">
            <w:pPr>
              <w:snapToGrid w:val="0"/>
              <w:jc w:val="center"/>
              <w:rPr>
                <w:rFonts w:hint="eastAsia" w:ascii="宋体" w:hAnsi="宋体" w:cs="宋体"/>
                <w:color w:val="auto"/>
                <w:szCs w:val="21"/>
                <w:highlight w:val="none"/>
              </w:rPr>
            </w:pPr>
          </w:p>
        </w:tc>
      </w:tr>
      <w:tr w14:paraId="1B0C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6150B9E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2334" w:type="dxa"/>
            <w:vAlign w:val="center"/>
          </w:tcPr>
          <w:p w14:paraId="22BE5493">
            <w:pPr>
              <w:snapToGrid w:val="0"/>
              <w:rPr>
                <w:rFonts w:hint="eastAsia" w:ascii="宋体" w:hAnsi="宋体" w:cs="宋体"/>
                <w:color w:val="auto"/>
                <w:szCs w:val="21"/>
                <w:highlight w:val="none"/>
              </w:rPr>
            </w:pPr>
            <w:r>
              <w:rPr>
                <w:rFonts w:hint="eastAsia" w:ascii="宋体" w:hAnsi="宋体" w:cs="宋体"/>
                <w:color w:val="auto"/>
                <w:szCs w:val="21"/>
                <w:highlight w:val="none"/>
              </w:rPr>
              <w:t>油化试验</w:t>
            </w:r>
          </w:p>
        </w:tc>
        <w:tc>
          <w:tcPr>
            <w:tcW w:w="736" w:type="dxa"/>
            <w:vAlign w:val="center"/>
          </w:tcPr>
          <w:p w14:paraId="45565EC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个</w:t>
            </w:r>
          </w:p>
        </w:tc>
        <w:tc>
          <w:tcPr>
            <w:tcW w:w="736" w:type="dxa"/>
            <w:vAlign w:val="center"/>
          </w:tcPr>
          <w:p w14:paraId="07CB740C">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3358" w:type="dxa"/>
          </w:tcPr>
          <w:p w14:paraId="6AC151B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主变油样2个；液压启闭机油样8个；</w:t>
            </w:r>
          </w:p>
        </w:tc>
        <w:tc>
          <w:tcPr>
            <w:tcW w:w="903" w:type="dxa"/>
            <w:vAlign w:val="center"/>
          </w:tcPr>
          <w:p w14:paraId="6470AAB6">
            <w:pPr>
              <w:snapToGrid w:val="0"/>
              <w:jc w:val="center"/>
              <w:rPr>
                <w:rFonts w:hint="eastAsia" w:ascii="宋体" w:hAnsi="宋体" w:cs="宋体"/>
                <w:color w:val="auto"/>
                <w:szCs w:val="21"/>
                <w:highlight w:val="none"/>
              </w:rPr>
            </w:pPr>
          </w:p>
        </w:tc>
      </w:tr>
      <w:tr w14:paraId="0E1F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2E4AA0B1">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19</w:t>
            </w:r>
          </w:p>
        </w:tc>
        <w:tc>
          <w:tcPr>
            <w:tcW w:w="2334" w:type="dxa"/>
            <w:vAlign w:val="center"/>
          </w:tcPr>
          <w:p w14:paraId="13A3353F">
            <w:pPr>
              <w:snapToGrid w:val="0"/>
              <w:rPr>
                <w:rFonts w:hint="eastAsia" w:ascii="宋体" w:hAnsi="宋体" w:cs="宋体"/>
                <w:color w:val="auto"/>
                <w:szCs w:val="21"/>
                <w:highlight w:val="none"/>
              </w:rPr>
            </w:pPr>
            <w:r>
              <w:rPr>
                <w:rFonts w:hint="eastAsia" w:ascii="宋体" w:hAnsi="宋体" w:cs="宋体"/>
                <w:color w:val="auto"/>
                <w:szCs w:val="21"/>
                <w:highlight w:val="none"/>
              </w:rPr>
              <w:t>整组联动试验</w:t>
            </w:r>
          </w:p>
        </w:tc>
        <w:tc>
          <w:tcPr>
            <w:tcW w:w="736" w:type="dxa"/>
            <w:vAlign w:val="center"/>
          </w:tcPr>
          <w:p w14:paraId="400682ED">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736" w:type="dxa"/>
            <w:vAlign w:val="center"/>
          </w:tcPr>
          <w:p w14:paraId="3CA55003">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58" w:type="dxa"/>
          </w:tcPr>
          <w:p w14:paraId="75AB74D3">
            <w:pPr>
              <w:snapToGrid w:val="0"/>
              <w:jc w:val="center"/>
              <w:rPr>
                <w:rFonts w:hint="eastAsia" w:ascii="宋体" w:hAnsi="宋体" w:cs="宋体"/>
                <w:color w:val="auto"/>
                <w:szCs w:val="21"/>
                <w:highlight w:val="none"/>
              </w:rPr>
            </w:pPr>
          </w:p>
        </w:tc>
        <w:tc>
          <w:tcPr>
            <w:tcW w:w="903" w:type="dxa"/>
            <w:vAlign w:val="center"/>
          </w:tcPr>
          <w:p w14:paraId="79EF86B4">
            <w:pPr>
              <w:snapToGrid w:val="0"/>
              <w:jc w:val="center"/>
              <w:rPr>
                <w:rFonts w:hint="eastAsia" w:ascii="宋体" w:hAnsi="宋体" w:cs="宋体"/>
                <w:color w:val="auto"/>
                <w:szCs w:val="21"/>
                <w:highlight w:val="none"/>
              </w:rPr>
            </w:pPr>
          </w:p>
        </w:tc>
      </w:tr>
      <w:tr w14:paraId="41D7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0" w:type="dxa"/>
            <w:vAlign w:val="center"/>
          </w:tcPr>
          <w:p w14:paraId="54699543">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20</w:t>
            </w:r>
          </w:p>
        </w:tc>
        <w:tc>
          <w:tcPr>
            <w:tcW w:w="2334" w:type="dxa"/>
            <w:vAlign w:val="center"/>
          </w:tcPr>
          <w:p w14:paraId="6D814091">
            <w:pPr>
              <w:snapToGrid w:val="0"/>
              <w:rPr>
                <w:rFonts w:hint="eastAsia" w:ascii="宋体" w:hAnsi="宋体" w:cs="宋体"/>
                <w:color w:val="auto"/>
                <w:szCs w:val="21"/>
                <w:highlight w:val="none"/>
              </w:rPr>
            </w:pPr>
            <w:r>
              <w:rPr>
                <w:rFonts w:hint="eastAsia" w:ascii="宋体" w:hAnsi="宋体" w:cs="宋体"/>
                <w:color w:val="auto"/>
                <w:szCs w:val="21"/>
                <w:highlight w:val="none"/>
              </w:rPr>
              <w:t>挡潮排水闸控制系统</w:t>
            </w:r>
          </w:p>
        </w:tc>
        <w:tc>
          <w:tcPr>
            <w:tcW w:w="736" w:type="dxa"/>
            <w:vAlign w:val="center"/>
          </w:tcPr>
          <w:p w14:paraId="5AEA222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736" w:type="dxa"/>
            <w:vAlign w:val="center"/>
          </w:tcPr>
          <w:p w14:paraId="4B7CAA9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58" w:type="dxa"/>
            <w:vAlign w:val="center"/>
          </w:tcPr>
          <w:p w14:paraId="34C81A70">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启闭机液压系统电气回路及开度自动检测装置检查；</w:t>
            </w:r>
          </w:p>
        </w:tc>
        <w:tc>
          <w:tcPr>
            <w:tcW w:w="903" w:type="dxa"/>
            <w:vAlign w:val="center"/>
          </w:tcPr>
          <w:p w14:paraId="643CCEA3">
            <w:pPr>
              <w:snapToGrid w:val="0"/>
              <w:jc w:val="center"/>
              <w:rPr>
                <w:rFonts w:hint="eastAsia" w:ascii="宋体" w:hAnsi="宋体" w:cs="宋体"/>
                <w:color w:val="auto"/>
                <w:szCs w:val="21"/>
                <w:highlight w:val="none"/>
              </w:rPr>
            </w:pPr>
          </w:p>
        </w:tc>
      </w:tr>
    </w:tbl>
    <w:p w14:paraId="4B004EF4">
      <w:pPr>
        <w:snapToGrid w:val="0"/>
        <w:spacing w:line="360" w:lineRule="auto"/>
        <w:ind w:firstLine="422" w:firstLineChars="200"/>
        <w:rPr>
          <w:rFonts w:hint="eastAsia" w:ascii="宋体" w:hAnsi="宋体" w:cs="宋体"/>
          <w:b/>
          <w:color w:val="auto"/>
          <w:szCs w:val="21"/>
          <w:highlight w:val="none"/>
        </w:rPr>
      </w:pPr>
    </w:p>
    <w:p w14:paraId="0452F8EF">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（4）成果要求：提交试验报告（纸质版）一式三份，电子报告一份。</w:t>
      </w:r>
    </w:p>
    <w:p w14:paraId="449880CB">
      <w:pPr>
        <w:pStyle w:val="5"/>
        <w:tabs>
          <w:tab w:val="left" w:pos="709"/>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2.2.2桥机特种设备检测维护</w:t>
      </w:r>
    </w:p>
    <w:p w14:paraId="08C01D1E">
      <w:pPr>
        <w:numPr>
          <w:ilvl w:val="0"/>
          <w:numId w:val="2"/>
        </w:num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工作内容</w:t>
      </w:r>
    </w:p>
    <w:p w14:paraId="31A299FC">
      <w:pPr>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对40+25/5t桥式起重机、40/10t桥式起重机采购进行维护，2*200KN检修门机维护。</w:t>
      </w:r>
    </w:p>
    <w:p w14:paraId="5A7CD5B9">
      <w:pPr>
        <w:numPr>
          <w:ilvl w:val="0"/>
          <w:numId w:val="2"/>
        </w:num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资质要求</w:t>
      </w:r>
    </w:p>
    <w:p w14:paraId="49B0F764">
      <w:pPr>
        <w:snapToGrid w:val="0"/>
        <w:spacing w:line="360" w:lineRule="auto"/>
        <w:ind w:left="420" w:left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具有省、市市场监督局颁发包含安装（修理）的特种设备生产许可证。</w:t>
      </w:r>
    </w:p>
    <w:p w14:paraId="565D3D27">
      <w:pPr>
        <w:numPr>
          <w:ilvl w:val="0"/>
          <w:numId w:val="2"/>
        </w:num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工作要求</w:t>
      </w:r>
    </w:p>
    <w:p w14:paraId="7C9C200F">
      <w:pPr>
        <w:snapToGrid w:val="0"/>
        <w:spacing w:line="360" w:lineRule="auto"/>
        <w:ind w:left="420" w:left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每季度对转动部件添加一次润滑油，每年按技术清单项目和要求进行一次全面检查。</w:t>
      </w:r>
    </w:p>
    <w:p w14:paraId="568529EE">
      <w:pPr>
        <w:snapToGrid w:val="0"/>
        <w:spacing w:line="360" w:lineRule="auto"/>
        <w:ind w:firstLine="472" w:firstLineChars="196"/>
        <w:rPr>
          <w:rFonts w:hint="eastAsia" w:ascii="宋体" w:hAnsi="宋体" w:cs="宋体"/>
          <w:snapToGrid w:val="0"/>
          <w:color w:val="auto"/>
          <w:sz w:val="24"/>
          <w:szCs w:val="24"/>
          <w:highlight w:val="none"/>
        </w:rPr>
      </w:pPr>
      <w:r>
        <w:rPr>
          <w:rFonts w:hint="eastAsia" w:ascii="宋体" w:hAnsi="宋体" w:cs="宋体"/>
          <w:b/>
          <w:bCs/>
          <w:color w:val="auto"/>
          <w:sz w:val="24"/>
          <w:szCs w:val="24"/>
          <w:highlight w:val="none"/>
        </w:rPr>
        <w:t>技术要求：</w:t>
      </w:r>
    </w:p>
    <w:tbl>
      <w:tblPr>
        <w:tblStyle w:val="2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92"/>
        <w:gridCol w:w="3317"/>
        <w:gridCol w:w="3156"/>
        <w:gridCol w:w="743"/>
      </w:tblGrid>
      <w:tr w14:paraId="36FC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39AE52BF">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292" w:type="dxa"/>
          </w:tcPr>
          <w:p w14:paraId="6EF51362">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项 目</w:t>
            </w:r>
          </w:p>
        </w:tc>
        <w:tc>
          <w:tcPr>
            <w:tcW w:w="3317" w:type="dxa"/>
          </w:tcPr>
          <w:p w14:paraId="6FED0DB1">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内容</w:t>
            </w:r>
          </w:p>
        </w:tc>
        <w:tc>
          <w:tcPr>
            <w:tcW w:w="3156" w:type="dxa"/>
          </w:tcPr>
          <w:p w14:paraId="3C01F1DB">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要 求</w:t>
            </w:r>
          </w:p>
        </w:tc>
        <w:tc>
          <w:tcPr>
            <w:tcW w:w="743" w:type="dxa"/>
          </w:tcPr>
          <w:p w14:paraId="3A716BC6">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备注</w:t>
            </w:r>
          </w:p>
        </w:tc>
      </w:tr>
      <w:tr w14:paraId="4874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1C38C844">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w:t>
            </w:r>
          </w:p>
        </w:tc>
        <w:tc>
          <w:tcPr>
            <w:tcW w:w="1292" w:type="dxa"/>
            <w:vMerge w:val="restart"/>
            <w:vAlign w:val="center"/>
          </w:tcPr>
          <w:p w14:paraId="02AD5BCA">
            <w:pPr>
              <w:snapToGrid w:val="0"/>
              <w:spacing w:line="276" w:lineRule="auto"/>
              <w:rPr>
                <w:rFonts w:hint="eastAsia" w:ascii="宋体" w:hAnsi="宋体" w:cs="宋体"/>
                <w:color w:val="auto"/>
                <w:szCs w:val="21"/>
                <w:highlight w:val="none"/>
              </w:rPr>
            </w:pPr>
            <w:bookmarkStart w:id="68" w:name="_Toc317499923"/>
            <w:bookmarkStart w:id="69" w:name="_Toc489344513"/>
            <w:bookmarkStart w:id="70" w:name="_Toc510073462"/>
            <w:r>
              <w:rPr>
                <w:rFonts w:hint="eastAsia" w:ascii="宋体" w:hAnsi="宋体" w:cs="宋体"/>
                <w:color w:val="auto"/>
                <w:szCs w:val="21"/>
                <w:highlight w:val="none"/>
              </w:rPr>
              <w:t>主梁和端梁</w:t>
            </w:r>
            <w:bookmarkEnd w:id="68"/>
            <w:bookmarkEnd w:id="69"/>
            <w:bookmarkEnd w:id="70"/>
          </w:p>
        </w:tc>
        <w:tc>
          <w:tcPr>
            <w:tcW w:w="3317" w:type="dxa"/>
          </w:tcPr>
          <w:p w14:paraId="34EC2A3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有无裂纹</w:t>
            </w:r>
          </w:p>
        </w:tc>
        <w:tc>
          <w:tcPr>
            <w:tcW w:w="3156" w:type="dxa"/>
          </w:tcPr>
          <w:p w14:paraId="3300200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无裂纹</w:t>
            </w:r>
          </w:p>
        </w:tc>
        <w:tc>
          <w:tcPr>
            <w:tcW w:w="743" w:type="dxa"/>
          </w:tcPr>
          <w:p w14:paraId="24C744FC">
            <w:pPr>
              <w:snapToGrid w:val="0"/>
              <w:spacing w:line="276" w:lineRule="auto"/>
              <w:rPr>
                <w:rFonts w:hint="eastAsia" w:ascii="宋体" w:hAnsi="宋体" w:cs="宋体"/>
                <w:color w:val="auto"/>
                <w:szCs w:val="21"/>
                <w:highlight w:val="none"/>
              </w:rPr>
            </w:pPr>
          </w:p>
        </w:tc>
      </w:tr>
      <w:tr w14:paraId="53D9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DDB8593">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133AA14E">
            <w:pPr>
              <w:snapToGrid w:val="0"/>
              <w:spacing w:line="276" w:lineRule="auto"/>
              <w:jc w:val="center"/>
              <w:rPr>
                <w:rFonts w:hint="eastAsia" w:ascii="宋体" w:hAnsi="宋体" w:cs="宋体"/>
                <w:color w:val="auto"/>
                <w:szCs w:val="21"/>
                <w:highlight w:val="none"/>
              </w:rPr>
            </w:pPr>
          </w:p>
        </w:tc>
        <w:tc>
          <w:tcPr>
            <w:tcW w:w="3317" w:type="dxa"/>
          </w:tcPr>
          <w:p w14:paraId="4A1AF09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螺栓有无松动</w:t>
            </w:r>
          </w:p>
        </w:tc>
        <w:tc>
          <w:tcPr>
            <w:tcW w:w="3156" w:type="dxa"/>
          </w:tcPr>
          <w:p w14:paraId="40B5616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螺栓无松动</w:t>
            </w:r>
          </w:p>
        </w:tc>
        <w:tc>
          <w:tcPr>
            <w:tcW w:w="743" w:type="dxa"/>
          </w:tcPr>
          <w:p w14:paraId="3D2C6D94">
            <w:pPr>
              <w:snapToGrid w:val="0"/>
              <w:spacing w:line="276" w:lineRule="auto"/>
              <w:rPr>
                <w:rFonts w:hint="eastAsia" w:ascii="宋体" w:hAnsi="宋体" w:cs="宋体"/>
                <w:color w:val="auto"/>
                <w:szCs w:val="21"/>
                <w:highlight w:val="none"/>
              </w:rPr>
            </w:pPr>
          </w:p>
        </w:tc>
      </w:tr>
      <w:tr w14:paraId="7D1C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3F1E328E">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2</w:t>
            </w:r>
          </w:p>
        </w:tc>
        <w:tc>
          <w:tcPr>
            <w:tcW w:w="1292" w:type="dxa"/>
            <w:vMerge w:val="restart"/>
            <w:vAlign w:val="center"/>
          </w:tcPr>
          <w:p w14:paraId="187D4923">
            <w:pPr>
              <w:snapToGrid w:val="0"/>
              <w:spacing w:line="276" w:lineRule="auto"/>
              <w:jc w:val="center"/>
              <w:rPr>
                <w:rFonts w:hint="eastAsia" w:ascii="宋体" w:hAnsi="宋体" w:cs="宋体"/>
                <w:color w:val="auto"/>
                <w:szCs w:val="21"/>
                <w:highlight w:val="none"/>
              </w:rPr>
            </w:pPr>
            <w:bookmarkStart w:id="71" w:name="_Toc317499924"/>
          </w:p>
          <w:p w14:paraId="71D1779C">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小车轨道</w:t>
            </w:r>
            <w:bookmarkEnd w:id="71"/>
          </w:p>
        </w:tc>
        <w:tc>
          <w:tcPr>
            <w:tcW w:w="3317" w:type="dxa"/>
          </w:tcPr>
          <w:p w14:paraId="12AF4AFB">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有无裂纹、变形</w:t>
            </w:r>
          </w:p>
        </w:tc>
        <w:tc>
          <w:tcPr>
            <w:tcW w:w="3156" w:type="dxa"/>
          </w:tcPr>
          <w:p w14:paraId="0CA6D2C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无裂纹、无变形</w:t>
            </w:r>
          </w:p>
        </w:tc>
        <w:tc>
          <w:tcPr>
            <w:tcW w:w="743" w:type="dxa"/>
          </w:tcPr>
          <w:p w14:paraId="61E3149E">
            <w:pPr>
              <w:snapToGrid w:val="0"/>
              <w:spacing w:line="276" w:lineRule="auto"/>
              <w:rPr>
                <w:rFonts w:hint="eastAsia" w:ascii="宋体" w:hAnsi="宋体" w:cs="宋体"/>
                <w:color w:val="auto"/>
                <w:szCs w:val="21"/>
                <w:highlight w:val="none"/>
              </w:rPr>
            </w:pPr>
          </w:p>
        </w:tc>
      </w:tr>
      <w:tr w14:paraId="2B75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CBB761D">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9CE169C">
            <w:pPr>
              <w:snapToGrid w:val="0"/>
              <w:spacing w:line="276" w:lineRule="auto"/>
              <w:jc w:val="center"/>
              <w:rPr>
                <w:rFonts w:hint="eastAsia" w:ascii="宋体" w:hAnsi="宋体" w:cs="宋体"/>
                <w:color w:val="auto"/>
                <w:szCs w:val="21"/>
                <w:highlight w:val="none"/>
              </w:rPr>
            </w:pPr>
          </w:p>
        </w:tc>
        <w:tc>
          <w:tcPr>
            <w:tcW w:w="3317" w:type="dxa"/>
          </w:tcPr>
          <w:p w14:paraId="781A0DA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侧面磨损及头部下陷</w:t>
            </w:r>
          </w:p>
        </w:tc>
        <w:tc>
          <w:tcPr>
            <w:tcW w:w="3156" w:type="dxa"/>
          </w:tcPr>
          <w:p w14:paraId="73D1FAE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侧面磨损小、头部无下沉</w:t>
            </w:r>
          </w:p>
        </w:tc>
        <w:tc>
          <w:tcPr>
            <w:tcW w:w="743" w:type="dxa"/>
          </w:tcPr>
          <w:p w14:paraId="7D85E517">
            <w:pPr>
              <w:snapToGrid w:val="0"/>
              <w:spacing w:line="276" w:lineRule="auto"/>
              <w:rPr>
                <w:rFonts w:hint="eastAsia" w:ascii="宋体" w:hAnsi="宋体" w:cs="宋体"/>
                <w:color w:val="auto"/>
                <w:szCs w:val="21"/>
                <w:highlight w:val="none"/>
              </w:rPr>
            </w:pPr>
          </w:p>
        </w:tc>
      </w:tr>
      <w:tr w14:paraId="497B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8046E83">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4C911957">
            <w:pPr>
              <w:snapToGrid w:val="0"/>
              <w:spacing w:line="276" w:lineRule="auto"/>
              <w:jc w:val="center"/>
              <w:rPr>
                <w:rFonts w:hint="eastAsia" w:ascii="宋体" w:hAnsi="宋体" w:cs="宋体"/>
                <w:color w:val="auto"/>
                <w:szCs w:val="21"/>
                <w:highlight w:val="none"/>
              </w:rPr>
            </w:pPr>
          </w:p>
        </w:tc>
        <w:tc>
          <w:tcPr>
            <w:tcW w:w="3317" w:type="dxa"/>
          </w:tcPr>
          <w:p w14:paraId="2D50F4F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检查连接部分焊区有无裂纹</w:t>
            </w:r>
          </w:p>
        </w:tc>
        <w:tc>
          <w:tcPr>
            <w:tcW w:w="3156" w:type="dxa"/>
          </w:tcPr>
          <w:p w14:paraId="14A34F5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焊缝无开裂</w:t>
            </w:r>
          </w:p>
        </w:tc>
        <w:tc>
          <w:tcPr>
            <w:tcW w:w="743" w:type="dxa"/>
          </w:tcPr>
          <w:p w14:paraId="586211C7">
            <w:pPr>
              <w:snapToGrid w:val="0"/>
              <w:spacing w:line="276" w:lineRule="auto"/>
              <w:rPr>
                <w:rFonts w:hint="eastAsia" w:ascii="宋体" w:hAnsi="宋体" w:cs="宋体"/>
                <w:color w:val="auto"/>
                <w:szCs w:val="21"/>
                <w:highlight w:val="none"/>
              </w:rPr>
            </w:pPr>
          </w:p>
        </w:tc>
      </w:tr>
      <w:tr w14:paraId="06E8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00A0FC0B">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3</w:t>
            </w:r>
          </w:p>
        </w:tc>
        <w:tc>
          <w:tcPr>
            <w:tcW w:w="1292" w:type="dxa"/>
            <w:vMerge w:val="restart"/>
            <w:vAlign w:val="center"/>
          </w:tcPr>
          <w:p w14:paraId="5585EA5F">
            <w:pPr>
              <w:snapToGrid w:val="0"/>
              <w:spacing w:line="276" w:lineRule="auto"/>
              <w:jc w:val="center"/>
              <w:rPr>
                <w:rFonts w:hint="eastAsia" w:ascii="宋体" w:hAnsi="宋体" w:cs="宋体"/>
                <w:color w:val="auto"/>
                <w:szCs w:val="21"/>
                <w:highlight w:val="none"/>
              </w:rPr>
            </w:pPr>
            <w:bookmarkStart w:id="72" w:name="_Toc317499925"/>
            <w:r>
              <w:rPr>
                <w:rFonts w:hint="eastAsia" w:ascii="宋体" w:hAnsi="宋体" w:cs="宋体"/>
                <w:color w:val="auto"/>
                <w:szCs w:val="21"/>
                <w:highlight w:val="none"/>
              </w:rPr>
              <w:t>吊钩</w:t>
            </w:r>
            <w:bookmarkEnd w:id="72"/>
          </w:p>
        </w:tc>
        <w:tc>
          <w:tcPr>
            <w:tcW w:w="3317" w:type="dxa"/>
          </w:tcPr>
          <w:p w14:paraId="7B27158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检查吊钩有无裂纹或冷变形</w:t>
            </w:r>
          </w:p>
        </w:tc>
        <w:tc>
          <w:tcPr>
            <w:tcW w:w="3156" w:type="dxa"/>
          </w:tcPr>
          <w:p w14:paraId="6012C11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无裂纹、无冷变形</w:t>
            </w:r>
          </w:p>
        </w:tc>
        <w:tc>
          <w:tcPr>
            <w:tcW w:w="743" w:type="dxa"/>
          </w:tcPr>
          <w:p w14:paraId="309999F0">
            <w:pPr>
              <w:snapToGrid w:val="0"/>
              <w:spacing w:line="276" w:lineRule="auto"/>
              <w:rPr>
                <w:rFonts w:hint="eastAsia" w:ascii="宋体" w:hAnsi="宋体" w:cs="宋体"/>
                <w:color w:val="auto"/>
                <w:szCs w:val="21"/>
                <w:highlight w:val="none"/>
              </w:rPr>
            </w:pPr>
          </w:p>
        </w:tc>
      </w:tr>
      <w:tr w14:paraId="4337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199A2DA">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337CC519">
            <w:pPr>
              <w:snapToGrid w:val="0"/>
              <w:spacing w:line="276" w:lineRule="auto"/>
              <w:jc w:val="center"/>
              <w:rPr>
                <w:rFonts w:hint="eastAsia" w:ascii="宋体" w:hAnsi="宋体" w:cs="宋体"/>
                <w:color w:val="auto"/>
                <w:szCs w:val="21"/>
                <w:highlight w:val="none"/>
              </w:rPr>
            </w:pPr>
          </w:p>
        </w:tc>
        <w:tc>
          <w:tcPr>
            <w:tcW w:w="3317" w:type="dxa"/>
          </w:tcPr>
          <w:p w14:paraId="7CFD327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检查危险断面的磨损</w:t>
            </w:r>
          </w:p>
        </w:tc>
        <w:tc>
          <w:tcPr>
            <w:tcW w:w="3156" w:type="dxa"/>
          </w:tcPr>
          <w:p w14:paraId="53DFB5D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磨损小</w:t>
            </w:r>
          </w:p>
        </w:tc>
        <w:tc>
          <w:tcPr>
            <w:tcW w:w="743" w:type="dxa"/>
          </w:tcPr>
          <w:p w14:paraId="7BEC7D57">
            <w:pPr>
              <w:snapToGrid w:val="0"/>
              <w:spacing w:line="276" w:lineRule="auto"/>
              <w:rPr>
                <w:rFonts w:hint="eastAsia" w:ascii="宋体" w:hAnsi="宋体" w:cs="宋体"/>
                <w:color w:val="auto"/>
                <w:szCs w:val="21"/>
                <w:highlight w:val="none"/>
              </w:rPr>
            </w:pPr>
          </w:p>
        </w:tc>
      </w:tr>
      <w:tr w14:paraId="1A18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04BDBAED">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4</w:t>
            </w:r>
          </w:p>
        </w:tc>
        <w:tc>
          <w:tcPr>
            <w:tcW w:w="1292" w:type="dxa"/>
            <w:vMerge w:val="restart"/>
            <w:vAlign w:val="center"/>
          </w:tcPr>
          <w:p w14:paraId="2A2E2181">
            <w:pPr>
              <w:snapToGrid w:val="0"/>
              <w:spacing w:line="276" w:lineRule="auto"/>
              <w:jc w:val="center"/>
              <w:rPr>
                <w:rFonts w:hint="eastAsia" w:ascii="宋体" w:hAnsi="宋体" w:cs="宋体"/>
                <w:color w:val="auto"/>
                <w:szCs w:val="21"/>
                <w:highlight w:val="none"/>
              </w:rPr>
            </w:pPr>
            <w:bookmarkStart w:id="73" w:name="_Toc317499926"/>
            <w:r>
              <w:rPr>
                <w:rFonts w:hint="eastAsia" w:ascii="宋体" w:hAnsi="宋体" w:cs="宋体"/>
                <w:color w:val="auto"/>
                <w:szCs w:val="21"/>
                <w:highlight w:val="none"/>
              </w:rPr>
              <w:t>钢丝绳</w:t>
            </w:r>
            <w:bookmarkEnd w:id="73"/>
          </w:p>
        </w:tc>
        <w:tc>
          <w:tcPr>
            <w:tcW w:w="3317" w:type="dxa"/>
          </w:tcPr>
          <w:p w14:paraId="76AD54F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检查钢丝绳有无断丝、变形</w:t>
            </w:r>
          </w:p>
        </w:tc>
        <w:tc>
          <w:tcPr>
            <w:tcW w:w="3156" w:type="dxa"/>
          </w:tcPr>
          <w:p w14:paraId="1397435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断丝、变形更换</w:t>
            </w:r>
          </w:p>
        </w:tc>
        <w:tc>
          <w:tcPr>
            <w:tcW w:w="743" w:type="dxa"/>
          </w:tcPr>
          <w:p w14:paraId="167F86D0">
            <w:pPr>
              <w:snapToGrid w:val="0"/>
              <w:spacing w:line="276" w:lineRule="auto"/>
              <w:rPr>
                <w:rFonts w:hint="eastAsia" w:ascii="宋体" w:hAnsi="宋体" w:cs="宋体"/>
                <w:color w:val="auto"/>
                <w:szCs w:val="21"/>
                <w:highlight w:val="none"/>
              </w:rPr>
            </w:pPr>
          </w:p>
        </w:tc>
      </w:tr>
      <w:tr w14:paraId="200E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903040A">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7DFBD8A0">
            <w:pPr>
              <w:snapToGrid w:val="0"/>
              <w:spacing w:line="276" w:lineRule="auto"/>
              <w:jc w:val="center"/>
              <w:rPr>
                <w:rFonts w:hint="eastAsia" w:ascii="宋体" w:hAnsi="宋体" w:cs="宋体"/>
                <w:color w:val="auto"/>
                <w:szCs w:val="21"/>
                <w:highlight w:val="none"/>
              </w:rPr>
            </w:pPr>
          </w:p>
        </w:tc>
        <w:tc>
          <w:tcPr>
            <w:tcW w:w="3317" w:type="dxa"/>
          </w:tcPr>
          <w:p w14:paraId="397FFBC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检查有无跳槽情况</w:t>
            </w:r>
          </w:p>
        </w:tc>
        <w:tc>
          <w:tcPr>
            <w:tcW w:w="3156" w:type="dxa"/>
          </w:tcPr>
          <w:p w14:paraId="3F923C5B">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无跳槽</w:t>
            </w:r>
          </w:p>
        </w:tc>
        <w:tc>
          <w:tcPr>
            <w:tcW w:w="743" w:type="dxa"/>
          </w:tcPr>
          <w:p w14:paraId="1F8128AC">
            <w:pPr>
              <w:snapToGrid w:val="0"/>
              <w:spacing w:line="276" w:lineRule="auto"/>
              <w:rPr>
                <w:rFonts w:hint="eastAsia" w:ascii="宋体" w:hAnsi="宋体" w:cs="宋体"/>
                <w:color w:val="auto"/>
                <w:szCs w:val="21"/>
                <w:highlight w:val="none"/>
              </w:rPr>
            </w:pPr>
          </w:p>
        </w:tc>
      </w:tr>
      <w:tr w14:paraId="2DED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D8B5D6E">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1718EFD1">
            <w:pPr>
              <w:snapToGrid w:val="0"/>
              <w:spacing w:line="276" w:lineRule="auto"/>
              <w:jc w:val="center"/>
              <w:rPr>
                <w:rFonts w:hint="eastAsia" w:ascii="宋体" w:hAnsi="宋体" w:cs="宋体"/>
                <w:color w:val="auto"/>
                <w:szCs w:val="21"/>
                <w:highlight w:val="none"/>
              </w:rPr>
            </w:pPr>
          </w:p>
        </w:tc>
        <w:tc>
          <w:tcPr>
            <w:tcW w:w="3317" w:type="dxa"/>
          </w:tcPr>
          <w:p w14:paraId="247BD6F5">
            <w:pPr>
              <w:snapToGrid w:val="0"/>
              <w:spacing w:line="276" w:lineRule="auto"/>
              <w:rPr>
                <w:rFonts w:hint="eastAsia" w:ascii="宋体" w:hAnsi="宋体" w:cs="宋体"/>
                <w:color w:val="auto"/>
                <w:szCs w:val="21"/>
                <w:highlight w:val="none"/>
              </w:rPr>
            </w:pPr>
            <w:r>
              <w:rPr>
                <w:rFonts w:hint="eastAsia" w:ascii="宋体" w:hAnsi="宋体" w:cs="宋体"/>
                <w:bCs/>
                <w:color w:val="auto"/>
                <w:szCs w:val="21"/>
                <w:highlight w:val="none"/>
              </w:rPr>
              <w:t>检查有无粘附颗粒</w:t>
            </w:r>
          </w:p>
        </w:tc>
        <w:tc>
          <w:tcPr>
            <w:tcW w:w="3156" w:type="dxa"/>
          </w:tcPr>
          <w:p w14:paraId="072E15DC">
            <w:pPr>
              <w:snapToGrid w:val="0"/>
              <w:spacing w:line="276" w:lineRule="auto"/>
              <w:rPr>
                <w:rFonts w:hint="eastAsia" w:ascii="宋体" w:hAnsi="宋体" w:cs="宋体"/>
                <w:color w:val="auto"/>
                <w:szCs w:val="21"/>
                <w:highlight w:val="none"/>
              </w:rPr>
            </w:pPr>
            <w:r>
              <w:rPr>
                <w:rFonts w:hint="eastAsia" w:ascii="宋体" w:hAnsi="宋体" w:cs="宋体"/>
                <w:bCs/>
                <w:color w:val="auto"/>
                <w:szCs w:val="21"/>
                <w:highlight w:val="none"/>
              </w:rPr>
              <w:t>无粘附颗粒</w:t>
            </w:r>
          </w:p>
        </w:tc>
        <w:tc>
          <w:tcPr>
            <w:tcW w:w="743" w:type="dxa"/>
          </w:tcPr>
          <w:p w14:paraId="15F0B589">
            <w:pPr>
              <w:snapToGrid w:val="0"/>
              <w:spacing w:line="276" w:lineRule="auto"/>
              <w:rPr>
                <w:rFonts w:hint="eastAsia" w:ascii="宋体" w:hAnsi="宋体" w:cs="宋体"/>
                <w:color w:val="auto"/>
                <w:szCs w:val="21"/>
                <w:highlight w:val="none"/>
              </w:rPr>
            </w:pPr>
          </w:p>
        </w:tc>
      </w:tr>
      <w:tr w14:paraId="455C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E7C6CC4">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A3F710C">
            <w:pPr>
              <w:snapToGrid w:val="0"/>
              <w:spacing w:line="276" w:lineRule="auto"/>
              <w:jc w:val="center"/>
              <w:rPr>
                <w:rFonts w:hint="eastAsia" w:ascii="宋体" w:hAnsi="宋体" w:cs="宋体"/>
                <w:color w:val="auto"/>
                <w:szCs w:val="21"/>
                <w:highlight w:val="none"/>
              </w:rPr>
            </w:pPr>
          </w:p>
        </w:tc>
        <w:tc>
          <w:tcPr>
            <w:tcW w:w="3317" w:type="dxa"/>
          </w:tcPr>
          <w:p w14:paraId="52C71C1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检查钢丝绳磨损量</w:t>
            </w:r>
          </w:p>
        </w:tc>
        <w:tc>
          <w:tcPr>
            <w:tcW w:w="3156" w:type="dxa"/>
          </w:tcPr>
          <w:p w14:paraId="69F4E75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磨损量超标更换</w:t>
            </w:r>
          </w:p>
        </w:tc>
        <w:tc>
          <w:tcPr>
            <w:tcW w:w="743" w:type="dxa"/>
          </w:tcPr>
          <w:p w14:paraId="661ECF05">
            <w:pPr>
              <w:snapToGrid w:val="0"/>
              <w:spacing w:line="276" w:lineRule="auto"/>
              <w:rPr>
                <w:rFonts w:hint="eastAsia" w:ascii="宋体" w:hAnsi="宋体" w:cs="宋体"/>
                <w:color w:val="auto"/>
                <w:szCs w:val="21"/>
                <w:highlight w:val="none"/>
              </w:rPr>
            </w:pPr>
          </w:p>
        </w:tc>
      </w:tr>
      <w:tr w14:paraId="2592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3B3FEBF2">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5</w:t>
            </w:r>
          </w:p>
        </w:tc>
        <w:tc>
          <w:tcPr>
            <w:tcW w:w="1292" w:type="dxa"/>
            <w:vMerge w:val="restart"/>
            <w:vAlign w:val="center"/>
          </w:tcPr>
          <w:p w14:paraId="2A73DE2C">
            <w:pPr>
              <w:snapToGrid w:val="0"/>
              <w:spacing w:line="276" w:lineRule="auto"/>
              <w:jc w:val="center"/>
              <w:rPr>
                <w:rFonts w:hint="eastAsia" w:ascii="宋体" w:hAnsi="宋体" w:cs="宋体"/>
                <w:color w:val="auto"/>
                <w:szCs w:val="21"/>
                <w:highlight w:val="none"/>
              </w:rPr>
            </w:pPr>
            <w:bookmarkStart w:id="74" w:name="_Toc317499927"/>
            <w:r>
              <w:rPr>
                <w:rFonts w:hint="eastAsia" w:ascii="宋体" w:hAnsi="宋体" w:cs="宋体"/>
                <w:color w:val="auto"/>
                <w:szCs w:val="21"/>
                <w:highlight w:val="none"/>
              </w:rPr>
              <w:t>滑轮组</w:t>
            </w:r>
            <w:bookmarkEnd w:id="74"/>
          </w:p>
        </w:tc>
        <w:tc>
          <w:tcPr>
            <w:tcW w:w="3317" w:type="dxa"/>
          </w:tcPr>
          <w:p w14:paraId="5BB47F2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检查裂纹</w:t>
            </w:r>
          </w:p>
        </w:tc>
        <w:tc>
          <w:tcPr>
            <w:tcW w:w="3156" w:type="dxa"/>
          </w:tcPr>
          <w:p w14:paraId="1635D0E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无裂纹</w:t>
            </w:r>
          </w:p>
        </w:tc>
        <w:tc>
          <w:tcPr>
            <w:tcW w:w="743" w:type="dxa"/>
          </w:tcPr>
          <w:p w14:paraId="0FFAA17A">
            <w:pPr>
              <w:snapToGrid w:val="0"/>
              <w:spacing w:line="276" w:lineRule="auto"/>
              <w:rPr>
                <w:rFonts w:hint="eastAsia" w:ascii="宋体" w:hAnsi="宋体" w:cs="宋体"/>
                <w:color w:val="auto"/>
                <w:szCs w:val="21"/>
                <w:highlight w:val="none"/>
              </w:rPr>
            </w:pPr>
          </w:p>
        </w:tc>
      </w:tr>
      <w:tr w14:paraId="17E7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00EF7C5">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44415726">
            <w:pPr>
              <w:snapToGrid w:val="0"/>
              <w:spacing w:line="276" w:lineRule="auto"/>
              <w:jc w:val="center"/>
              <w:rPr>
                <w:rFonts w:hint="eastAsia" w:ascii="宋体" w:hAnsi="宋体" w:cs="宋体"/>
                <w:color w:val="auto"/>
                <w:szCs w:val="21"/>
                <w:highlight w:val="none"/>
              </w:rPr>
            </w:pPr>
          </w:p>
        </w:tc>
        <w:tc>
          <w:tcPr>
            <w:tcW w:w="3317" w:type="dxa"/>
          </w:tcPr>
          <w:p w14:paraId="13FB333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检查滑轮磨</w:t>
            </w:r>
          </w:p>
        </w:tc>
        <w:tc>
          <w:tcPr>
            <w:tcW w:w="3156" w:type="dxa"/>
          </w:tcPr>
          <w:p w14:paraId="5BE0C01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423DBB51">
            <w:pPr>
              <w:snapToGrid w:val="0"/>
              <w:spacing w:line="276" w:lineRule="auto"/>
              <w:rPr>
                <w:rFonts w:hint="eastAsia" w:ascii="宋体" w:hAnsi="宋体" w:cs="宋体"/>
                <w:color w:val="auto"/>
                <w:szCs w:val="21"/>
                <w:highlight w:val="none"/>
              </w:rPr>
            </w:pPr>
          </w:p>
        </w:tc>
      </w:tr>
      <w:tr w14:paraId="6D6D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A12299B">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E582D94">
            <w:pPr>
              <w:snapToGrid w:val="0"/>
              <w:spacing w:line="276" w:lineRule="auto"/>
              <w:jc w:val="center"/>
              <w:rPr>
                <w:rFonts w:hint="eastAsia" w:ascii="宋体" w:hAnsi="宋体" w:cs="宋体"/>
                <w:color w:val="auto"/>
                <w:szCs w:val="21"/>
                <w:highlight w:val="none"/>
              </w:rPr>
            </w:pPr>
          </w:p>
        </w:tc>
        <w:tc>
          <w:tcPr>
            <w:tcW w:w="3317" w:type="dxa"/>
          </w:tcPr>
          <w:p w14:paraId="5029B7A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轮组滚动轴承的润滑</w:t>
            </w:r>
          </w:p>
        </w:tc>
        <w:tc>
          <w:tcPr>
            <w:tcW w:w="3156" w:type="dxa"/>
          </w:tcPr>
          <w:p w14:paraId="577D853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加润滑脂</w:t>
            </w:r>
          </w:p>
        </w:tc>
        <w:tc>
          <w:tcPr>
            <w:tcW w:w="743" w:type="dxa"/>
          </w:tcPr>
          <w:p w14:paraId="06610058">
            <w:pPr>
              <w:snapToGrid w:val="0"/>
              <w:spacing w:line="276" w:lineRule="auto"/>
              <w:rPr>
                <w:rFonts w:hint="eastAsia" w:ascii="宋体" w:hAnsi="宋体" w:cs="宋体"/>
                <w:color w:val="auto"/>
                <w:szCs w:val="21"/>
                <w:highlight w:val="none"/>
              </w:rPr>
            </w:pPr>
          </w:p>
        </w:tc>
      </w:tr>
      <w:tr w14:paraId="4688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40B206E5">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6</w:t>
            </w:r>
          </w:p>
        </w:tc>
        <w:tc>
          <w:tcPr>
            <w:tcW w:w="1292" w:type="dxa"/>
            <w:vMerge w:val="restart"/>
            <w:vAlign w:val="center"/>
          </w:tcPr>
          <w:p w14:paraId="712E5B67">
            <w:pPr>
              <w:snapToGrid w:val="0"/>
              <w:spacing w:line="276" w:lineRule="auto"/>
              <w:jc w:val="center"/>
              <w:rPr>
                <w:rFonts w:hint="eastAsia" w:ascii="宋体" w:hAnsi="宋体" w:cs="宋体"/>
                <w:color w:val="auto"/>
                <w:szCs w:val="21"/>
                <w:highlight w:val="none"/>
              </w:rPr>
            </w:pPr>
            <w:bookmarkStart w:id="75" w:name="_Toc317499928"/>
            <w:bookmarkStart w:id="76" w:name="_Toc489344514"/>
            <w:bookmarkStart w:id="77" w:name="_Toc510073463"/>
            <w:r>
              <w:rPr>
                <w:rFonts w:hint="eastAsia" w:ascii="宋体" w:hAnsi="宋体" w:cs="宋体"/>
                <w:color w:val="auto"/>
                <w:szCs w:val="21"/>
                <w:highlight w:val="none"/>
              </w:rPr>
              <w:t>卷筒</w:t>
            </w:r>
            <w:bookmarkEnd w:id="75"/>
            <w:bookmarkEnd w:id="76"/>
            <w:bookmarkEnd w:id="77"/>
          </w:p>
        </w:tc>
        <w:tc>
          <w:tcPr>
            <w:tcW w:w="3317" w:type="dxa"/>
          </w:tcPr>
          <w:p w14:paraId="5EDCA80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检查卷筒绳槽磨损</w:t>
            </w:r>
          </w:p>
        </w:tc>
        <w:tc>
          <w:tcPr>
            <w:tcW w:w="3156" w:type="dxa"/>
          </w:tcPr>
          <w:p w14:paraId="54ECC19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246372A8">
            <w:pPr>
              <w:snapToGrid w:val="0"/>
              <w:spacing w:line="276" w:lineRule="auto"/>
              <w:rPr>
                <w:rFonts w:hint="eastAsia" w:ascii="宋体" w:hAnsi="宋体" w:cs="宋体"/>
                <w:color w:val="auto"/>
                <w:szCs w:val="21"/>
                <w:highlight w:val="none"/>
              </w:rPr>
            </w:pPr>
          </w:p>
        </w:tc>
      </w:tr>
      <w:tr w14:paraId="4A47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2E0B0A8">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5355BAF">
            <w:pPr>
              <w:snapToGrid w:val="0"/>
              <w:spacing w:line="276" w:lineRule="auto"/>
              <w:jc w:val="center"/>
              <w:rPr>
                <w:rFonts w:hint="eastAsia" w:ascii="宋体" w:hAnsi="宋体" w:cs="宋体"/>
                <w:color w:val="auto"/>
                <w:szCs w:val="21"/>
                <w:highlight w:val="none"/>
              </w:rPr>
            </w:pPr>
          </w:p>
        </w:tc>
        <w:tc>
          <w:tcPr>
            <w:tcW w:w="3317" w:type="dxa"/>
          </w:tcPr>
          <w:p w14:paraId="4AC8D7B4">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卷筒滚动轴承的润滑</w:t>
            </w:r>
          </w:p>
        </w:tc>
        <w:tc>
          <w:tcPr>
            <w:tcW w:w="3156" w:type="dxa"/>
          </w:tcPr>
          <w:p w14:paraId="327DD00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加润滑脂</w:t>
            </w:r>
          </w:p>
        </w:tc>
        <w:tc>
          <w:tcPr>
            <w:tcW w:w="743" w:type="dxa"/>
          </w:tcPr>
          <w:p w14:paraId="0C45DBCC">
            <w:pPr>
              <w:snapToGrid w:val="0"/>
              <w:spacing w:line="276" w:lineRule="auto"/>
              <w:rPr>
                <w:rFonts w:hint="eastAsia" w:ascii="宋体" w:hAnsi="宋体" w:cs="宋体"/>
                <w:color w:val="auto"/>
                <w:szCs w:val="21"/>
                <w:highlight w:val="none"/>
              </w:rPr>
            </w:pPr>
          </w:p>
        </w:tc>
      </w:tr>
      <w:tr w14:paraId="113C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1DA3B4E">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E984064">
            <w:pPr>
              <w:snapToGrid w:val="0"/>
              <w:spacing w:line="276" w:lineRule="auto"/>
              <w:jc w:val="center"/>
              <w:rPr>
                <w:rFonts w:hint="eastAsia" w:ascii="宋体" w:hAnsi="宋体" w:cs="宋体"/>
                <w:color w:val="auto"/>
                <w:szCs w:val="21"/>
                <w:highlight w:val="none"/>
              </w:rPr>
            </w:pPr>
          </w:p>
        </w:tc>
        <w:tc>
          <w:tcPr>
            <w:tcW w:w="3317" w:type="dxa"/>
          </w:tcPr>
          <w:p w14:paraId="2E43830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检查固定钢丝绳的压绳板有无松动</w:t>
            </w:r>
          </w:p>
        </w:tc>
        <w:tc>
          <w:tcPr>
            <w:tcW w:w="3156" w:type="dxa"/>
          </w:tcPr>
          <w:p w14:paraId="77A2275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无松动</w:t>
            </w:r>
          </w:p>
        </w:tc>
        <w:tc>
          <w:tcPr>
            <w:tcW w:w="743" w:type="dxa"/>
          </w:tcPr>
          <w:p w14:paraId="54AF29F1">
            <w:pPr>
              <w:snapToGrid w:val="0"/>
              <w:spacing w:line="276" w:lineRule="auto"/>
              <w:rPr>
                <w:rFonts w:hint="eastAsia" w:ascii="宋体" w:hAnsi="宋体" w:cs="宋体"/>
                <w:color w:val="auto"/>
                <w:szCs w:val="21"/>
                <w:highlight w:val="none"/>
              </w:rPr>
            </w:pPr>
          </w:p>
        </w:tc>
      </w:tr>
      <w:tr w14:paraId="68CF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2A0A175D">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7</w:t>
            </w:r>
          </w:p>
        </w:tc>
        <w:tc>
          <w:tcPr>
            <w:tcW w:w="1292" w:type="dxa"/>
            <w:vMerge w:val="restart"/>
            <w:vAlign w:val="center"/>
          </w:tcPr>
          <w:p w14:paraId="78636E58">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大小车车轮</w:t>
            </w:r>
          </w:p>
        </w:tc>
        <w:tc>
          <w:tcPr>
            <w:tcW w:w="3317" w:type="dxa"/>
          </w:tcPr>
          <w:p w14:paraId="5BCCFC7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检查车轮踏面磨损</w:t>
            </w:r>
          </w:p>
        </w:tc>
        <w:tc>
          <w:tcPr>
            <w:tcW w:w="3156" w:type="dxa"/>
          </w:tcPr>
          <w:p w14:paraId="747B715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磨损严重更换</w:t>
            </w:r>
          </w:p>
        </w:tc>
        <w:tc>
          <w:tcPr>
            <w:tcW w:w="743" w:type="dxa"/>
          </w:tcPr>
          <w:p w14:paraId="1ACA74C8">
            <w:pPr>
              <w:snapToGrid w:val="0"/>
              <w:spacing w:line="276" w:lineRule="auto"/>
              <w:rPr>
                <w:rFonts w:hint="eastAsia" w:ascii="宋体" w:hAnsi="宋体" w:cs="宋体"/>
                <w:color w:val="auto"/>
                <w:szCs w:val="21"/>
                <w:highlight w:val="none"/>
              </w:rPr>
            </w:pPr>
          </w:p>
        </w:tc>
      </w:tr>
      <w:tr w14:paraId="529F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57148C7">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3E04B4B5">
            <w:pPr>
              <w:snapToGrid w:val="0"/>
              <w:spacing w:line="276" w:lineRule="auto"/>
              <w:jc w:val="center"/>
              <w:rPr>
                <w:rFonts w:hint="eastAsia" w:ascii="宋体" w:hAnsi="宋体" w:cs="宋体"/>
                <w:color w:val="auto"/>
                <w:szCs w:val="21"/>
                <w:highlight w:val="none"/>
              </w:rPr>
            </w:pPr>
          </w:p>
        </w:tc>
        <w:tc>
          <w:tcPr>
            <w:tcW w:w="3317" w:type="dxa"/>
          </w:tcPr>
          <w:p w14:paraId="4B40139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检查轮缘磨损与折断、变形</w:t>
            </w:r>
          </w:p>
        </w:tc>
        <w:tc>
          <w:tcPr>
            <w:tcW w:w="3156" w:type="dxa"/>
          </w:tcPr>
          <w:p w14:paraId="22379B4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出现折断、变形更换</w:t>
            </w:r>
          </w:p>
        </w:tc>
        <w:tc>
          <w:tcPr>
            <w:tcW w:w="743" w:type="dxa"/>
          </w:tcPr>
          <w:p w14:paraId="26844A12">
            <w:pPr>
              <w:snapToGrid w:val="0"/>
              <w:spacing w:line="276" w:lineRule="auto"/>
              <w:rPr>
                <w:rFonts w:hint="eastAsia" w:ascii="宋体" w:hAnsi="宋体" w:cs="宋体"/>
                <w:color w:val="auto"/>
                <w:szCs w:val="21"/>
                <w:highlight w:val="none"/>
              </w:rPr>
            </w:pPr>
          </w:p>
        </w:tc>
      </w:tr>
      <w:tr w14:paraId="3E0E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DF57264">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63F8948B">
            <w:pPr>
              <w:snapToGrid w:val="0"/>
              <w:spacing w:line="276" w:lineRule="auto"/>
              <w:jc w:val="center"/>
              <w:rPr>
                <w:rFonts w:hint="eastAsia" w:ascii="宋体" w:hAnsi="宋体" w:cs="宋体"/>
                <w:color w:val="auto"/>
                <w:szCs w:val="21"/>
                <w:highlight w:val="none"/>
              </w:rPr>
            </w:pPr>
          </w:p>
        </w:tc>
        <w:tc>
          <w:tcPr>
            <w:tcW w:w="3317" w:type="dxa"/>
          </w:tcPr>
          <w:p w14:paraId="4646DB1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检查车轮裂纹</w:t>
            </w:r>
          </w:p>
        </w:tc>
        <w:tc>
          <w:tcPr>
            <w:tcW w:w="3156" w:type="dxa"/>
          </w:tcPr>
          <w:p w14:paraId="42FCBBD4">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无裂纹</w:t>
            </w:r>
          </w:p>
        </w:tc>
        <w:tc>
          <w:tcPr>
            <w:tcW w:w="743" w:type="dxa"/>
          </w:tcPr>
          <w:p w14:paraId="17C147D6">
            <w:pPr>
              <w:snapToGrid w:val="0"/>
              <w:spacing w:line="276" w:lineRule="auto"/>
              <w:rPr>
                <w:rFonts w:hint="eastAsia" w:ascii="宋体" w:hAnsi="宋体" w:cs="宋体"/>
                <w:color w:val="auto"/>
                <w:szCs w:val="21"/>
                <w:highlight w:val="none"/>
              </w:rPr>
            </w:pPr>
          </w:p>
        </w:tc>
      </w:tr>
      <w:tr w14:paraId="58C6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68D0355B">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3EB4D0DF">
            <w:pPr>
              <w:snapToGrid w:val="0"/>
              <w:spacing w:line="276" w:lineRule="auto"/>
              <w:jc w:val="center"/>
              <w:rPr>
                <w:rFonts w:hint="eastAsia" w:ascii="宋体" w:hAnsi="宋体" w:cs="宋体"/>
                <w:color w:val="auto"/>
                <w:szCs w:val="21"/>
                <w:highlight w:val="none"/>
              </w:rPr>
            </w:pPr>
          </w:p>
        </w:tc>
        <w:tc>
          <w:tcPr>
            <w:tcW w:w="3317" w:type="dxa"/>
          </w:tcPr>
          <w:p w14:paraId="3F74AB7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车轮滚动轴承的润滑</w:t>
            </w:r>
          </w:p>
        </w:tc>
        <w:tc>
          <w:tcPr>
            <w:tcW w:w="3156" w:type="dxa"/>
          </w:tcPr>
          <w:p w14:paraId="587B90D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加润滑脂</w:t>
            </w:r>
          </w:p>
        </w:tc>
        <w:tc>
          <w:tcPr>
            <w:tcW w:w="743" w:type="dxa"/>
          </w:tcPr>
          <w:p w14:paraId="58F32AE2">
            <w:pPr>
              <w:snapToGrid w:val="0"/>
              <w:spacing w:line="276" w:lineRule="auto"/>
              <w:rPr>
                <w:rFonts w:hint="eastAsia" w:ascii="宋体" w:hAnsi="宋体" w:cs="宋体"/>
                <w:color w:val="auto"/>
                <w:szCs w:val="21"/>
                <w:highlight w:val="none"/>
              </w:rPr>
            </w:pPr>
          </w:p>
        </w:tc>
      </w:tr>
      <w:tr w14:paraId="5503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498CCBCB">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8</w:t>
            </w:r>
          </w:p>
        </w:tc>
        <w:tc>
          <w:tcPr>
            <w:tcW w:w="1292" w:type="dxa"/>
            <w:vMerge w:val="restart"/>
            <w:vAlign w:val="center"/>
          </w:tcPr>
          <w:p w14:paraId="21F745DB">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减速器</w:t>
            </w:r>
          </w:p>
        </w:tc>
        <w:tc>
          <w:tcPr>
            <w:tcW w:w="3317" w:type="dxa"/>
          </w:tcPr>
          <w:p w14:paraId="0698B84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检查给油情况</w:t>
            </w:r>
          </w:p>
        </w:tc>
        <w:tc>
          <w:tcPr>
            <w:tcW w:w="3156" w:type="dxa"/>
          </w:tcPr>
          <w:p w14:paraId="205FD03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给油正常</w:t>
            </w:r>
          </w:p>
        </w:tc>
        <w:tc>
          <w:tcPr>
            <w:tcW w:w="743" w:type="dxa"/>
          </w:tcPr>
          <w:p w14:paraId="5805B1FC">
            <w:pPr>
              <w:snapToGrid w:val="0"/>
              <w:spacing w:line="276" w:lineRule="auto"/>
              <w:rPr>
                <w:rFonts w:hint="eastAsia" w:ascii="宋体" w:hAnsi="宋体" w:cs="宋体"/>
                <w:color w:val="auto"/>
                <w:szCs w:val="21"/>
                <w:highlight w:val="none"/>
              </w:rPr>
            </w:pPr>
          </w:p>
        </w:tc>
      </w:tr>
      <w:tr w14:paraId="3D7B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C48FA74">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4F8062DD">
            <w:pPr>
              <w:snapToGrid w:val="0"/>
              <w:spacing w:line="276" w:lineRule="auto"/>
              <w:jc w:val="center"/>
              <w:rPr>
                <w:rFonts w:hint="eastAsia" w:ascii="宋体" w:hAnsi="宋体" w:cs="宋体"/>
                <w:color w:val="auto"/>
                <w:szCs w:val="21"/>
                <w:highlight w:val="none"/>
              </w:rPr>
            </w:pPr>
          </w:p>
        </w:tc>
        <w:tc>
          <w:tcPr>
            <w:tcW w:w="3317" w:type="dxa"/>
          </w:tcPr>
          <w:p w14:paraId="255562E4">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检查减速器齿轮油油量及油质</w:t>
            </w:r>
          </w:p>
        </w:tc>
        <w:tc>
          <w:tcPr>
            <w:tcW w:w="3156" w:type="dxa"/>
          </w:tcPr>
          <w:p w14:paraId="0346190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油量达到刻度要求、油质清亮</w:t>
            </w:r>
          </w:p>
        </w:tc>
        <w:tc>
          <w:tcPr>
            <w:tcW w:w="743" w:type="dxa"/>
          </w:tcPr>
          <w:p w14:paraId="6DDAF0E3">
            <w:pPr>
              <w:snapToGrid w:val="0"/>
              <w:spacing w:line="276" w:lineRule="auto"/>
              <w:rPr>
                <w:rFonts w:hint="eastAsia" w:ascii="宋体" w:hAnsi="宋体" w:cs="宋体"/>
                <w:color w:val="auto"/>
                <w:szCs w:val="21"/>
                <w:highlight w:val="none"/>
              </w:rPr>
            </w:pPr>
          </w:p>
        </w:tc>
      </w:tr>
      <w:tr w14:paraId="0117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F526542">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2F8C162">
            <w:pPr>
              <w:snapToGrid w:val="0"/>
              <w:spacing w:line="276" w:lineRule="auto"/>
              <w:jc w:val="center"/>
              <w:rPr>
                <w:rFonts w:hint="eastAsia" w:ascii="宋体" w:hAnsi="宋体" w:cs="宋体"/>
                <w:color w:val="auto"/>
                <w:szCs w:val="21"/>
                <w:highlight w:val="none"/>
              </w:rPr>
            </w:pPr>
          </w:p>
        </w:tc>
        <w:tc>
          <w:tcPr>
            <w:tcW w:w="3317" w:type="dxa"/>
          </w:tcPr>
          <w:p w14:paraId="6A9D916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检查减速器箱体是否漏油</w:t>
            </w:r>
          </w:p>
        </w:tc>
        <w:tc>
          <w:tcPr>
            <w:tcW w:w="3156" w:type="dxa"/>
          </w:tcPr>
          <w:p w14:paraId="7A17B83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箱体无渗油</w:t>
            </w:r>
          </w:p>
        </w:tc>
        <w:tc>
          <w:tcPr>
            <w:tcW w:w="743" w:type="dxa"/>
          </w:tcPr>
          <w:p w14:paraId="18492A08">
            <w:pPr>
              <w:snapToGrid w:val="0"/>
              <w:spacing w:line="276" w:lineRule="auto"/>
              <w:rPr>
                <w:rFonts w:hint="eastAsia" w:ascii="宋体" w:hAnsi="宋体" w:cs="宋体"/>
                <w:color w:val="auto"/>
                <w:szCs w:val="21"/>
                <w:highlight w:val="none"/>
              </w:rPr>
            </w:pPr>
          </w:p>
        </w:tc>
      </w:tr>
      <w:tr w14:paraId="6C43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5AF4008F">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9</w:t>
            </w:r>
          </w:p>
        </w:tc>
        <w:tc>
          <w:tcPr>
            <w:tcW w:w="1292" w:type="dxa"/>
            <w:vMerge w:val="restart"/>
            <w:vAlign w:val="center"/>
          </w:tcPr>
          <w:p w14:paraId="2045FD89">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制动器</w:t>
            </w:r>
          </w:p>
        </w:tc>
        <w:tc>
          <w:tcPr>
            <w:tcW w:w="3317" w:type="dxa"/>
          </w:tcPr>
          <w:p w14:paraId="657EBA21">
            <w:pPr>
              <w:tabs>
                <w:tab w:val="left" w:pos="705"/>
              </w:tabs>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检查制动片磨损</w:t>
            </w:r>
          </w:p>
        </w:tc>
        <w:tc>
          <w:tcPr>
            <w:tcW w:w="3156" w:type="dxa"/>
          </w:tcPr>
          <w:p w14:paraId="46CDFB3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288ECC1F">
            <w:pPr>
              <w:snapToGrid w:val="0"/>
              <w:spacing w:line="276" w:lineRule="auto"/>
              <w:rPr>
                <w:rFonts w:hint="eastAsia" w:ascii="宋体" w:hAnsi="宋体" w:cs="宋体"/>
                <w:color w:val="auto"/>
                <w:szCs w:val="21"/>
                <w:highlight w:val="none"/>
              </w:rPr>
            </w:pPr>
          </w:p>
        </w:tc>
      </w:tr>
      <w:tr w14:paraId="3093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8C2844F">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EAB3EBA">
            <w:pPr>
              <w:snapToGrid w:val="0"/>
              <w:spacing w:line="276" w:lineRule="auto"/>
              <w:jc w:val="center"/>
              <w:rPr>
                <w:rFonts w:hint="eastAsia" w:ascii="宋体" w:hAnsi="宋体" w:cs="宋体"/>
                <w:color w:val="auto"/>
                <w:szCs w:val="21"/>
                <w:highlight w:val="none"/>
              </w:rPr>
            </w:pPr>
          </w:p>
        </w:tc>
        <w:tc>
          <w:tcPr>
            <w:tcW w:w="3317" w:type="dxa"/>
          </w:tcPr>
          <w:p w14:paraId="6753D91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检查制动轮磨损</w:t>
            </w:r>
          </w:p>
        </w:tc>
        <w:tc>
          <w:tcPr>
            <w:tcW w:w="3156" w:type="dxa"/>
          </w:tcPr>
          <w:p w14:paraId="4DA6508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69E462D0">
            <w:pPr>
              <w:snapToGrid w:val="0"/>
              <w:spacing w:line="276" w:lineRule="auto"/>
              <w:rPr>
                <w:rFonts w:hint="eastAsia" w:ascii="宋体" w:hAnsi="宋体" w:cs="宋体"/>
                <w:color w:val="auto"/>
                <w:szCs w:val="21"/>
                <w:highlight w:val="none"/>
              </w:rPr>
            </w:pPr>
          </w:p>
        </w:tc>
      </w:tr>
      <w:tr w14:paraId="7637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5296A25">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3CFF0101">
            <w:pPr>
              <w:snapToGrid w:val="0"/>
              <w:spacing w:line="276" w:lineRule="auto"/>
              <w:jc w:val="center"/>
              <w:rPr>
                <w:rFonts w:hint="eastAsia" w:ascii="宋体" w:hAnsi="宋体" w:cs="宋体"/>
                <w:color w:val="auto"/>
                <w:szCs w:val="21"/>
                <w:highlight w:val="none"/>
              </w:rPr>
            </w:pPr>
          </w:p>
        </w:tc>
        <w:tc>
          <w:tcPr>
            <w:tcW w:w="3317" w:type="dxa"/>
          </w:tcPr>
          <w:p w14:paraId="5070DCA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检查制动力矩</w:t>
            </w:r>
          </w:p>
        </w:tc>
        <w:tc>
          <w:tcPr>
            <w:tcW w:w="3156" w:type="dxa"/>
          </w:tcPr>
          <w:p w14:paraId="3095913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80%以上</w:t>
            </w:r>
          </w:p>
        </w:tc>
        <w:tc>
          <w:tcPr>
            <w:tcW w:w="743" w:type="dxa"/>
          </w:tcPr>
          <w:p w14:paraId="20B597E3">
            <w:pPr>
              <w:snapToGrid w:val="0"/>
              <w:spacing w:line="276" w:lineRule="auto"/>
              <w:rPr>
                <w:rFonts w:hint="eastAsia" w:ascii="宋体" w:hAnsi="宋体" w:cs="宋体"/>
                <w:color w:val="auto"/>
                <w:szCs w:val="21"/>
                <w:highlight w:val="none"/>
              </w:rPr>
            </w:pPr>
          </w:p>
        </w:tc>
      </w:tr>
      <w:tr w14:paraId="7749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C94CEC1">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D32486A">
            <w:pPr>
              <w:snapToGrid w:val="0"/>
              <w:spacing w:line="276" w:lineRule="auto"/>
              <w:jc w:val="center"/>
              <w:rPr>
                <w:rFonts w:hint="eastAsia" w:ascii="宋体" w:hAnsi="宋体" w:cs="宋体"/>
                <w:color w:val="auto"/>
                <w:szCs w:val="21"/>
                <w:highlight w:val="none"/>
              </w:rPr>
            </w:pPr>
          </w:p>
        </w:tc>
        <w:tc>
          <w:tcPr>
            <w:tcW w:w="3317" w:type="dxa"/>
          </w:tcPr>
          <w:p w14:paraId="07ABA92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检查制动片与制动轮间隙</w:t>
            </w:r>
          </w:p>
        </w:tc>
        <w:tc>
          <w:tcPr>
            <w:tcW w:w="3156" w:type="dxa"/>
          </w:tcPr>
          <w:p w14:paraId="43AAC98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左右对称</w:t>
            </w:r>
          </w:p>
        </w:tc>
        <w:tc>
          <w:tcPr>
            <w:tcW w:w="743" w:type="dxa"/>
          </w:tcPr>
          <w:p w14:paraId="673AA9F3">
            <w:pPr>
              <w:snapToGrid w:val="0"/>
              <w:spacing w:line="276" w:lineRule="auto"/>
              <w:rPr>
                <w:rFonts w:hint="eastAsia" w:ascii="宋体" w:hAnsi="宋体" w:cs="宋体"/>
                <w:color w:val="auto"/>
                <w:szCs w:val="21"/>
                <w:highlight w:val="none"/>
              </w:rPr>
            </w:pPr>
          </w:p>
        </w:tc>
      </w:tr>
      <w:tr w14:paraId="3277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597F6918">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10</w:t>
            </w:r>
          </w:p>
        </w:tc>
        <w:tc>
          <w:tcPr>
            <w:tcW w:w="1292" w:type="dxa"/>
            <w:vMerge w:val="restart"/>
            <w:vAlign w:val="center"/>
          </w:tcPr>
          <w:p w14:paraId="678EE5FA">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电磁制动器</w:t>
            </w:r>
          </w:p>
        </w:tc>
        <w:tc>
          <w:tcPr>
            <w:tcW w:w="3317" w:type="dxa"/>
          </w:tcPr>
          <w:p w14:paraId="293D13E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检查电磁铁动作情况</w:t>
            </w:r>
          </w:p>
        </w:tc>
        <w:tc>
          <w:tcPr>
            <w:tcW w:w="3156" w:type="dxa"/>
          </w:tcPr>
          <w:p w14:paraId="667C7A84">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动作正常</w:t>
            </w:r>
          </w:p>
        </w:tc>
        <w:tc>
          <w:tcPr>
            <w:tcW w:w="743" w:type="dxa"/>
          </w:tcPr>
          <w:p w14:paraId="5F8F398E">
            <w:pPr>
              <w:snapToGrid w:val="0"/>
              <w:spacing w:line="276" w:lineRule="auto"/>
              <w:rPr>
                <w:rFonts w:hint="eastAsia" w:ascii="宋体" w:hAnsi="宋体" w:cs="宋体"/>
                <w:color w:val="auto"/>
                <w:szCs w:val="21"/>
                <w:highlight w:val="none"/>
              </w:rPr>
            </w:pPr>
          </w:p>
        </w:tc>
      </w:tr>
      <w:tr w14:paraId="15EF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B74042E">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6DFD4E46">
            <w:pPr>
              <w:snapToGrid w:val="0"/>
              <w:spacing w:line="276" w:lineRule="auto"/>
              <w:jc w:val="center"/>
              <w:rPr>
                <w:rFonts w:hint="eastAsia" w:ascii="宋体" w:hAnsi="宋体" w:cs="宋体"/>
                <w:color w:val="auto"/>
                <w:szCs w:val="21"/>
                <w:highlight w:val="none"/>
              </w:rPr>
            </w:pPr>
          </w:p>
        </w:tc>
        <w:tc>
          <w:tcPr>
            <w:tcW w:w="3317" w:type="dxa"/>
          </w:tcPr>
          <w:p w14:paraId="026C89B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检查制动器与制动盘的间隙</w:t>
            </w:r>
          </w:p>
        </w:tc>
        <w:tc>
          <w:tcPr>
            <w:tcW w:w="3156" w:type="dxa"/>
          </w:tcPr>
          <w:p w14:paraId="056C76B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1-2mm之间</w:t>
            </w:r>
          </w:p>
        </w:tc>
        <w:tc>
          <w:tcPr>
            <w:tcW w:w="743" w:type="dxa"/>
          </w:tcPr>
          <w:p w14:paraId="790DE8C7">
            <w:pPr>
              <w:snapToGrid w:val="0"/>
              <w:spacing w:line="276" w:lineRule="auto"/>
              <w:rPr>
                <w:rFonts w:hint="eastAsia" w:ascii="宋体" w:hAnsi="宋体" w:cs="宋体"/>
                <w:color w:val="auto"/>
                <w:szCs w:val="21"/>
                <w:highlight w:val="none"/>
              </w:rPr>
            </w:pPr>
          </w:p>
        </w:tc>
      </w:tr>
      <w:tr w14:paraId="612D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670CD1E">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5886518">
            <w:pPr>
              <w:snapToGrid w:val="0"/>
              <w:spacing w:line="276" w:lineRule="auto"/>
              <w:jc w:val="center"/>
              <w:rPr>
                <w:rFonts w:hint="eastAsia" w:ascii="宋体" w:hAnsi="宋体" w:cs="宋体"/>
                <w:color w:val="auto"/>
                <w:szCs w:val="21"/>
                <w:highlight w:val="none"/>
              </w:rPr>
            </w:pPr>
          </w:p>
        </w:tc>
        <w:tc>
          <w:tcPr>
            <w:tcW w:w="3317" w:type="dxa"/>
          </w:tcPr>
          <w:p w14:paraId="563CF2D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检查制动盘的磨损</w:t>
            </w:r>
          </w:p>
        </w:tc>
        <w:tc>
          <w:tcPr>
            <w:tcW w:w="3156" w:type="dxa"/>
          </w:tcPr>
          <w:p w14:paraId="71C53FC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3D86B1FA">
            <w:pPr>
              <w:snapToGrid w:val="0"/>
              <w:spacing w:line="276" w:lineRule="auto"/>
              <w:rPr>
                <w:rFonts w:hint="eastAsia" w:ascii="宋体" w:hAnsi="宋体" w:cs="宋体"/>
                <w:color w:val="auto"/>
                <w:szCs w:val="21"/>
                <w:highlight w:val="none"/>
              </w:rPr>
            </w:pPr>
          </w:p>
        </w:tc>
      </w:tr>
      <w:tr w14:paraId="0578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2A467BF">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6DC6CA81">
            <w:pPr>
              <w:snapToGrid w:val="0"/>
              <w:spacing w:line="276" w:lineRule="auto"/>
              <w:jc w:val="center"/>
              <w:rPr>
                <w:rFonts w:hint="eastAsia" w:ascii="宋体" w:hAnsi="宋体" w:cs="宋体"/>
                <w:color w:val="auto"/>
                <w:szCs w:val="21"/>
                <w:highlight w:val="none"/>
              </w:rPr>
            </w:pPr>
          </w:p>
        </w:tc>
        <w:tc>
          <w:tcPr>
            <w:tcW w:w="3317" w:type="dxa"/>
          </w:tcPr>
          <w:p w14:paraId="1B99F76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检查制动片的磨损</w:t>
            </w:r>
          </w:p>
        </w:tc>
        <w:tc>
          <w:tcPr>
            <w:tcW w:w="3156" w:type="dxa"/>
          </w:tcPr>
          <w:p w14:paraId="52A0856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磨损超标更换</w:t>
            </w:r>
          </w:p>
        </w:tc>
        <w:tc>
          <w:tcPr>
            <w:tcW w:w="743" w:type="dxa"/>
          </w:tcPr>
          <w:p w14:paraId="3928736D">
            <w:pPr>
              <w:snapToGrid w:val="0"/>
              <w:spacing w:line="276" w:lineRule="auto"/>
              <w:rPr>
                <w:rFonts w:hint="eastAsia" w:ascii="宋体" w:hAnsi="宋体" w:cs="宋体"/>
                <w:color w:val="auto"/>
                <w:szCs w:val="21"/>
                <w:highlight w:val="none"/>
              </w:rPr>
            </w:pPr>
          </w:p>
        </w:tc>
      </w:tr>
      <w:tr w14:paraId="5963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4F529346">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11</w:t>
            </w:r>
          </w:p>
        </w:tc>
        <w:tc>
          <w:tcPr>
            <w:tcW w:w="1292" w:type="dxa"/>
            <w:vMerge w:val="restart"/>
            <w:vAlign w:val="center"/>
          </w:tcPr>
          <w:p w14:paraId="2DED1D05">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电动机</w:t>
            </w:r>
          </w:p>
        </w:tc>
        <w:tc>
          <w:tcPr>
            <w:tcW w:w="3317" w:type="dxa"/>
          </w:tcPr>
          <w:p w14:paraId="60A034C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检查电机安装底座地脚螺栓有无松动</w:t>
            </w:r>
          </w:p>
        </w:tc>
        <w:tc>
          <w:tcPr>
            <w:tcW w:w="3156" w:type="dxa"/>
          </w:tcPr>
          <w:p w14:paraId="79D3A35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螺栓无松动</w:t>
            </w:r>
          </w:p>
        </w:tc>
        <w:tc>
          <w:tcPr>
            <w:tcW w:w="743" w:type="dxa"/>
          </w:tcPr>
          <w:p w14:paraId="07DB8BFE">
            <w:pPr>
              <w:snapToGrid w:val="0"/>
              <w:spacing w:line="276" w:lineRule="auto"/>
              <w:rPr>
                <w:rFonts w:hint="eastAsia" w:ascii="宋体" w:hAnsi="宋体" w:cs="宋体"/>
                <w:color w:val="auto"/>
                <w:szCs w:val="21"/>
                <w:highlight w:val="none"/>
              </w:rPr>
            </w:pPr>
          </w:p>
        </w:tc>
      </w:tr>
      <w:tr w14:paraId="0097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028616C">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BF366AB">
            <w:pPr>
              <w:snapToGrid w:val="0"/>
              <w:spacing w:line="276" w:lineRule="auto"/>
              <w:jc w:val="center"/>
              <w:rPr>
                <w:rFonts w:hint="eastAsia" w:ascii="宋体" w:hAnsi="宋体" w:cs="宋体"/>
                <w:color w:val="auto"/>
                <w:szCs w:val="21"/>
                <w:highlight w:val="none"/>
              </w:rPr>
            </w:pPr>
          </w:p>
        </w:tc>
        <w:tc>
          <w:tcPr>
            <w:tcW w:w="3317" w:type="dxa"/>
          </w:tcPr>
          <w:p w14:paraId="024E95E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检查电机有无异响</w:t>
            </w:r>
          </w:p>
        </w:tc>
        <w:tc>
          <w:tcPr>
            <w:tcW w:w="3156" w:type="dxa"/>
          </w:tcPr>
          <w:p w14:paraId="71CCFA3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电机无异响</w:t>
            </w:r>
          </w:p>
        </w:tc>
        <w:tc>
          <w:tcPr>
            <w:tcW w:w="743" w:type="dxa"/>
          </w:tcPr>
          <w:p w14:paraId="2A15DB75">
            <w:pPr>
              <w:snapToGrid w:val="0"/>
              <w:spacing w:line="276" w:lineRule="auto"/>
              <w:rPr>
                <w:rFonts w:hint="eastAsia" w:ascii="宋体" w:hAnsi="宋体" w:cs="宋体"/>
                <w:color w:val="auto"/>
                <w:szCs w:val="21"/>
                <w:highlight w:val="none"/>
              </w:rPr>
            </w:pPr>
          </w:p>
        </w:tc>
      </w:tr>
      <w:tr w14:paraId="2B30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36703732">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12</w:t>
            </w:r>
          </w:p>
        </w:tc>
        <w:tc>
          <w:tcPr>
            <w:tcW w:w="1292" w:type="dxa"/>
            <w:vMerge w:val="restart"/>
            <w:vAlign w:val="center"/>
          </w:tcPr>
          <w:p w14:paraId="25E571D7">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电源控制柜</w:t>
            </w:r>
          </w:p>
        </w:tc>
        <w:tc>
          <w:tcPr>
            <w:tcW w:w="3317" w:type="dxa"/>
          </w:tcPr>
          <w:p w14:paraId="7DAA37D4">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所有元件除灰处理</w:t>
            </w:r>
          </w:p>
        </w:tc>
        <w:tc>
          <w:tcPr>
            <w:tcW w:w="3156" w:type="dxa"/>
          </w:tcPr>
          <w:p w14:paraId="53A334C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4DB1E3B1">
            <w:pPr>
              <w:snapToGrid w:val="0"/>
              <w:spacing w:line="276" w:lineRule="auto"/>
              <w:rPr>
                <w:rFonts w:hint="eastAsia" w:ascii="宋体" w:hAnsi="宋体" w:cs="宋体"/>
                <w:color w:val="auto"/>
                <w:szCs w:val="21"/>
                <w:highlight w:val="none"/>
              </w:rPr>
            </w:pPr>
          </w:p>
        </w:tc>
      </w:tr>
      <w:tr w14:paraId="3856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2006C42">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76140171">
            <w:pPr>
              <w:snapToGrid w:val="0"/>
              <w:spacing w:line="276" w:lineRule="auto"/>
              <w:jc w:val="center"/>
              <w:rPr>
                <w:rFonts w:hint="eastAsia" w:ascii="宋体" w:hAnsi="宋体" w:cs="宋体"/>
                <w:color w:val="auto"/>
                <w:szCs w:val="21"/>
                <w:highlight w:val="none"/>
              </w:rPr>
            </w:pPr>
          </w:p>
        </w:tc>
        <w:tc>
          <w:tcPr>
            <w:tcW w:w="3317" w:type="dxa"/>
          </w:tcPr>
          <w:p w14:paraId="3F6244F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端子排接线检查</w:t>
            </w:r>
          </w:p>
        </w:tc>
        <w:tc>
          <w:tcPr>
            <w:tcW w:w="3156" w:type="dxa"/>
          </w:tcPr>
          <w:p w14:paraId="65B4BF7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接线紧固</w:t>
            </w:r>
          </w:p>
        </w:tc>
        <w:tc>
          <w:tcPr>
            <w:tcW w:w="743" w:type="dxa"/>
          </w:tcPr>
          <w:p w14:paraId="5A18B206">
            <w:pPr>
              <w:snapToGrid w:val="0"/>
              <w:spacing w:line="276" w:lineRule="auto"/>
              <w:rPr>
                <w:rFonts w:hint="eastAsia" w:ascii="宋体" w:hAnsi="宋体" w:cs="宋体"/>
                <w:color w:val="auto"/>
                <w:szCs w:val="21"/>
                <w:highlight w:val="none"/>
              </w:rPr>
            </w:pPr>
          </w:p>
        </w:tc>
      </w:tr>
      <w:tr w14:paraId="08A4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1FC1DFA">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40803482">
            <w:pPr>
              <w:snapToGrid w:val="0"/>
              <w:spacing w:line="276" w:lineRule="auto"/>
              <w:jc w:val="center"/>
              <w:rPr>
                <w:rFonts w:hint="eastAsia" w:ascii="宋体" w:hAnsi="宋体" w:cs="宋体"/>
                <w:color w:val="auto"/>
                <w:szCs w:val="21"/>
                <w:highlight w:val="none"/>
              </w:rPr>
            </w:pPr>
          </w:p>
        </w:tc>
        <w:tc>
          <w:tcPr>
            <w:tcW w:w="3317" w:type="dxa"/>
          </w:tcPr>
          <w:p w14:paraId="3E049AF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保护开关、接触器、中间继电器动作检查</w:t>
            </w:r>
          </w:p>
        </w:tc>
        <w:tc>
          <w:tcPr>
            <w:tcW w:w="3156" w:type="dxa"/>
          </w:tcPr>
          <w:p w14:paraId="0491CBF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66320455">
            <w:pPr>
              <w:snapToGrid w:val="0"/>
              <w:spacing w:line="276" w:lineRule="auto"/>
              <w:rPr>
                <w:rFonts w:hint="eastAsia" w:ascii="宋体" w:hAnsi="宋体" w:cs="宋体"/>
                <w:color w:val="auto"/>
                <w:szCs w:val="21"/>
                <w:highlight w:val="none"/>
              </w:rPr>
            </w:pPr>
          </w:p>
        </w:tc>
      </w:tr>
      <w:tr w14:paraId="51BE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27C7F15F">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13</w:t>
            </w:r>
          </w:p>
        </w:tc>
        <w:tc>
          <w:tcPr>
            <w:tcW w:w="1292" w:type="dxa"/>
            <w:vMerge w:val="restart"/>
            <w:vAlign w:val="center"/>
          </w:tcPr>
          <w:p w14:paraId="659A9EA2">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PLC柜</w:t>
            </w:r>
          </w:p>
        </w:tc>
        <w:tc>
          <w:tcPr>
            <w:tcW w:w="3317" w:type="dxa"/>
          </w:tcPr>
          <w:p w14:paraId="50F2800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所有元件除灰处理</w:t>
            </w:r>
          </w:p>
        </w:tc>
        <w:tc>
          <w:tcPr>
            <w:tcW w:w="3156" w:type="dxa"/>
          </w:tcPr>
          <w:p w14:paraId="07FD7CA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442E84CE">
            <w:pPr>
              <w:snapToGrid w:val="0"/>
              <w:spacing w:line="276" w:lineRule="auto"/>
              <w:rPr>
                <w:rFonts w:hint="eastAsia" w:ascii="宋体" w:hAnsi="宋体" w:cs="宋体"/>
                <w:color w:val="auto"/>
                <w:szCs w:val="21"/>
                <w:highlight w:val="none"/>
              </w:rPr>
            </w:pPr>
          </w:p>
        </w:tc>
      </w:tr>
      <w:tr w14:paraId="3AAD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E6BC6AC">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954E7E0">
            <w:pPr>
              <w:snapToGrid w:val="0"/>
              <w:spacing w:line="276" w:lineRule="auto"/>
              <w:jc w:val="center"/>
              <w:rPr>
                <w:rFonts w:hint="eastAsia" w:ascii="宋体" w:hAnsi="宋体" w:cs="宋体"/>
                <w:color w:val="auto"/>
                <w:szCs w:val="21"/>
                <w:highlight w:val="none"/>
              </w:rPr>
            </w:pPr>
          </w:p>
        </w:tc>
        <w:tc>
          <w:tcPr>
            <w:tcW w:w="3317" w:type="dxa"/>
          </w:tcPr>
          <w:p w14:paraId="3E04C09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端子排接线检查</w:t>
            </w:r>
          </w:p>
        </w:tc>
        <w:tc>
          <w:tcPr>
            <w:tcW w:w="3156" w:type="dxa"/>
          </w:tcPr>
          <w:p w14:paraId="328B7A7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接线紧固</w:t>
            </w:r>
          </w:p>
        </w:tc>
        <w:tc>
          <w:tcPr>
            <w:tcW w:w="743" w:type="dxa"/>
          </w:tcPr>
          <w:p w14:paraId="09CF4647">
            <w:pPr>
              <w:snapToGrid w:val="0"/>
              <w:spacing w:line="276" w:lineRule="auto"/>
              <w:rPr>
                <w:rFonts w:hint="eastAsia" w:ascii="宋体" w:hAnsi="宋体" w:cs="宋体"/>
                <w:color w:val="auto"/>
                <w:szCs w:val="21"/>
                <w:highlight w:val="none"/>
              </w:rPr>
            </w:pPr>
          </w:p>
        </w:tc>
      </w:tr>
      <w:tr w14:paraId="46C5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AF1143D">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7093EA8">
            <w:pPr>
              <w:snapToGrid w:val="0"/>
              <w:spacing w:line="276" w:lineRule="auto"/>
              <w:jc w:val="center"/>
              <w:rPr>
                <w:rFonts w:hint="eastAsia" w:ascii="宋体" w:hAnsi="宋体" w:cs="宋体"/>
                <w:color w:val="auto"/>
                <w:szCs w:val="21"/>
                <w:highlight w:val="none"/>
              </w:rPr>
            </w:pPr>
          </w:p>
        </w:tc>
        <w:tc>
          <w:tcPr>
            <w:tcW w:w="3317" w:type="dxa"/>
          </w:tcPr>
          <w:p w14:paraId="70E0521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保护开关、接触器动作检查</w:t>
            </w:r>
          </w:p>
        </w:tc>
        <w:tc>
          <w:tcPr>
            <w:tcW w:w="3156" w:type="dxa"/>
          </w:tcPr>
          <w:p w14:paraId="393B526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6EB30C50">
            <w:pPr>
              <w:snapToGrid w:val="0"/>
              <w:spacing w:line="276" w:lineRule="auto"/>
              <w:rPr>
                <w:rFonts w:hint="eastAsia" w:ascii="宋体" w:hAnsi="宋体" w:cs="宋体"/>
                <w:color w:val="auto"/>
                <w:szCs w:val="21"/>
                <w:highlight w:val="none"/>
              </w:rPr>
            </w:pPr>
          </w:p>
        </w:tc>
      </w:tr>
      <w:tr w14:paraId="364A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D7E7145">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97BAF98">
            <w:pPr>
              <w:snapToGrid w:val="0"/>
              <w:spacing w:line="276" w:lineRule="auto"/>
              <w:jc w:val="center"/>
              <w:rPr>
                <w:rFonts w:hint="eastAsia" w:ascii="宋体" w:hAnsi="宋体" w:cs="宋体"/>
                <w:color w:val="auto"/>
                <w:szCs w:val="21"/>
                <w:highlight w:val="none"/>
              </w:rPr>
            </w:pPr>
          </w:p>
        </w:tc>
        <w:tc>
          <w:tcPr>
            <w:tcW w:w="3317" w:type="dxa"/>
          </w:tcPr>
          <w:p w14:paraId="62AAF0CB">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PLC程序的检查</w:t>
            </w:r>
          </w:p>
        </w:tc>
        <w:tc>
          <w:tcPr>
            <w:tcW w:w="3156" w:type="dxa"/>
          </w:tcPr>
          <w:p w14:paraId="0885C0A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参数正常</w:t>
            </w:r>
          </w:p>
        </w:tc>
        <w:tc>
          <w:tcPr>
            <w:tcW w:w="743" w:type="dxa"/>
          </w:tcPr>
          <w:p w14:paraId="4B63873F">
            <w:pPr>
              <w:snapToGrid w:val="0"/>
              <w:spacing w:line="276" w:lineRule="auto"/>
              <w:rPr>
                <w:rFonts w:hint="eastAsia" w:ascii="宋体" w:hAnsi="宋体" w:cs="宋体"/>
                <w:color w:val="auto"/>
                <w:szCs w:val="21"/>
                <w:highlight w:val="none"/>
              </w:rPr>
            </w:pPr>
          </w:p>
        </w:tc>
      </w:tr>
      <w:tr w14:paraId="4BEC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1C2FD83E">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14</w:t>
            </w:r>
          </w:p>
        </w:tc>
        <w:tc>
          <w:tcPr>
            <w:tcW w:w="1292" w:type="dxa"/>
            <w:vMerge w:val="restart"/>
            <w:vAlign w:val="center"/>
          </w:tcPr>
          <w:p w14:paraId="237073ED">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主起升柜</w:t>
            </w:r>
          </w:p>
        </w:tc>
        <w:tc>
          <w:tcPr>
            <w:tcW w:w="3317" w:type="dxa"/>
          </w:tcPr>
          <w:p w14:paraId="05937CA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所有元件除灰处理</w:t>
            </w:r>
          </w:p>
        </w:tc>
        <w:tc>
          <w:tcPr>
            <w:tcW w:w="3156" w:type="dxa"/>
          </w:tcPr>
          <w:p w14:paraId="06E7E8B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631D7221">
            <w:pPr>
              <w:snapToGrid w:val="0"/>
              <w:spacing w:line="276" w:lineRule="auto"/>
              <w:rPr>
                <w:rFonts w:hint="eastAsia" w:ascii="宋体" w:hAnsi="宋体" w:cs="宋体"/>
                <w:color w:val="auto"/>
                <w:szCs w:val="21"/>
                <w:highlight w:val="none"/>
              </w:rPr>
            </w:pPr>
          </w:p>
        </w:tc>
      </w:tr>
      <w:tr w14:paraId="336C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1B583A1">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4991B61">
            <w:pPr>
              <w:snapToGrid w:val="0"/>
              <w:spacing w:line="276" w:lineRule="auto"/>
              <w:jc w:val="center"/>
              <w:rPr>
                <w:rFonts w:hint="eastAsia" w:ascii="宋体" w:hAnsi="宋体" w:cs="宋体"/>
                <w:color w:val="auto"/>
                <w:szCs w:val="21"/>
                <w:highlight w:val="none"/>
              </w:rPr>
            </w:pPr>
          </w:p>
        </w:tc>
        <w:tc>
          <w:tcPr>
            <w:tcW w:w="3317" w:type="dxa"/>
          </w:tcPr>
          <w:p w14:paraId="38C017F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端子排接线检查</w:t>
            </w:r>
          </w:p>
        </w:tc>
        <w:tc>
          <w:tcPr>
            <w:tcW w:w="3156" w:type="dxa"/>
          </w:tcPr>
          <w:p w14:paraId="4045EEC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接线紧固</w:t>
            </w:r>
          </w:p>
        </w:tc>
        <w:tc>
          <w:tcPr>
            <w:tcW w:w="743" w:type="dxa"/>
          </w:tcPr>
          <w:p w14:paraId="6BF139FA">
            <w:pPr>
              <w:snapToGrid w:val="0"/>
              <w:spacing w:line="276" w:lineRule="auto"/>
              <w:rPr>
                <w:rFonts w:hint="eastAsia" w:ascii="宋体" w:hAnsi="宋体" w:cs="宋体"/>
                <w:color w:val="auto"/>
                <w:szCs w:val="21"/>
                <w:highlight w:val="none"/>
              </w:rPr>
            </w:pPr>
          </w:p>
        </w:tc>
      </w:tr>
      <w:tr w14:paraId="54F2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18944C1">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AF99FE3">
            <w:pPr>
              <w:snapToGrid w:val="0"/>
              <w:spacing w:line="276" w:lineRule="auto"/>
              <w:jc w:val="center"/>
              <w:rPr>
                <w:rFonts w:hint="eastAsia" w:ascii="宋体" w:hAnsi="宋体" w:cs="宋体"/>
                <w:color w:val="auto"/>
                <w:szCs w:val="21"/>
                <w:highlight w:val="none"/>
              </w:rPr>
            </w:pPr>
          </w:p>
        </w:tc>
        <w:tc>
          <w:tcPr>
            <w:tcW w:w="3317" w:type="dxa"/>
          </w:tcPr>
          <w:p w14:paraId="0B0E501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保护开关、接触器、中间继电器动作检查</w:t>
            </w:r>
          </w:p>
        </w:tc>
        <w:tc>
          <w:tcPr>
            <w:tcW w:w="3156" w:type="dxa"/>
          </w:tcPr>
          <w:p w14:paraId="0A00234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0E07E26D">
            <w:pPr>
              <w:snapToGrid w:val="0"/>
              <w:spacing w:line="276" w:lineRule="auto"/>
              <w:rPr>
                <w:rFonts w:hint="eastAsia" w:ascii="宋体" w:hAnsi="宋体" w:cs="宋体"/>
                <w:color w:val="auto"/>
                <w:szCs w:val="21"/>
                <w:highlight w:val="none"/>
              </w:rPr>
            </w:pPr>
          </w:p>
        </w:tc>
      </w:tr>
      <w:tr w14:paraId="5917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A6DBBE4">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7EF8E86E">
            <w:pPr>
              <w:snapToGrid w:val="0"/>
              <w:spacing w:line="276" w:lineRule="auto"/>
              <w:jc w:val="center"/>
              <w:rPr>
                <w:rFonts w:hint="eastAsia" w:ascii="宋体" w:hAnsi="宋体" w:cs="宋体"/>
                <w:color w:val="auto"/>
                <w:szCs w:val="21"/>
                <w:highlight w:val="none"/>
              </w:rPr>
            </w:pPr>
          </w:p>
        </w:tc>
        <w:tc>
          <w:tcPr>
            <w:tcW w:w="3317" w:type="dxa"/>
          </w:tcPr>
          <w:p w14:paraId="630E2FE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主起变频器的参数检查</w:t>
            </w:r>
          </w:p>
        </w:tc>
        <w:tc>
          <w:tcPr>
            <w:tcW w:w="3156" w:type="dxa"/>
          </w:tcPr>
          <w:p w14:paraId="3922A80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参数正常</w:t>
            </w:r>
          </w:p>
        </w:tc>
        <w:tc>
          <w:tcPr>
            <w:tcW w:w="743" w:type="dxa"/>
          </w:tcPr>
          <w:p w14:paraId="3CDEA010">
            <w:pPr>
              <w:snapToGrid w:val="0"/>
              <w:spacing w:line="276" w:lineRule="auto"/>
              <w:rPr>
                <w:rFonts w:hint="eastAsia" w:ascii="宋体" w:hAnsi="宋体" w:cs="宋体"/>
                <w:color w:val="auto"/>
                <w:szCs w:val="21"/>
                <w:highlight w:val="none"/>
              </w:rPr>
            </w:pPr>
          </w:p>
        </w:tc>
      </w:tr>
      <w:tr w14:paraId="0795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048D957A">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15</w:t>
            </w:r>
          </w:p>
        </w:tc>
        <w:tc>
          <w:tcPr>
            <w:tcW w:w="1292" w:type="dxa"/>
            <w:vMerge w:val="restart"/>
            <w:vAlign w:val="center"/>
          </w:tcPr>
          <w:p w14:paraId="6A77C1FA">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运行柜</w:t>
            </w:r>
          </w:p>
        </w:tc>
        <w:tc>
          <w:tcPr>
            <w:tcW w:w="3317" w:type="dxa"/>
          </w:tcPr>
          <w:p w14:paraId="28524DF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所有元件除灰处理</w:t>
            </w:r>
          </w:p>
        </w:tc>
        <w:tc>
          <w:tcPr>
            <w:tcW w:w="3156" w:type="dxa"/>
          </w:tcPr>
          <w:p w14:paraId="7EE32F1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35BF5B47">
            <w:pPr>
              <w:snapToGrid w:val="0"/>
              <w:spacing w:line="276" w:lineRule="auto"/>
              <w:rPr>
                <w:rFonts w:hint="eastAsia" w:ascii="宋体" w:hAnsi="宋体" w:cs="宋体"/>
                <w:color w:val="auto"/>
                <w:szCs w:val="21"/>
                <w:highlight w:val="none"/>
              </w:rPr>
            </w:pPr>
          </w:p>
        </w:tc>
      </w:tr>
      <w:tr w14:paraId="4424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0052125">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F60A044">
            <w:pPr>
              <w:snapToGrid w:val="0"/>
              <w:spacing w:line="276" w:lineRule="auto"/>
              <w:jc w:val="center"/>
              <w:rPr>
                <w:rFonts w:hint="eastAsia" w:ascii="宋体" w:hAnsi="宋体" w:cs="宋体"/>
                <w:color w:val="auto"/>
                <w:szCs w:val="21"/>
                <w:highlight w:val="none"/>
              </w:rPr>
            </w:pPr>
          </w:p>
        </w:tc>
        <w:tc>
          <w:tcPr>
            <w:tcW w:w="3317" w:type="dxa"/>
          </w:tcPr>
          <w:p w14:paraId="6891AB0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端子排接线检查</w:t>
            </w:r>
          </w:p>
        </w:tc>
        <w:tc>
          <w:tcPr>
            <w:tcW w:w="3156" w:type="dxa"/>
          </w:tcPr>
          <w:p w14:paraId="6673FF01">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接线紧固</w:t>
            </w:r>
          </w:p>
        </w:tc>
        <w:tc>
          <w:tcPr>
            <w:tcW w:w="743" w:type="dxa"/>
          </w:tcPr>
          <w:p w14:paraId="3BB1A536">
            <w:pPr>
              <w:snapToGrid w:val="0"/>
              <w:spacing w:line="276" w:lineRule="auto"/>
              <w:rPr>
                <w:rFonts w:hint="eastAsia" w:ascii="宋体" w:hAnsi="宋体" w:cs="宋体"/>
                <w:color w:val="auto"/>
                <w:szCs w:val="21"/>
                <w:highlight w:val="none"/>
              </w:rPr>
            </w:pPr>
          </w:p>
        </w:tc>
      </w:tr>
      <w:tr w14:paraId="4F9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D80A9ED">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F2363E7">
            <w:pPr>
              <w:snapToGrid w:val="0"/>
              <w:spacing w:line="276" w:lineRule="auto"/>
              <w:jc w:val="center"/>
              <w:rPr>
                <w:rFonts w:hint="eastAsia" w:ascii="宋体" w:hAnsi="宋体" w:cs="宋体"/>
                <w:color w:val="auto"/>
                <w:szCs w:val="21"/>
                <w:highlight w:val="none"/>
              </w:rPr>
            </w:pPr>
          </w:p>
        </w:tc>
        <w:tc>
          <w:tcPr>
            <w:tcW w:w="3317" w:type="dxa"/>
          </w:tcPr>
          <w:p w14:paraId="7ECF733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保护开关、接触器、中间继电器动作检查</w:t>
            </w:r>
          </w:p>
        </w:tc>
        <w:tc>
          <w:tcPr>
            <w:tcW w:w="3156" w:type="dxa"/>
          </w:tcPr>
          <w:p w14:paraId="5DCB18A8">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61CAC807">
            <w:pPr>
              <w:snapToGrid w:val="0"/>
              <w:spacing w:line="276" w:lineRule="auto"/>
              <w:rPr>
                <w:rFonts w:hint="eastAsia" w:ascii="宋体" w:hAnsi="宋体" w:cs="宋体"/>
                <w:color w:val="auto"/>
                <w:szCs w:val="21"/>
                <w:highlight w:val="none"/>
              </w:rPr>
            </w:pPr>
          </w:p>
        </w:tc>
      </w:tr>
      <w:tr w14:paraId="2740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155AC27">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7953067">
            <w:pPr>
              <w:snapToGrid w:val="0"/>
              <w:spacing w:line="276" w:lineRule="auto"/>
              <w:jc w:val="center"/>
              <w:rPr>
                <w:rFonts w:hint="eastAsia" w:ascii="宋体" w:hAnsi="宋体" w:cs="宋体"/>
                <w:color w:val="auto"/>
                <w:szCs w:val="21"/>
                <w:highlight w:val="none"/>
              </w:rPr>
            </w:pPr>
          </w:p>
        </w:tc>
        <w:tc>
          <w:tcPr>
            <w:tcW w:w="3317" w:type="dxa"/>
          </w:tcPr>
          <w:p w14:paraId="04A2A77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小车变频器参数的检查</w:t>
            </w:r>
          </w:p>
        </w:tc>
        <w:tc>
          <w:tcPr>
            <w:tcW w:w="3156" w:type="dxa"/>
          </w:tcPr>
          <w:p w14:paraId="1521ED9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参数正常</w:t>
            </w:r>
          </w:p>
        </w:tc>
        <w:tc>
          <w:tcPr>
            <w:tcW w:w="743" w:type="dxa"/>
          </w:tcPr>
          <w:p w14:paraId="3E374038">
            <w:pPr>
              <w:snapToGrid w:val="0"/>
              <w:spacing w:line="276" w:lineRule="auto"/>
              <w:rPr>
                <w:rFonts w:hint="eastAsia" w:ascii="宋体" w:hAnsi="宋体" w:cs="宋体"/>
                <w:color w:val="auto"/>
                <w:szCs w:val="21"/>
                <w:highlight w:val="none"/>
              </w:rPr>
            </w:pPr>
          </w:p>
        </w:tc>
      </w:tr>
      <w:tr w14:paraId="2E9F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AC7A5BC">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F38028D">
            <w:pPr>
              <w:snapToGrid w:val="0"/>
              <w:spacing w:line="276" w:lineRule="auto"/>
              <w:jc w:val="center"/>
              <w:rPr>
                <w:rFonts w:hint="eastAsia" w:ascii="宋体" w:hAnsi="宋体" w:cs="宋体"/>
                <w:color w:val="auto"/>
                <w:szCs w:val="21"/>
                <w:highlight w:val="none"/>
              </w:rPr>
            </w:pPr>
          </w:p>
        </w:tc>
        <w:tc>
          <w:tcPr>
            <w:tcW w:w="3317" w:type="dxa"/>
          </w:tcPr>
          <w:p w14:paraId="7029300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大车变频器参数的检查</w:t>
            </w:r>
          </w:p>
        </w:tc>
        <w:tc>
          <w:tcPr>
            <w:tcW w:w="3156" w:type="dxa"/>
          </w:tcPr>
          <w:p w14:paraId="6AABF6D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参数正常</w:t>
            </w:r>
          </w:p>
        </w:tc>
        <w:tc>
          <w:tcPr>
            <w:tcW w:w="743" w:type="dxa"/>
          </w:tcPr>
          <w:p w14:paraId="5C26B586">
            <w:pPr>
              <w:snapToGrid w:val="0"/>
              <w:spacing w:line="276" w:lineRule="auto"/>
              <w:rPr>
                <w:rFonts w:hint="eastAsia" w:ascii="宋体" w:hAnsi="宋体" w:cs="宋体"/>
                <w:color w:val="auto"/>
                <w:szCs w:val="21"/>
                <w:highlight w:val="none"/>
              </w:rPr>
            </w:pPr>
          </w:p>
        </w:tc>
      </w:tr>
      <w:tr w14:paraId="6EF7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5E4D030C">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16</w:t>
            </w:r>
          </w:p>
        </w:tc>
        <w:tc>
          <w:tcPr>
            <w:tcW w:w="1292" w:type="dxa"/>
            <w:vMerge w:val="restart"/>
            <w:vAlign w:val="center"/>
          </w:tcPr>
          <w:p w14:paraId="2D3CA0EC">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副起升柜</w:t>
            </w:r>
          </w:p>
        </w:tc>
        <w:tc>
          <w:tcPr>
            <w:tcW w:w="3317" w:type="dxa"/>
          </w:tcPr>
          <w:p w14:paraId="763366C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所有元件除灰处理</w:t>
            </w:r>
          </w:p>
        </w:tc>
        <w:tc>
          <w:tcPr>
            <w:tcW w:w="3156" w:type="dxa"/>
          </w:tcPr>
          <w:p w14:paraId="6C0A79CF">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0BBF9C45">
            <w:pPr>
              <w:snapToGrid w:val="0"/>
              <w:spacing w:line="276" w:lineRule="auto"/>
              <w:rPr>
                <w:rFonts w:hint="eastAsia" w:ascii="宋体" w:hAnsi="宋体" w:cs="宋体"/>
                <w:color w:val="auto"/>
                <w:szCs w:val="21"/>
                <w:highlight w:val="none"/>
              </w:rPr>
            </w:pPr>
          </w:p>
        </w:tc>
      </w:tr>
      <w:tr w14:paraId="5434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EEADFDB">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175C90E7">
            <w:pPr>
              <w:snapToGrid w:val="0"/>
              <w:spacing w:line="276" w:lineRule="auto"/>
              <w:jc w:val="center"/>
              <w:rPr>
                <w:rFonts w:hint="eastAsia" w:ascii="宋体" w:hAnsi="宋体" w:cs="宋体"/>
                <w:color w:val="auto"/>
                <w:szCs w:val="21"/>
                <w:highlight w:val="none"/>
              </w:rPr>
            </w:pPr>
          </w:p>
        </w:tc>
        <w:tc>
          <w:tcPr>
            <w:tcW w:w="3317" w:type="dxa"/>
          </w:tcPr>
          <w:p w14:paraId="4C1728A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端子排接线检查</w:t>
            </w:r>
          </w:p>
        </w:tc>
        <w:tc>
          <w:tcPr>
            <w:tcW w:w="3156" w:type="dxa"/>
          </w:tcPr>
          <w:p w14:paraId="43DC3A5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接线紧固</w:t>
            </w:r>
          </w:p>
        </w:tc>
        <w:tc>
          <w:tcPr>
            <w:tcW w:w="743" w:type="dxa"/>
          </w:tcPr>
          <w:p w14:paraId="79B22AEF">
            <w:pPr>
              <w:snapToGrid w:val="0"/>
              <w:spacing w:line="276" w:lineRule="auto"/>
              <w:rPr>
                <w:rFonts w:hint="eastAsia" w:ascii="宋体" w:hAnsi="宋体" w:cs="宋体"/>
                <w:color w:val="auto"/>
                <w:szCs w:val="21"/>
                <w:highlight w:val="none"/>
              </w:rPr>
            </w:pPr>
          </w:p>
        </w:tc>
      </w:tr>
      <w:tr w14:paraId="34B4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CD98702">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47893176">
            <w:pPr>
              <w:snapToGrid w:val="0"/>
              <w:spacing w:line="276" w:lineRule="auto"/>
              <w:jc w:val="center"/>
              <w:rPr>
                <w:rFonts w:hint="eastAsia" w:ascii="宋体" w:hAnsi="宋体" w:cs="宋体"/>
                <w:color w:val="auto"/>
                <w:szCs w:val="21"/>
                <w:highlight w:val="none"/>
              </w:rPr>
            </w:pPr>
          </w:p>
        </w:tc>
        <w:tc>
          <w:tcPr>
            <w:tcW w:w="3317" w:type="dxa"/>
          </w:tcPr>
          <w:p w14:paraId="2AB3026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保护开关、接触器、中间继电器动作检查</w:t>
            </w:r>
          </w:p>
        </w:tc>
        <w:tc>
          <w:tcPr>
            <w:tcW w:w="3156" w:type="dxa"/>
          </w:tcPr>
          <w:p w14:paraId="7F9B12E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1A82DCA6">
            <w:pPr>
              <w:snapToGrid w:val="0"/>
              <w:spacing w:line="276" w:lineRule="auto"/>
              <w:rPr>
                <w:rFonts w:hint="eastAsia" w:ascii="宋体" w:hAnsi="宋体" w:cs="宋体"/>
                <w:color w:val="auto"/>
                <w:szCs w:val="21"/>
                <w:highlight w:val="none"/>
              </w:rPr>
            </w:pPr>
          </w:p>
        </w:tc>
      </w:tr>
      <w:tr w14:paraId="1C5A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D806FAB">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B078E43">
            <w:pPr>
              <w:snapToGrid w:val="0"/>
              <w:spacing w:line="276" w:lineRule="auto"/>
              <w:jc w:val="center"/>
              <w:rPr>
                <w:rFonts w:hint="eastAsia" w:ascii="宋体" w:hAnsi="宋体" w:cs="宋体"/>
                <w:color w:val="auto"/>
                <w:szCs w:val="21"/>
                <w:highlight w:val="none"/>
              </w:rPr>
            </w:pPr>
          </w:p>
        </w:tc>
        <w:tc>
          <w:tcPr>
            <w:tcW w:w="3317" w:type="dxa"/>
          </w:tcPr>
          <w:p w14:paraId="25FE87D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副起变频器的参数检查</w:t>
            </w:r>
          </w:p>
        </w:tc>
        <w:tc>
          <w:tcPr>
            <w:tcW w:w="3156" w:type="dxa"/>
          </w:tcPr>
          <w:p w14:paraId="39FC4C1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参数正常</w:t>
            </w:r>
          </w:p>
        </w:tc>
        <w:tc>
          <w:tcPr>
            <w:tcW w:w="743" w:type="dxa"/>
          </w:tcPr>
          <w:p w14:paraId="1DCB9BC2">
            <w:pPr>
              <w:snapToGrid w:val="0"/>
              <w:spacing w:line="276" w:lineRule="auto"/>
              <w:rPr>
                <w:rFonts w:hint="eastAsia" w:ascii="宋体" w:hAnsi="宋体" w:cs="宋体"/>
                <w:color w:val="auto"/>
                <w:szCs w:val="21"/>
                <w:highlight w:val="none"/>
              </w:rPr>
            </w:pPr>
          </w:p>
        </w:tc>
      </w:tr>
      <w:tr w14:paraId="3A74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63CF840C">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17</w:t>
            </w:r>
          </w:p>
        </w:tc>
        <w:tc>
          <w:tcPr>
            <w:tcW w:w="1292" w:type="dxa"/>
            <w:vMerge w:val="restart"/>
            <w:vAlign w:val="center"/>
          </w:tcPr>
          <w:p w14:paraId="45C35467">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制动电阻柜</w:t>
            </w:r>
          </w:p>
        </w:tc>
        <w:tc>
          <w:tcPr>
            <w:tcW w:w="3317" w:type="dxa"/>
          </w:tcPr>
          <w:p w14:paraId="295D4AB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电阻的除灰处理</w:t>
            </w:r>
          </w:p>
        </w:tc>
        <w:tc>
          <w:tcPr>
            <w:tcW w:w="3156" w:type="dxa"/>
          </w:tcPr>
          <w:p w14:paraId="676F722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清洁干净</w:t>
            </w:r>
          </w:p>
        </w:tc>
        <w:tc>
          <w:tcPr>
            <w:tcW w:w="743" w:type="dxa"/>
          </w:tcPr>
          <w:p w14:paraId="2DE49E5B">
            <w:pPr>
              <w:snapToGrid w:val="0"/>
              <w:spacing w:line="276" w:lineRule="auto"/>
              <w:rPr>
                <w:rFonts w:hint="eastAsia" w:ascii="宋体" w:hAnsi="宋体" w:cs="宋体"/>
                <w:color w:val="auto"/>
                <w:szCs w:val="21"/>
                <w:highlight w:val="none"/>
              </w:rPr>
            </w:pPr>
          </w:p>
        </w:tc>
      </w:tr>
      <w:tr w14:paraId="5FC6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AB9E016">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014739B3">
            <w:pPr>
              <w:snapToGrid w:val="0"/>
              <w:spacing w:line="276" w:lineRule="auto"/>
              <w:jc w:val="center"/>
              <w:rPr>
                <w:rFonts w:hint="eastAsia" w:ascii="宋体" w:hAnsi="宋体" w:cs="宋体"/>
                <w:color w:val="auto"/>
                <w:szCs w:val="21"/>
                <w:highlight w:val="none"/>
              </w:rPr>
            </w:pPr>
          </w:p>
        </w:tc>
        <w:tc>
          <w:tcPr>
            <w:tcW w:w="3317" w:type="dxa"/>
          </w:tcPr>
          <w:p w14:paraId="281FE8B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制动电阻的阻值测量</w:t>
            </w:r>
          </w:p>
        </w:tc>
        <w:tc>
          <w:tcPr>
            <w:tcW w:w="3156" w:type="dxa"/>
          </w:tcPr>
          <w:p w14:paraId="1F26457C">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阻值正常</w:t>
            </w:r>
          </w:p>
        </w:tc>
        <w:tc>
          <w:tcPr>
            <w:tcW w:w="743" w:type="dxa"/>
          </w:tcPr>
          <w:p w14:paraId="34935E5D">
            <w:pPr>
              <w:snapToGrid w:val="0"/>
              <w:spacing w:line="276" w:lineRule="auto"/>
              <w:rPr>
                <w:rFonts w:hint="eastAsia" w:ascii="宋体" w:hAnsi="宋体" w:cs="宋体"/>
                <w:color w:val="auto"/>
                <w:szCs w:val="21"/>
                <w:highlight w:val="none"/>
              </w:rPr>
            </w:pPr>
          </w:p>
        </w:tc>
      </w:tr>
      <w:tr w14:paraId="4421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5FF67F34">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18</w:t>
            </w:r>
          </w:p>
        </w:tc>
        <w:tc>
          <w:tcPr>
            <w:tcW w:w="1292" w:type="dxa"/>
            <w:vMerge w:val="restart"/>
            <w:vAlign w:val="center"/>
          </w:tcPr>
          <w:p w14:paraId="24640718">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转接端子箱</w:t>
            </w:r>
          </w:p>
        </w:tc>
        <w:tc>
          <w:tcPr>
            <w:tcW w:w="3317" w:type="dxa"/>
          </w:tcPr>
          <w:p w14:paraId="55907BB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固定侧转接端子箱接线检查</w:t>
            </w:r>
          </w:p>
        </w:tc>
        <w:tc>
          <w:tcPr>
            <w:tcW w:w="3156" w:type="dxa"/>
          </w:tcPr>
          <w:p w14:paraId="4F2FD306">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接线无误</w:t>
            </w:r>
          </w:p>
        </w:tc>
        <w:tc>
          <w:tcPr>
            <w:tcW w:w="743" w:type="dxa"/>
          </w:tcPr>
          <w:p w14:paraId="66695D7F">
            <w:pPr>
              <w:snapToGrid w:val="0"/>
              <w:spacing w:line="276" w:lineRule="auto"/>
              <w:rPr>
                <w:rFonts w:hint="eastAsia" w:ascii="宋体" w:hAnsi="宋体" w:cs="宋体"/>
                <w:color w:val="auto"/>
                <w:szCs w:val="21"/>
                <w:highlight w:val="none"/>
              </w:rPr>
            </w:pPr>
          </w:p>
        </w:tc>
      </w:tr>
      <w:tr w14:paraId="63C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3F83ACE">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555C571B">
            <w:pPr>
              <w:snapToGrid w:val="0"/>
              <w:spacing w:line="276" w:lineRule="auto"/>
              <w:jc w:val="center"/>
              <w:rPr>
                <w:rFonts w:hint="eastAsia" w:ascii="宋体" w:hAnsi="宋体" w:cs="宋体"/>
                <w:color w:val="auto"/>
                <w:szCs w:val="21"/>
                <w:highlight w:val="none"/>
              </w:rPr>
            </w:pPr>
          </w:p>
        </w:tc>
        <w:tc>
          <w:tcPr>
            <w:tcW w:w="3317" w:type="dxa"/>
          </w:tcPr>
          <w:p w14:paraId="492444D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移动侧转接端子箱接线检查</w:t>
            </w:r>
          </w:p>
        </w:tc>
        <w:tc>
          <w:tcPr>
            <w:tcW w:w="3156" w:type="dxa"/>
          </w:tcPr>
          <w:p w14:paraId="142444D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接线无误</w:t>
            </w:r>
          </w:p>
        </w:tc>
        <w:tc>
          <w:tcPr>
            <w:tcW w:w="743" w:type="dxa"/>
          </w:tcPr>
          <w:p w14:paraId="3FB86F55">
            <w:pPr>
              <w:snapToGrid w:val="0"/>
              <w:spacing w:line="276" w:lineRule="auto"/>
              <w:rPr>
                <w:rFonts w:hint="eastAsia" w:ascii="宋体" w:hAnsi="宋体" w:cs="宋体"/>
                <w:color w:val="auto"/>
                <w:szCs w:val="21"/>
                <w:highlight w:val="none"/>
              </w:rPr>
            </w:pPr>
          </w:p>
        </w:tc>
      </w:tr>
      <w:tr w14:paraId="08E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28A75117">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19</w:t>
            </w:r>
          </w:p>
        </w:tc>
        <w:tc>
          <w:tcPr>
            <w:tcW w:w="1292" w:type="dxa"/>
            <w:vMerge w:val="restart"/>
            <w:vAlign w:val="center"/>
          </w:tcPr>
          <w:p w14:paraId="36E62830">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司机室</w:t>
            </w:r>
          </w:p>
        </w:tc>
        <w:tc>
          <w:tcPr>
            <w:tcW w:w="3317" w:type="dxa"/>
          </w:tcPr>
          <w:p w14:paraId="757D9C9A">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联动台端子排接线检查</w:t>
            </w:r>
          </w:p>
        </w:tc>
        <w:tc>
          <w:tcPr>
            <w:tcW w:w="3156" w:type="dxa"/>
          </w:tcPr>
          <w:p w14:paraId="3ECE0D4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接线无误</w:t>
            </w:r>
          </w:p>
        </w:tc>
        <w:tc>
          <w:tcPr>
            <w:tcW w:w="743" w:type="dxa"/>
          </w:tcPr>
          <w:p w14:paraId="08D11327">
            <w:pPr>
              <w:snapToGrid w:val="0"/>
              <w:spacing w:line="276" w:lineRule="auto"/>
              <w:rPr>
                <w:rFonts w:hint="eastAsia" w:ascii="宋体" w:hAnsi="宋体" w:cs="宋体"/>
                <w:color w:val="auto"/>
                <w:szCs w:val="21"/>
                <w:highlight w:val="none"/>
              </w:rPr>
            </w:pPr>
          </w:p>
        </w:tc>
      </w:tr>
      <w:tr w14:paraId="2D1E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E746911">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760EF576">
            <w:pPr>
              <w:snapToGrid w:val="0"/>
              <w:spacing w:line="276" w:lineRule="auto"/>
              <w:jc w:val="center"/>
              <w:rPr>
                <w:rFonts w:hint="eastAsia" w:ascii="宋体" w:hAnsi="宋体" w:cs="宋体"/>
                <w:color w:val="auto"/>
                <w:szCs w:val="21"/>
                <w:highlight w:val="none"/>
              </w:rPr>
            </w:pPr>
          </w:p>
        </w:tc>
        <w:tc>
          <w:tcPr>
            <w:tcW w:w="3317" w:type="dxa"/>
          </w:tcPr>
          <w:p w14:paraId="0BEB296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操作手柄的检查</w:t>
            </w:r>
          </w:p>
        </w:tc>
        <w:tc>
          <w:tcPr>
            <w:tcW w:w="3156" w:type="dxa"/>
          </w:tcPr>
          <w:p w14:paraId="5F1B4C9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w:t>
            </w:r>
          </w:p>
        </w:tc>
        <w:tc>
          <w:tcPr>
            <w:tcW w:w="743" w:type="dxa"/>
          </w:tcPr>
          <w:p w14:paraId="79F2B17F">
            <w:pPr>
              <w:snapToGrid w:val="0"/>
              <w:spacing w:line="276" w:lineRule="auto"/>
              <w:rPr>
                <w:rFonts w:hint="eastAsia" w:ascii="宋体" w:hAnsi="宋体" w:cs="宋体"/>
                <w:color w:val="auto"/>
                <w:szCs w:val="21"/>
                <w:highlight w:val="none"/>
              </w:rPr>
            </w:pPr>
          </w:p>
        </w:tc>
      </w:tr>
      <w:tr w14:paraId="617C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64BE145">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652345CF">
            <w:pPr>
              <w:snapToGrid w:val="0"/>
              <w:spacing w:line="276" w:lineRule="auto"/>
              <w:jc w:val="center"/>
              <w:rPr>
                <w:rFonts w:hint="eastAsia" w:ascii="宋体" w:hAnsi="宋体" w:cs="宋体"/>
                <w:color w:val="auto"/>
                <w:szCs w:val="21"/>
                <w:highlight w:val="none"/>
              </w:rPr>
            </w:pPr>
          </w:p>
        </w:tc>
        <w:tc>
          <w:tcPr>
            <w:tcW w:w="3317" w:type="dxa"/>
          </w:tcPr>
          <w:p w14:paraId="104CC62C">
            <w:pPr>
              <w:tabs>
                <w:tab w:val="left" w:pos="30"/>
              </w:tabs>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ab/>
            </w:r>
            <w:r>
              <w:rPr>
                <w:rFonts w:hint="eastAsia" w:ascii="宋体" w:hAnsi="宋体" w:cs="宋体"/>
                <w:color w:val="auto"/>
                <w:szCs w:val="21"/>
                <w:highlight w:val="none"/>
              </w:rPr>
              <w:t>主起载荷仪表的检查</w:t>
            </w:r>
          </w:p>
        </w:tc>
        <w:tc>
          <w:tcPr>
            <w:tcW w:w="3156" w:type="dxa"/>
          </w:tcPr>
          <w:p w14:paraId="5CEA0B37">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显示正常</w:t>
            </w:r>
          </w:p>
        </w:tc>
        <w:tc>
          <w:tcPr>
            <w:tcW w:w="743" w:type="dxa"/>
          </w:tcPr>
          <w:p w14:paraId="2A7B9FC3">
            <w:pPr>
              <w:snapToGrid w:val="0"/>
              <w:spacing w:line="276" w:lineRule="auto"/>
              <w:rPr>
                <w:rFonts w:hint="eastAsia" w:ascii="宋体" w:hAnsi="宋体" w:cs="宋体"/>
                <w:color w:val="auto"/>
                <w:szCs w:val="21"/>
                <w:highlight w:val="none"/>
              </w:rPr>
            </w:pPr>
          </w:p>
        </w:tc>
      </w:tr>
      <w:tr w14:paraId="49E8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46A461F6">
            <w:pPr>
              <w:snapToGrid w:val="0"/>
              <w:spacing w:line="276" w:lineRule="auto"/>
              <w:jc w:val="center"/>
              <w:rPr>
                <w:rFonts w:hint="eastAsia" w:ascii="宋体" w:hAnsi="宋体" w:cs="宋体"/>
                <w:b/>
                <w:color w:val="auto"/>
                <w:szCs w:val="21"/>
                <w:highlight w:val="none"/>
              </w:rPr>
            </w:pPr>
          </w:p>
        </w:tc>
        <w:tc>
          <w:tcPr>
            <w:tcW w:w="1292" w:type="dxa"/>
            <w:vMerge w:val="continue"/>
            <w:vAlign w:val="center"/>
          </w:tcPr>
          <w:p w14:paraId="23CDF0D2">
            <w:pPr>
              <w:snapToGrid w:val="0"/>
              <w:spacing w:line="276" w:lineRule="auto"/>
              <w:jc w:val="center"/>
              <w:rPr>
                <w:rFonts w:hint="eastAsia" w:ascii="宋体" w:hAnsi="宋体" w:cs="宋体"/>
                <w:color w:val="auto"/>
                <w:szCs w:val="21"/>
                <w:highlight w:val="none"/>
              </w:rPr>
            </w:pPr>
          </w:p>
        </w:tc>
        <w:tc>
          <w:tcPr>
            <w:tcW w:w="3317" w:type="dxa"/>
          </w:tcPr>
          <w:p w14:paraId="2BB2883D">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副起载荷仪表的检查</w:t>
            </w:r>
          </w:p>
        </w:tc>
        <w:tc>
          <w:tcPr>
            <w:tcW w:w="3156" w:type="dxa"/>
          </w:tcPr>
          <w:p w14:paraId="5AA9F24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显示正常</w:t>
            </w:r>
          </w:p>
        </w:tc>
        <w:tc>
          <w:tcPr>
            <w:tcW w:w="743" w:type="dxa"/>
          </w:tcPr>
          <w:p w14:paraId="6FC7B2AB">
            <w:pPr>
              <w:snapToGrid w:val="0"/>
              <w:spacing w:line="276" w:lineRule="auto"/>
              <w:rPr>
                <w:rFonts w:hint="eastAsia" w:ascii="宋体" w:hAnsi="宋体" w:cs="宋体"/>
                <w:color w:val="auto"/>
                <w:szCs w:val="21"/>
                <w:highlight w:val="none"/>
              </w:rPr>
            </w:pPr>
          </w:p>
        </w:tc>
      </w:tr>
      <w:tr w14:paraId="2A8E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77634825">
            <w:pPr>
              <w:snapToGrid w:val="0"/>
              <w:spacing w:line="276"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20</w:t>
            </w:r>
          </w:p>
        </w:tc>
        <w:tc>
          <w:tcPr>
            <w:tcW w:w="1292" w:type="dxa"/>
            <w:vMerge w:val="restart"/>
            <w:vAlign w:val="center"/>
          </w:tcPr>
          <w:p w14:paraId="58859556">
            <w:pPr>
              <w:snapToGrid w:val="0"/>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限位</w:t>
            </w:r>
          </w:p>
        </w:tc>
        <w:tc>
          <w:tcPr>
            <w:tcW w:w="3317" w:type="dxa"/>
          </w:tcPr>
          <w:p w14:paraId="340189F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高度限位器的检查</w:t>
            </w:r>
          </w:p>
        </w:tc>
        <w:tc>
          <w:tcPr>
            <w:tcW w:w="3156" w:type="dxa"/>
          </w:tcPr>
          <w:p w14:paraId="12046D8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动作可靠</w:t>
            </w:r>
          </w:p>
        </w:tc>
        <w:tc>
          <w:tcPr>
            <w:tcW w:w="743" w:type="dxa"/>
          </w:tcPr>
          <w:p w14:paraId="10326B3A">
            <w:pPr>
              <w:snapToGrid w:val="0"/>
              <w:spacing w:line="276" w:lineRule="auto"/>
              <w:rPr>
                <w:rFonts w:hint="eastAsia" w:ascii="宋体" w:hAnsi="宋体" w:cs="宋体"/>
                <w:color w:val="auto"/>
                <w:szCs w:val="21"/>
                <w:highlight w:val="none"/>
              </w:rPr>
            </w:pPr>
          </w:p>
        </w:tc>
      </w:tr>
      <w:tr w14:paraId="15EA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E48CB6A">
            <w:pPr>
              <w:snapToGrid w:val="0"/>
              <w:spacing w:line="276" w:lineRule="auto"/>
              <w:jc w:val="center"/>
              <w:rPr>
                <w:rFonts w:hint="eastAsia" w:ascii="宋体" w:hAnsi="宋体" w:cs="宋体"/>
                <w:color w:val="auto"/>
                <w:szCs w:val="21"/>
                <w:highlight w:val="none"/>
              </w:rPr>
            </w:pPr>
          </w:p>
        </w:tc>
        <w:tc>
          <w:tcPr>
            <w:tcW w:w="1292" w:type="dxa"/>
            <w:vMerge w:val="continue"/>
          </w:tcPr>
          <w:p w14:paraId="77A27DF7">
            <w:pPr>
              <w:snapToGrid w:val="0"/>
              <w:spacing w:line="276" w:lineRule="auto"/>
              <w:rPr>
                <w:rFonts w:hint="eastAsia" w:ascii="宋体" w:hAnsi="宋体" w:cs="宋体"/>
                <w:color w:val="auto"/>
                <w:szCs w:val="21"/>
                <w:highlight w:val="none"/>
              </w:rPr>
            </w:pPr>
          </w:p>
        </w:tc>
        <w:tc>
          <w:tcPr>
            <w:tcW w:w="3317" w:type="dxa"/>
          </w:tcPr>
          <w:p w14:paraId="215BDB29">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门限位开关的检查</w:t>
            </w:r>
          </w:p>
        </w:tc>
        <w:tc>
          <w:tcPr>
            <w:tcW w:w="3156" w:type="dxa"/>
          </w:tcPr>
          <w:p w14:paraId="104B8C1E">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动作灵活、可靠</w:t>
            </w:r>
          </w:p>
        </w:tc>
        <w:tc>
          <w:tcPr>
            <w:tcW w:w="743" w:type="dxa"/>
          </w:tcPr>
          <w:p w14:paraId="556835A8">
            <w:pPr>
              <w:snapToGrid w:val="0"/>
              <w:spacing w:line="276" w:lineRule="auto"/>
              <w:rPr>
                <w:rFonts w:hint="eastAsia" w:ascii="宋体" w:hAnsi="宋体" w:cs="宋体"/>
                <w:color w:val="auto"/>
                <w:szCs w:val="21"/>
                <w:highlight w:val="none"/>
              </w:rPr>
            </w:pPr>
          </w:p>
        </w:tc>
      </w:tr>
      <w:tr w14:paraId="65B3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EF6EA2B">
            <w:pPr>
              <w:snapToGrid w:val="0"/>
              <w:spacing w:line="276" w:lineRule="auto"/>
              <w:jc w:val="center"/>
              <w:rPr>
                <w:rFonts w:hint="eastAsia" w:ascii="宋体" w:hAnsi="宋体" w:cs="宋体"/>
                <w:color w:val="auto"/>
                <w:szCs w:val="21"/>
                <w:highlight w:val="none"/>
              </w:rPr>
            </w:pPr>
          </w:p>
        </w:tc>
        <w:tc>
          <w:tcPr>
            <w:tcW w:w="1292" w:type="dxa"/>
            <w:vMerge w:val="continue"/>
          </w:tcPr>
          <w:p w14:paraId="7C52C7A5">
            <w:pPr>
              <w:snapToGrid w:val="0"/>
              <w:spacing w:line="276" w:lineRule="auto"/>
              <w:rPr>
                <w:rFonts w:hint="eastAsia" w:ascii="宋体" w:hAnsi="宋体" w:cs="宋体"/>
                <w:color w:val="auto"/>
                <w:szCs w:val="21"/>
                <w:highlight w:val="none"/>
              </w:rPr>
            </w:pPr>
          </w:p>
        </w:tc>
        <w:tc>
          <w:tcPr>
            <w:tcW w:w="3317" w:type="dxa"/>
          </w:tcPr>
          <w:p w14:paraId="25578322">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行程限位开关的检查</w:t>
            </w:r>
          </w:p>
        </w:tc>
        <w:tc>
          <w:tcPr>
            <w:tcW w:w="3156" w:type="dxa"/>
          </w:tcPr>
          <w:p w14:paraId="3A149943">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动作灵活、可靠</w:t>
            </w:r>
          </w:p>
        </w:tc>
        <w:tc>
          <w:tcPr>
            <w:tcW w:w="743" w:type="dxa"/>
          </w:tcPr>
          <w:p w14:paraId="2404552A">
            <w:pPr>
              <w:snapToGrid w:val="0"/>
              <w:spacing w:line="276" w:lineRule="auto"/>
              <w:rPr>
                <w:rFonts w:hint="eastAsia" w:ascii="宋体" w:hAnsi="宋体" w:cs="宋体"/>
                <w:color w:val="auto"/>
                <w:szCs w:val="21"/>
                <w:highlight w:val="none"/>
              </w:rPr>
            </w:pPr>
          </w:p>
        </w:tc>
      </w:tr>
      <w:tr w14:paraId="3531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AAED46E">
            <w:pPr>
              <w:snapToGrid w:val="0"/>
              <w:spacing w:line="276" w:lineRule="auto"/>
              <w:jc w:val="center"/>
              <w:rPr>
                <w:rFonts w:hint="eastAsia" w:ascii="宋体" w:hAnsi="宋体" w:cs="宋体"/>
                <w:color w:val="auto"/>
                <w:szCs w:val="21"/>
                <w:highlight w:val="none"/>
              </w:rPr>
            </w:pPr>
          </w:p>
        </w:tc>
        <w:tc>
          <w:tcPr>
            <w:tcW w:w="1292" w:type="dxa"/>
            <w:vMerge w:val="continue"/>
          </w:tcPr>
          <w:p w14:paraId="38075DD0">
            <w:pPr>
              <w:snapToGrid w:val="0"/>
              <w:spacing w:line="276" w:lineRule="auto"/>
              <w:rPr>
                <w:rFonts w:hint="eastAsia" w:ascii="宋体" w:hAnsi="宋体" w:cs="宋体"/>
                <w:color w:val="auto"/>
                <w:szCs w:val="21"/>
                <w:highlight w:val="none"/>
              </w:rPr>
            </w:pPr>
          </w:p>
        </w:tc>
        <w:tc>
          <w:tcPr>
            <w:tcW w:w="3317" w:type="dxa"/>
          </w:tcPr>
          <w:p w14:paraId="76AD74B0">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接近开关的检查</w:t>
            </w:r>
          </w:p>
        </w:tc>
        <w:tc>
          <w:tcPr>
            <w:tcW w:w="3156" w:type="dxa"/>
          </w:tcPr>
          <w:p w14:paraId="0D970F85">
            <w:pPr>
              <w:snapToGrid w:val="0"/>
              <w:spacing w:line="276" w:lineRule="auto"/>
              <w:rPr>
                <w:rFonts w:hint="eastAsia" w:ascii="宋体" w:hAnsi="宋体" w:cs="宋体"/>
                <w:color w:val="auto"/>
                <w:szCs w:val="21"/>
                <w:highlight w:val="none"/>
              </w:rPr>
            </w:pPr>
            <w:r>
              <w:rPr>
                <w:rFonts w:hint="eastAsia" w:ascii="宋体" w:hAnsi="宋体" w:cs="宋体"/>
                <w:color w:val="auto"/>
                <w:szCs w:val="21"/>
                <w:highlight w:val="none"/>
              </w:rPr>
              <w:t>动作灵活、可靠</w:t>
            </w:r>
          </w:p>
        </w:tc>
        <w:tc>
          <w:tcPr>
            <w:tcW w:w="743" w:type="dxa"/>
          </w:tcPr>
          <w:p w14:paraId="2569A12F">
            <w:pPr>
              <w:snapToGrid w:val="0"/>
              <w:spacing w:line="276" w:lineRule="auto"/>
              <w:rPr>
                <w:rFonts w:hint="eastAsia" w:ascii="宋体" w:hAnsi="宋体" w:cs="宋体"/>
                <w:color w:val="auto"/>
                <w:szCs w:val="21"/>
                <w:highlight w:val="none"/>
              </w:rPr>
            </w:pPr>
          </w:p>
        </w:tc>
      </w:tr>
    </w:tbl>
    <w:p w14:paraId="0E020B1A">
      <w:pPr>
        <w:widowControl/>
        <w:snapToGrid w:val="0"/>
        <w:spacing w:line="360" w:lineRule="auto"/>
        <w:ind w:firstLine="422" w:firstLineChars="200"/>
        <w:jc w:val="left"/>
        <w:rPr>
          <w:rFonts w:hint="eastAsia" w:ascii="宋体" w:hAnsi="宋体" w:cs="宋体"/>
          <w:b/>
          <w:color w:val="auto"/>
          <w:szCs w:val="21"/>
          <w:highlight w:val="none"/>
        </w:rPr>
      </w:pPr>
    </w:p>
    <w:p w14:paraId="396528B2">
      <w:pPr>
        <w:widowControl/>
        <w:snapToGrid w:val="0"/>
        <w:spacing w:line="360" w:lineRule="auto"/>
        <w:ind w:firstLine="482" w:firstLineChars="200"/>
        <w:jc w:val="left"/>
        <w:rPr>
          <w:rFonts w:hint="eastAsia" w:ascii="宋体" w:hAnsi="宋体" w:cs="宋体"/>
          <w:snapToGrid w:val="0"/>
          <w:color w:val="auto"/>
          <w:sz w:val="24"/>
          <w:szCs w:val="24"/>
          <w:highlight w:val="none"/>
        </w:rPr>
      </w:pPr>
      <w:r>
        <w:rPr>
          <w:rFonts w:hint="eastAsia" w:ascii="宋体" w:hAnsi="宋体" w:cs="宋体"/>
          <w:b/>
          <w:color w:val="auto"/>
          <w:sz w:val="24"/>
          <w:szCs w:val="24"/>
          <w:highlight w:val="none"/>
        </w:rPr>
        <w:t>（4）</w:t>
      </w:r>
      <w:bookmarkStart w:id="78" w:name="_Hlk193809647"/>
      <w:r>
        <w:rPr>
          <w:rFonts w:hint="eastAsia" w:ascii="宋体" w:hAnsi="宋体" w:cs="宋体"/>
          <w:b/>
          <w:color w:val="auto"/>
          <w:sz w:val="24"/>
          <w:szCs w:val="24"/>
          <w:highlight w:val="none"/>
        </w:rPr>
        <w:t>成果要求：</w:t>
      </w:r>
      <w:r>
        <w:rPr>
          <w:rFonts w:hint="eastAsia" w:ascii="宋体" w:hAnsi="宋体" w:cs="宋体"/>
          <w:bCs/>
          <w:color w:val="auto"/>
          <w:sz w:val="24"/>
          <w:szCs w:val="24"/>
          <w:highlight w:val="none"/>
        </w:rPr>
        <w:t>提交桥机特种设备安全技术档案一份。包含桥机特种设备检验报告、定期检查记录、维护记录、日常使用状况记录、运行故障和事故记录等。</w:t>
      </w:r>
      <w:bookmarkEnd w:id="78"/>
    </w:p>
    <w:p w14:paraId="60C3E6AF">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2.2.3安全用具检测</w:t>
      </w:r>
    </w:p>
    <w:p w14:paraId="49B7A1A8">
      <w:pPr>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1）工作内容：对泵站35kV配电房、10kV配电房和内的安全器具按照其有效期的需要进行定期检测。工程共有安全器具为：35kV安全验电器2只，绝缘手套2付、绝缘靴2双、接地线3套；10kV安全验电器2只，绝缘手套2付、绝缘靴2双、接地线3套。</w:t>
      </w:r>
    </w:p>
    <w:p w14:paraId="6D377DB3">
      <w:pPr>
        <w:widowControl/>
        <w:snapToGrid w:val="0"/>
        <w:spacing w:line="360" w:lineRule="auto"/>
        <w:ind w:firstLine="480" w:firstLineChars="200"/>
        <w:jc w:val="left"/>
        <w:rPr>
          <w:rFonts w:hint="eastAsia" w:ascii="宋体" w:hAnsi="宋体" w:cs="宋体"/>
          <w:bCs/>
          <w:color w:val="auto"/>
          <w:sz w:val="24"/>
          <w:szCs w:val="24"/>
          <w:highlight w:val="none"/>
        </w:rPr>
      </w:pPr>
      <w:r>
        <w:rPr>
          <w:rFonts w:hint="eastAsia" w:ascii="宋体" w:hAnsi="宋体" w:cs="宋体"/>
          <w:bCs/>
          <w:color w:val="auto"/>
          <w:sz w:val="24"/>
          <w:szCs w:val="24"/>
          <w:highlight w:val="none"/>
        </w:rPr>
        <w:t>（2）工作要求：符合DL/T1476-2015电力安全工器具预防性试验规程的有关要求开展检测工作，确保安全器具在有效期内。</w:t>
      </w:r>
    </w:p>
    <w:p w14:paraId="3192E30D">
      <w:pPr>
        <w:widowControl/>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bCs/>
          <w:color w:val="auto"/>
          <w:sz w:val="24"/>
          <w:szCs w:val="24"/>
          <w:highlight w:val="none"/>
        </w:rPr>
        <w:t>（3）成果要求：检验机构出具的检验报告一份。</w:t>
      </w:r>
    </w:p>
    <w:p w14:paraId="04F395AF">
      <w:pPr>
        <w:pStyle w:val="5"/>
        <w:tabs>
          <w:tab w:val="left" w:pos="709"/>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2.2.4水工建筑物安全监测维护及资料分析</w:t>
      </w:r>
    </w:p>
    <w:p w14:paraId="73765551">
      <w:pPr>
        <w:numPr>
          <w:ilvl w:val="0"/>
          <w:numId w:val="3"/>
        </w:numPr>
        <w:snapToGrid w:val="0"/>
        <w:spacing w:line="360" w:lineRule="auto"/>
        <w:ind w:left="420"/>
        <w:rPr>
          <w:rFonts w:hint="eastAsia" w:ascii="宋体" w:hAnsi="宋体" w:cs="宋体"/>
          <w:b/>
          <w:color w:val="auto"/>
          <w:sz w:val="24"/>
          <w:szCs w:val="24"/>
          <w:highlight w:val="none"/>
        </w:rPr>
      </w:pPr>
      <w:r>
        <w:rPr>
          <w:rFonts w:hint="eastAsia" w:ascii="宋体" w:hAnsi="宋体" w:cs="宋体"/>
          <w:b/>
          <w:color w:val="auto"/>
          <w:sz w:val="24"/>
          <w:szCs w:val="24"/>
          <w:highlight w:val="none"/>
        </w:rPr>
        <w:t>观测内容及观测频次</w:t>
      </w:r>
    </w:p>
    <w:tbl>
      <w:tblPr>
        <w:tblStyle w:val="20"/>
        <w:tblpPr w:leftFromText="180" w:rightFromText="180" w:vertAnchor="text" w:horzAnchor="page" w:tblpX="1808" w:tblpY="88"/>
        <w:tblOverlap w:val="never"/>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090"/>
        <w:gridCol w:w="2126"/>
        <w:gridCol w:w="1098"/>
        <w:gridCol w:w="2378"/>
      </w:tblGrid>
      <w:tr w14:paraId="3748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37" w:type="dxa"/>
            <w:vAlign w:val="center"/>
          </w:tcPr>
          <w:p w14:paraId="0351F509">
            <w:pPr>
              <w:tabs>
                <w:tab w:val="left" w:pos="558"/>
              </w:tabs>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2090" w:type="dxa"/>
            <w:vAlign w:val="center"/>
          </w:tcPr>
          <w:p w14:paraId="1BFC0CA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监测项目</w:t>
            </w:r>
          </w:p>
        </w:tc>
        <w:tc>
          <w:tcPr>
            <w:tcW w:w="2126" w:type="dxa"/>
            <w:vAlign w:val="center"/>
          </w:tcPr>
          <w:p w14:paraId="0147CD5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w:t>
            </w:r>
          </w:p>
        </w:tc>
        <w:tc>
          <w:tcPr>
            <w:tcW w:w="1098" w:type="dxa"/>
            <w:vAlign w:val="center"/>
          </w:tcPr>
          <w:p w14:paraId="64C3804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数量</w:t>
            </w:r>
          </w:p>
        </w:tc>
        <w:tc>
          <w:tcPr>
            <w:tcW w:w="2378" w:type="dxa"/>
            <w:vAlign w:val="center"/>
          </w:tcPr>
          <w:p w14:paraId="54EB98A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r>
      <w:tr w14:paraId="5DBC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25F5CC8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2090" w:type="dxa"/>
            <w:vAlign w:val="center"/>
          </w:tcPr>
          <w:p w14:paraId="3C8795E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渗压计观测</w:t>
            </w:r>
          </w:p>
        </w:tc>
        <w:tc>
          <w:tcPr>
            <w:tcW w:w="2126" w:type="dxa"/>
            <w:vAlign w:val="center"/>
          </w:tcPr>
          <w:p w14:paraId="635A237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点</w:t>
            </w:r>
          </w:p>
        </w:tc>
        <w:tc>
          <w:tcPr>
            <w:tcW w:w="1098" w:type="dxa"/>
            <w:vAlign w:val="center"/>
          </w:tcPr>
          <w:p w14:paraId="7B7DF77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34</w:t>
            </w:r>
          </w:p>
        </w:tc>
        <w:tc>
          <w:tcPr>
            <w:tcW w:w="2378" w:type="dxa"/>
            <w:vAlign w:val="center"/>
          </w:tcPr>
          <w:p w14:paraId="1B50A43E">
            <w:pPr>
              <w:snapToGrid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自动采集数据每月汇总分析</w:t>
            </w:r>
          </w:p>
        </w:tc>
      </w:tr>
      <w:tr w14:paraId="16D5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722EE2D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2090" w:type="dxa"/>
            <w:vAlign w:val="center"/>
          </w:tcPr>
          <w:p w14:paraId="1F72B72A">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测缝计观测</w:t>
            </w:r>
          </w:p>
        </w:tc>
        <w:tc>
          <w:tcPr>
            <w:tcW w:w="2126" w:type="dxa"/>
            <w:vAlign w:val="center"/>
          </w:tcPr>
          <w:p w14:paraId="29A74E3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点</w:t>
            </w:r>
          </w:p>
        </w:tc>
        <w:tc>
          <w:tcPr>
            <w:tcW w:w="1098" w:type="dxa"/>
            <w:vAlign w:val="center"/>
          </w:tcPr>
          <w:p w14:paraId="5191E36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38</w:t>
            </w:r>
          </w:p>
        </w:tc>
        <w:tc>
          <w:tcPr>
            <w:tcW w:w="2378" w:type="dxa"/>
          </w:tcPr>
          <w:p w14:paraId="54935C7F">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自动采集数据每月汇总分析</w:t>
            </w:r>
          </w:p>
        </w:tc>
      </w:tr>
      <w:tr w14:paraId="2C21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43CAD28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2090" w:type="dxa"/>
            <w:vAlign w:val="center"/>
          </w:tcPr>
          <w:p w14:paraId="324193B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应力计</w:t>
            </w:r>
          </w:p>
        </w:tc>
        <w:tc>
          <w:tcPr>
            <w:tcW w:w="2126" w:type="dxa"/>
            <w:vAlign w:val="center"/>
          </w:tcPr>
          <w:p w14:paraId="22EFD95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点</w:t>
            </w:r>
          </w:p>
        </w:tc>
        <w:tc>
          <w:tcPr>
            <w:tcW w:w="1098" w:type="dxa"/>
            <w:vAlign w:val="center"/>
          </w:tcPr>
          <w:p w14:paraId="08C7C4C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w:t>
            </w:r>
          </w:p>
        </w:tc>
        <w:tc>
          <w:tcPr>
            <w:tcW w:w="2378" w:type="dxa"/>
          </w:tcPr>
          <w:p w14:paraId="6AFBD94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自动采集数据每月汇总分析</w:t>
            </w:r>
          </w:p>
        </w:tc>
      </w:tr>
      <w:tr w14:paraId="78CD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0636CCA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w:t>
            </w:r>
          </w:p>
        </w:tc>
        <w:tc>
          <w:tcPr>
            <w:tcW w:w="2090" w:type="dxa"/>
            <w:vAlign w:val="center"/>
          </w:tcPr>
          <w:p w14:paraId="2BA319A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沉降观测</w:t>
            </w:r>
          </w:p>
        </w:tc>
        <w:tc>
          <w:tcPr>
            <w:tcW w:w="2126" w:type="dxa"/>
            <w:vAlign w:val="center"/>
          </w:tcPr>
          <w:p w14:paraId="351D6D8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点</w:t>
            </w:r>
          </w:p>
        </w:tc>
        <w:tc>
          <w:tcPr>
            <w:tcW w:w="1098" w:type="dxa"/>
            <w:vAlign w:val="center"/>
          </w:tcPr>
          <w:p w14:paraId="69B1CAA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120</w:t>
            </w:r>
          </w:p>
        </w:tc>
        <w:tc>
          <w:tcPr>
            <w:tcW w:w="2378" w:type="dxa"/>
          </w:tcPr>
          <w:p w14:paraId="1AB7170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每月1次</w:t>
            </w:r>
          </w:p>
        </w:tc>
      </w:tr>
      <w:tr w14:paraId="76B7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7F227B1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w:t>
            </w:r>
          </w:p>
        </w:tc>
        <w:tc>
          <w:tcPr>
            <w:tcW w:w="2090" w:type="dxa"/>
            <w:vAlign w:val="center"/>
          </w:tcPr>
          <w:p w14:paraId="7F89C2E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水平观测</w:t>
            </w:r>
          </w:p>
        </w:tc>
        <w:tc>
          <w:tcPr>
            <w:tcW w:w="2126" w:type="dxa"/>
            <w:vAlign w:val="center"/>
          </w:tcPr>
          <w:p w14:paraId="55909C7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点</w:t>
            </w:r>
          </w:p>
        </w:tc>
        <w:tc>
          <w:tcPr>
            <w:tcW w:w="1098" w:type="dxa"/>
            <w:vAlign w:val="center"/>
          </w:tcPr>
          <w:p w14:paraId="488725C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w:t>
            </w:r>
          </w:p>
        </w:tc>
        <w:tc>
          <w:tcPr>
            <w:tcW w:w="2378" w:type="dxa"/>
          </w:tcPr>
          <w:p w14:paraId="434CCA5E">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每月1次</w:t>
            </w:r>
          </w:p>
        </w:tc>
      </w:tr>
      <w:tr w14:paraId="615B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04881D5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w:t>
            </w:r>
          </w:p>
        </w:tc>
        <w:tc>
          <w:tcPr>
            <w:tcW w:w="2090" w:type="dxa"/>
            <w:vAlign w:val="center"/>
          </w:tcPr>
          <w:p w14:paraId="252409C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测斜管</w:t>
            </w:r>
          </w:p>
        </w:tc>
        <w:tc>
          <w:tcPr>
            <w:tcW w:w="2126" w:type="dxa"/>
            <w:vAlign w:val="center"/>
          </w:tcPr>
          <w:p w14:paraId="379D5C8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根</w:t>
            </w:r>
          </w:p>
        </w:tc>
        <w:tc>
          <w:tcPr>
            <w:tcW w:w="1098" w:type="dxa"/>
            <w:vAlign w:val="center"/>
          </w:tcPr>
          <w:p w14:paraId="72795A9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8</w:t>
            </w:r>
          </w:p>
        </w:tc>
        <w:tc>
          <w:tcPr>
            <w:tcW w:w="2378" w:type="dxa"/>
          </w:tcPr>
          <w:p w14:paraId="6180AD70">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每月1次</w:t>
            </w:r>
          </w:p>
        </w:tc>
      </w:tr>
      <w:tr w14:paraId="356A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37" w:type="dxa"/>
            <w:vAlign w:val="center"/>
          </w:tcPr>
          <w:p w14:paraId="4FD2FF1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8</w:t>
            </w:r>
          </w:p>
        </w:tc>
        <w:tc>
          <w:tcPr>
            <w:tcW w:w="2090" w:type="dxa"/>
            <w:vAlign w:val="center"/>
          </w:tcPr>
          <w:p w14:paraId="13D6012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主要监测设施设备维护</w:t>
            </w:r>
          </w:p>
        </w:tc>
        <w:tc>
          <w:tcPr>
            <w:tcW w:w="2126" w:type="dxa"/>
            <w:vAlign w:val="center"/>
          </w:tcPr>
          <w:p w14:paraId="7D0EFBF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w:t>
            </w:r>
          </w:p>
        </w:tc>
        <w:tc>
          <w:tcPr>
            <w:tcW w:w="1098" w:type="dxa"/>
            <w:vAlign w:val="center"/>
          </w:tcPr>
          <w:p w14:paraId="4D9BAB2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2378" w:type="dxa"/>
          </w:tcPr>
          <w:p w14:paraId="08D0B75E">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每月1次</w:t>
            </w:r>
          </w:p>
        </w:tc>
      </w:tr>
    </w:tbl>
    <w:p w14:paraId="4886207C">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（2）资质要求</w:t>
      </w:r>
    </w:p>
    <w:p w14:paraId="05360C57">
      <w:pPr>
        <w:snapToGrid w:val="0"/>
        <w:spacing w:line="360" w:lineRule="auto"/>
        <w:ind w:firstLine="480" w:firstLineChars="200"/>
        <w:rPr>
          <w:rFonts w:hint="eastAsia" w:ascii="宋体" w:hAnsi="宋体" w:cs="宋体"/>
          <w:b/>
          <w:color w:val="auto"/>
          <w:sz w:val="24"/>
          <w:szCs w:val="24"/>
          <w:highlight w:val="none"/>
        </w:rPr>
      </w:pPr>
      <w:r>
        <w:rPr>
          <w:rFonts w:hint="eastAsia" w:ascii="宋体" w:hAnsi="宋体" w:cs="宋体"/>
          <w:bCs/>
          <w:color w:val="auto"/>
          <w:sz w:val="24"/>
          <w:szCs w:val="24"/>
          <w:highlight w:val="none"/>
        </w:rPr>
        <w:t>测量单位资质：具备工程勘察综合类或工程勘察专业类（工程测量）乙级及以上资质。</w:t>
      </w:r>
    </w:p>
    <w:p w14:paraId="1955D09D">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（3）工作要求</w:t>
      </w:r>
    </w:p>
    <w:p w14:paraId="1AE358BC">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做好工程安全监测设施设备维护，定期开展工程安全监测，定期进行设备校验和人工比测。</w:t>
      </w:r>
      <w:r>
        <w:rPr>
          <w:rFonts w:hint="eastAsia" w:ascii="宋体" w:hAnsi="宋体" w:cs="宋体"/>
          <w:color w:val="auto"/>
          <w:sz w:val="24"/>
          <w:szCs w:val="24"/>
          <w:highlight w:val="none"/>
          <w:lang w:val="en-US" w:eastAsia="zh-CN"/>
        </w:rPr>
        <w:t>按采购人要求做好</w:t>
      </w:r>
      <w:r>
        <w:rPr>
          <w:rFonts w:hint="eastAsia" w:ascii="宋体" w:hAnsi="宋体" w:cs="宋体"/>
          <w:color w:val="auto"/>
          <w:sz w:val="24"/>
          <w:szCs w:val="24"/>
          <w:highlight w:val="none"/>
        </w:rPr>
        <w:t>八堡自动监测设备和安全监测软件模块</w:t>
      </w:r>
      <w:r>
        <w:rPr>
          <w:rFonts w:hint="eastAsia" w:ascii="宋体" w:hAnsi="宋体" w:cs="宋体"/>
          <w:color w:val="auto"/>
          <w:sz w:val="24"/>
          <w:szCs w:val="24"/>
          <w:highlight w:val="none"/>
          <w:lang w:val="en-US" w:eastAsia="zh-CN"/>
        </w:rPr>
        <w:t>升级改造。</w:t>
      </w:r>
    </w:p>
    <w:p w14:paraId="3918B7DE">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定期开展分析总结，对隐患进行分级管控，每月对工程建筑物的运行状态进行评价，并针对不健康运行状态提出有效的处置方案。每月5日前提交安全监测报告，监测一年后对监测资料进行分析，对工程建筑物的运行状态进行综合评价，并提交监测资料分析报告。</w:t>
      </w:r>
    </w:p>
    <w:p w14:paraId="52BCBAE9">
      <w:pPr>
        <w:snapToGrid w:val="0"/>
        <w:spacing w:line="360" w:lineRule="auto"/>
        <w:ind w:firstLine="482" w:firstLineChars="200"/>
        <w:rPr>
          <w:rFonts w:hint="eastAsia" w:ascii="宋体" w:hAnsi="宋体" w:cs="宋体"/>
          <w:b/>
          <w:color w:val="auto"/>
          <w:sz w:val="24"/>
          <w:szCs w:val="24"/>
          <w:highlight w:val="none"/>
        </w:rPr>
      </w:pPr>
      <w:bookmarkStart w:id="79" w:name="_Hlk193806332"/>
      <w:r>
        <w:rPr>
          <w:rFonts w:hint="eastAsia" w:ascii="宋体" w:hAnsi="宋体" w:cs="宋体"/>
          <w:b/>
          <w:color w:val="auto"/>
          <w:sz w:val="24"/>
          <w:szCs w:val="24"/>
          <w:highlight w:val="none"/>
        </w:rPr>
        <w:t>（4）成果要求</w:t>
      </w:r>
    </w:p>
    <w:p w14:paraId="4AE41AD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监测结束后提供电子文件光盘一份（含监测原始资料），提供维护记录和定期校验比测记录，提供每月安全监测与成果分析报告，年底汇总提供全年监测资料分析报告，均一式三份，电子版报告一份。</w:t>
      </w:r>
      <w:bookmarkEnd w:id="79"/>
    </w:p>
    <w:p w14:paraId="4A846813">
      <w:pPr>
        <w:pStyle w:val="5"/>
        <w:tabs>
          <w:tab w:val="left" w:pos="709"/>
        </w:tabs>
        <w:spacing w:before="0" w:after="0" w:line="360" w:lineRule="auto"/>
        <w:ind w:firstLine="472" w:firstLineChars="196"/>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2.2.5</w:t>
      </w:r>
      <w:r>
        <w:rPr>
          <w:rFonts w:hint="eastAsia" w:ascii="宋体" w:hAnsi="宋体" w:eastAsia="宋体" w:cs="宋体"/>
          <w:color w:val="auto"/>
          <w:sz w:val="24"/>
          <w:szCs w:val="24"/>
          <w:highlight w:val="none"/>
          <w:lang w:eastAsia="zh-CN"/>
        </w:rPr>
        <w:t>水文设施维护及资料整理分析</w:t>
      </w:r>
    </w:p>
    <w:p w14:paraId="5ACA55E6">
      <w:pPr>
        <w:snapToGrid w:val="0"/>
        <w:spacing w:line="360" w:lineRule="auto"/>
        <w:ind w:firstLine="472" w:firstLineChars="196"/>
        <w:rPr>
          <w:rFonts w:hint="eastAsia" w:ascii="宋体" w:hAnsi="宋体" w:cs="宋体"/>
          <w:b/>
          <w:color w:val="auto"/>
          <w:sz w:val="24"/>
          <w:szCs w:val="24"/>
          <w:highlight w:val="none"/>
        </w:rPr>
      </w:pPr>
      <w:r>
        <w:rPr>
          <w:rFonts w:hint="eastAsia" w:ascii="宋体" w:hAnsi="宋体" w:cs="宋体"/>
          <w:b/>
          <w:color w:val="auto"/>
          <w:sz w:val="24"/>
          <w:szCs w:val="24"/>
          <w:highlight w:val="none"/>
        </w:rPr>
        <w:t>（1）水文设施维护范围</w:t>
      </w:r>
    </w:p>
    <w:p w14:paraId="2E5E3E2A">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负责为采购人提供八堡泵站水文监测系统的设备维护和日常巡检，并做好日常的维护记录，允许分包。八堡泵站水文监测系统项目主要包括8座水位自动监测站、1座雨量自动监测站、2座水质监测站、1座多普勒流量自动监测站。站点布置在八堡泵站工程范围内</w:t>
      </w:r>
      <w:r>
        <w:rPr>
          <w:rFonts w:hint="eastAsia" w:ascii="宋体" w:hAnsi="宋体" w:cs="宋体"/>
          <w:color w:val="auto"/>
          <w:sz w:val="24"/>
          <w:szCs w:val="24"/>
          <w:highlight w:val="none"/>
          <w:lang w:eastAsia="zh-CN"/>
        </w:rPr>
        <w:t>。</w:t>
      </w:r>
    </w:p>
    <w:p w14:paraId="5217810C">
      <w:pPr>
        <w:snapToGri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（2）技术服务内容及要求</w:t>
      </w:r>
    </w:p>
    <w:p w14:paraId="1590EF5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按照我省水利工程标准化管理：根据《浙江省人民政府办公厅关于全面推行水利工程标准化管理的意见》（浙政办发〔2016〕4号）要求，省水利厅《浙江省水文测站运行管理规程》。本项目按照《浙江省水文测站运行管理手册》（以下简称手册）的要求来进行系统的维护。自动监测站采集的数据都能统一进入浙江省水利防汛通信平台并通过中心站软件接收采集到的数据同时写入水情标准数据库。</w:t>
      </w:r>
    </w:p>
    <w:p w14:paraId="5A834BBE">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为了随时掌握服务需求信息，及时开展维护养护工作；</w:t>
      </w:r>
    </w:p>
    <w:p w14:paraId="59A0E9A4">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非汛期。汛前（每年4月1日前），配足人员认真组织全面检查与养护，确保服务的所有设备处于良好的运行状态；汛后（每年10月16日~11月15日），对所有水文设施设备进行检查维护；</w:t>
      </w:r>
    </w:p>
    <w:p w14:paraId="660084A5">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3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③</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汛后（每年10月15日后），及时做好日常维护工作；书面总结全年的维护养护工作。非汛期，设备出现故障需按照非汛期规定的期限内排除；</w:t>
      </w:r>
    </w:p>
    <w:p w14:paraId="7C9641A9">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4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④</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汛期(每年4月1日至10月15日)，要求确保所有水文监测设备系统信息24小时畅通，设备出现故障2小时响应，24小时内解决，最迟不超过2天；遥测数据出错3小时响应，24小时内修复即做到设备故障即发即修。全天候24小时服务到位。精心组织，落实好监测、巡查和维护工作；</w:t>
      </w:r>
    </w:p>
    <w:p w14:paraId="1120C50B">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5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⑤</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每月进行一次水位仪器校核，水质数据修正；</w:t>
      </w:r>
    </w:p>
    <w:p w14:paraId="3D54FA79">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6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⑥</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自动监测站点发现供电不足等故障，应及时维护；如设备出现质量问题，2小时响应，配合厂家解决；</w:t>
      </w:r>
    </w:p>
    <w:p w14:paraId="6F240FCA">
      <w:pPr>
        <w:snapToGrid w:val="0"/>
        <w:spacing w:line="360" w:lineRule="auto"/>
        <w:ind w:firstLine="42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7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⑦</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水质传感器部分及时维护，如确需更换传感器，则由采购人提供，更换工作由维护单位实施；</w:t>
      </w:r>
    </w:p>
    <w:p w14:paraId="2CE1CB29">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8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⑧</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保证水文自动监测站正常运行，每年合同到期前要对所有水文自动监测站进行一次通信卡费用充值（费用含在总服务费中），保证设备在未来1年能正常运行；</w:t>
      </w:r>
    </w:p>
    <w:p w14:paraId="72B94EE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9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⑨</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如因乙方原因未在规定时限内恢复准确数据，乙方需要提供延期恢复情况说明并经服务中心审批同意，否则每超1天，扣款2000元；超过规定时限，甲方有权委托第三方单位对设备进行维修，产生费用由乙方承担；</w:t>
      </w:r>
    </w:p>
    <w:p w14:paraId="10FE6493">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10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⑩</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合同结束前提供水文巡查养护记录。</w:t>
      </w:r>
    </w:p>
    <w:p w14:paraId="3DC43F10">
      <w:pPr>
        <w:snapToGrid w:val="0"/>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cs="宋体"/>
          <w:b/>
          <w:color w:val="auto"/>
          <w:sz w:val="24"/>
          <w:szCs w:val="24"/>
          <w:highlight w:val="none"/>
        </w:rPr>
        <w:t>（3）</w:t>
      </w:r>
      <w:r>
        <w:rPr>
          <w:rFonts w:hint="eastAsia" w:ascii="宋体" w:hAnsi="宋体" w:cs="宋体"/>
          <w:b/>
          <w:color w:val="auto"/>
          <w:sz w:val="24"/>
          <w:szCs w:val="24"/>
          <w:highlight w:val="none"/>
          <w:lang w:val="en-US" w:eastAsia="zh-CN"/>
        </w:rPr>
        <w:t>水文</w:t>
      </w:r>
      <w:r>
        <w:rPr>
          <w:rFonts w:hint="eastAsia" w:ascii="宋体" w:hAnsi="宋体" w:cs="宋体"/>
          <w:b/>
          <w:color w:val="auto"/>
          <w:sz w:val="24"/>
          <w:szCs w:val="24"/>
          <w:highlight w:val="none"/>
        </w:rPr>
        <w:t>资料</w:t>
      </w:r>
      <w:r>
        <w:rPr>
          <w:rFonts w:hint="eastAsia" w:ascii="宋体" w:hAnsi="宋体" w:cs="宋体"/>
          <w:b/>
          <w:color w:val="auto"/>
          <w:sz w:val="24"/>
          <w:szCs w:val="24"/>
          <w:highlight w:val="none"/>
          <w:lang w:val="en-US" w:eastAsia="zh-CN"/>
        </w:rPr>
        <w:t>整理</w:t>
      </w:r>
    </w:p>
    <w:p w14:paraId="0AFE54AD">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按照水文资料</w:t>
      </w:r>
      <w:r>
        <w:rPr>
          <w:rFonts w:hint="eastAsia" w:ascii="宋体" w:hAnsi="宋体" w:cs="宋体"/>
          <w:color w:val="auto"/>
          <w:sz w:val="24"/>
          <w:szCs w:val="24"/>
          <w:highlight w:val="none"/>
          <w:lang w:val="en-US" w:eastAsia="zh-CN"/>
        </w:rPr>
        <w:t>相关</w:t>
      </w:r>
      <w:r>
        <w:rPr>
          <w:rFonts w:hint="eastAsia" w:ascii="宋体" w:hAnsi="宋体" w:cs="宋体"/>
          <w:color w:val="auto"/>
          <w:sz w:val="24"/>
          <w:szCs w:val="24"/>
          <w:highlight w:val="none"/>
        </w:rPr>
        <w:t>要求对八堡排水泵站水文监测设施涉及的水位、逐日平均雨量、水质、流量遥测站点进行资料</w:t>
      </w:r>
      <w:r>
        <w:rPr>
          <w:rFonts w:hint="eastAsia" w:ascii="宋体" w:hAnsi="宋体" w:cs="宋体"/>
          <w:color w:val="auto"/>
          <w:sz w:val="24"/>
          <w:szCs w:val="24"/>
          <w:highlight w:val="none"/>
          <w:lang w:val="en-US" w:eastAsia="zh-CN"/>
        </w:rPr>
        <w:t>整理</w:t>
      </w:r>
      <w:r>
        <w:rPr>
          <w:rFonts w:hint="eastAsia" w:ascii="宋体" w:hAnsi="宋体" w:cs="宋体"/>
          <w:color w:val="auto"/>
          <w:sz w:val="24"/>
          <w:szCs w:val="24"/>
          <w:highlight w:val="none"/>
        </w:rPr>
        <w:t>。</w:t>
      </w:r>
    </w:p>
    <w:p w14:paraId="67F47BAE">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参照水文资料整编的要求，结合业主使用要求，将监测数据资料整理成册，提交整</w:t>
      </w:r>
      <w:r>
        <w:rPr>
          <w:rFonts w:hint="eastAsia" w:ascii="宋体" w:hAnsi="宋体" w:cs="宋体"/>
          <w:color w:val="auto"/>
          <w:sz w:val="24"/>
          <w:szCs w:val="24"/>
          <w:highlight w:val="none"/>
          <w:lang w:val="en-US" w:eastAsia="zh-CN"/>
        </w:rPr>
        <w:t>理</w:t>
      </w:r>
      <w:r>
        <w:rPr>
          <w:rFonts w:hint="eastAsia" w:ascii="宋体" w:hAnsi="宋体" w:cs="宋体"/>
          <w:color w:val="auto"/>
          <w:sz w:val="24"/>
          <w:szCs w:val="24"/>
          <w:highlight w:val="none"/>
        </w:rPr>
        <w:t>后的纸质数据文件一式3份，原始水文数据资料和</w:t>
      </w:r>
      <w:r>
        <w:rPr>
          <w:rFonts w:hint="eastAsia" w:ascii="宋体" w:hAnsi="宋体" w:cs="宋体"/>
          <w:color w:val="auto"/>
          <w:sz w:val="24"/>
          <w:szCs w:val="24"/>
          <w:highlight w:val="none"/>
          <w:lang w:val="en-US" w:eastAsia="zh-CN"/>
        </w:rPr>
        <w:t>整理</w:t>
      </w:r>
      <w:r>
        <w:rPr>
          <w:rFonts w:hint="eastAsia" w:ascii="宋体" w:hAnsi="宋体" w:cs="宋体"/>
          <w:color w:val="auto"/>
          <w:sz w:val="24"/>
          <w:szCs w:val="24"/>
          <w:highlight w:val="none"/>
        </w:rPr>
        <w:t>后水文资料电子文件1份。</w:t>
      </w:r>
    </w:p>
    <w:p w14:paraId="2AA50725">
      <w:pPr>
        <w:pStyle w:val="5"/>
        <w:keepLines w:val="0"/>
        <w:pageBreakBefore w:val="0"/>
        <w:tabs>
          <w:tab w:val="left" w:pos="709"/>
        </w:tabs>
        <w:kinsoku/>
        <w:wordWrap/>
        <w:overflowPunct/>
        <w:topLinePunct w:val="0"/>
        <w:bidi w:val="0"/>
        <w:adjustRightInd/>
        <w:snapToGrid w:val="0"/>
        <w:spacing w:before="0" w:after="0"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2.2.6变电设施维护</w:t>
      </w:r>
    </w:p>
    <w:p w14:paraId="7A4CB848">
      <w:pPr>
        <w:keepLines w:val="0"/>
        <w:pageBreakBefore w:val="0"/>
        <w:kinsoku/>
        <w:wordWrap/>
        <w:overflowPunct/>
        <w:topLinePunct w:val="0"/>
        <w:bidi w:val="0"/>
        <w:adjustRightInd/>
        <w:snapToGrid w:val="0"/>
        <w:spacing w:before="0" w:after="0" w:line="360" w:lineRule="auto"/>
        <w:ind w:firstLineChars="2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（1）工作内容</w:t>
      </w:r>
    </w:p>
    <w:p w14:paraId="08007D7B">
      <w:pPr>
        <w:pStyle w:val="10"/>
        <w:keepLines w:val="0"/>
        <w:pageBreakBefore w:val="0"/>
        <w:kinsoku/>
        <w:wordWrap/>
        <w:overflowPunct/>
        <w:topLinePunct w:val="0"/>
        <w:bidi w:val="0"/>
        <w:adjustRightInd/>
        <w:snapToGrid w:val="0"/>
        <w:spacing w:line="360" w:lineRule="auto"/>
        <w:ind w:firstLine="480" w:firstLineChars="200"/>
        <w:textAlignment w:val="auto"/>
        <w:rPr>
          <w:rFonts w:hint="eastAsia" w:hAnsi="宋体" w:cs="宋体"/>
          <w:snapToGrid/>
          <w:color w:val="auto"/>
          <w:szCs w:val="24"/>
          <w:highlight w:val="none"/>
          <w:lang w:val="en-US"/>
        </w:rPr>
      </w:pPr>
      <w:bookmarkStart w:id="80" w:name="_Hlk167282433"/>
      <w:r>
        <w:rPr>
          <w:rFonts w:hint="eastAsia" w:hAnsi="宋体" w:cs="宋体"/>
          <w:snapToGrid/>
          <w:color w:val="auto"/>
          <w:szCs w:val="24"/>
          <w:highlight w:val="none"/>
          <w:lang w:val="en-US"/>
        </w:rPr>
        <w:t>工程15.2公里35KV电力线路的巡查养护，其中拾里变线路7.4公里，德胜变线路7.8公里，示意图如下。</w:t>
      </w:r>
    </w:p>
    <w:p w14:paraId="12F543DD">
      <w:pPr>
        <w:pStyle w:val="19"/>
        <w:keepLines w:val="0"/>
        <w:pageBreakBefore w:val="0"/>
        <w:kinsoku/>
        <w:wordWrap/>
        <w:overflowPunct/>
        <w:topLinePunct w:val="0"/>
        <w:bidi w:val="0"/>
        <w:adjustRightInd/>
        <w:snapToGrid w:val="0"/>
        <w:spacing w:line="360" w:lineRule="auto"/>
        <w:ind w:firstLine="0"/>
        <w:jc w:val="center"/>
        <w:textAlignment w:val="auto"/>
        <w:rPr>
          <w:rFonts w:hint="eastAsia" w:hAnsi="宋体" w:cs="宋体"/>
          <w:color w:val="auto"/>
          <w:sz w:val="20"/>
          <w:highlight w:val="none"/>
        </w:rPr>
      </w:pPr>
      <w:r>
        <w:rPr>
          <w:rFonts w:hint="eastAsia" w:hAnsi="宋体" w:cs="宋体"/>
          <w:color w:val="auto"/>
          <w:highlight w:val="none"/>
          <w:lang w:val="en-US"/>
        </w:rPr>
        <w:drawing>
          <wp:inline distT="0" distB="0" distL="114300" distR="114300">
            <wp:extent cx="5437505" cy="3087370"/>
            <wp:effectExtent l="0" t="0" r="1079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437505" cy="3087370"/>
                    </a:xfrm>
                    <a:prstGeom prst="rect">
                      <a:avLst/>
                    </a:prstGeom>
                    <a:noFill/>
                    <a:ln>
                      <a:noFill/>
                    </a:ln>
                  </pic:spPr>
                </pic:pic>
              </a:graphicData>
            </a:graphic>
          </wp:inline>
        </w:drawing>
      </w:r>
    </w:p>
    <w:p w14:paraId="0D958197">
      <w:pPr>
        <w:pStyle w:val="19"/>
        <w:keepLines w:val="0"/>
        <w:pageBreakBefore w:val="0"/>
        <w:kinsoku/>
        <w:wordWrap/>
        <w:overflowPunct/>
        <w:topLinePunct w:val="0"/>
        <w:bidi w:val="0"/>
        <w:adjustRightInd/>
        <w:snapToGrid w:val="0"/>
        <w:spacing w:line="360" w:lineRule="auto"/>
        <w:jc w:val="center"/>
        <w:textAlignment w:val="auto"/>
        <w:rPr>
          <w:rFonts w:hint="eastAsia" w:hAnsi="宋体" w:cs="宋体"/>
          <w:color w:val="auto"/>
          <w:sz w:val="20"/>
          <w:highlight w:val="none"/>
          <w:lang w:val="en-US"/>
        </w:rPr>
      </w:pPr>
      <w:r>
        <w:rPr>
          <w:rFonts w:hint="eastAsia" w:hAnsi="宋体" w:cs="宋体"/>
          <w:color w:val="auto"/>
          <w:sz w:val="21"/>
          <w:highlight w:val="none"/>
          <w:lang w:val="en-US"/>
        </w:rPr>
        <w:t>拾里变线路示意图</w:t>
      </w:r>
    </w:p>
    <w:p w14:paraId="2D98345F">
      <w:pPr>
        <w:pStyle w:val="19"/>
        <w:keepLines w:val="0"/>
        <w:pageBreakBefore w:val="0"/>
        <w:kinsoku/>
        <w:wordWrap/>
        <w:overflowPunct/>
        <w:topLinePunct w:val="0"/>
        <w:bidi w:val="0"/>
        <w:adjustRightInd/>
        <w:snapToGrid w:val="0"/>
        <w:spacing w:line="360" w:lineRule="auto"/>
        <w:ind w:firstLine="0"/>
        <w:jc w:val="center"/>
        <w:textAlignment w:val="auto"/>
        <w:rPr>
          <w:rFonts w:hint="eastAsia" w:hAnsi="宋体" w:cs="宋体"/>
          <w:color w:val="auto"/>
          <w:sz w:val="20"/>
          <w:highlight w:val="none"/>
        </w:rPr>
      </w:pPr>
      <w:r>
        <w:rPr>
          <w:rFonts w:hint="eastAsia" w:hAnsi="宋体" w:cs="宋体"/>
          <w:color w:val="auto"/>
          <w:highlight w:val="none"/>
          <w:lang w:val="en-US"/>
        </w:rPr>
        <w:drawing>
          <wp:inline distT="0" distB="0" distL="114300" distR="114300">
            <wp:extent cx="5445125" cy="3275330"/>
            <wp:effectExtent l="0" t="0" r="317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445125" cy="3275330"/>
                    </a:xfrm>
                    <a:prstGeom prst="rect">
                      <a:avLst/>
                    </a:prstGeom>
                    <a:noFill/>
                    <a:ln>
                      <a:noFill/>
                    </a:ln>
                  </pic:spPr>
                </pic:pic>
              </a:graphicData>
            </a:graphic>
          </wp:inline>
        </w:drawing>
      </w:r>
    </w:p>
    <w:p w14:paraId="71A41B25">
      <w:pPr>
        <w:pStyle w:val="19"/>
        <w:keepLines w:val="0"/>
        <w:pageBreakBefore w:val="0"/>
        <w:kinsoku/>
        <w:wordWrap/>
        <w:overflowPunct/>
        <w:topLinePunct w:val="0"/>
        <w:bidi w:val="0"/>
        <w:adjustRightInd/>
        <w:snapToGrid w:val="0"/>
        <w:spacing w:line="360" w:lineRule="auto"/>
        <w:jc w:val="center"/>
        <w:textAlignment w:val="auto"/>
        <w:rPr>
          <w:rFonts w:hint="eastAsia" w:hAnsi="宋体" w:cs="宋体"/>
          <w:color w:val="auto"/>
          <w:sz w:val="21"/>
          <w:highlight w:val="none"/>
          <w:lang w:val="en-US"/>
        </w:rPr>
      </w:pPr>
      <w:r>
        <w:rPr>
          <w:rFonts w:hint="eastAsia" w:hAnsi="宋体" w:cs="宋体"/>
          <w:color w:val="auto"/>
          <w:sz w:val="21"/>
          <w:highlight w:val="none"/>
          <w:lang w:val="en-US"/>
        </w:rPr>
        <w:t>德胜变线路示意图</w:t>
      </w:r>
    </w:p>
    <w:bookmarkEnd w:id="80"/>
    <w:p w14:paraId="74167C09">
      <w:pPr>
        <w:keepLines w:val="0"/>
        <w:pageBreakBefore w:val="0"/>
        <w:kinsoku/>
        <w:wordWrap/>
        <w:overflowPunct/>
        <w:topLinePunct w:val="0"/>
        <w:bidi w:val="0"/>
        <w:adjustRightInd/>
        <w:snapToGrid w:val="0"/>
        <w:spacing w:before="0" w:after="0" w:line="360" w:lineRule="auto"/>
        <w:ind w:firstLine="480" w:firstLineChars="200"/>
        <w:textAlignment w:val="auto"/>
        <w:rPr>
          <w:rFonts w:hint="eastAsia" w:ascii="宋体" w:hAnsi="宋体" w:cs="宋体"/>
          <w:sz w:val="24"/>
          <w:szCs w:val="24"/>
          <w:highlight w:val="none"/>
        </w:rPr>
      </w:pPr>
      <w:bookmarkStart w:id="463" w:name="_GoBack"/>
      <w:bookmarkEnd w:id="463"/>
      <w:r>
        <w:rPr>
          <w:rFonts w:hint="eastAsia" w:ascii="宋体" w:hAnsi="宋体" w:cs="宋体"/>
          <w:sz w:val="24"/>
          <w:szCs w:val="24"/>
          <w:highlight w:val="none"/>
        </w:rPr>
        <w:t>（2）资质要求</w:t>
      </w:r>
    </w:p>
    <w:p w14:paraId="72105AB6">
      <w:pPr>
        <w:keepLines w:val="0"/>
        <w:pageBreakBefore w:val="0"/>
        <w:kinsoku/>
        <w:wordWrap/>
        <w:overflowPunct/>
        <w:topLinePunct w:val="0"/>
        <w:bidi w:val="0"/>
        <w:adjustRightInd/>
        <w:snapToGrid w:val="0"/>
        <w:spacing w:line="360" w:lineRule="auto"/>
        <w:ind w:firstLine="480"/>
        <w:textAlignment w:val="auto"/>
        <w:rPr>
          <w:rFonts w:hint="eastAsia" w:ascii="宋体" w:hAnsi="宋体" w:cs="宋体"/>
          <w:sz w:val="24"/>
          <w:szCs w:val="24"/>
          <w:highlight w:val="none"/>
        </w:rPr>
      </w:pPr>
      <w:r>
        <w:rPr>
          <w:rFonts w:hint="eastAsia" w:ascii="宋体" w:hAnsi="宋体" w:cs="宋体"/>
          <w:sz w:val="24"/>
          <w:szCs w:val="24"/>
          <w:highlight w:val="none"/>
        </w:rPr>
        <w:t>单位资质：具有承装（修、试）电力设施许可证</w:t>
      </w:r>
      <w:r>
        <w:rPr>
          <w:rFonts w:hint="eastAsia" w:ascii="宋体" w:hAnsi="宋体" w:cs="宋体"/>
          <w:sz w:val="24"/>
          <w:szCs w:val="24"/>
          <w:highlight w:val="none"/>
          <w:lang w:val="en-US" w:eastAsia="zh-CN"/>
        </w:rPr>
        <w:t>四</w:t>
      </w:r>
      <w:r>
        <w:rPr>
          <w:rFonts w:hint="eastAsia" w:ascii="宋体" w:hAnsi="宋体" w:cs="宋体"/>
          <w:sz w:val="24"/>
          <w:szCs w:val="24"/>
          <w:highlight w:val="none"/>
        </w:rPr>
        <w:t>级及以上资质；有效期内的安全生产许可证。</w:t>
      </w:r>
    </w:p>
    <w:p w14:paraId="34DA6AE7">
      <w:pPr>
        <w:keepLines w:val="0"/>
        <w:pageBreakBefore w:val="0"/>
        <w:kinsoku/>
        <w:wordWrap/>
        <w:overflowPunct/>
        <w:topLinePunct w:val="0"/>
        <w:bidi w:val="0"/>
        <w:adjustRightInd/>
        <w:snapToGrid w:val="0"/>
        <w:spacing w:before="0" w:after="0" w:line="360" w:lineRule="auto"/>
        <w:ind w:firstLine="480" w:firstLineChars="200"/>
        <w:textAlignment w:val="auto"/>
        <w:rPr>
          <w:rFonts w:hint="eastAsia" w:ascii="宋体" w:hAnsi="宋体" w:cs="宋体"/>
          <w:sz w:val="24"/>
          <w:szCs w:val="24"/>
          <w:highlight w:val="none"/>
        </w:rPr>
      </w:pPr>
      <w:r>
        <w:rPr>
          <w:rFonts w:hint="eastAsia" w:ascii="宋体" w:hAnsi="宋体" w:cs="宋体"/>
          <w:sz w:val="24"/>
          <w:szCs w:val="24"/>
          <w:highlight w:val="none"/>
        </w:rPr>
        <w:t>（3）巡查维护要求</w:t>
      </w:r>
    </w:p>
    <w:p w14:paraId="3DB03811">
      <w:pPr>
        <w:keepLines w:val="0"/>
        <w:pageBreakBefore w:val="0"/>
        <w:kinsoku/>
        <w:wordWrap/>
        <w:overflowPunct/>
        <w:topLinePunct w:val="0"/>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要求每天巡线1次，检查内容主要为：线路附近有无施工；电缆井及线路是否正常，有无沉降、破损；线路上有无无异物堆积；电缆标牌是否完整、清晰等。</w:t>
      </w:r>
    </w:p>
    <w:p w14:paraId="2AA1135A">
      <w:pPr>
        <w:keepLines w:val="0"/>
        <w:pageBreakBefore w:val="0"/>
        <w:kinsoku/>
        <w:wordWrap/>
        <w:overflowPunct/>
        <w:topLinePunct w:val="0"/>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每月开展接头井检查，检查内容主要为：电缆接头温度检测；接头是否完好，有无放电现象；接地是否可靠等；电缆井内是否有积水淤积等。</w:t>
      </w:r>
    </w:p>
    <w:p w14:paraId="70D5992B">
      <w:pPr>
        <w:keepLines w:val="0"/>
        <w:pageBreakBefore w:val="0"/>
        <w:kinsoku/>
        <w:wordWrap/>
        <w:overflowPunct/>
        <w:topLinePunct w:val="0"/>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3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③</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需定期开展线路维护，包括电缆井部分破损修复、标识牌维护、除草等工作。若电缆运行中出现异常故障，需进行应急处置，并协调电力部门进行维修。</w:t>
      </w:r>
    </w:p>
    <w:p w14:paraId="6A52B9F4">
      <w:pPr>
        <w:keepLines w:val="0"/>
        <w:pageBreakBefore w:val="0"/>
        <w:kinsoku/>
        <w:wordWrap/>
        <w:overflowPunct/>
        <w:topLinePunct w:val="0"/>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4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④</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发现线路敷设区域附近有施工作业等情况下，需对线路有关地段适当增加巡查次数。</w:t>
      </w:r>
    </w:p>
    <w:p w14:paraId="021BBD79">
      <w:pPr>
        <w:keepLines w:val="0"/>
        <w:pageBreakBefore w:val="0"/>
        <w:kinsoku/>
        <w:wordWrap/>
        <w:overflowPunct/>
        <w:topLinePunct w:val="0"/>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5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⑤</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巡查维护应形成日志和总结报告。巡视检查中发现问题或异常情况，应及时处理并详细记录。对较大问题或紧急情况需第一时间报告。</w:t>
      </w:r>
    </w:p>
    <w:p w14:paraId="3D20D149">
      <w:pPr>
        <w:keepLines w:val="0"/>
        <w:pageBreakBefore w:val="0"/>
        <w:widowControl/>
        <w:kinsoku/>
        <w:wordWrap/>
        <w:overflowPunct/>
        <w:topLinePunct w:val="0"/>
        <w:bidi w:val="0"/>
        <w:adjustRightInd/>
        <w:snapToGrid w:val="0"/>
        <w:spacing w:line="360" w:lineRule="auto"/>
        <w:ind w:firstLine="480" w:firstLineChars="200"/>
        <w:jc w:val="left"/>
        <w:textAlignment w:val="auto"/>
        <w:rPr>
          <w:rFonts w:hint="eastAsia"/>
          <w:b w:val="0"/>
          <w:bCs/>
          <w:color w:val="auto"/>
          <w:highlight w:val="none"/>
        </w:rPr>
      </w:pPr>
      <w:r>
        <w:rPr>
          <w:rFonts w:hint="eastAsia" w:ascii="宋体" w:hAnsi="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4</w:t>
      </w:r>
      <w:r>
        <w:rPr>
          <w:rFonts w:hint="eastAsia" w:ascii="宋体" w:hAnsi="宋体" w:cs="宋体"/>
          <w:b w:val="0"/>
          <w:bCs/>
          <w:color w:val="auto"/>
          <w:sz w:val="24"/>
          <w:szCs w:val="24"/>
          <w:highlight w:val="none"/>
        </w:rPr>
        <w:t>）成果要求：提交</w:t>
      </w:r>
      <w:r>
        <w:rPr>
          <w:rFonts w:hint="eastAsia" w:ascii="宋体" w:hAnsi="宋体" w:cs="宋体"/>
          <w:b w:val="0"/>
          <w:bCs/>
          <w:color w:val="auto"/>
          <w:sz w:val="24"/>
          <w:szCs w:val="24"/>
          <w:highlight w:val="none"/>
          <w:lang w:val="en-US" w:eastAsia="zh-CN"/>
        </w:rPr>
        <w:t>变电设施维护</w:t>
      </w:r>
      <w:r>
        <w:rPr>
          <w:rFonts w:hint="eastAsia" w:ascii="宋体" w:hAnsi="宋体" w:cs="宋体"/>
          <w:b w:val="0"/>
          <w:bCs/>
          <w:color w:val="auto"/>
          <w:sz w:val="24"/>
          <w:szCs w:val="24"/>
          <w:highlight w:val="none"/>
        </w:rPr>
        <w:t>技术档案一份。包含定期检查记录、维护记录、运行故障和事故记录</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工作总结报告</w:t>
      </w:r>
      <w:r>
        <w:rPr>
          <w:rFonts w:hint="eastAsia" w:ascii="宋体" w:hAnsi="宋体" w:cs="宋体"/>
          <w:b w:val="0"/>
          <w:bCs/>
          <w:color w:val="auto"/>
          <w:sz w:val="24"/>
          <w:szCs w:val="24"/>
          <w:highlight w:val="none"/>
        </w:rPr>
        <w:t>等。</w:t>
      </w:r>
    </w:p>
    <w:p w14:paraId="31B89E5B">
      <w:pPr>
        <w:pStyle w:val="5"/>
        <w:tabs>
          <w:tab w:val="left" w:pos="709"/>
        </w:tabs>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2.2.7自动化控制系统及信息化平台专业巡检维护</w:t>
      </w:r>
    </w:p>
    <w:p w14:paraId="1827861C">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根据《水利信息系统运行维护规范》（SL 715-2015）中的相关规定和</w:t>
      </w:r>
      <w:r>
        <w:rPr>
          <w:rFonts w:hint="eastAsia" w:ascii="宋体" w:hAnsi="宋体" w:cs="宋体"/>
          <w:color w:val="auto"/>
          <w:sz w:val="24"/>
          <w:szCs w:val="24"/>
          <w:highlight w:val="none"/>
          <w:lang w:val="en-US" w:eastAsia="zh-CN"/>
        </w:rPr>
        <w:t>八堡一体化智慧管控平台</w:t>
      </w:r>
      <w:r>
        <w:rPr>
          <w:rFonts w:hint="eastAsia" w:ascii="宋体" w:hAnsi="宋体" w:cs="宋体"/>
          <w:color w:val="auto"/>
          <w:sz w:val="24"/>
          <w:szCs w:val="24"/>
          <w:highlight w:val="none"/>
        </w:rPr>
        <w:t>的实际情况，供应商全力做好工程自动化控制系统及信息化平台专业巡检维护，确保设施设备良好状态</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保障工程安全运行。</w:t>
      </w:r>
    </w:p>
    <w:p w14:paraId="098DC0EC">
      <w:pPr>
        <w:pStyle w:val="5"/>
        <w:tabs>
          <w:tab w:val="left" w:pos="709"/>
        </w:tabs>
        <w:spacing w:before="0" w:after="0" w:line="360" w:lineRule="auto"/>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rPr>
        <w:t>2.2.7.1</w:t>
      </w:r>
      <w:bookmarkStart w:id="81" w:name="_Hlk193807357"/>
      <w:r>
        <w:rPr>
          <w:rFonts w:hint="eastAsia" w:ascii="宋体" w:hAnsi="宋体" w:eastAsia="宋体" w:cs="宋体"/>
          <w:color w:val="auto"/>
          <w:sz w:val="24"/>
          <w:szCs w:val="24"/>
          <w:highlight w:val="none"/>
        </w:rPr>
        <w:t>自动化控制系统专业巡检</w:t>
      </w:r>
      <w:bookmarkEnd w:id="81"/>
      <w:r>
        <w:rPr>
          <w:rFonts w:hint="eastAsia" w:ascii="宋体" w:hAnsi="宋体" w:eastAsia="宋体" w:cs="宋体"/>
          <w:color w:val="auto"/>
          <w:sz w:val="24"/>
          <w:szCs w:val="24"/>
          <w:highlight w:val="none"/>
        </w:rPr>
        <w:t>维护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允许分包</w:t>
      </w:r>
      <w:r>
        <w:rPr>
          <w:rFonts w:hint="eastAsia" w:ascii="宋体" w:hAnsi="宋体" w:eastAsia="宋体" w:cs="宋体"/>
          <w:color w:val="auto"/>
          <w:sz w:val="24"/>
          <w:szCs w:val="24"/>
          <w:highlight w:val="none"/>
          <w:lang w:eastAsia="zh-CN"/>
        </w:rPr>
        <w:t>）</w:t>
      </w:r>
    </w:p>
    <w:p w14:paraId="4ABE4960">
      <w:pPr>
        <w:snapToGrid w:val="0"/>
        <w:spacing w:line="360" w:lineRule="auto"/>
        <w:ind w:firstLine="420" w:firstLineChars="200"/>
        <w:rPr>
          <w:rFonts w:hint="eastAsia" w:ascii="宋体" w:hAnsi="宋体" w:cs="宋体"/>
          <w:color w:val="auto"/>
          <w:sz w:val="24"/>
          <w:szCs w:val="28"/>
          <w:highlight w:val="none"/>
        </w:rPr>
      </w:pPr>
      <w:r>
        <w:rPr>
          <w:rFonts w:hint="eastAsia" w:ascii="宋体" w:hAnsi="宋体" w:cs="宋体"/>
          <w:color w:val="auto"/>
          <w:szCs w:val="21"/>
          <w:highlight w:val="none"/>
        </w:rPr>
        <w:t>（1）</w:t>
      </w:r>
      <w:r>
        <w:rPr>
          <w:rFonts w:hint="eastAsia" w:ascii="宋体" w:hAnsi="宋体" w:cs="宋体"/>
          <w:color w:val="auto"/>
          <w:sz w:val="24"/>
          <w:szCs w:val="28"/>
          <w:highlight w:val="none"/>
        </w:rPr>
        <w:t>工作内容</w:t>
      </w:r>
    </w:p>
    <w:p w14:paraId="30B75A81">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对泵站自动化监控系统进行的专业检查和维护。允许分包。</w:t>
      </w:r>
    </w:p>
    <w:p w14:paraId="35C5CEE1">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巡检维护：每周开展一次专业巡检，形成检查记录，及时处理故障问题。单项材料、备件两千元及以上的经采购人确认落实资金保障。</w:t>
      </w:r>
    </w:p>
    <w:p w14:paraId="5240FE23">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3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③</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紧急抢修：负责对巡检范围内的泵站自动化系统的紧急故障进行应急抢修，在允许的时间内及时消除故障，保障系统正常运行。</w:t>
      </w:r>
    </w:p>
    <w:p w14:paraId="7217BA8B">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8"/>
          <w:highlight w:val="none"/>
        </w:rPr>
        <w:t>（</w:t>
      </w:r>
      <w:r>
        <w:rPr>
          <w:rFonts w:hint="eastAsia" w:ascii="宋体" w:hAnsi="宋体" w:cs="宋体"/>
          <w:color w:val="auto"/>
          <w:sz w:val="24"/>
          <w:szCs w:val="28"/>
          <w:highlight w:val="none"/>
          <w:lang w:val="en-US" w:eastAsia="zh-CN"/>
        </w:rPr>
        <w:t>2</w:t>
      </w:r>
      <w:r>
        <w:rPr>
          <w:rFonts w:hint="eastAsia" w:ascii="宋体" w:hAnsi="宋体" w:cs="宋体"/>
          <w:color w:val="auto"/>
          <w:sz w:val="24"/>
          <w:szCs w:val="28"/>
          <w:highlight w:val="none"/>
        </w:rPr>
        <w:t>）工作目标</w:t>
      </w:r>
    </w:p>
    <w:p w14:paraId="3F83AC37">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8"/>
          <w:highlight w:val="none"/>
        </w:rPr>
        <w:t>合同期内，对泵站自动化监控系统软硬件每次巡检覆盖率100%；存在问题和缺陷发现率98%；软硬件问题和缺陷消除率不低于95%，其中重大缺陷消除率100%；不发生质量责任事故，不发生安全生产责任事故，确保“工程安全、运行安全、人身安全”。</w:t>
      </w:r>
    </w:p>
    <w:p w14:paraId="6DEC0FAF">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8"/>
          <w:highlight w:val="none"/>
        </w:rPr>
        <w:t>（</w:t>
      </w:r>
      <w:r>
        <w:rPr>
          <w:rFonts w:hint="eastAsia" w:ascii="宋体" w:hAnsi="宋体" w:cs="宋体"/>
          <w:color w:val="auto"/>
          <w:sz w:val="24"/>
          <w:szCs w:val="28"/>
          <w:highlight w:val="none"/>
          <w:lang w:val="en-US" w:eastAsia="zh-CN"/>
        </w:rPr>
        <w:t>3</w:t>
      </w:r>
      <w:r>
        <w:rPr>
          <w:rFonts w:hint="eastAsia" w:ascii="宋体" w:hAnsi="宋体" w:cs="宋体"/>
          <w:color w:val="auto"/>
          <w:sz w:val="24"/>
          <w:szCs w:val="28"/>
          <w:highlight w:val="none"/>
        </w:rPr>
        <w:t>）工作要求</w:t>
      </w:r>
    </w:p>
    <w:p w14:paraId="3784AB83">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由专人负责，且负责人软、硬件专业技术过硬，熟练掌握八堡排水泵站自动控制系统和通信网络的技术性能、状况和维修要求，具有故障的处理及应用软件的修改完善能力；</w:t>
      </w:r>
    </w:p>
    <w:p w14:paraId="004E356F">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 xml:space="preserve">能保证工作的时效性和连续性，不因除不可抗拒自然力外的其他因素影响本项目的正常进行； </w:t>
      </w:r>
    </w:p>
    <w:p w14:paraId="3314906A">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3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③</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巡检工作结束后应及时提供巡检报告书，内容应包括巡检项目、发现问题处理方案和最终处理结果，以及系统完善提高的技术改进方案和合理化建议等。</w:t>
      </w:r>
    </w:p>
    <w:p w14:paraId="52B6398D">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4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④</w:t>
      </w:r>
      <w:r>
        <w:rPr>
          <w:rFonts w:hint="eastAsia" w:ascii="宋体" w:hAnsi="宋体" w:cs="宋体"/>
          <w:color w:val="auto"/>
          <w:sz w:val="24"/>
          <w:szCs w:val="24"/>
          <w:highlight w:val="none"/>
        </w:rPr>
        <w:fldChar w:fldCharType="end"/>
      </w:r>
      <w:r>
        <w:rPr>
          <w:rFonts w:hint="eastAsia" w:ascii="宋体" w:hAnsi="宋体" w:cs="宋体"/>
          <w:color w:val="auto"/>
          <w:sz w:val="24"/>
          <w:szCs w:val="28"/>
          <w:highlight w:val="none"/>
        </w:rPr>
        <w:t>紧急抢修维护。提供24小时电话服务，</w:t>
      </w:r>
      <w:r>
        <w:rPr>
          <w:rFonts w:hint="eastAsia" w:ascii="宋体" w:hAnsi="宋体" w:cs="宋体"/>
          <w:color w:val="auto"/>
          <w:sz w:val="24"/>
          <w:szCs w:val="28"/>
          <w:highlight w:val="none"/>
          <w:lang w:val="en-US" w:eastAsia="zh-CN"/>
        </w:rPr>
        <w:t>保障技术支撑，</w:t>
      </w:r>
      <w:r>
        <w:rPr>
          <w:rFonts w:hint="eastAsia" w:ascii="宋体" w:hAnsi="宋体" w:cs="宋体"/>
          <w:color w:val="auto"/>
          <w:sz w:val="24"/>
          <w:szCs w:val="28"/>
          <w:highlight w:val="none"/>
        </w:rPr>
        <w:t>非汛期故障排除时间12-36小时，汛期故障排除时间</w:t>
      </w:r>
      <w:r>
        <w:rPr>
          <w:rFonts w:hint="eastAsia" w:ascii="宋体" w:hAnsi="宋体" w:cs="宋体"/>
          <w:color w:val="auto"/>
          <w:sz w:val="24"/>
          <w:szCs w:val="28"/>
          <w:highlight w:val="none"/>
          <w:lang w:val="en-US" w:eastAsia="zh-CN"/>
        </w:rPr>
        <w:t>4-8</w:t>
      </w:r>
      <w:r>
        <w:rPr>
          <w:rFonts w:hint="eastAsia" w:ascii="宋体" w:hAnsi="宋体" w:cs="宋体"/>
          <w:color w:val="auto"/>
          <w:sz w:val="24"/>
          <w:szCs w:val="28"/>
          <w:highlight w:val="none"/>
        </w:rPr>
        <w:t>小时</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lang w:val="en-US" w:eastAsia="zh-CN"/>
        </w:rPr>
        <w:t>需安排团队现场抢修的，</w:t>
      </w:r>
      <w:r>
        <w:rPr>
          <w:rFonts w:hint="eastAsia" w:ascii="宋体" w:hAnsi="宋体" w:cs="宋体"/>
          <w:color w:val="auto"/>
          <w:sz w:val="24"/>
          <w:szCs w:val="28"/>
          <w:highlight w:val="none"/>
        </w:rPr>
        <w:t>接到抢修任务后能够及时安排合适的人员在24小时之内到达现场，察看分析故障后能及时制定合理的处理方案并及时处理。</w:t>
      </w:r>
    </w:p>
    <w:p w14:paraId="2E721C80">
      <w:pPr>
        <w:pStyle w:val="10"/>
        <w:snapToGrid w:val="0"/>
        <w:spacing w:line="360" w:lineRule="auto"/>
        <w:ind w:firstLine="480" w:firstLineChars="200"/>
        <w:rPr>
          <w:rFonts w:hint="eastAsia" w:ascii="宋体" w:hAnsi="宋体" w:cs="宋体"/>
          <w:color w:val="auto"/>
          <w:sz w:val="24"/>
          <w:szCs w:val="28"/>
          <w:highlight w:val="none"/>
        </w:rPr>
      </w:pPr>
      <w:r>
        <w:rPr>
          <w:rFonts w:hint="eastAsia"/>
          <w:color w:val="auto"/>
          <w:highlight w:val="none"/>
          <w:lang w:val="en-US"/>
        </w:rPr>
        <w:t>（</w:t>
      </w:r>
      <w:r>
        <w:rPr>
          <w:rFonts w:hint="eastAsia"/>
          <w:color w:val="auto"/>
          <w:highlight w:val="none"/>
          <w:lang w:val="en-US" w:eastAsia="zh-CN"/>
        </w:rPr>
        <w:t>4</w:t>
      </w:r>
      <w:r>
        <w:rPr>
          <w:rFonts w:hint="eastAsia"/>
          <w:color w:val="auto"/>
          <w:highlight w:val="none"/>
          <w:lang w:val="en-US"/>
        </w:rPr>
        <w:t>）成果</w:t>
      </w:r>
      <w:r>
        <w:rPr>
          <w:rFonts w:hint="eastAsia"/>
          <w:color w:val="auto"/>
          <w:highlight w:val="none"/>
          <w:lang w:val="en-US" w:eastAsia="zh-CN"/>
        </w:rPr>
        <w:t>要求</w:t>
      </w:r>
      <w:r>
        <w:rPr>
          <w:rFonts w:hint="eastAsia"/>
          <w:color w:val="auto"/>
          <w:highlight w:val="none"/>
          <w:lang w:val="en-US"/>
        </w:rPr>
        <w:t>：提交</w:t>
      </w:r>
      <w:r>
        <w:rPr>
          <w:rFonts w:hint="eastAsia" w:hAnsi="宋体" w:cs="宋体"/>
          <w:color w:val="auto"/>
          <w:szCs w:val="28"/>
          <w:highlight w:val="none"/>
        </w:rPr>
        <w:t>自动化监控系统</w:t>
      </w:r>
      <w:r>
        <w:rPr>
          <w:rFonts w:hint="eastAsia"/>
          <w:color w:val="auto"/>
          <w:highlight w:val="none"/>
          <w:lang w:val="en-US"/>
        </w:rPr>
        <w:t>技术档案一份。包含定期检查记录、维护记录、运行故障和事故记录等。</w:t>
      </w:r>
    </w:p>
    <w:p w14:paraId="391E1315">
      <w:pPr>
        <w:pStyle w:val="5"/>
        <w:tabs>
          <w:tab w:val="left" w:pos="709"/>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2.2.7.2</w:t>
      </w:r>
      <w:r>
        <w:rPr>
          <w:rFonts w:hint="eastAsia" w:ascii="宋体" w:hAnsi="宋体" w:eastAsia="宋体" w:cs="宋体"/>
          <w:color w:val="auto"/>
          <w:sz w:val="24"/>
          <w:szCs w:val="24"/>
          <w:highlight w:val="none"/>
          <w:lang w:val="en-US" w:eastAsia="zh-CN"/>
        </w:rPr>
        <w:t>信息</w:t>
      </w:r>
      <w:r>
        <w:rPr>
          <w:rFonts w:hint="eastAsia" w:ascii="宋体" w:hAnsi="宋体" w:eastAsia="宋体" w:cs="宋体"/>
          <w:color w:val="auto"/>
          <w:sz w:val="24"/>
          <w:szCs w:val="24"/>
          <w:highlight w:val="none"/>
        </w:rPr>
        <w:t>化平台专业巡检维护</w:t>
      </w: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允许分包</w:t>
      </w:r>
      <w:r>
        <w:rPr>
          <w:rFonts w:hint="eastAsia" w:hAnsi="宋体" w:cs="宋体"/>
          <w:b/>
          <w:color w:val="auto"/>
          <w:sz w:val="24"/>
          <w:szCs w:val="24"/>
          <w:highlight w:val="none"/>
          <w:lang w:eastAsia="zh-CN"/>
        </w:rPr>
        <w:t>）</w:t>
      </w:r>
    </w:p>
    <w:p w14:paraId="5819BD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8"/>
          <w:highlight w:val="none"/>
          <w:lang w:val="en-US" w:eastAsia="zh-CN"/>
        </w:rPr>
        <w:t>（1）</w:t>
      </w:r>
      <w:r>
        <w:rPr>
          <w:rFonts w:hint="eastAsia" w:ascii="宋体" w:hAnsi="宋体" w:cs="宋体"/>
          <w:color w:val="auto"/>
          <w:sz w:val="24"/>
          <w:szCs w:val="28"/>
          <w:highlight w:val="none"/>
        </w:rPr>
        <w:t>工作内容</w:t>
      </w:r>
    </w:p>
    <w:p w14:paraId="69E854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1"/>
          <w:szCs w:val="21"/>
          <w:highlight w:val="none"/>
        </w:rPr>
      </w:pPr>
      <w:r>
        <w:rPr>
          <w:rFonts w:hint="eastAsia" w:ascii="宋体" w:hAnsi="宋体" w:eastAsia="宋体" w:cs="宋体"/>
          <w:color w:val="auto"/>
          <w:sz w:val="24"/>
          <w:szCs w:val="28"/>
          <w:highlight w:val="none"/>
        </w:rPr>
        <w:t>对八堡一体化智慧管控平台进行运行维护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包括</w:t>
      </w:r>
      <w:r>
        <w:rPr>
          <w:rFonts w:hint="eastAsia" w:ascii="宋体" w:hAnsi="宋体" w:eastAsia="宋体" w:cs="宋体"/>
          <w:color w:val="auto"/>
          <w:sz w:val="24"/>
          <w:szCs w:val="28"/>
          <w:highlight w:val="none"/>
          <w:lang w:val="en-US" w:eastAsia="zh-CN"/>
        </w:rPr>
        <w:t>专业</w:t>
      </w:r>
      <w:r>
        <w:rPr>
          <w:rFonts w:hint="eastAsia" w:ascii="宋体" w:hAnsi="宋体" w:eastAsia="宋体" w:cs="宋体"/>
          <w:color w:val="auto"/>
          <w:sz w:val="24"/>
          <w:szCs w:val="28"/>
          <w:highlight w:val="none"/>
        </w:rPr>
        <w:t>巡检服务、</w:t>
      </w:r>
      <w:r>
        <w:rPr>
          <w:rFonts w:hint="eastAsia" w:ascii="宋体" w:hAnsi="宋体" w:eastAsia="宋体" w:cs="宋体"/>
          <w:color w:val="auto"/>
          <w:sz w:val="24"/>
          <w:szCs w:val="28"/>
          <w:highlight w:val="none"/>
          <w:lang w:val="en-US" w:eastAsia="zh-CN"/>
        </w:rPr>
        <w:t>维护更新</w:t>
      </w:r>
      <w:r>
        <w:rPr>
          <w:rFonts w:hint="eastAsia" w:ascii="宋体" w:hAnsi="宋体" w:eastAsia="宋体" w:cs="宋体"/>
          <w:color w:val="auto"/>
          <w:sz w:val="24"/>
          <w:szCs w:val="28"/>
          <w:highlight w:val="none"/>
        </w:rPr>
        <w:t>服务、驻点服务、资料整理与分析总结等</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保证</w:t>
      </w:r>
      <w:r>
        <w:rPr>
          <w:rFonts w:hint="eastAsia" w:ascii="宋体" w:hAnsi="宋体" w:cs="宋体"/>
          <w:color w:val="auto"/>
          <w:sz w:val="24"/>
          <w:szCs w:val="28"/>
          <w:highlight w:val="none"/>
          <w:lang w:val="en-US" w:eastAsia="zh-CN"/>
        </w:rPr>
        <w:t>八堡一体化智慧管控平台</w:t>
      </w:r>
      <w:r>
        <w:rPr>
          <w:rFonts w:hint="eastAsia" w:ascii="宋体" w:hAnsi="宋体" w:cs="宋体"/>
          <w:color w:val="auto"/>
          <w:sz w:val="24"/>
          <w:szCs w:val="28"/>
          <w:highlight w:val="none"/>
        </w:rPr>
        <w:t>系统功能的完整，及时处理存在的漏洞和不安全因素，更新相应的数据，保持数据的实时性，增强系统的稳定性，保证软件的安全稳定运行，以及做好数据中心机房及</w:t>
      </w:r>
      <w:r>
        <w:rPr>
          <w:rFonts w:hint="eastAsia" w:ascii="宋体" w:hAnsi="宋体" w:cs="宋体"/>
          <w:color w:val="auto"/>
          <w:sz w:val="24"/>
          <w:szCs w:val="28"/>
          <w:highlight w:val="none"/>
          <w:lang w:val="en-US" w:eastAsia="zh-CN"/>
        </w:rPr>
        <w:t>中控室</w:t>
      </w:r>
      <w:r>
        <w:rPr>
          <w:rFonts w:hint="eastAsia" w:ascii="宋体" w:hAnsi="宋体" w:cs="宋体"/>
          <w:color w:val="auto"/>
          <w:sz w:val="24"/>
          <w:szCs w:val="28"/>
          <w:highlight w:val="none"/>
        </w:rPr>
        <w:t>设备</w:t>
      </w:r>
      <w:r>
        <w:rPr>
          <w:rFonts w:hint="eastAsia" w:ascii="宋体" w:hAnsi="宋体" w:eastAsia="宋体" w:cs="宋体"/>
          <w:color w:val="auto"/>
          <w:sz w:val="24"/>
          <w:szCs w:val="28"/>
          <w:highlight w:val="none"/>
          <w:lang w:val="en-US" w:eastAsia="zh-CN"/>
        </w:rPr>
        <w:t>维养</w:t>
      </w:r>
      <w:r>
        <w:rPr>
          <w:rFonts w:hint="eastAsia" w:ascii="宋体" w:hAnsi="宋体" w:cs="宋体"/>
          <w:color w:val="auto"/>
          <w:sz w:val="24"/>
          <w:szCs w:val="28"/>
          <w:highlight w:val="none"/>
        </w:rPr>
        <w:t>工作，并根据维修保养情况做好数据资料整编工作，按要求形成运维总结。</w:t>
      </w:r>
    </w:p>
    <w:p w14:paraId="6977727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①</w:t>
      </w:r>
      <w:r>
        <w:rPr>
          <w:rFonts w:hint="eastAsia" w:ascii="宋体" w:hAnsi="宋体" w:cs="宋体"/>
          <w:color w:val="auto"/>
          <w:sz w:val="24"/>
          <w:szCs w:val="24"/>
          <w:highlight w:val="none"/>
        </w:rPr>
        <w:fldChar w:fldCharType="end"/>
      </w:r>
      <w:r>
        <w:rPr>
          <w:rFonts w:hint="eastAsia" w:ascii="宋体" w:hAnsi="宋体" w:eastAsia="宋体" w:cs="宋体"/>
          <w:color w:val="auto"/>
          <w:sz w:val="24"/>
          <w:szCs w:val="28"/>
          <w:highlight w:val="none"/>
        </w:rPr>
        <w:t>巡检服务</w:t>
      </w:r>
    </w:p>
    <w:p w14:paraId="2D7B14F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以</w:t>
      </w:r>
      <w:r>
        <w:rPr>
          <w:rFonts w:hint="eastAsia" w:ascii="宋体" w:hAnsi="宋体" w:eastAsia="宋体" w:cs="宋体"/>
          <w:color w:val="auto"/>
          <w:sz w:val="24"/>
          <w:szCs w:val="28"/>
          <w:highlight w:val="none"/>
          <w:lang w:val="en-US" w:eastAsia="zh-CN"/>
        </w:rPr>
        <w:t>八堡一体化智慧管控</w:t>
      </w:r>
      <w:r>
        <w:rPr>
          <w:rFonts w:hint="eastAsia" w:ascii="宋体" w:hAnsi="宋体" w:eastAsia="宋体" w:cs="宋体"/>
          <w:color w:val="auto"/>
          <w:sz w:val="24"/>
          <w:szCs w:val="28"/>
          <w:highlight w:val="none"/>
        </w:rPr>
        <w:t>平台、中心机房、视频监控、</w:t>
      </w:r>
      <w:r>
        <w:rPr>
          <w:rFonts w:hint="eastAsia" w:ascii="宋体" w:hAnsi="宋体" w:eastAsia="宋体" w:cs="宋体"/>
          <w:color w:val="auto"/>
          <w:sz w:val="24"/>
          <w:szCs w:val="28"/>
          <w:highlight w:val="none"/>
          <w:lang w:val="en-US" w:eastAsia="zh-CN"/>
        </w:rPr>
        <w:t>中控室</w:t>
      </w:r>
      <w:r>
        <w:rPr>
          <w:rFonts w:hint="eastAsia" w:ascii="宋体" w:hAnsi="宋体" w:eastAsia="宋体" w:cs="宋体"/>
          <w:color w:val="auto"/>
          <w:sz w:val="24"/>
          <w:szCs w:val="28"/>
          <w:highlight w:val="none"/>
        </w:rPr>
        <w:t>设备</w:t>
      </w:r>
      <w:r>
        <w:rPr>
          <w:rFonts w:hint="eastAsia" w:ascii="宋体" w:hAnsi="宋体" w:eastAsia="宋体" w:cs="宋体"/>
          <w:color w:val="auto"/>
          <w:sz w:val="24"/>
          <w:szCs w:val="28"/>
          <w:highlight w:val="none"/>
          <w:lang w:val="en-US" w:eastAsia="zh-CN"/>
        </w:rPr>
        <w:t>及配件</w:t>
      </w:r>
      <w:r>
        <w:rPr>
          <w:rFonts w:hint="eastAsia" w:ascii="宋体" w:hAnsi="宋体" w:eastAsia="宋体" w:cs="宋体"/>
          <w:color w:val="auto"/>
          <w:sz w:val="24"/>
          <w:szCs w:val="28"/>
          <w:highlight w:val="none"/>
        </w:rPr>
        <w:t>为主要对象，定期检查业务系统、数据及设备是否正常。</w:t>
      </w:r>
    </w:p>
    <w:p w14:paraId="0E67431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②</w:t>
      </w:r>
      <w:r>
        <w:rPr>
          <w:rFonts w:hint="eastAsia" w:ascii="宋体" w:hAnsi="宋体" w:cs="宋体"/>
          <w:color w:val="auto"/>
          <w:sz w:val="24"/>
          <w:szCs w:val="24"/>
          <w:highlight w:val="none"/>
        </w:rPr>
        <w:fldChar w:fldCharType="end"/>
      </w:r>
      <w:r>
        <w:rPr>
          <w:rFonts w:hint="eastAsia" w:ascii="宋体" w:hAnsi="宋体" w:eastAsia="宋体" w:cs="宋体"/>
          <w:color w:val="auto"/>
          <w:sz w:val="24"/>
          <w:szCs w:val="28"/>
          <w:highlight w:val="none"/>
          <w:lang w:val="en-US" w:eastAsia="zh-CN"/>
        </w:rPr>
        <w:t>维护更新</w:t>
      </w:r>
      <w:r>
        <w:rPr>
          <w:rFonts w:hint="eastAsia" w:ascii="宋体" w:hAnsi="宋体" w:eastAsia="宋体" w:cs="宋体"/>
          <w:color w:val="auto"/>
          <w:sz w:val="24"/>
          <w:szCs w:val="28"/>
          <w:highlight w:val="none"/>
        </w:rPr>
        <w:t>服务</w:t>
      </w:r>
    </w:p>
    <w:p w14:paraId="4FC3FC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提供维修服务，当系统设备发生故障时，在规定时间内消除故障影响，并最终消除故障。提供养护</w:t>
      </w:r>
      <w:r>
        <w:rPr>
          <w:rFonts w:hint="eastAsia" w:ascii="宋体" w:hAnsi="宋体" w:eastAsia="宋体" w:cs="宋体"/>
          <w:color w:val="auto"/>
          <w:sz w:val="24"/>
          <w:szCs w:val="28"/>
          <w:highlight w:val="none"/>
          <w:lang w:val="en-US" w:eastAsia="zh-CN"/>
        </w:rPr>
        <w:t>更新</w:t>
      </w:r>
      <w:r>
        <w:rPr>
          <w:rFonts w:hint="eastAsia" w:ascii="宋体" w:hAnsi="宋体" w:eastAsia="宋体" w:cs="宋体"/>
          <w:color w:val="auto"/>
          <w:sz w:val="24"/>
          <w:szCs w:val="28"/>
          <w:highlight w:val="none"/>
        </w:rPr>
        <w:t>服务，按照服务计划定期对系统软硬件设备进行保养</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按需更新软件系统</w:t>
      </w:r>
      <w:r>
        <w:rPr>
          <w:rFonts w:hint="eastAsia" w:ascii="宋体" w:hAnsi="宋体" w:eastAsia="宋体" w:cs="宋体"/>
          <w:color w:val="auto"/>
          <w:sz w:val="24"/>
          <w:szCs w:val="28"/>
          <w:highlight w:val="none"/>
        </w:rPr>
        <w:t>。单项</w:t>
      </w:r>
      <w:r>
        <w:rPr>
          <w:rFonts w:hint="eastAsia" w:ascii="宋体" w:hAnsi="宋体" w:eastAsia="宋体" w:cs="宋体"/>
          <w:color w:val="auto"/>
          <w:sz w:val="24"/>
          <w:szCs w:val="28"/>
          <w:highlight w:val="none"/>
          <w:lang w:val="en-US" w:eastAsia="zh-CN"/>
        </w:rPr>
        <w:t>设备及实施费用</w:t>
      </w:r>
      <w:r>
        <w:rPr>
          <w:rFonts w:hint="eastAsia" w:ascii="宋体" w:hAnsi="宋体" w:eastAsia="宋体" w:cs="宋体"/>
          <w:color w:val="auto"/>
          <w:sz w:val="24"/>
          <w:szCs w:val="28"/>
          <w:highlight w:val="none"/>
        </w:rPr>
        <w:t>两千元及以上的经采购人确认</w:t>
      </w:r>
      <w:r>
        <w:rPr>
          <w:rFonts w:hint="default" w:ascii="宋体" w:hAnsi="宋体" w:cs="宋体"/>
          <w:color w:val="auto"/>
          <w:sz w:val="24"/>
          <w:szCs w:val="28"/>
          <w:highlight w:val="none"/>
          <w:woUserID w:val="1"/>
        </w:rPr>
        <w:t>后</w:t>
      </w:r>
      <w:r>
        <w:rPr>
          <w:rFonts w:hint="eastAsia" w:ascii="宋体" w:hAnsi="宋体" w:eastAsia="宋体" w:cs="宋体"/>
          <w:color w:val="auto"/>
          <w:sz w:val="24"/>
          <w:szCs w:val="28"/>
          <w:highlight w:val="none"/>
        </w:rPr>
        <w:t>落实资金保障</w:t>
      </w:r>
      <w:r>
        <w:rPr>
          <w:rFonts w:hint="eastAsia" w:ascii="宋体" w:hAnsi="宋体" w:eastAsia="宋体" w:cs="宋体"/>
          <w:color w:val="auto"/>
          <w:sz w:val="24"/>
          <w:szCs w:val="28"/>
          <w:highlight w:val="none"/>
          <w:lang w:eastAsia="zh-CN"/>
        </w:rPr>
        <w:t>。</w:t>
      </w:r>
    </w:p>
    <w:p w14:paraId="2D77FFB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lang w:val="en-US" w:eastAsia="zh-CN"/>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3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③</w:t>
      </w:r>
      <w:r>
        <w:rPr>
          <w:rFonts w:hint="eastAsia" w:ascii="宋体" w:hAnsi="宋体" w:cs="宋体"/>
          <w:color w:val="auto"/>
          <w:sz w:val="24"/>
          <w:szCs w:val="24"/>
          <w:highlight w:val="none"/>
        </w:rPr>
        <w:fldChar w:fldCharType="end"/>
      </w:r>
      <w:r>
        <w:rPr>
          <w:rFonts w:hint="eastAsia" w:ascii="宋体" w:hAnsi="宋体" w:eastAsia="宋体" w:cs="宋体"/>
          <w:color w:val="auto"/>
          <w:sz w:val="24"/>
          <w:szCs w:val="28"/>
          <w:highlight w:val="none"/>
        </w:rPr>
        <w:t>服务</w:t>
      </w:r>
      <w:r>
        <w:rPr>
          <w:rFonts w:hint="eastAsia" w:ascii="宋体" w:hAnsi="宋体" w:cs="宋体"/>
          <w:color w:val="auto"/>
          <w:sz w:val="24"/>
          <w:szCs w:val="28"/>
          <w:highlight w:val="none"/>
          <w:lang w:val="en-US" w:eastAsia="zh-CN"/>
        </w:rPr>
        <w:t>人员</w:t>
      </w:r>
    </w:p>
    <w:p w14:paraId="6BDE48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cs="宋体"/>
          <w:color w:val="auto"/>
          <w:sz w:val="24"/>
          <w:szCs w:val="28"/>
          <w:highlight w:val="none"/>
          <w:lang w:val="en-US" w:eastAsia="zh-CN"/>
        </w:rPr>
        <w:t>配置的服务人员</w:t>
      </w:r>
      <w:r>
        <w:rPr>
          <w:rFonts w:hint="eastAsia" w:ascii="宋体" w:hAnsi="宋体" w:eastAsia="宋体" w:cs="宋体"/>
          <w:color w:val="auto"/>
          <w:sz w:val="24"/>
          <w:szCs w:val="28"/>
          <w:highlight w:val="none"/>
        </w:rPr>
        <w:t>软、硬件专业技术过硬，熟练掌握八堡一体化智慧管控平台的技术架构、设备性能、状况和维修要求，具有故障的处理及应用软件的修改完善能力</w:t>
      </w:r>
      <w:r>
        <w:rPr>
          <w:rFonts w:hint="eastAsia" w:ascii="宋体" w:hAnsi="宋体" w:eastAsia="宋体" w:cs="宋体"/>
          <w:color w:val="auto"/>
          <w:sz w:val="24"/>
          <w:szCs w:val="28"/>
          <w:highlight w:val="none"/>
          <w:lang w:eastAsia="zh-CN"/>
        </w:rPr>
        <w:t>。</w:t>
      </w:r>
    </w:p>
    <w:p w14:paraId="324665F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4 \* GB3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④</w:t>
      </w:r>
      <w:r>
        <w:rPr>
          <w:rFonts w:hint="eastAsia" w:ascii="宋体" w:hAnsi="宋体" w:cs="宋体"/>
          <w:color w:val="auto"/>
          <w:sz w:val="24"/>
          <w:szCs w:val="24"/>
          <w:highlight w:val="none"/>
        </w:rPr>
        <w:fldChar w:fldCharType="end"/>
      </w:r>
      <w:r>
        <w:rPr>
          <w:rFonts w:hint="eastAsia" w:ascii="宋体" w:hAnsi="宋体" w:eastAsia="宋体" w:cs="宋体"/>
          <w:color w:val="auto"/>
          <w:sz w:val="24"/>
          <w:szCs w:val="28"/>
          <w:highlight w:val="none"/>
        </w:rPr>
        <w:t>资料整理与分析总结</w:t>
      </w:r>
    </w:p>
    <w:p w14:paraId="5690382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Arial" w:cs="Arial"/>
          <w:color w:val="auto"/>
          <w:sz w:val="24"/>
          <w:szCs w:val="21"/>
          <w:highlight w:val="none"/>
        </w:rPr>
      </w:pPr>
      <w:r>
        <w:rPr>
          <w:rFonts w:hint="eastAsia" w:ascii="宋体" w:hAnsi="宋体" w:eastAsia="宋体" w:cs="宋体"/>
          <w:color w:val="auto"/>
          <w:sz w:val="24"/>
          <w:szCs w:val="28"/>
          <w:highlight w:val="none"/>
        </w:rPr>
        <w:t>对设备技术文档及运行维护记录等资料进行整理保管，并在维护周期结束后进行分析总结。</w:t>
      </w:r>
    </w:p>
    <w:p w14:paraId="001DCF9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8"/>
          <w:highlight w:val="none"/>
          <w:lang w:val="en-US" w:eastAsia="zh-CN"/>
        </w:rPr>
        <w:t>（2）</w:t>
      </w:r>
      <w:r>
        <w:rPr>
          <w:rFonts w:hint="eastAsia" w:ascii="宋体" w:hAnsi="宋体" w:cs="宋体"/>
          <w:color w:val="auto"/>
          <w:sz w:val="24"/>
          <w:szCs w:val="28"/>
          <w:highlight w:val="none"/>
        </w:rPr>
        <w:t>工作目标</w:t>
      </w:r>
    </w:p>
    <w:p w14:paraId="756CA5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8"/>
          <w:highlight w:val="none"/>
        </w:rPr>
        <w:t>合同期内，对八堡一体化智慧管控平台系统所有模块每次的巡检覆盖率100%；存在问题和缺陷发现率98%；软硬件问题和缺陷消除率不低于95%，其中重大缺陷消除率100%；不发生质量责任事故，不发生安全生产责任事故，确保“工程安全、运行安全、人身安全”。</w:t>
      </w:r>
    </w:p>
    <w:p w14:paraId="0611A32C">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default" w:ascii="宋体" w:hAnsi="宋体" w:eastAsia="宋体" w:cs="宋体"/>
          <w:color w:val="auto"/>
          <w:sz w:val="24"/>
          <w:szCs w:val="28"/>
          <w:highlight w:val="none"/>
        </w:rPr>
      </w:pPr>
      <w:r>
        <w:rPr>
          <w:rFonts w:hint="eastAsia" w:ascii="宋体" w:hAnsi="宋体" w:cs="宋体"/>
          <w:color w:val="auto"/>
          <w:sz w:val="24"/>
          <w:szCs w:val="28"/>
          <w:highlight w:val="none"/>
          <w:lang w:val="en-US" w:eastAsia="zh-CN"/>
        </w:rPr>
        <w:t>（3）工作要求</w:t>
      </w:r>
    </w:p>
    <w:p w14:paraId="02C8308D">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 1 \* GB3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①</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lang w:val="en-US" w:eastAsia="zh-CN"/>
        </w:rPr>
        <w:t>运维服务要求：</w:t>
      </w:r>
    </w:p>
    <w:p w14:paraId="7D50AA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cs="宋体"/>
          <w:color w:val="auto"/>
          <w:sz w:val="24"/>
          <w:szCs w:val="28"/>
          <w:highlight w:val="none"/>
        </w:rPr>
        <w:t>针对</w:t>
      </w:r>
      <w:r>
        <w:rPr>
          <w:rFonts w:hint="eastAsia" w:ascii="宋体" w:hAnsi="宋体" w:eastAsia="宋体" w:cs="宋体"/>
          <w:color w:val="auto"/>
          <w:sz w:val="24"/>
          <w:szCs w:val="28"/>
          <w:highlight w:val="none"/>
          <w:lang w:val="en-US" w:eastAsia="zh-CN"/>
        </w:rPr>
        <w:t>智慧化联合调度、</w:t>
      </w:r>
      <w:r>
        <w:rPr>
          <w:rFonts w:hint="eastAsia" w:ascii="宋体" w:hAnsi="宋体" w:cs="宋体"/>
          <w:color w:val="auto"/>
          <w:sz w:val="24"/>
          <w:szCs w:val="28"/>
          <w:highlight w:val="none"/>
          <w:lang w:val="en-US" w:eastAsia="zh-CN"/>
        </w:rPr>
        <w:t>标准化运行管理、齐备化监测监控、全景化实体监控、场景化应用融合、集中化智能告警、要素化智能联动</w:t>
      </w:r>
      <w:r>
        <w:rPr>
          <w:rFonts w:hint="eastAsia" w:ascii="宋体" w:hAnsi="宋体" w:eastAsia="宋体" w:cs="宋体"/>
          <w:color w:val="auto"/>
          <w:sz w:val="24"/>
          <w:szCs w:val="28"/>
          <w:highlight w:val="none"/>
          <w:lang w:val="en-US" w:eastAsia="zh-CN"/>
        </w:rPr>
        <w:t>、数字化工程管理</w:t>
      </w:r>
      <w:r>
        <w:rPr>
          <w:rFonts w:hint="eastAsia" w:ascii="宋体" w:hAnsi="宋体" w:cs="宋体"/>
          <w:color w:val="auto"/>
          <w:sz w:val="24"/>
          <w:szCs w:val="28"/>
          <w:highlight w:val="none"/>
        </w:rPr>
        <w:t>等其他业务应用模块进行运维服务。</w:t>
      </w:r>
    </w:p>
    <w:p w14:paraId="216B969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cs="宋体"/>
          <w:color w:val="auto"/>
          <w:sz w:val="24"/>
          <w:szCs w:val="28"/>
          <w:highlight w:val="none"/>
        </w:rPr>
      </w:pPr>
      <w:r>
        <w:rPr>
          <w:rFonts w:hint="eastAsia" w:ascii="宋体" w:hAnsi="宋体" w:eastAsia="宋体" w:cs="宋体"/>
          <w:b/>
          <w:bCs/>
          <w:color w:val="auto"/>
          <w:sz w:val="24"/>
          <w:szCs w:val="28"/>
          <w:highlight w:val="none"/>
          <w:lang w:val="en-US" w:eastAsia="zh-CN"/>
        </w:rPr>
        <w:t>智慧化联合调度</w:t>
      </w:r>
      <w:r>
        <w:rPr>
          <w:rFonts w:hint="eastAsia" w:ascii="宋体" w:hAnsi="宋体" w:cs="宋体"/>
          <w:b/>
          <w:bCs/>
          <w:color w:val="auto"/>
          <w:sz w:val="24"/>
          <w:szCs w:val="28"/>
          <w:highlight w:val="none"/>
          <w:lang w:val="en-US" w:eastAsia="zh-CN"/>
        </w:rPr>
        <w:t>：</w:t>
      </w:r>
      <w:r>
        <w:rPr>
          <w:rFonts w:hint="eastAsia" w:ascii="宋体" w:hAnsi="宋体" w:cs="宋体"/>
          <w:b/>
          <w:bCs/>
          <w:color w:val="auto"/>
          <w:sz w:val="24"/>
          <w:szCs w:val="28"/>
          <w:highlight w:val="none"/>
        </w:rPr>
        <w:t>结合</w:t>
      </w:r>
      <w:r>
        <w:rPr>
          <w:rFonts w:hint="eastAsia" w:ascii="宋体" w:hAnsi="宋体" w:eastAsia="宋体" w:cs="宋体"/>
          <w:b/>
          <w:bCs/>
          <w:color w:val="auto"/>
          <w:sz w:val="24"/>
          <w:szCs w:val="28"/>
          <w:highlight w:val="none"/>
          <w:lang w:val="en-US" w:eastAsia="zh-CN"/>
        </w:rPr>
        <w:t>智慧化联合调度模型</w:t>
      </w:r>
      <w:r>
        <w:rPr>
          <w:rFonts w:hint="eastAsia" w:ascii="宋体" w:hAnsi="宋体" w:cs="宋体"/>
          <w:b/>
          <w:bCs/>
          <w:color w:val="auto"/>
          <w:sz w:val="24"/>
          <w:szCs w:val="28"/>
          <w:highlight w:val="none"/>
        </w:rPr>
        <w:t>现状，对模块功能、数据、模型等进行运行维护；根据不同场景划分，优化调度模型；调度场景计算结果优化，提升调度模型精度；设置模型率定功能，</w:t>
      </w:r>
      <w:r>
        <w:rPr>
          <w:rFonts w:hint="eastAsia" w:ascii="宋体" w:hAnsi="宋体" w:cs="宋体"/>
          <w:b/>
          <w:bCs/>
          <w:color w:val="auto"/>
          <w:sz w:val="24"/>
          <w:szCs w:val="28"/>
          <w:highlight w:val="none"/>
          <w:lang w:val="en-US" w:eastAsia="zh-CN"/>
        </w:rPr>
        <w:t>适时</w:t>
      </w:r>
      <w:r>
        <w:rPr>
          <w:rFonts w:hint="eastAsia" w:ascii="宋体" w:hAnsi="宋体" w:eastAsia="宋体" w:cs="宋体"/>
          <w:b/>
          <w:bCs/>
          <w:color w:val="auto"/>
          <w:sz w:val="24"/>
          <w:szCs w:val="28"/>
          <w:highlight w:val="none"/>
          <w:lang w:val="en-US" w:eastAsia="zh-CN"/>
        </w:rPr>
        <w:t>开展水利计算模型率定</w:t>
      </w:r>
      <w:r>
        <w:rPr>
          <w:rFonts w:hint="eastAsia" w:ascii="宋体" w:hAnsi="宋体" w:cs="宋体"/>
          <w:color w:val="auto"/>
          <w:sz w:val="24"/>
          <w:szCs w:val="28"/>
          <w:highlight w:val="none"/>
        </w:rPr>
        <w:t>。</w:t>
      </w:r>
    </w:p>
    <w:p w14:paraId="074BBE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eastAsia="宋体" w:cs="宋体"/>
          <w:color w:val="auto"/>
          <w:sz w:val="24"/>
          <w:szCs w:val="28"/>
          <w:highlight w:val="none"/>
          <w:lang w:val="en-US" w:eastAsia="zh-CN"/>
        </w:rPr>
        <w:t>标准化运行管理</w:t>
      </w:r>
      <w:r>
        <w:rPr>
          <w:rFonts w:hint="eastAsia" w:ascii="宋体" w:hAnsi="宋体" w:cs="宋体"/>
          <w:color w:val="auto"/>
          <w:sz w:val="24"/>
          <w:szCs w:val="28"/>
          <w:highlight w:val="none"/>
          <w:lang w:val="en-US" w:eastAsia="zh-CN"/>
        </w:rPr>
        <w:t>：</w:t>
      </w:r>
      <w:r>
        <w:rPr>
          <w:rFonts w:hint="eastAsia" w:ascii="宋体" w:hAnsi="宋体" w:cs="宋体"/>
          <w:color w:val="auto"/>
          <w:sz w:val="24"/>
          <w:szCs w:val="28"/>
          <w:highlight w:val="none"/>
        </w:rPr>
        <w:t>对</w:t>
      </w:r>
      <w:r>
        <w:rPr>
          <w:rFonts w:hint="eastAsia" w:ascii="宋体" w:hAnsi="宋体" w:eastAsia="宋体" w:cs="宋体"/>
          <w:color w:val="auto"/>
          <w:sz w:val="24"/>
          <w:szCs w:val="28"/>
          <w:highlight w:val="none"/>
          <w:lang w:val="en-US" w:eastAsia="zh-CN"/>
        </w:rPr>
        <w:t>控制运用、值班管理、工程检查、工单管理、综合管理等</w:t>
      </w:r>
      <w:r>
        <w:rPr>
          <w:rFonts w:hint="eastAsia" w:ascii="宋体" w:hAnsi="宋体" w:cs="宋体"/>
          <w:color w:val="auto"/>
          <w:sz w:val="24"/>
          <w:szCs w:val="28"/>
          <w:highlight w:val="none"/>
        </w:rPr>
        <w:t>业务模块功能、数据等进行运行维护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按需调整更新</w:t>
      </w:r>
      <w:r>
        <w:rPr>
          <w:rFonts w:hint="eastAsia" w:ascii="宋体" w:hAnsi="宋体" w:cs="宋体"/>
          <w:color w:val="auto"/>
          <w:sz w:val="24"/>
          <w:szCs w:val="28"/>
          <w:highlight w:val="none"/>
        </w:rPr>
        <w:t>。</w:t>
      </w:r>
    </w:p>
    <w:p w14:paraId="335D67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eastAsia="宋体" w:cs="宋体"/>
          <w:color w:val="auto"/>
          <w:sz w:val="24"/>
          <w:szCs w:val="28"/>
          <w:highlight w:val="none"/>
          <w:lang w:val="en-US" w:eastAsia="zh-CN"/>
        </w:rPr>
        <w:t>齐备化监测监控</w:t>
      </w:r>
      <w:r>
        <w:rPr>
          <w:rFonts w:hint="eastAsia" w:ascii="宋体" w:hAnsi="宋体" w:cs="宋体"/>
          <w:color w:val="auto"/>
          <w:sz w:val="24"/>
          <w:szCs w:val="28"/>
          <w:highlight w:val="none"/>
          <w:lang w:val="en-US" w:eastAsia="zh-CN"/>
        </w:rPr>
        <w:t>：</w:t>
      </w:r>
      <w:r>
        <w:rPr>
          <w:rFonts w:hint="eastAsia" w:ascii="宋体" w:hAnsi="宋体" w:cs="宋体"/>
          <w:color w:val="auto"/>
          <w:sz w:val="24"/>
          <w:szCs w:val="28"/>
          <w:highlight w:val="none"/>
        </w:rPr>
        <w:t>对</w:t>
      </w:r>
      <w:r>
        <w:rPr>
          <w:rFonts w:hint="eastAsia" w:ascii="宋体" w:hAnsi="宋体" w:eastAsia="宋体" w:cs="宋体"/>
          <w:color w:val="auto"/>
          <w:sz w:val="24"/>
          <w:szCs w:val="28"/>
          <w:highlight w:val="none"/>
          <w:lang w:val="en-US" w:eastAsia="zh-CN"/>
        </w:rPr>
        <w:t>机组监控、状态监测、安全监测、水雨情监测、水质监测、机器人巡检、统计分析</w:t>
      </w:r>
      <w:r>
        <w:rPr>
          <w:rFonts w:hint="eastAsia" w:ascii="宋体" w:hAnsi="宋体" w:cs="宋体"/>
          <w:color w:val="auto"/>
          <w:sz w:val="24"/>
          <w:szCs w:val="28"/>
          <w:highlight w:val="none"/>
        </w:rPr>
        <w:t>模块功能、数据、智能分析算法</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数据库资源</w:t>
      </w:r>
      <w:r>
        <w:rPr>
          <w:rFonts w:hint="eastAsia" w:ascii="宋体" w:hAnsi="宋体" w:cs="宋体"/>
          <w:color w:val="auto"/>
          <w:sz w:val="24"/>
          <w:szCs w:val="28"/>
          <w:highlight w:val="none"/>
        </w:rPr>
        <w:t>等进行运行维护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保证外接数据稳定展示</w:t>
      </w:r>
      <w:r>
        <w:rPr>
          <w:rFonts w:hint="eastAsia" w:ascii="宋体" w:hAnsi="宋体" w:cs="宋体"/>
          <w:color w:val="auto"/>
          <w:sz w:val="24"/>
          <w:szCs w:val="28"/>
          <w:highlight w:val="none"/>
        </w:rPr>
        <w:t>。</w:t>
      </w:r>
    </w:p>
    <w:p w14:paraId="35DAC8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cs="宋体"/>
          <w:color w:val="auto"/>
          <w:sz w:val="24"/>
          <w:szCs w:val="28"/>
          <w:highlight w:val="none"/>
        </w:rPr>
      </w:pPr>
      <w:r>
        <w:rPr>
          <w:rFonts w:hint="eastAsia" w:ascii="宋体" w:hAnsi="宋体" w:eastAsia="宋体" w:cs="宋体"/>
          <w:color w:val="auto"/>
          <w:sz w:val="24"/>
          <w:szCs w:val="28"/>
          <w:highlight w:val="none"/>
          <w:lang w:val="en-US" w:eastAsia="zh-CN"/>
        </w:rPr>
        <w:t>全景化实体监控</w:t>
      </w:r>
      <w:r>
        <w:rPr>
          <w:rFonts w:hint="eastAsia" w:ascii="宋体" w:hAnsi="宋体" w:cs="宋体"/>
          <w:color w:val="auto"/>
          <w:sz w:val="24"/>
          <w:szCs w:val="28"/>
          <w:highlight w:val="none"/>
          <w:lang w:val="en-US" w:eastAsia="zh-CN"/>
        </w:rPr>
        <w:t>：</w:t>
      </w:r>
      <w:r>
        <w:rPr>
          <w:rFonts w:hint="eastAsia" w:ascii="宋体" w:hAnsi="宋体" w:cs="宋体"/>
          <w:color w:val="auto"/>
          <w:sz w:val="24"/>
          <w:szCs w:val="28"/>
          <w:highlight w:val="none"/>
        </w:rPr>
        <w:t>对</w:t>
      </w:r>
      <w:r>
        <w:rPr>
          <w:rFonts w:hint="eastAsia" w:ascii="宋体" w:hAnsi="宋体" w:eastAsia="宋体" w:cs="宋体"/>
          <w:color w:val="auto"/>
          <w:sz w:val="24"/>
          <w:szCs w:val="28"/>
          <w:highlight w:val="none"/>
          <w:lang w:val="en-US" w:eastAsia="zh-CN"/>
        </w:rPr>
        <w:t>系统</w:t>
      </w:r>
      <w:r>
        <w:rPr>
          <w:rFonts w:hint="eastAsia" w:ascii="宋体" w:hAnsi="宋体" w:eastAsia="宋体" w:cs="宋体"/>
          <w:color w:val="auto"/>
          <w:sz w:val="24"/>
          <w:szCs w:val="28"/>
          <w:highlight w:val="none"/>
        </w:rPr>
        <w:t>展示界面</w:t>
      </w:r>
      <w:r>
        <w:rPr>
          <w:rFonts w:hint="eastAsia" w:ascii="宋体" w:hAnsi="宋体" w:eastAsia="宋体" w:cs="宋体"/>
          <w:color w:val="auto"/>
          <w:sz w:val="24"/>
          <w:szCs w:val="28"/>
          <w:highlight w:val="none"/>
          <w:lang w:val="en-US" w:eastAsia="zh-CN"/>
        </w:rPr>
        <w:t>、数据传输、接入设备</w:t>
      </w:r>
      <w:r>
        <w:rPr>
          <w:rFonts w:hint="eastAsia" w:ascii="宋体" w:hAnsi="宋体" w:eastAsia="宋体" w:cs="宋体"/>
          <w:color w:val="auto"/>
          <w:sz w:val="24"/>
          <w:szCs w:val="28"/>
          <w:highlight w:val="none"/>
        </w:rPr>
        <w:t>硬件</w:t>
      </w:r>
      <w:r>
        <w:rPr>
          <w:rFonts w:hint="eastAsia" w:ascii="宋体" w:hAnsi="宋体" w:cs="宋体"/>
          <w:color w:val="auto"/>
          <w:sz w:val="24"/>
          <w:szCs w:val="28"/>
          <w:highlight w:val="none"/>
        </w:rPr>
        <w:t>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保证功能正常，展示稳定。</w:t>
      </w:r>
    </w:p>
    <w:p w14:paraId="7A4179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eastAsia="宋体" w:cs="宋体"/>
          <w:color w:val="auto"/>
          <w:sz w:val="24"/>
          <w:szCs w:val="28"/>
          <w:highlight w:val="none"/>
          <w:lang w:val="en-US" w:eastAsia="zh-CN"/>
        </w:rPr>
        <w:t>场景化应用融合</w:t>
      </w:r>
      <w:r>
        <w:rPr>
          <w:rFonts w:hint="eastAsia" w:ascii="宋体" w:hAnsi="宋体" w:cs="宋体"/>
          <w:color w:val="auto"/>
          <w:sz w:val="24"/>
          <w:szCs w:val="28"/>
          <w:highlight w:val="none"/>
          <w:lang w:val="en-US" w:eastAsia="zh-CN"/>
        </w:rPr>
        <w:t>：</w:t>
      </w:r>
      <w:r>
        <w:rPr>
          <w:rFonts w:hint="eastAsia" w:ascii="宋体" w:hAnsi="宋体" w:cs="宋体"/>
          <w:color w:val="auto"/>
          <w:sz w:val="24"/>
          <w:szCs w:val="28"/>
          <w:highlight w:val="none"/>
        </w:rPr>
        <w:t>结合</w:t>
      </w:r>
      <w:r>
        <w:rPr>
          <w:rFonts w:hint="eastAsia" w:ascii="宋体" w:hAnsi="宋体" w:eastAsia="宋体" w:cs="宋体"/>
          <w:color w:val="auto"/>
          <w:sz w:val="24"/>
          <w:szCs w:val="28"/>
          <w:highlight w:val="none"/>
          <w:lang w:val="en-US" w:eastAsia="zh-CN"/>
        </w:rPr>
        <w:t>场景化大屏</w:t>
      </w:r>
      <w:r>
        <w:rPr>
          <w:rFonts w:hint="eastAsia" w:ascii="宋体" w:hAnsi="宋体" w:cs="宋体"/>
          <w:color w:val="auto"/>
          <w:sz w:val="24"/>
          <w:szCs w:val="28"/>
          <w:highlight w:val="none"/>
        </w:rPr>
        <w:t>现状，对展示界面、系统数据等进行运行维护</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根据业务系统最新数据进行同步更新。</w:t>
      </w:r>
    </w:p>
    <w:p w14:paraId="09E1E9C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8"/>
          <w:highlight w:val="none"/>
          <w:lang w:eastAsia="zh-CN"/>
        </w:rPr>
      </w:pPr>
      <w:r>
        <w:rPr>
          <w:rFonts w:hint="eastAsia" w:ascii="宋体" w:hAnsi="宋体" w:cs="宋体"/>
          <w:color w:val="auto"/>
          <w:sz w:val="24"/>
          <w:szCs w:val="28"/>
          <w:highlight w:val="none"/>
        </w:rPr>
        <w:t>其他业务应用模块</w:t>
      </w:r>
      <w:r>
        <w:rPr>
          <w:rFonts w:hint="eastAsia" w:ascii="宋体" w:hAnsi="宋体" w:cs="宋体"/>
          <w:color w:val="auto"/>
          <w:sz w:val="24"/>
          <w:szCs w:val="28"/>
          <w:highlight w:val="none"/>
          <w:lang w:eastAsia="zh-CN"/>
        </w:rPr>
        <w:t>：</w:t>
      </w:r>
      <w:r>
        <w:rPr>
          <w:rFonts w:hint="eastAsia" w:ascii="宋体" w:hAnsi="宋体" w:eastAsia="宋体" w:cs="宋体"/>
          <w:color w:val="auto"/>
          <w:sz w:val="24"/>
          <w:szCs w:val="28"/>
          <w:highlight w:val="none"/>
        </w:rPr>
        <w:t>对集中化智能告警、要素化智能联动、数字化工程管理</w:t>
      </w:r>
      <w:r>
        <w:rPr>
          <w:rFonts w:hint="eastAsia" w:ascii="宋体" w:hAnsi="宋体" w:eastAsia="宋体" w:cs="宋体"/>
          <w:color w:val="auto"/>
          <w:sz w:val="24"/>
          <w:szCs w:val="28"/>
          <w:highlight w:val="none"/>
          <w:lang w:val="en-US" w:eastAsia="zh-CN"/>
        </w:rPr>
        <w:t>模块</w:t>
      </w:r>
      <w:r>
        <w:rPr>
          <w:rFonts w:hint="eastAsia" w:ascii="宋体" w:hAnsi="宋体" w:eastAsia="宋体" w:cs="宋体"/>
          <w:color w:val="auto"/>
          <w:sz w:val="24"/>
          <w:szCs w:val="28"/>
          <w:highlight w:val="none"/>
        </w:rPr>
        <w:t>的功能、数据等进行运行维护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并根据需求对新增的数据资源、服务资源等进行更新</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对平台</w:t>
      </w:r>
      <w:r>
        <w:rPr>
          <w:rFonts w:hint="eastAsia" w:ascii="宋体" w:hAnsi="宋体" w:eastAsia="宋体" w:cs="宋体"/>
          <w:color w:val="auto"/>
          <w:sz w:val="24"/>
          <w:szCs w:val="28"/>
          <w:highlight w:val="none"/>
        </w:rPr>
        <w:t>服务系统及数据库进行运行维护</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对</w:t>
      </w:r>
      <w:r>
        <w:rPr>
          <w:rFonts w:hint="eastAsia" w:ascii="宋体" w:hAnsi="宋体" w:cs="宋体"/>
          <w:color w:val="auto"/>
          <w:sz w:val="24"/>
          <w:szCs w:val="28"/>
          <w:highlight w:val="none"/>
          <w:lang w:val="en-US" w:eastAsia="zh-CN"/>
        </w:rPr>
        <w:t>移动端app</w:t>
      </w:r>
      <w:r>
        <w:rPr>
          <w:rFonts w:hint="eastAsia" w:ascii="宋体" w:hAnsi="宋体" w:cs="宋体"/>
          <w:color w:val="auto"/>
          <w:sz w:val="24"/>
          <w:szCs w:val="28"/>
          <w:highlight w:val="none"/>
        </w:rPr>
        <w:t>进行运行维护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保证功能正常使用，页面展示稳定</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预留</w:t>
      </w:r>
      <w:r>
        <w:rPr>
          <w:rFonts w:hint="eastAsia" w:ascii="宋体" w:hAnsi="宋体" w:cs="宋体"/>
          <w:color w:val="auto"/>
          <w:sz w:val="24"/>
          <w:szCs w:val="28"/>
          <w:highlight w:val="none"/>
          <w:lang w:val="en-US" w:eastAsia="zh-CN"/>
        </w:rPr>
        <w:t>七堡</w:t>
      </w:r>
      <w:r>
        <w:rPr>
          <w:rFonts w:hint="eastAsia" w:ascii="宋体" w:hAnsi="宋体" w:cs="宋体"/>
          <w:color w:val="auto"/>
          <w:sz w:val="24"/>
          <w:szCs w:val="28"/>
          <w:highlight w:val="none"/>
        </w:rPr>
        <w:t>排涝泵站等水利工程运行数据接入的条件，满足接入条件时及时接入</w:t>
      </w:r>
      <w:r>
        <w:rPr>
          <w:rFonts w:hint="eastAsia" w:ascii="宋体" w:hAnsi="宋体" w:cs="宋体"/>
          <w:color w:val="auto"/>
          <w:sz w:val="24"/>
          <w:szCs w:val="28"/>
          <w:highlight w:val="none"/>
          <w:lang w:eastAsia="zh-CN"/>
        </w:rPr>
        <w:t>。</w:t>
      </w:r>
    </w:p>
    <w:p w14:paraId="32B6B00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eastAsia="宋体" w:cs="宋体"/>
          <w:color w:val="auto"/>
          <w:sz w:val="24"/>
          <w:szCs w:val="28"/>
          <w:highlight w:val="none"/>
        </w:rPr>
        <w:t>中心机房运维</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对中心机房内软件硬件设备进行运行维护</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lang w:val="en-US" w:eastAsia="zh-CN"/>
        </w:rPr>
        <w:t>包括</w:t>
      </w:r>
      <w:r>
        <w:rPr>
          <w:rFonts w:hint="eastAsia" w:ascii="宋体" w:hAnsi="宋体" w:eastAsia="宋体" w:cs="宋体"/>
          <w:color w:val="auto"/>
          <w:sz w:val="24"/>
          <w:szCs w:val="28"/>
          <w:highlight w:val="none"/>
        </w:rPr>
        <w:t>对机房内的服务器</w:t>
      </w:r>
      <w:r>
        <w:rPr>
          <w:rFonts w:hint="eastAsia" w:ascii="宋体" w:hAnsi="宋体" w:eastAsia="宋体" w:cs="宋体"/>
          <w:color w:val="auto"/>
          <w:sz w:val="24"/>
          <w:szCs w:val="28"/>
          <w:highlight w:val="none"/>
          <w:lang w:val="en-US" w:eastAsia="zh-CN"/>
        </w:rPr>
        <w:t>按需提供</w:t>
      </w:r>
      <w:r>
        <w:rPr>
          <w:rFonts w:hint="eastAsia" w:ascii="宋体" w:hAnsi="宋体" w:eastAsia="宋体" w:cs="宋体"/>
          <w:color w:val="auto"/>
          <w:sz w:val="24"/>
          <w:szCs w:val="28"/>
          <w:highlight w:val="none"/>
        </w:rPr>
        <w:t>续保服务</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UPS</w:t>
      </w:r>
      <w:r>
        <w:rPr>
          <w:rFonts w:hint="eastAsia" w:ascii="宋体" w:hAnsi="宋体" w:eastAsia="宋体" w:cs="宋体"/>
          <w:color w:val="auto"/>
          <w:sz w:val="24"/>
          <w:szCs w:val="28"/>
          <w:highlight w:val="none"/>
        </w:rPr>
        <w:t>每半年1次详细巡检例行维护</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机柜空调</w:t>
      </w:r>
      <w:r>
        <w:rPr>
          <w:rFonts w:hint="eastAsia" w:ascii="宋体" w:hAnsi="宋体" w:cs="宋体"/>
          <w:color w:val="auto"/>
          <w:sz w:val="24"/>
          <w:szCs w:val="28"/>
          <w:highlight w:val="none"/>
        </w:rPr>
        <w:t>每</w:t>
      </w:r>
      <w:r>
        <w:rPr>
          <w:rFonts w:hint="eastAsia" w:ascii="宋体" w:hAnsi="宋体" w:eastAsia="宋体" w:cs="宋体"/>
          <w:color w:val="auto"/>
          <w:sz w:val="24"/>
          <w:szCs w:val="28"/>
          <w:highlight w:val="none"/>
          <w:lang w:val="en-US" w:eastAsia="zh-CN"/>
        </w:rPr>
        <w:t>半年一</w:t>
      </w:r>
      <w:r>
        <w:rPr>
          <w:rFonts w:hint="eastAsia" w:ascii="宋体" w:hAnsi="宋体" w:cs="宋体"/>
          <w:color w:val="auto"/>
          <w:sz w:val="24"/>
          <w:szCs w:val="28"/>
          <w:highlight w:val="none"/>
        </w:rPr>
        <w:t>次巡检维护和保养</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每半年1次存储备份设备详细巡检及设备例行维护，并提供设备配置变更、备份策略调整、存储空间划分、调整等配置变更等响应式服务。其他硬件设备维护</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对机房其他硬件设备进行配置检查；对系统所使用服务器的监管，包括磁盘空间的监管、服务器性能的监管、网络环境的监管</w:t>
      </w:r>
      <w:r>
        <w:rPr>
          <w:rFonts w:hint="eastAsia" w:ascii="宋体" w:hAnsi="宋体" w:eastAsia="宋体" w:cs="宋体"/>
          <w:color w:val="auto"/>
          <w:sz w:val="24"/>
          <w:szCs w:val="28"/>
          <w:highlight w:val="none"/>
          <w:lang w:eastAsia="zh-CN"/>
        </w:rPr>
        <w:t>；</w:t>
      </w:r>
      <w:r>
        <w:rPr>
          <w:rFonts w:hint="eastAsia" w:ascii="宋体" w:hAnsi="宋体" w:cs="宋体"/>
          <w:color w:val="auto"/>
          <w:sz w:val="24"/>
          <w:szCs w:val="28"/>
          <w:highlight w:val="none"/>
        </w:rPr>
        <w:t>提供损坏部件或配件的维修服务工作（如联系厂商或送至维修站点），直至设备正常工作；</w:t>
      </w:r>
      <w:r>
        <w:rPr>
          <w:rFonts w:hint="eastAsia" w:ascii="宋体" w:hAnsi="宋体" w:eastAsia="宋体" w:cs="宋体"/>
          <w:color w:val="auto"/>
          <w:sz w:val="24"/>
          <w:szCs w:val="28"/>
          <w:highlight w:val="none"/>
        </w:rPr>
        <w:t>单项</w:t>
      </w:r>
      <w:r>
        <w:rPr>
          <w:rFonts w:hint="eastAsia" w:ascii="宋体" w:hAnsi="宋体" w:eastAsia="宋体" w:cs="宋体"/>
          <w:color w:val="auto"/>
          <w:sz w:val="24"/>
          <w:szCs w:val="28"/>
          <w:highlight w:val="none"/>
          <w:lang w:val="en-US" w:eastAsia="zh-CN"/>
        </w:rPr>
        <w:t>配件或耗材维修</w:t>
      </w:r>
      <w:r>
        <w:rPr>
          <w:rFonts w:hint="eastAsia" w:ascii="宋体" w:hAnsi="宋体" w:eastAsia="宋体" w:cs="宋体"/>
          <w:color w:val="auto"/>
          <w:sz w:val="24"/>
          <w:szCs w:val="28"/>
          <w:highlight w:val="none"/>
        </w:rPr>
        <w:t>或更新升级实施费用两千元及以上的经采购人确认落实资金保障。</w:t>
      </w:r>
    </w:p>
    <w:p w14:paraId="0F368D6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8"/>
          <w:highlight w:val="none"/>
        </w:rPr>
      </w:pPr>
      <w:r>
        <w:rPr>
          <w:rFonts w:hint="eastAsia" w:ascii="宋体" w:hAnsi="宋体" w:eastAsia="宋体" w:cs="宋体"/>
          <w:color w:val="auto"/>
          <w:sz w:val="24"/>
          <w:szCs w:val="28"/>
          <w:highlight w:val="none"/>
        </w:rPr>
        <w:t>安防视频监控运维</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对视频监控进行日常维护保养，设备及线路维修，系统设备及线路的排障，对摄像头，云台设备进行检修和保洁工作，对于损坏的摄像头、云台和支架等设备，提供安装调试服务。</w:t>
      </w:r>
      <w:r>
        <w:rPr>
          <w:rFonts w:hint="eastAsia" w:ascii="宋体" w:hAnsi="宋体" w:eastAsia="宋体" w:cs="宋体"/>
          <w:color w:val="auto"/>
          <w:sz w:val="24"/>
          <w:szCs w:val="28"/>
          <w:highlight w:val="none"/>
        </w:rPr>
        <w:t>单项</w:t>
      </w:r>
      <w:r>
        <w:rPr>
          <w:rFonts w:hint="eastAsia" w:ascii="宋体" w:hAnsi="宋体" w:eastAsia="宋体" w:cs="宋体"/>
          <w:color w:val="auto"/>
          <w:sz w:val="24"/>
          <w:szCs w:val="28"/>
          <w:highlight w:val="none"/>
          <w:lang w:val="en-US" w:eastAsia="zh-CN"/>
        </w:rPr>
        <w:t>配件或耗材维修</w:t>
      </w:r>
      <w:r>
        <w:rPr>
          <w:rFonts w:hint="eastAsia" w:ascii="宋体" w:hAnsi="宋体" w:eastAsia="宋体" w:cs="宋体"/>
          <w:color w:val="auto"/>
          <w:sz w:val="24"/>
          <w:szCs w:val="28"/>
          <w:highlight w:val="none"/>
        </w:rPr>
        <w:t>或更新升级实施费用两千元及以上的经采购人确认落实资金保障。</w:t>
      </w:r>
    </w:p>
    <w:p w14:paraId="201072F3">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中控室</w:t>
      </w:r>
      <w:r>
        <w:rPr>
          <w:rFonts w:hint="eastAsia" w:ascii="宋体" w:hAnsi="宋体" w:eastAsia="宋体" w:cs="宋体"/>
          <w:color w:val="auto"/>
          <w:sz w:val="24"/>
          <w:szCs w:val="28"/>
          <w:highlight w:val="none"/>
        </w:rPr>
        <w:t>设备运维</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对</w:t>
      </w:r>
      <w:r>
        <w:rPr>
          <w:rFonts w:hint="eastAsia" w:ascii="宋体" w:hAnsi="宋体" w:cs="宋体"/>
          <w:color w:val="auto"/>
          <w:sz w:val="24"/>
          <w:szCs w:val="28"/>
          <w:highlight w:val="none"/>
          <w:lang w:val="en-US" w:eastAsia="zh-CN"/>
        </w:rPr>
        <w:t>中控室</w:t>
      </w:r>
      <w:r>
        <w:rPr>
          <w:rFonts w:hint="eastAsia" w:ascii="宋体" w:hAnsi="宋体" w:eastAsia="宋体" w:cs="宋体"/>
          <w:color w:val="auto"/>
          <w:sz w:val="24"/>
          <w:szCs w:val="28"/>
          <w:highlight w:val="none"/>
          <w:lang w:val="en-US" w:eastAsia="zh-CN"/>
        </w:rPr>
        <w:t>工作站、大屏等</w:t>
      </w:r>
      <w:r>
        <w:rPr>
          <w:rFonts w:hint="eastAsia" w:ascii="宋体" w:hAnsi="宋体" w:cs="宋体"/>
          <w:color w:val="auto"/>
          <w:sz w:val="24"/>
          <w:szCs w:val="28"/>
          <w:highlight w:val="none"/>
        </w:rPr>
        <w:t>设备提供日常养护和维修服务。</w:t>
      </w:r>
      <w:r>
        <w:rPr>
          <w:rFonts w:hint="eastAsia" w:ascii="宋体" w:hAnsi="宋体" w:eastAsia="宋体" w:cs="宋体"/>
          <w:color w:val="auto"/>
          <w:sz w:val="24"/>
          <w:szCs w:val="28"/>
          <w:highlight w:val="none"/>
        </w:rPr>
        <w:t>单项</w:t>
      </w:r>
      <w:r>
        <w:rPr>
          <w:rFonts w:hint="eastAsia" w:ascii="宋体" w:hAnsi="宋体" w:eastAsia="宋体" w:cs="宋体"/>
          <w:color w:val="auto"/>
          <w:sz w:val="24"/>
          <w:szCs w:val="28"/>
          <w:highlight w:val="none"/>
          <w:lang w:val="en-US" w:eastAsia="zh-CN"/>
        </w:rPr>
        <w:t>配件或耗材维修</w:t>
      </w:r>
      <w:r>
        <w:rPr>
          <w:rFonts w:hint="eastAsia" w:ascii="宋体" w:hAnsi="宋体" w:eastAsia="宋体" w:cs="宋体"/>
          <w:color w:val="auto"/>
          <w:sz w:val="24"/>
          <w:szCs w:val="28"/>
          <w:highlight w:val="none"/>
        </w:rPr>
        <w:t>或更新升级实施费用两千元及以上的经采购人确认</w:t>
      </w:r>
      <w:r>
        <w:rPr>
          <w:rFonts w:hint="default" w:ascii="宋体" w:hAnsi="宋体" w:cs="宋体"/>
          <w:color w:val="auto"/>
          <w:sz w:val="24"/>
          <w:szCs w:val="28"/>
          <w:highlight w:val="none"/>
          <w:woUserID w:val="1"/>
        </w:rPr>
        <w:t>后</w:t>
      </w:r>
      <w:r>
        <w:rPr>
          <w:rFonts w:hint="eastAsia" w:ascii="宋体" w:hAnsi="宋体" w:eastAsia="宋体" w:cs="宋体"/>
          <w:color w:val="auto"/>
          <w:sz w:val="24"/>
          <w:szCs w:val="28"/>
          <w:highlight w:val="none"/>
        </w:rPr>
        <w:t>落实资金保障。</w:t>
      </w:r>
    </w:p>
    <w:p w14:paraId="390434EB">
      <w:pPr>
        <w:pStyle w:val="19"/>
        <w:jc w:val="center"/>
        <w:rPr>
          <w:rFonts w:hint="default"/>
          <w:color w:val="auto"/>
          <w:highlight w:val="none"/>
          <w:lang w:val="en-US"/>
        </w:rPr>
      </w:pPr>
      <w:r>
        <w:rPr>
          <w:rFonts w:hint="eastAsia" w:ascii="宋体" w:hAnsi="宋体" w:cs="宋体"/>
          <w:b/>
          <w:bCs/>
          <w:color w:val="auto"/>
          <w:sz w:val="24"/>
          <w:szCs w:val="24"/>
          <w:highlight w:val="none"/>
        </w:rPr>
        <w:t>维护服务</w:t>
      </w:r>
      <w:r>
        <w:rPr>
          <w:rFonts w:hint="eastAsia" w:hAnsi="宋体" w:cs="宋体"/>
          <w:b/>
          <w:bCs/>
          <w:color w:val="auto"/>
          <w:sz w:val="24"/>
          <w:szCs w:val="24"/>
          <w:highlight w:val="none"/>
          <w:lang w:val="en-US" w:eastAsia="zh-CN"/>
        </w:rPr>
        <w:t>要求清单</w:t>
      </w:r>
    </w:p>
    <w:tbl>
      <w:tblPr>
        <w:tblStyle w:val="20"/>
        <w:tblW w:w="9586" w:type="dxa"/>
        <w:tblInd w:w="0" w:type="dxa"/>
        <w:tblLayout w:type="fixed"/>
        <w:tblCellMar>
          <w:top w:w="0" w:type="dxa"/>
          <w:left w:w="108" w:type="dxa"/>
          <w:bottom w:w="0" w:type="dxa"/>
          <w:right w:w="108" w:type="dxa"/>
        </w:tblCellMar>
      </w:tblPr>
      <w:tblGrid>
        <w:gridCol w:w="637"/>
        <w:gridCol w:w="1901"/>
        <w:gridCol w:w="2237"/>
        <w:gridCol w:w="4481"/>
        <w:gridCol w:w="330"/>
      </w:tblGrid>
      <w:tr w14:paraId="666C2584">
        <w:tblPrEx>
          <w:tblCellMar>
            <w:top w:w="0" w:type="dxa"/>
            <w:left w:w="108" w:type="dxa"/>
            <w:bottom w:w="0" w:type="dxa"/>
            <w:right w:w="108" w:type="dxa"/>
          </w:tblCellMar>
        </w:tblPrEx>
        <w:trPr>
          <w:gridAfter w:val="1"/>
          <w:wAfter w:w="330" w:type="dxa"/>
          <w:trHeight w:val="23" w:hRule="atLeast"/>
          <w:tblHeader/>
        </w:trPr>
        <w:tc>
          <w:tcPr>
            <w:tcW w:w="637" w:type="dxa"/>
            <w:tcBorders>
              <w:top w:val="single" w:color="auto" w:sz="4" w:space="0"/>
              <w:left w:val="single" w:color="auto" w:sz="4" w:space="0"/>
              <w:bottom w:val="single" w:color="auto" w:sz="4" w:space="0"/>
              <w:right w:val="single" w:color="auto" w:sz="4" w:space="0"/>
            </w:tcBorders>
            <w:noWrap/>
            <w:vAlign w:val="center"/>
          </w:tcPr>
          <w:p w14:paraId="3776276B">
            <w:pPr>
              <w:widowControl/>
              <w:jc w:val="center"/>
              <w:rPr>
                <w:rFonts w:hint="eastAsia"/>
                <w:b/>
                <w:bCs/>
                <w:color w:val="auto"/>
                <w:sz w:val="21"/>
                <w:szCs w:val="21"/>
                <w:highlight w:val="none"/>
              </w:rPr>
            </w:pPr>
            <w:r>
              <w:rPr>
                <w:rFonts w:hint="eastAsia"/>
                <w:b/>
                <w:bCs/>
                <w:color w:val="auto"/>
                <w:sz w:val="21"/>
                <w:szCs w:val="21"/>
                <w:highlight w:val="none"/>
              </w:rPr>
              <w:t>序号</w:t>
            </w:r>
          </w:p>
        </w:tc>
        <w:tc>
          <w:tcPr>
            <w:tcW w:w="1901" w:type="dxa"/>
            <w:tcBorders>
              <w:top w:val="single" w:color="auto" w:sz="4" w:space="0"/>
              <w:left w:val="nil"/>
              <w:bottom w:val="single" w:color="auto" w:sz="4" w:space="0"/>
              <w:right w:val="single" w:color="auto" w:sz="4" w:space="0"/>
            </w:tcBorders>
            <w:noWrap w:val="0"/>
            <w:vAlign w:val="center"/>
          </w:tcPr>
          <w:p w14:paraId="51C98C1B">
            <w:pPr>
              <w:widowControl/>
              <w:jc w:val="center"/>
              <w:rPr>
                <w:rFonts w:hint="eastAsia"/>
                <w:b/>
                <w:bCs/>
                <w:color w:val="auto"/>
                <w:sz w:val="21"/>
                <w:szCs w:val="21"/>
                <w:highlight w:val="none"/>
              </w:rPr>
            </w:pPr>
            <w:r>
              <w:rPr>
                <w:rFonts w:hint="eastAsia"/>
                <w:b/>
                <w:bCs/>
                <w:color w:val="auto"/>
                <w:sz w:val="21"/>
                <w:szCs w:val="21"/>
                <w:highlight w:val="none"/>
              </w:rPr>
              <w:t>运维系统</w:t>
            </w:r>
          </w:p>
        </w:tc>
        <w:tc>
          <w:tcPr>
            <w:tcW w:w="2237" w:type="dxa"/>
            <w:tcBorders>
              <w:top w:val="single" w:color="auto" w:sz="4" w:space="0"/>
              <w:left w:val="nil"/>
              <w:bottom w:val="single" w:color="auto" w:sz="4" w:space="0"/>
              <w:right w:val="single" w:color="auto" w:sz="4" w:space="0"/>
            </w:tcBorders>
            <w:noWrap w:val="0"/>
            <w:vAlign w:val="center"/>
          </w:tcPr>
          <w:p w14:paraId="0CAD586A">
            <w:pPr>
              <w:widowControl/>
              <w:jc w:val="center"/>
              <w:rPr>
                <w:rFonts w:hint="eastAsia"/>
                <w:b/>
                <w:bCs/>
                <w:color w:val="auto"/>
                <w:sz w:val="21"/>
                <w:szCs w:val="21"/>
                <w:highlight w:val="none"/>
              </w:rPr>
            </w:pPr>
            <w:r>
              <w:rPr>
                <w:rFonts w:hint="eastAsia"/>
                <w:b/>
                <w:bCs/>
                <w:color w:val="auto"/>
                <w:sz w:val="21"/>
                <w:szCs w:val="21"/>
                <w:highlight w:val="none"/>
              </w:rPr>
              <w:t>运维模块</w:t>
            </w:r>
          </w:p>
        </w:tc>
        <w:tc>
          <w:tcPr>
            <w:tcW w:w="4481" w:type="dxa"/>
            <w:tcBorders>
              <w:top w:val="single" w:color="auto" w:sz="4" w:space="0"/>
              <w:left w:val="nil"/>
              <w:bottom w:val="single" w:color="auto" w:sz="4" w:space="0"/>
              <w:right w:val="single" w:color="auto" w:sz="4" w:space="0"/>
            </w:tcBorders>
            <w:noWrap w:val="0"/>
            <w:vAlign w:val="center"/>
          </w:tcPr>
          <w:p w14:paraId="558F3056">
            <w:pPr>
              <w:widowControl/>
              <w:jc w:val="center"/>
              <w:rPr>
                <w:rFonts w:hint="default" w:eastAsia="宋体"/>
                <w:b/>
                <w:bCs/>
                <w:color w:val="auto"/>
                <w:sz w:val="21"/>
                <w:szCs w:val="21"/>
                <w:highlight w:val="none"/>
                <w:lang w:val="en-US" w:eastAsia="zh-CN"/>
              </w:rPr>
            </w:pPr>
            <w:r>
              <w:rPr>
                <w:rFonts w:hint="eastAsia"/>
                <w:b/>
                <w:bCs/>
                <w:color w:val="auto"/>
                <w:sz w:val="21"/>
                <w:szCs w:val="21"/>
                <w:highlight w:val="none"/>
              </w:rPr>
              <w:t>运维</w:t>
            </w:r>
            <w:r>
              <w:rPr>
                <w:rFonts w:hint="eastAsia"/>
                <w:b/>
                <w:bCs/>
                <w:color w:val="auto"/>
                <w:sz w:val="21"/>
                <w:szCs w:val="21"/>
                <w:highlight w:val="none"/>
                <w:lang w:val="en-US" w:eastAsia="zh-CN"/>
              </w:rPr>
              <w:t>具体要求</w:t>
            </w:r>
          </w:p>
        </w:tc>
      </w:tr>
      <w:tr w14:paraId="5E365E64">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7461B8F7">
            <w:pPr>
              <w:widowControl/>
              <w:jc w:val="center"/>
              <w:rPr>
                <w:rFonts w:hint="eastAsia" w:eastAsia="宋体" w:cs="Times New Roman"/>
                <w:b/>
                <w:bCs w:val="0"/>
                <w:color w:val="auto"/>
                <w:sz w:val="21"/>
                <w:szCs w:val="21"/>
                <w:highlight w:val="none"/>
                <w:lang w:val="en-US" w:eastAsia="zh-CN"/>
              </w:rPr>
            </w:pPr>
            <w:r>
              <w:rPr>
                <w:rFonts w:hint="eastAsia" w:eastAsia="宋体" w:cs="Times New Roman"/>
                <w:b/>
                <w:bCs w:val="0"/>
                <w:color w:val="auto"/>
                <w:sz w:val="21"/>
                <w:szCs w:val="21"/>
                <w:highlight w:val="none"/>
                <w:lang w:val="en-US" w:eastAsia="zh-CN"/>
              </w:rPr>
              <w:t>一</w:t>
            </w:r>
          </w:p>
        </w:tc>
        <w:tc>
          <w:tcPr>
            <w:tcW w:w="4138" w:type="dxa"/>
            <w:gridSpan w:val="2"/>
            <w:tcBorders>
              <w:top w:val="single" w:color="auto" w:sz="4" w:space="0"/>
              <w:left w:val="single" w:color="auto" w:sz="4" w:space="0"/>
              <w:bottom w:val="single" w:color="auto" w:sz="4" w:space="0"/>
              <w:right w:val="single" w:color="auto" w:sz="4" w:space="0"/>
            </w:tcBorders>
            <w:noWrap w:val="0"/>
            <w:vAlign w:val="center"/>
          </w:tcPr>
          <w:p w14:paraId="7523F0A8">
            <w:pPr>
              <w:widowControl/>
              <w:jc w:val="center"/>
              <w:rPr>
                <w:rFonts w:hint="eastAsia" w:eastAsia="宋体" w:cs="Times New Roman"/>
                <w:b/>
                <w:bCs w:val="0"/>
                <w:color w:val="auto"/>
                <w:sz w:val="21"/>
                <w:szCs w:val="21"/>
                <w:highlight w:val="none"/>
                <w:lang w:val="en-US" w:eastAsia="zh-CN"/>
              </w:rPr>
            </w:pPr>
            <w:r>
              <w:rPr>
                <w:rFonts w:hint="eastAsia" w:eastAsia="宋体" w:cs="Times New Roman"/>
                <w:b/>
                <w:bCs w:val="0"/>
                <w:color w:val="auto"/>
                <w:sz w:val="21"/>
                <w:szCs w:val="21"/>
                <w:highlight w:val="none"/>
                <w:lang w:val="en-US" w:eastAsia="zh-CN"/>
              </w:rPr>
              <w:t>一体化智慧管控</w:t>
            </w:r>
            <w:r>
              <w:rPr>
                <w:rFonts w:hint="eastAsia" w:eastAsia="宋体" w:cs="Times New Roman"/>
                <w:b/>
                <w:bCs w:val="0"/>
                <w:color w:val="auto"/>
                <w:sz w:val="21"/>
                <w:szCs w:val="21"/>
                <w:highlight w:val="none"/>
              </w:rPr>
              <w:t>平台</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6A26E86C">
            <w:pPr>
              <w:widowControl/>
              <w:jc w:val="center"/>
              <w:rPr>
                <w:rFonts w:hint="eastAsia" w:eastAsia="宋体" w:cs="Times New Roman"/>
                <w:bCs/>
                <w:color w:val="auto"/>
                <w:sz w:val="21"/>
                <w:szCs w:val="21"/>
                <w:highlight w:val="none"/>
                <w:lang w:val="en-US" w:eastAsia="zh-CN"/>
              </w:rPr>
            </w:pPr>
          </w:p>
        </w:tc>
      </w:tr>
      <w:tr w14:paraId="2A3FD821">
        <w:tblPrEx>
          <w:tblCellMar>
            <w:top w:w="0" w:type="dxa"/>
            <w:left w:w="108" w:type="dxa"/>
            <w:bottom w:w="0" w:type="dxa"/>
            <w:right w:w="108" w:type="dxa"/>
          </w:tblCellMar>
        </w:tblPrEx>
        <w:trPr>
          <w:gridAfter w:val="1"/>
          <w:wAfter w:w="330" w:type="dxa"/>
          <w:trHeight w:val="23" w:hRule="atLeast"/>
        </w:trPr>
        <w:tc>
          <w:tcPr>
            <w:tcW w:w="637" w:type="dxa"/>
            <w:vMerge w:val="restart"/>
            <w:tcBorders>
              <w:top w:val="single" w:color="auto" w:sz="4" w:space="0"/>
              <w:left w:val="single" w:color="auto" w:sz="4" w:space="0"/>
              <w:bottom w:val="single" w:color="auto" w:sz="4" w:space="0"/>
              <w:right w:val="single" w:color="auto" w:sz="4" w:space="0"/>
            </w:tcBorders>
            <w:noWrap/>
            <w:vAlign w:val="center"/>
          </w:tcPr>
          <w:p w14:paraId="3F723AA7">
            <w:pPr>
              <w:widowControl/>
              <w:jc w:val="center"/>
              <w:rPr>
                <w:rFonts w:hint="eastAsia" w:eastAsia="宋体"/>
                <w:b w:val="0"/>
                <w:bCs/>
                <w:color w:val="auto"/>
                <w:sz w:val="21"/>
                <w:szCs w:val="21"/>
                <w:highlight w:val="none"/>
                <w:lang w:val="en-US" w:eastAsia="zh-CN"/>
              </w:rPr>
            </w:pPr>
          </w:p>
        </w:tc>
        <w:tc>
          <w:tcPr>
            <w:tcW w:w="1901" w:type="dxa"/>
            <w:vMerge w:val="restart"/>
            <w:tcBorders>
              <w:top w:val="single" w:color="auto" w:sz="4" w:space="0"/>
              <w:left w:val="single" w:color="auto" w:sz="4" w:space="0"/>
              <w:bottom w:val="single" w:color="auto" w:sz="4" w:space="0"/>
              <w:right w:val="single" w:color="auto" w:sz="4" w:space="0"/>
            </w:tcBorders>
            <w:noWrap w:val="0"/>
            <w:vAlign w:val="center"/>
          </w:tcPr>
          <w:p w14:paraId="142A7F2D">
            <w:pPr>
              <w:widowControl/>
              <w:jc w:val="center"/>
              <w:rPr>
                <w:rFonts w:hint="default"/>
                <w:b w:val="0"/>
                <w:bCs/>
                <w:color w:val="auto"/>
                <w:sz w:val="21"/>
                <w:szCs w:val="21"/>
                <w:highlight w:val="none"/>
              </w:rPr>
            </w:pPr>
            <w:r>
              <w:rPr>
                <w:rFonts w:hint="eastAsia" w:eastAsia="宋体" w:cs="Times New Roman"/>
                <w:b w:val="0"/>
                <w:bCs/>
                <w:color w:val="auto"/>
                <w:sz w:val="21"/>
                <w:szCs w:val="21"/>
                <w:highlight w:val="none"/>
                <w:lang w:val="en-US" w:eastAsia="zh-CN"/>
              </w:rPr>
              <w:t>一体化智慧管控</w:t>
            </w:r>
            <w:r>
              <w:rPr>
                <w:rFonts w:hint="eastAsia" w:eastAsia="宋体" w:cs="Times New Roman"/>
                <w:b w:val="0"/>
                <w:bCs/>
                <w:color w:val="auto"/>
                <w:sz w:val="21"/>
                <w:szCs w:val="21"/>
                <w:highlight w:val="none"/>
              </w:rPr>
              <w:t>平台</w:t>
            </w:r>
            <w:r>
              <w:rPr>
                <w:rFonts w:hint="eastAsia" w:eastAsia="宋体" w:cs="Times New Roman"/>
                <w:b w:val="0"/>
                <w:bCs/>
                <w:color w:val="auto"/>
                <w:sz w:val="21"/>
                <w:szCs w:val="21"/>
                <w:highlight w:val="none"/>
                <w:lang w:val="en-US" w:eastAsia="zh-CN"/>
              </w:rPr>
              <w:t>应用</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599C366A">
            <w:pPr>
              <w:widowControl/>
              <w:jc w:val="center"/>
              <w:rPr>
                <w:rFonts w:hint="eastAsia"/>
                <w:b w:val="0"/>
                <w:bCs/>
                <w:color w:val="auto"/>
                <w:sz w:val="21"/>
                <w:szCs w:val="21"/>
                <w:highlight w:val="none"/>
              </w:rPr>
            </w:pPr>
            <w:r>
              <w:rPr>
                <w:rFonts w:hint="eastAsia"/>
                <w:bCs/>
                <w:color w:val="auto"/>
                <w:sz w:val="21"/>
                <w:szCs w:val="21"/>
                <w:highlight w:val="none"/>
                <w:lang w:val="en-US" w:eastAsia="zh-CN"/>
              </w:rPr>
              <w:t>标准化运行管理</w:t>
            </w:r>
          </w:p>
        </w:tc>
        <w:tc>
          <w:tcPr>
            <w:tcW w:w="4481" w:type="dxa"/>
            <w:vMerge w:val="restart"/>
            <w:tcBorders>
              <w:top w:val="single" w:color="auto" w:sz="4" w:space="0"/>
              <w:left w:val="single" w:color="auto" w:sz="4" w:space="0"/>
              <w:bottom w:val="single" w:color="auto" w:sz="4" w:space="0"/>
              <w:right w:val="single" w:color="auto" w:sz="4" w:space="0"/>
            </w:tcBorders>
            <w:noWrap w:val="0"/>
            <w:vAlign w:val="center"/>
          </w:tcPr>
          <w:p w14:paraId="687C106A">
            <w:pPr>
              <w:widowControl/>
              <w:numPr>
                <w:ilvl w:val="0"/>
                <w:numId w:val="4"/>
              </w:numPr>
              <w:jc w:val="left"/>
              <w:rPr>
                <w:rFonts w:hint="eastAsia"/>
                <w:bCs/>
                <w:color w:val="auto"/>
                <w:sz w:val="21"/>
                <w:szCs w:val="21"/>
                <w:highlight w:val="none"/>
              </w:rPr>
            </w:pPr>
            <w:r>
              <w:rPr>
                <w:rFonts w:hint="eastAsia"/>
                <w:bCs/>
                <w:color w:val="auto"/>
                <w:sz w:val="21"/>
                <w:szCs w:val="21"/>
                <w:highlight w:val="none"/>
              </w:rPr>
              <w:t>定期巡检平台运行状况</w:t>
            </w:r>
            <w:r>
              <w:rPr>
                <w:rFonts w:hint="eastAsia"/>
                <w:bCs/>
                <w:color w:val="auto"/>
                <w:sz w:val="21"/>
                <w:szCs w:val="21"/>
                <w:highlight w:val="none"/>
              </w:rPr>
              <w:br w:type="textWrapping"/>
            </w:r>
            <w:r>
              <w:rPr>
                <w:rFonts w:hint="eastAsia"/>
                <w:bCs/>
                <w:color w:val="auto"/>
                <w:sz w:val="21"/>
                <w:szCs w:val="21"/>
                <w:highlight w:val="none"/>
              </w:rPr>
              <w:t>1.平台</w:t>
            </w:r>
            <w:r>
              <w:rPr>
                <w:rFonts w:hint="eastAsia"/>
                <w:bCs/>
                <w:color w:val="auto"/>
                <w:sz w:val="21"/>
                <w:szCs w:val="21"/>
                <w:highlight w:val="none"/>
                <w:lang w:val="en-US" w:eastAsia="zh-CN"/>
              </w:rPr>
              <w:t>及</w:t>
            </w:r>
            <w:r>
              <w:rPr>
                <w:rFonts w:hint="eastAsia"/>
                <w:bCs/>
                <w:color w:val="auto"/>
                <w:sz w:val="21"/>
                <w:szCs w:val="21"/>
                <w:highlight w:val="none"/>
              </w:rPr>
              <w:t>业务应用运行状态；</w:t>
            </w:r>
            <w:r>
              <w:rPr>
                <w:rFonts w:hint="eastAsia"/>
                <w:bCs/>
                <w:color w:val="auto"/>
                <w:sz w:val="21"/>
                <w:szCs w:val="21"/>
                <w:highlight w:val="none"/>
              </w:rPr>
              <w:br w:type="textWrapping"/>
            </w:r>
            <w:r>
              <w:rPr>
                <w:rFonts w:hint="eastAsia"/>
                <w:bCs/>
                <w:color w:val="auto"/>
                <w:sz w:val="21"/>
                <w:szCs w:val="21"/>
                <w:highlight w:val="none"/>
              </w:rPr>
              <w:t>2.分析平台</w:t>
            </w:r>
            <w:r>
              <w:rPr>
                <w:rFonts w:hint="eastAsia"/>
                <w:bCs/>
                <w:color w:val="auto"/>
                <w:sz w:val="21"/>
                <w:szCs w:val="21"/>
                <w:highlight w:val="none"/>
                <w:lang w:val="en-US" w:eastAsia="zh-CN"/>
              </w:rPr>
              <w:t>及</w:t>
            </w:r>
            <w:r>
              <w:rPr>
                <w:rFonts w:hint="eastAsia"/>
                <w:bCs/>
                <w:color w:val="auto"/>
                <w:sz w:val="21"/>
                <w:szCs w:val="21"/>
                <w:highlight w:val="none"/>
              </w:rPr>
              <w:t>业务应用日志；</w:t>
            </w:r>
            <w:r>
              <w:rPr>
                <w:rFonts w:hint="eastAsia"/>
                <w:bCs/>
                <w:color w:val="auto"/>
                <w:sz w:val="21"/>
                <w:szCs w:val="21"/>
                <w:highlight w:val="none"/>
              </w:rPr>
              <w:br w:type="textWrapping"/>
            </w:r>
            <w:r>
              <w:rPr>
                <w:rFonts w:hint="eastAsia"/>
                <w:bCs/>
                <w:color w:val="auto"/>
                <w:sz w:val="21"/>
                <w:szCs w:val="21"/>
                <w:highlight w:val="none"/>
              </w:rPr>
              <w:t>3.接入设备状态检查</w:t>
            </w:r>
            <w:r>
              <w:rPr>
                <w:rFonts w:hint="eastAsia"/>
                <w:bCs/>
                <w:color w:val="auto"/>
                <w:sz w:val="21"/>
                <w:szCs w:val="21"/>
                <w:highlight w:val="none"/>
              </w:rPr>
              <w:br w:type="textWrapping"/>
            </w:r>
            <w:r>
              <w:rPr>
                <w:rFonts w:hint="eastAsia"/>
                <w:bCs/>
                <w:color w:val="auto"/>
                <w:sz w:val="21"/>
                <w:szCs w:val="21"/>
                <w:highlight w:val="none"/>
              </w:rPr>
              <w:t>（2）定期对平台进行例行养护</w:t>
            </w:r>
            <w:r>
              <w:rPr>
                <w:rFonts w:hint="eastAsia"/>
                <w:bCs/>
                <w:color w:val="auto"/>
                <w:sz w:val="21"/>
                <w:szCs w:val="21"/>
                <w:highlight w:val="none"/>
              </w:rPr>
              <w:br w:type="textWrapping"/>
            </w:r>
            <w:r>
              <w:rPr>
                <w:rFonts w:hint="eastAsia"/>
                <w:bCs/>
                <w:color w:val="auto"/>
                <w:sz w:val="21"/>
                <w:szCs w:val="21"/>
                <w:highlight w:val="none"/>
              </w:rPr>
              <w:t>1.平台</w:t>
            </w:r>
            <w:r>
              <w:rPr>
                <w:rFonts w:hint="eastAsia"/>
                <w:bCs/>
                <w:color w:val="auto"/>
                <w:sz w:val="21"/>
                <w:szCs w:val="21"/>
                <w:highlight w:val="none"/>
                <w:lang w:val="en-US" w:eastAsia="zh-CN"/>
              </w:rPr>
              <w:t>及</w:t>
            </w:r>
            <w:r>
              <w:rPr>
                <w:rFonts w:hint="eastAsia"/>
                <w:bCs/>
                <w:color w:val="auto"/>
                <w:sz w:val="21"/>
                <w:szCs w:val="21"/>
                <w:highlight w:val="none"/>
              </w:rPr>
              <w:t>业务应用数据的校核、清理；数据库健康检查</w:t>
            </w:r>
            <w:r>
              <w:rPr>
                <w:rFonts w:hint="eastAsia"/>
                <w:bCs/>
                <w:color w:val="auto"/>
                <w:sz w:val="21"/>
                <w:szCs w:val="21"/>
                <w:highlight w:val="none"/>
                <w:lang w:eastAsia="zh-CN"/>
              </w:rPr>
              <w:t>；</w:t>
            </w:r>
            <w:r>
              <w:rPr>
                <w:rFonts w:hint="eastAsia"/>
                <w:bCs/>
                <w:color w:val="auto"/>
                <w:sz w:val="21"/>
                <w:szCs w:val="21"/>
                <w:highlight w:val="none"/>
              </w:rPr>
              <w:t>接入数据的校核、清理；</w:t>
            </w:r>
            <w:r>
              <w:rPr>
                <w:rFonts w:hint="eastAsia"/>
                <w:bCs/>
                <w:color w:val="auto"/>
                <w:sz w:val="21"/>
                <w:szCs w:val="21"/>
                <w:highlight w:val="none"/>
              </w:rPr>
              <w:br w:type="textWrapping"/>
            </w:r>
            <w:r>
              <w:rPr>
                <w:rFonts w:hint="eastAsia"/>
                <w:bCs/>
                <w:color w:val="auto"/>
                <w:sz w:val="21"/>
                <w:szCs w:val="21"/>
                <w:highlight w:val="none"/>
              </w:rPr>
              <w:t>2.平台</w:t>
            </w:r>
            <w:r>
              <w:rPr>
                <w:rFonts w:hint="eastAsia"/>
                <w:bCs/>
                <w:color w:val="auto"/>
                <w:sz w:val="21"/>
                <w:szCs w:val="21"/>
                <w:highlight w:val="none"/>
                <w:lang w:val="en-US" w:eastAsia="zh-CN"/>
              </w:rPr>
              <w:t>及</w:t>
            </w:r>
            <w:r>
              <w:rPr>
                <w:rFonts w:hint="eastAsia"/>
                <w:bCs/>
                <w:color w:val="auto"/>
                <w:sz w:val="21"/>
                <w:szCs w:val="21"/>
                <w:highlight w:val="none"/>
              </w:rPr>
              <w:t>业务应用性能分析、维护；</w:t>
            </w:r>
            <w:r>
              <w:rPr>
                <w:rFonts w:hint="eastAsia"/>
                <w:bCs/>
                <w:color w:val="auto"/>
                <w:sz w:val="21"/>
                <w:szCs w:val="21"/>
                <w:highlight w:val="none"/>
              </w:rPr>
              <w:br w:type="textWrapping"/>
            </w:r>
            <w:r>
              <w:rPr>
                <w:rFonts w:hint="eastAsia"/>
                <w:bCs/>
                <w:color w:val="auto"/>
                <w:sz w:val="21"/>
                <w:szCs w:val="21"/>
                <w:highlight w:val="none"/>
                <w:lang w:val="en-US" w:eastAsia="zh-CN"/>
              </w:rPr>
              <w:t>3</w:t>
            </w:r>
            <w:r>
              <w:rPr>
                <w:rFonts w:hint="eastAsia"/>
                <w:bCs/>
                <w:color w:val="auto"/>
                <w:sz w:val="21"/>
                <w:szCs w:val="21"/>
                <w:highlight w:val="none"/>
              </w:rPr>
              <w:t>.系统漏洞修复、定期杀毒等；</w:t>
            </w:r>
            <w:r>
              <w:rPr>
                <w:rFonts w:hint="eastAsia"/>
                <w:bCs/>
                <w:color w:val="auto"/>
                <w:sz w:val="21"/>
                <w:szCs w:val="21"/>
                <w:highlight w:val="none"/>
              </w:rPr>
              <w:br w:type="textWrapping"/>
            </w:r>
            <w:r>
              <w:rPr>
                <w:rFonts w:hint="eastAsia"/>
                <w:bCs/>
                <w:color w:val="auto"/>
                <w:sz w:val="21"/>
                <w:szCs w:val="21"/>
                <w:highlight w:val="none"/>
              </w:rPr>
              <w:t>（3）重要活动实时保障</w:t>
            </w:r>
            <w:r>
              <w:rPr>
                <w:rFonts w:hint="eastAsia"/>
                <w:bCs/>
                <w:color w:val="auto"/>
                <w:sz w:val="21"/>
                <w:szCs w:val="21"/>
                <w:highlight w:val="none"/>
              </w:rPr>
              <w:br w:type="textWrapping"/>
            </w:r>
            <w:r>
              <w:rPr>
                <w:rFonts w:hint="eastAsia"/>
                <w:bCs/>
                <w:color w:val="auto"/>
                <w:sz w:val="21"/>
                <w:szCs w:val="21"/>
                <w:highlight w:val="none"/>
              </w:rPr>
              <w:t>1.平台业务应用运行稳定、功能完整；</w:t>
            </w:r>
            <w:r>
              <w:rPr>
                <w:rFonts w:hint="eastAsia"/>
                <w:bCs/>
                <w:color w:val="auto"/>
                <w:sz w:val="21"/>
                <w:szCs w:val="21"/>
                <w:highlight w:val="none"/>
              </w:rPr>
              <w:br w:type="textWrapping"/>
            </w:r>
            <w:r>
              <w:rPr>
                <w:rFonts w:hint="eastAsia"/>
                <w:bCs/>
                <w:color w:val="auto"/>
                <w:sz w:val="21"/>
                <w:szCs w:val="21"/>
                <w:highlight w:val="none"/>
              </w:rPr>
              <w:t>2.平台业务应用数据实时、准确；</w:t>
            </w:r>
            <w:r>
              <w:rPr>
                <w:rFonts w:hint="eastAsia"/>
                <w:bCs/>
                <w:color w:val="auto"/>
                <w:sz w:val="21"/>
                <w:szCs w:val="21"/>
                <w:highlight w:val="none"/>
              </w:rPr>
              <w:br w:type="textWrapping"/>
            </w:r>
            <w:r>
              <w:rPr>
                <w:rFonts w:hint="eastAsia"/>
                <w:bCs/>
                <w:color w:val="auto"/>
                <w:sz w:val="21"/>
                <w:szCs w:val="21"/>
                <w:highlight w:val="none"/>
              </w:rPr>
              <w:t>（4）根据需要对业务系统应用进行响应式维护</w:t>
            </w:r>
            <w:r>
              <w:rPr>
                <w:rFonts w:hint="eastAsia"/>
                <w:bCs/>
                <w:color w:val="auto"/>
                <w:sz w:val="21"/>
                <w:szCs w:val="21"/>
                <w:highlight w:val="none"/>
              </w:rPr>
              <w:br w:type="textWrapping"/>
            </w:r>
            <w:r>
              <w:rPr>
                <w:rFonts w:hint="eastAsia"/>
                <w:bCs/>
                <w:color w:val="auto"/>
                <w:sz w:val="21"/>
                <w:szCs w:val="21"/>
                <w:highlight w:val="none"/>
              </w:rPr>
              <w:t>1.平台业务应用权限变更、业务流程调整等配置变更；</w:t>
            </w:r>
            <w:r>
              <w:rPr>
                <w:rFonts w:hint="eastAsia"/>
                <w:bCs/>
                <w:color w:val="auto"/>
                <w:sz w:val="21"/>
                <w:szCs w:val="21"/>
                <w:highlight w:val="none"/>
              </w:rPr>
              <w:br w:type="textWrapping"/>
            </w:r>
            <w:r>
              <w:rPr>
                <w:rFonts w:hint="eastAsia"/>
                <w:bCs/>
                <w:color w:val="auto"/>
                <w:sz w:val="21"/>
                <w:szCs w:val="21"/>
                <w:highlight w:val="none"/>
              </w:rPr>
              <w:t>2.平台业务应用数据的添加、修改、删除及导入、导出；</w:t>
            </w:r>
          </w:p>
          <w:p w14:paraId="10B41843">
            <w:pPr>
              <w:widowControl/>
              <w:numPr>
                <w:ilvl w:val="-1"/>
                <w:numId w:val="0"/>
              </w:numPr>
              <w:jc w:val="left"/>
              <w:rPr>
                <w:rFonts w:hint="eastAsia" w:eastAsia="宋体"/>
                <w:b w:val="0"/>
                <w:bCs/>
                <w:color w:val="auto"/>
                <w:sz w:val="21"/>
                <w:szCs w:val="21"/>
                <w:highlight w:val="none"/>
                <w:lang w:val="en-US" w:eastAsia="zh-CN"/>
              </w:rPr>
            </w:pPr>
            <w:r>
              <w:rPr>
                <w:rFonts w:hint="eastAsia"/>
                <w:bCs/>
                <w:color w:val="auto"/>
                <w:sz w:val="21"/>
                <w:szCs w:val="21"/>
                <w:highlight w:val="none"/>
                <w:lang w:val="en-US" w:eastAsia="zh-CN"/>
              </w:rPr>
              <w:t>3.预留七堡排涝泵站等水利工程运行数据接入的条件，满足接入条件时及时接入；</w:t>
            </w:r>
            <w:r>
              <w:rPr>
                <w:rFonts w:hint="eastAsia"/>
                <w:bCs/>
                <w:color w:val="auto"/>
                <w:sz w:val="21"/>
                <w:szCs w:val="21"/>
                <w:highlight w:val="none"/>
              </w:rPr>
              <w:br w:type="textWrapping"/>
            </w:r>
            <w:r>
              <w:rPr>
                <w:rFonts w:hint="eastAsia"/>
                <w:bCs/>
                <w:color w:val="auto"/>
                <w:sz w:val="21"/>
                <w:szCs w:val="21"/>
                <w:highlight w:val="none"/>
              </w:rPr>
              <w:t>（5）业务应用故障修复根据服务级别要求按时修复发生的系统Bug，包括对系统垃圾信息清理、维护系统安全及故障恢复等</w:t>
            </w:r>
            <w:r>
              <w:rPr>
                <w:rFonts w:hint="eastAsia"/>
                <w:bCs/>
                <w:color w:val="auto"/>
                <w:sz w:val="21"/>
                <w:szCs w:val="21"/>
                <w:highlight w:val="none"/>
                <w:lang w:eastAsia="zh-CN"/>
              </w:rPr>
              <w:t>。</w:t>
            </w:r>
          </w:p>
        </w:tc>
      </w:tr>
      <w:tr w14:paraId="43C71D8A">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511E9962">
            <w:pPr>
              <w:widowControl/>
              <w:jc w:val="center"/>
              <w:rPr>
                <w:rFonts w:hint="eastAsia"/>
                <w:bCs/>
                <w:color w:val="auto"/>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4DF76ED3">
            <w:pPr>
              <w:widowControl/>
              <w:jc w:val="center"/>
              <w:rPr>
                <w:rFonts w:hint="eastAsia"/>
                <w:bCs/>
                <w:color w:val="auto"/>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58DEA1B5">
            <w:pPr>
              <w:widowControl/>
              <w:jc w:val="center"/>
              <w:rPr>
                <w:rFonts w:hint="eastAsia"/>
                <w:b w:val="0"/>
                <w:bCs/>
                <w:color w:val="auto"/>
                <w:sz w:val="21"/>
                <w:szCs w:val="21"/>
                <w:highlight w:val="none"/>
              </w:rPr>
            </w:pPr>
            <w:r>
              <w:rPr>
                <w:rFonts w:hint="eastAsia"/>
                <w:bCs/>
                <w:color w:val="auto"/>
                <w:sz w:val="21"/>
                <w:szCs w:val="21"/>
                <w:highlight w:val="none"/>
                <w:lang w:val="en-US" w:eastAsia="zh-CN"/>
              </w:rPr>
              <w:t>智慧化联合调度</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7F19AC82">
            <w:pPr>
              <w:widowControl/>
              <w:jc w:val="center"/>
              <w:rPr>
                <w:rFonts w:hint="eastAsia"/>
                <w:b w:val="0"/>
                <w:bCs/>
                <w:color w:val="auto"/>
                <w:sz w:val="21"/>
                <w:szCs w:val="21"/>
                <w:highlight w:val="none"/>
              </w:rPr>
            </w:pPr>
          </w:p>
        </w:tc>
      </w:tr>
      <w:tr w14:paraId="5D1DC308">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37FCD30A">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407F63B8">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13324A38">
            <w:pPr>
              <w:widowControl/>
              <w:jc w:val="center"/>
              <w:rPr>
                <w:rFonts w:hint="eastAsia"/>
                <w:b w:val="0"/>
                <w:bCs/>
                <w:color w:val="auto"/>
                <w:sz w:val="21"/>
                <w:szCs w:val="21"/>
                <w:highlight w:val="none"/>
              </w:rPr>
            </w:pPr>
            <w:r>
              <w:rPr>
                <w:rFonts w:hint="eastAsia"/>
                <w:bCs/>
                <w:color w:val="auto"/>
                <w:sz w:val="21"/>
                <w:szCs w:val="21"/>
                <w:highlight w:val="none"/>
                <w:lang w:val="en-US" w:eastAsia="zh-CN"/>
              </w:rPr>
              <w:t>齐备化监测监控</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2D04F667">
            <w:pPr>
              <w:widowControl/>
              <w:jc w:val="center"/>
              <w:rPr>
                <w:rFonts w:hint="eastAsia"/>
                <w:b w:val="0"/>
                <w:bCs/>
                <w:color w:val="auto"/>
                <w:sz w:val="21"/>
                <w:szCs w:val="21"/>
                <w:highlight w:val="none"/>
              </w:rPr>
            </w:pPr>
          </w:p>
        </w:tc>
      </w:tr>
      <w:tr w14:paraId="61EB7C93">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284B43D1">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148307F2">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2F14C4B0">
            <w:pPr>
              <w:widowControl/>
              <w:jc w:val="center"/>
              <w:rPr>
                <w:rFonts w:hint="eastAsia"/>
                <w:b w:val="0"/>
                <w:bCs/>
                <w:color w:val="auto"/>
                <w:sz w:val="21"/>
                <w:szCs w:val="21"/>
                <w:highlight w:val="none"/>
              </w:rPr>
            </w:pPr>
            <w:r>
              <w:rPr>
                <w:rFonts w:hint="eastAsia"/>
                <w:bCs/>
                <w:color w:val="auto"/>
                <w:sz w:val="21"/>
                <w:szCs w:val="21"/>
                <w:highlight w:val="none"/>
                <w:lang w:val="en-US" w:eastAsia="zh-CN"/>
              </w:rPr>
              <w:t>全景化实体监控</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24343C78">
            <w:pPr>
              <w:widowControl/>
              <w:jc w:val="center"/>
              <w:rPr>
                <w:rFonts w:hint="eastAsia"/>
                <w:b w:val="0"/>
                <w:bCs/>
                <w:color w:val="auto"/>
                <w:sz w:val="21"/>
                <w:szCs w:val="21"/>
                <w:highlight w:val="none"/>
              </w:rPr>
            </w:pPr>
          </w:p>
        </w:tc>
      </w:tr>
      <w:tr w14:paraId="7A255035">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07510642">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3775D556">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3E500CB1">
            <w:pPr>
              <w:widowControl/>
              <w:jc w:val="center"/>
              <w:rPr>
                <w:rFonts w:hint="eastAsia"/>
                <w:b w:val="0"/>
                <w:bCs/>
                <w:color w:val="auto"/>
                <w:sz w:val="21"/>
                <w:szCs w:val="21"/>
                <w:highlight w:val="none"/>
              </w:rPr>
            </w:pPr>
            <w:r>
              <w:rPr>
                <w:rFonts w:hint="eastAsia"/>
                <w:bCs/>
                <w:color w:val="auto"/>
                <w:sz w:val="21"/>
                <w:szCs w:val="21"/>
                <w:highlight w:val="none"/>
                <w:lang w:val="en-US" w:eastAsia="zh-CN"/>
              </w:rPr>
              <w:t>场景化应用融合</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5EA1F739">
            <w:pPr>
              <w:widowControl/>
              <w:jc w:val="center"/>
              <w:rPr>
                <w:rFonts w:hint="eastAsia"/>
                <w:b w:val="0"/>
                <w:bCs/>
                <w:color w:val="auto"/>
                <w:sz w:val="21"/>
                <w:szCs w:val="21"/>
                <w:highlight w:val="none"/>
              </w:rPr>
            </w:pPr>
          </w:p>
        </w:tc>
      </w:tr>
      <w:tr w14:paraId="5B92CB43">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1ADB26BC">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042D158B">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018CD707">
            <w:pPr>
              <w:widowControl/>
              <w:jc w:val="center"/>
              <w:rPr>
                <w:rFonts w:hint="eastAsia"/>
                <w:b w:val="0"/>
                <w:bCs/>
                <w:color w:val="auto"/>
                <w:sz w:val="21"/>
                <w:szCs w:val="21"/>
                <w:highlight w:val="none"/>
              </w:rPr>
            </w:pPr>
            <w:r>
              <w:rPr>
                <w:rFonts w:hint="eastAsia"/>
                <w:bCs/>
                <w:color w:val="auto"/>
                <w:sz w:val="21"/>
                <w:szCs w:val="21"/>
                <w:highlight w:val="none"/>
                <w:lang w:val="en-US" w:eastAsia="zh-CN"/>
              </w:rPr>
              <w:t>集中化智能告警</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65FD7C24">
            <w:pPr>
              <w:widowControl/>
              <w:jc w:val="center"/>
              <w:rPr>
                <w:rFonts w:hint="eastAsia"/>
                <w:b w:val="0"/>
                <w:bCs/>
                <w:color w:val="auto"/>
                <w:sz w:val="21"/>
                <w:szCs w:val="21"/>
                <w:highlight w:val="none"/>
              </w:rPr>
            </w:pPr>
          </w:p>
        </w:tc>
      </w:tr>
      <w:tr w14:paraId="19968A17">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6C9276DA">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58EA1BF8">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6361FD46">
            <w:pPr>
              <w:widowControl/>
              <w:jc w:val="center"/>
              <w:rPr>
                <w:rFonts w:hint="eastAsia"/>
                <w:b w:val="0"/>
                <w:bCs/>
                <w:color w:val="auto"/>
                <w:sz w:val="21"/>
                <w:szCs w:val="21"/>
                <w:highlight w:val="none"/>
              </w:rPr>
            </w:pPr>
            <w:r>
              <w:rPr>
                <w:rFonts w:hint="eastAsia"/>
                <w:bCs/>
                <w:color w:val="auto"/>
                <w:sz w:val="21"/>
                <w:szCs w:val="21"/>
                <w:highlight w:val="none"/>
                <w:lang w:val="en-US" w:eastAsia="zh-CN"/>
              </w:rPr>
              <w:t>要素化智能联动</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078C80DC">
            <w:pPr>
              <w:widowControl/>
              <w:jc w:val="center"/>
              <w:rPr>
                <w:rFonts w:hint="eastAsia"/>
                <w:b w:val="0"/>
                <w:bCs/>
                <w:color w:val="auto"/>
                <w:sz w:val="21"/>
                <w:szCs w:val="21"/>
                <w:highlight w:val="none"/>
              </w:rPr>
            </w:pPr>
          </w:p>
        </w:tc>
      </w:tr>
      <w:tr w14:paraId="33D37E99">
        <w:tblPrEx>
          <w:tblCellMar>
            <w:top w:w="0" w:type="dxa"/>
            <w:left w:w="108" w:type="dxa"/>
            <w:bottom w:w="0" w:type="dxa"/>
            <w:right w:w="108" w:type="dxa"/>
          </w:tblCellMar>
        </w:tblPrEx>
        <w:trPr>
          <w:gridAfter w:val="1"/>
          <w:wAfter w:w="330" w:type="dxa"/>
          <w:trHeight w:val="23" w:hRule="atLeast"/>
        </w:trPr>
        <w:tc>
          <w:tcPr>
            <w:tcW w:w="637" w:type="dxa"/>
            <w:vMerge w:val="continue"/>
            <w:tcBorders>
              <w:top w:val="single" w:color="auto" w:sz="4" w:space="0"/>
              <w:left w:val="single" w:color="auto" w:sz="4" w:space="0"/>
              <w:bottom w:val="single" w:color="auto" w:sz="4" w:space="0"/>
              <w:right w:val="single" w:color="auto" w:sz="4" w:space="0"/>
            </w:tcBorders>
            <w:noWrap/>
            <w:vAlign w:val="center"/>
          </w:tcPr>
          <w:p w14:paraId="5629C5DB">
            <w:pPr>
              <w:widowControl/>
              <w:jc w:val="center"/>
              <w:rPr>
                <w:rFonts w:hint="eastAsia"/>
                <w:b w:val="0"/>
                <w:bCs/>
                <w:color w:val="auto"/>
                <w:sz w:val="21"/>
                <w:szCs w:val="21"/>
                <w:highlight w:val="none"/>
              </w:rPr>
            </w:pPr>
          </w:p>
        </w:tc>
        <w:tc>
          <w:tcPr>
            <w:tcW w:w="1901" w:type="dxa"/>
            <w:vMerge w:val="continue"/>
            <w:tcBorders>
              <w:top w:val="single" w:color="auto" w:sz="4" w:space="0"/>
              <w:left w:val="single" w:color="auto" w:sz="4" w:space="0"/>
              <w:bottom w:val="single" w:color="auto" w:sz="4" w:space="0"/>
              <w:right w:val="single" w:color="auto" w:sz="4" w:space="0"/>
            </w:tcBorders>
            <w:noWrap w:val="0"/>
            <w:vAlign w:val="center"/>
          </w:tcPr>
          <w:p w14:paraId="3D0E5E58">
            <w:pPr>
              <w:widowControl/>
              <w:jc w:val="center"/>
              <w:rPr>
                <w:rFonts w:hint="eastAsia"/>
                <w:b w:val="0"/>
                <w:bCs/>
                <w:color w:val="auto"/>
                <w:sz w:val="21"/>
                <w:szCs w:val="21"/>
                <w:highlight w:val="none"/>
              </w:rPr>
            </w:pPr>
          </w:p>
        </w:tc>
        <w:tc>
          <w:tcPr>
            <w:tcW w:w="2237" w:type="dxa"/>
            <w:tcBorders>
              <w:top w:val="single" w:color="auto" w:sz="4" w:space="0"/>
              <w:left w:val="single" w:color="auto" w:sz="4" w:space="0"/>
              <w:bottom w:val="single" w:color="auto" w:sz="4" w:space="0"/>
              <w:right w:val="single" w:color="auto" w:sz="4" w:space="0"/>
            </w:tcBorders>
            <w:noWrap w:val="0"/>
            <w:vAlign w:val="center"/>
          </w:tcPr>
          <w:p w14:paraId="0BCC68AF">
            <w:pPr>
              <w:widowControl/>
              <w:jc w:val="center"/>
              <w:rPr>
                <w:rFonts w:hint="eastAsia"/>
                <w:b w:val="0"/>
                <w:bCs/>
                <w:color w:val="auto"/>
                <w:sz w:val="21"/>
                <w:szCs w:val="21"/>
                <w:highlight w:val="none"/>
              </w:rPr>
            </w:pPr>
            <w:r>
              <w:rPr>
                <w:rFonts w:hint="eastAsia"/>
                <w:bCs/>
                <w:color w:val="auto"/>
                <w:sz w:val="21"/>
                <w:szCs w:val="21"/>
                <w:highlight w:val="none"/>
                <w:lang w:val="en-US" w:eastAsia="zh-CN"/>
              </w:rPr>
              <w:t>一体化平台</w:t>
            </w:r>
            <w:r>
              <w:rPr>
                <w:rFonts w:hint="eastAsia"/>
                <w:bCs/>
                <w:color w:val="auto"/>
                <w:sz w:val="21"/>
                <w:szCs w:val="21"/>
                <w:highlight w:val="none"/>
              </w:rPr>
              <w:t>基础</w:t>
            </w:r>
            <w:r>
              <w:rPr>
                <w:rFonts w:hint="eastAsia"/>
                <w:bCs/>
                <w:color w:val="auto"/>
                <w:sz w:val="21"/>
                <w:szCs w:val="21"/>
                <w:highlight w:val="none"/>
                <w:lang w:val="en-US" w:eastAsia="zh-CN"/>
              </w:rPr>
              <w:t>管理</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525C6E9A">
            <w:pPr>
              <w:widowControl/>
              <w:jc w:val="center"/>
              <w:rPr>
                <w:rFonts w:hint="eastAsia"/>
                <w:b w:val="0"/>
                <w:bCs/>
                <w:color w:val="auto"/>
                <w:sz w:val="21"/>
                <w:szCs w:val="21"/>
                <w:highlight w:val="none"/>
              </w:rPr>
            </w:pPr>
          </w:p>
        </w:tc>
      </w:tr>
      <w:tr w14:paraId="3ED1E78E">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5A674989">
            <w:pPr>
              <w:widowControl/>
              <w:jc w:val="center"/>
              <w:rPr>
                <w:rFonts w:hint="eastAsia" w:eastAsia="宋体"/>
                <w:b/>
                <w:bCs w:val="0"/>
                <w:color w:val="auto"/>
                <w:sz w:val="21"/>
                <w:szCs w:val="21"/>
                <w:highlight w:val="none"/>
                <w:lang w:eastAsia="zh-CN"/>
              </w:rPr>
            </w:pPr>
            <w:r>
              <w:rPr>
                <w:rFonts w:hint="eastAsia"/>
                <w:b/>
                <w:bCs w:val="0"/>
                <w:color w:val="auto"/>
                <w:sz w:val="21"/>
                <w:szCs w:val="21"/>
                <w:highlight w:val="none"/>
                <w:lang w:val="en-US" w:eastAsia="zh-CN"/>
              </w:rPr>
              <w:t>二</w:t>
            </w:r>
          </w:p>
        </w:tc>
        <w:tc>
          <w:tcPr>
            <w:tcW w:w="4138" w:type="dxa"/>
            <w:gridSpan w:val="2"/>
            <w:tcBorders>
              <w:top w:val="single" w:color="auto" w:sz="4" w:space="0"/>
              <w:left w:val="single" w:color="auto" w:sz="4" w:space="0"/>
              <w:bottom w:val="single" w:color="auto" w:sz="4" w:space="0"/>
              <w:right w:val="single" w:color="auto" w:sz="4" w:space="0"/>
            </w:tcBorders>
            <w:noWrap w:val="0"/>
            <w:vAlign w:val="center"/>
          </w:tcPr>
          <w:p w14:paraId="22AEA9D4">
            <w:pPr>
              <w:widowControl/>
              <w:jc w:val="center"/>
              <w:rPr>
                <w:rFonts w:hint="eastAsia"/>
                <w:b/>
                <w:bCs w:val="0"/>
                <w:color w:val="auto"/>
                <w:sz w:val="21"/>
                <w:szCs w:val="21"/>
                <w:highlight w:val="none"/>
              </w:rPr>
            </w:pPr>
            <w:r>
              <w:rPr>
                <w:rFonts w:hint="eastAsia"/>
                <w:b/>
                <w:bCs w:val="0"/>
                <w:color w:val="auto"/>
                <w:sz w:val="21"/>
                <w:szCs w:val="21"/>
                <w:highlight w:val="none"/>
              </w:rPr>
              <w:t>中心机房运维</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64519307">
            <w:pPr>
              <w:widowControl/>
              <w:jc w:val="center"/>
              <w:rPr>
                <w:rFonts w:hint="eastAsia"/>
                <w:b w:val="0"/>
                <w:bCs/>
                <w:color w:val="auto"/>
                <w:sz w:val="21"/>
                <w:szCs w:val="21"/>
                <w:highlight w:val="none"/>
              </w:rPr>
            </w:pPr>
            <w:r>
              <w:rPr>
                <w:rFonts w:hint="eastAsia"/>
                <w:b w:val="0"/>
                <w:bCs/>
                <w:color w:val="auto"/>
                <w:sz w:val="21"/>
                <w:szCs w:val="21"/>
                <w:highlight w:val="none"/>
              </w:rPr>
              <w:t>　</w:t>
            </w:r>
          </w:p>
        </w:tc>
      </w:tr>
      <w:tr w14:paraId="3FA0CCA2">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18DB25F5">
            <w:pPr>
              <w:widowControl/>
              <w:jc w:val="center"/>
              <w:rPr>
                <w:rFonts w:hint="eastAsia"/>
                <w:bCs/>
                <w:color w:val="auto"/>
                <w:sz w:val="21"/>
                <w:szCs w:val="21"/>
                <w:highlight w:val="none"/>
              </w:rPr>
            </w:pPr>
            <w:r>
              <w:rPr>
                <w:rFonts w:hint="eastAsia"/>
                <w:bCs/>
                <w:color w:val="auto"/>
                <w:sz w:val="21"/>
                <w:szCs w:val="21"/>
                <w:highlight w:val="none"/>
              </w:rPr>
              <w:t>1</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013F20D">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管理区服务器</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2C6A2081">
            <w:pPr>
              <w:widowControl/>
              <w:jc w:val="left"/>
              <w:rPr>
                <w:rFonts w:hint="eastAsia"/>
                <w:bCs/>
                <w:color w:val="auto"/>
                <w:sz w:val="21"/>
                <w:szCs w:val="21"/>
                <w:highlight w:val="none"/>
              </w:rPr>
            </w:pPr>
            <w:r>
              <w:rPr>
                <w:rFonts w:hint="eastAsia" w:ascii="Calibri" w:hAnsi="Calibri" w:eastAsia="宋体" w:cs="Times New Roman"/>
                <w:bCs/>
                <w:color w:val="auto"/>
                <w:sz w:val="21"/>
                <w:szCs w:val="21"/>
                <w:highlight w:val="none"/>
              </w:rPr>
              <w:t>管理内网5台超融合服务器、2台超融合交换机、1套分布式数据库存储设备及2台核心交换机，管理区外网1台外置服务器及1台核心交换机等</w:t>
            </w:r>
          </w:p>
        </w:tc>
        <w:tc>
          <w:tcPr>
            <w:tcW w:w="4481" w:type="dxa"/>
            <w:vMerge w:val="restart"/>
            <w:tcBorders>
              <w:top w:val="single" w:color="auto" w:sz="4" w:space="0"/>
              <w:left w:val="single" w:color="auto" w:sz="4" w:space="0"/>
              <w:bottom w:val="single" w:color="auto" w:sz="4" w:space="0"/>
              <w:right w:val="single" w:color="auto" w:sz="4" w:space="0"/>
            </w:tcBorders>
            <w:noWrap w:val="0"/>
            <w:vAlign w:val="center"/>
          </w:tcPr>
          <w:p w14:paraId="79377E9E">
            <w:pPr>
              <w:widowControl/>
              <w:ind w:left="0"/>
              <w:jc w:val="left"/>
              <w:rPr>
                <w:rFonts w:hint="eastAsia" w:ascii="Calibri" w:hAnsi="Calibri" w:eastAsia="宋体" w:cs="Times New Roman"/>
                <w:b w:val="0"/>
                <w:bCs/>
                <w:snapToGrid/>
                <w:color w:val="auto"/>
                <w:sz w:val="21"/>
                <w:szCs w:val="21"/>
                <w:highlight w:val="none"/>
                <w:lang w:val="en-US" w:eastAsia="zh-CN"/>
              </w:rPr>
            </w:pPr>
            <w:r>
              <w:rPr>
                <w:rFonts w:hint="eastAsia" w:ascii="Calibri" w:hAnsi="Calibri" w:eastAsia="宋体" w:cs="Times New Roman"/>
                <w:b w:val="0"/>
                <w:bCs/>
                <w:snapToGrid/>
                <w:color w:val="auto"/>
                <w:sz w:val="21"/>
                <w:szCs w:val="21"/>
                <w:highlight w:val="none"/>
                <w:lang w:val="en-US" w:eastAsia="zh-CN"/>
              </w:rPr>
              <w:t>1.</w:t>
            </w:r>
            <w:r>
              <w:rPr>
                <w:rFonts w:hint="eastAsia" w:ascii="Calibri" w:hAnsi="Calibri" w:eastAsia="宋体" w:cs="Times New Roman"/>
                <w:b w:val="0"/>
                <w:bCs/>
                <w:snapToGrid/>
                <w:color w:val="auto"/>
                <w:sz w:val="21"/>
                <w:szCs w:val="21"/>
                <w:highlight w:val="none"/>
                <w:lang w:val="en-US"/>
              </w:rPr>
              <w:t>服务器日常故障、性能、安全管理进行定期巡检及维护保养</w:t>
            </w:r>
            <w:r>
              <w:rPr>
                <w:rFonts w:hint="eastAsia" w:ascii="Calibri" w:hAnsi="Calibri" w:eastAsia="宋体" w:cs="Times New Roman"/>
                <w:b w:val="0"/>
                <w:bCs/>
                <w:snapToGrid/>
                <w:color w:val="auto"/>
                <w:sz w:val="21"/>
                <w:szCs w:val="21"/>
                <w:highlight w:val="none"/>
                <w:lang w:val="en-US" w:eastAsia="zh-CN"/>
              </w:rPr>
              <w:t>，需延保服务器进行延保</w:t>
            </w:r>
          </w:p>
          <w:p w14:paraId="62863CB5">
            <w:pPr>
              <w:widowControl/>
              <w:ind w:left="0"/>
              <w:jc w:val="left"/>
              <w:rPr>
                <w:rFonts w:hint="eastAsia" w:ascii="Calibri" w:hAnsi="Calibri" w:eastAsia="宋体" w:cs="Times New Roman"/>
                <w:b w:val="0"/>
                <w:bCs/>
                <w:snapToGrid/>
                <w:color w:val="auto"/>
                <w:sz w:val="21"/>
                <w:szCs w:val="21"/>
                <w:highlight w:val="none"/>
                <w:lang w:val="en-US"/>
              </w:rPr>
            </w:pPr>
            <w:r>
              <w:rPr>
                <w:rFonts w:hint="eastAsia" w:ascii="Calibri" w:hAnsi="Calibri" w:eastAsia="宋体" w:cs="Times New Roman"/>
                <w:b w:val="0"/>
                <w:bCs/>
                <w:snapToGrid/>
                <w:color w:val="auto"/>
                <w:sz w:val="21"/>
                <w:szCs w:val="21"/>
                <w:highlight w:val="none"/>
                <w:lang w:val="en-US" w:eastAsia="zh-CN"/>
              </w:rPr>
              <w:t>2.</w:t>
            </w:r>
            <w:r>
              <w:rPr>
                <w:rFonts w:hint="eastAsia" w:ascii="Calibri" w:hAnsi="Calibri" w:eastAsia="宋体" w:cs="Times New Roman"/>
                <w:b w:val="0"/>
                <w:bCs/>
                <w:snapToGrid/>
                <w:color w:val="auto"/>
                <w:sz w:val="21"/>
                <w:szCs w:val="21"/>
                <w:highlight w:val="none"/>
                <w:lang w:val="en-US"/>
              </w:rPr>
              <w:t>系统软件配置进行检查和完善，安装系统，保证系统运行稳定，处理日常故障等</w:t>
            </w:r>
          </w:p>
          <w:p w14:paraId="6CCD66AC">
            <w:pPr>
              <w:widowControl/>
              <w:ind w:left="0"/>
              <w:jc w:val="left"/>
              <w:rPr>
                <w:rFonts w:hint="eastAsia" w:ascii="Calibri" w:hAnsi="Calibri" w:eastAsia="宋体" w:cs="Times New Roman"/>
                <w:b w:val="0"/>
                <w:bCs/>
                <w:snapToGrid/>
                <w:color w:val="auto"/>
                <w:sz w:val="21"/>
                <w:szCs w:val="21"/>
                <w:highlight w:val="none"/>
                <w:lang w:val="en-US"/>
              </w:rPr>
            </w:pPr>
            <w:r>
              <w:rPr>
                <w:rFonts w:hint="eastAsia" w:ascii="Calibri" w:hAnsi="Calibri" w:eastAsia="宋体" w:cs="Times New Roman"/>
                <w:b w:val="0"/>
                <w:bCs/>
                <w:snapToGrid/>
                <w:color w:val="auto"/>
                <w:sz w:val="21"/>
                <w:szCs w:val="21"/>
                <w:highlight w:val="none"/>
                <w:lang w:val="en-US" w:eastAsia="zh-CN"/>
              </w:rPr>
              <w:t>3.</w:t>
            </w:r>
            <w:r>
              <w:rPr>
                <w:rFonts w:hint="eastAsia" w:ascii="Calibri" w:hAnsi="Calibri" w:eastAsia="宋体" w:cs="Times New Roman"/>
                <w:b w:val="0"/>
                <w:bCs/>
                <w:snapToGrid/>
                <w:color w:val="auto"/>
                <w:sz w:val="21"/>
                <w:szCs w:val="21"/>
                <w:highlight w:val="none"/>
                <w:lang w:val="en-US"/>
              </w:rPr>
              <w:t>网络硬件设备检测、连通性测试、Internet连接性测试、线路调制设备的维护和协助维修。</w:t>
            </w:r>
          </w:p>
          <w:p w14:paraId="5B71614F">
            <w:pPr>
              <w:widowControl/>
              <w:ind w:left="0"/>
              <w:jc w:val="left"/>
              <w:rPr>
                <w:rFonts w:hint="eastAsia" w:ascii="Calibri" w:hAnsi="Calibri" w:eastAsia="宋体" w:cs="Times New Roman"/>
                <w:b w:val="0"/>
                <w:bCs/>
                <w:snapToGrid/>
                <w:color w:val="auto"/>
                <w:sz w:val="21"/>
                <w:szCs w:val="21"/>
                <w:highlight w:val="none"/>
                <w:lang w:val="en-US"/>
              </w:rPr>
            </w:pPr>
            <w:r>
              <w:rPr>
                <w:rFonts w:hint="eastAsia" w:ascii="Calibri" w:hAnsi="Calibri" w:eastAsia="宋体" w:cs="Times New Roman"/>
                <w:b w:val="0"/>
                <w:bCs/>
                <w:snapToGrid/>
                <w:color w:val="auto"/>
                <w:sz w:val="21"/>
                <w:szCs w:val="21"/>
                <w:highlight w:val="none"/>
                <w:lang w:val="en-US" w:eastAsia="zh-CN"/>
              </w:rPr>
              <w:t>4.</w:t>
            </w:r>
            <w:r>
              <w:rPr>
                <w:rFonts w:hint="eastAsia" w:ascii="Calibri" w:hAnsi="Calibri" w:eastAsia="宋体" w:cs="Times New Roman"/>
                <w:b w:val="0"/>
                <w:bCs/>
                <w:snapToGrid/>
                <w:color w:val="auto"/>
                <w:sz w:val="21"/>
                <w:szCs w:val="21"/>
                <w:highlight w:val="none"/>
                <w:lang w:val="en-US"/>
              </w:rPr>
              <w:t>存储系统的巡检、故障诊断、处理，容量规划，存储空间使用和分配。</w:t>
            </w:r>
          </w:p>
          <w:p w14:paraId="5EEB16A2">
            <w:pPr>
              <w:widowControl/>
              <w:ind w:left="0"/>
              <w:jc w:val="left"/>
              <w:rPr>
                <w:rFonts w:hint="eastAsia" w:ascii="Calibri" w:hAnsi="Calibri" w:eastAsia="宋体" w:cs="Times New Roman"/>
                <w:b w:val="0"/>
                <w:bCs/>
                <w:snapToGrid/>
                <w:color w:val="auto"/>
                <w:sz w:val="21"/>
                <w:szCs w:val="21"/>
                <w:highlight w:val="none"/>
                <w:lang w:val="en-US"/>
              </w:rPr>
            </w:pPr>
            <w:r>
              <w:rPr>
                <w:rFonts w:hint="eastAsia" w:ascii="Calibri" w:hAnsi="Calibri" w:eastAsia="宋体" w:cs="Times New Roman"/>
                <w:b w:val="0"/>
                <w:bCs/>
                <w:snapToGrid/>
                <w:color w:val="auto"/>
                <w:sz w:val="21"/>
                <w:szCs w:val="21"/>
                <w:highlight w:val="none"/>
                <w:lang w:val="en-US" w:eastAsia="zh-CN"/>
              </w:rPr>
              <w:t>5</w:t>
            </w:r>
            <w:r>
              <w:rPr>
                <w:rFonts w:hint="eastAsia" w:ascii="Calibri" w:hAnsi="Calibri" w:eastAsia="宋体" w:cs="Times New Roman"/>
                <w:b w:val="0"/>
                <w:bCs/>
                <w:snapToGrid/>
                <w:color w:val="auto"/>
                <w:sz w:val="21"/>
                <w:szCs w:val="21"/>
                <w:highlight w:val="none"/>
                <w:lang w:val="en-US"/>
              </w:rPr>
              <w:t>.交换机的传输效率维护、健康性检测；</w:t>
            </w:r>
            <w:r>
              <w:rPr>
                <w:rFonts w:hint="eastAsia" w:ascii="Calibri" w:hAnsi="Calibri" w:eastAsia="宋体" w:cs="Times New Roman"/>
                <w:b w:val="0"/>
                <w:bCs/>
                <w:snapToGrid/>
                <w:color w:val="auto"/>
                <w:sz w:val="21"/>
                <w:szCs w:val="21"/>
                <w:highlight w:val="none"/>
                <w:lang w:val="en-US" w:eastAsia="zh-CN"/>
              </w:rPr>
              <w:t>检查</w:t>
            </w:r>
            <w:r>
              <w:rPr>
                <w:rFonts w:hint="eastAsia" w:ascii="Calibri" w:hAnsi="Calibri" w:eastAsia="宋体" w:cs="Times New Roman"/>
                <w:b w:val="0"/>
                <w:bCs/>
                <w:snapToGrid/>
                <w:color w:val="auto"/>
                <w:sz w:val="21"/>
                <w:szCs w:val="21"/>
                <w:highlight w:val="none"/>
                <w:lang w:val="en-US"/>
              </w:rPr>
              <w:t>交换机日志，确认是否存在非法数据访问及故障</w:t>
            </w:r>
            <w:r>
              <w:rPr>
                <w:rFonts w:hint="eastAsia" w:ascii="Calibri" w:hAnsi="Calibri" w:eastAsia="宋体" w:cs="Times New Roman"/>
                <w:b w:val="0"/>
                <w:bCs/>
                <w:snapToGrid/>
                <w:color w:val="auto"/>
                <w:sz w:val="21"/>
                <w:szCs w:val="21"/>
                <w:highlight w:val="none"/>
                <w:lang w:val="en-US"/>
              </w:rPr>
              <w:br w:type="textWrapping"/>
            </w:r>
            <w:r>
              <w:rPr>
                <w:rFonts w:hint="eastAsia" w:ascii="Calibri" w:hAnsi="Calibri" w:eastAsia="宋体" w:cs="Times New Roman"/>
                <w:b w:val="0"/>
                <w:bCs/>
                <w:snapToGrid/>
                <w:color w:val="auto"/>
                <w:sz w:val="21"/>
                <w:szCs w:val="21"/>
                <w:highlight w:val="none"/>
                <w:lang w:val="en-US" w:eastAsia="zh-CN"/>
              </w:rPr>
              <w:t>6</w:t>
            </w:r>
            <w:r>
              <w:rPr>
                <w:rFonts w:hint="eastAsia" w:ascii="Calibri" w:hAnsi="Calibri" w:eastAsia="宋体" w:cs="Times New Roman"/>
                <w:b w:val="0"/>
                <w:bCs/>
                <w:snapToGrid/>
                <w:color w:val="auto"/>
                <w:sz w:val="21"/>
                <w:szCs w:val="21"/>
                <w:highlight w:val="none"/>
                <w:lang w:val="en-US"/>
              </w:rPr>
              <w:t>.建立网络维护文档、安全管理策略、交换机数据备份和恢复体系及以上安全系统的定期巡检维护；</w:t>
            </w:r>
          </w:p>
          <w:p w14:paraId="0F1B1193">
            <w:pPr>
              <w:widowControl/>
              <w:jc w:val="left"/>
              <w:rPr>
                <w:rFonts w:hint="eastAsia" w:eastAsia="宋体" w:cs="Times New Roman"/>
                <w:bCs/>
                <w:color w:val="auto"/>
                <w:sz w:val="21"/>
                <w:szCs w:val="21"/>
                <w:highlight w:val="none"/>
              </w:rPr>
            </w:pPr>
          </w:p>
        </w:tc>
      </w:tr>
      <w:tr w14:paraId="100D2781">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330E33A3">
            <w:pPr>
              <w:widowControl/>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2</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B7B79BF">
            <w:pPr>
              <w:widowControl/>
              <w:jc w:val="center"/>
              <w:rPr>
                <w:rFonts w:hint="eastAsia"/>
                <w:bCs/>
                <w:color w:val="auto"/>
                <w:sz w:val="21"/>
                <w:szCs w:val="21"/>
                <w:highlight w:val="none"/>
              </w:rPr>
            </w:pPr>
            <w:r>
              <w:rPr>
                <w:rFonts w:hint="eastAsia"/>
                <w:bCs/>
                <w:color w:val="auto"/>
                <w:szCs w:val="21"/>
                <w:highlight w:val="none"/>
              </w:rPr>
              <w:t>控制区服务器</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6CD35940">
            <w:pPr>
              <w:widowControl/>
              <w:jc w:val="center"/>
              <w:rPr>
                <w:rFonts w:hint="eastAsia"/>
                <w:bCs/>
                <w:color w:val="auto"/>
                <w:sz w:val="21"/>
                <w:szCs w:val="21"/>
                <w:highlight w:val="none"/>
              </w:rPr>
            </w:pPr>
            <w:r>
              <w:rPr>
                <w:rFonts w:hint="eastAsia"/>
                <w:bCs/>
                <w:color w:val="auto"/>
                <w:szCs w:val="21"/>
                <w:highlight w:val="none"/>
              </w:rPr>
              <w:t>4台控制网服务器、1套冗余数据库存储</w:t>
            </w:r>
            <w:r>
              <w:rPr>
                <w:rFonts w:hint="eastAsia"/>
                <w:bCs/>
                <w:color w:val="auto"/>
                <w:szCs w:val="21"/>
                <w:highlight w:val="none"/>
                <w:lang w:eastAsia="zh-CN"/>
              </w:rPr>
              <w:t>、</w:t>
            </w:r>
            <w:r>
              <w:rPr>
                <w:rFonts w:hint="eastAsia"/>
                <w:bCs/>
                <w:color w:val="auto"/>
                <w:szCs w:val="21"/>
                <w:highlight w:val="none"/>
              </w:rPr>
              <w:t>2台核心交换机</w:t>
            </w:r>
            <w:r>
              <w:rPr>
                <w:rFonts w:hint="eastAsia"/>
                <w:bCs/>
                <w:color w:val="auto"/>
                <w:szCs w:val="21"/>
                <w:highlight w:val="none"/>
                <w:lang w:eastAsia="zh-CN"/>
              </w:rPr>
              <w:t>、</w:t>
            </w:r>
            <w:r>
              <w:rPr>
                <w:rFonts w:hint="eastAsia"/>
                <w:bCs/>
                <w:color w:val="auto"/>
                <w:szCs w:val="21"/>
                <w:highlight w:val="none"/>
                <w:lang w:val="en-US" w:eastAsia="zh-CN"/>
              </w:rPr>
              <w:t>5台工作站接入交换机</w:t>
            </w:r>
            <w:r>
              <w:rPr>
                <w:rFonts w:hint="eastAsia"/>
                <w:bCs/>
                <w:color w:val="auto"/>
                <w:szCs w:val="21"/>
                <w:highlight w:val="none"/>
              </w:rPr>
              <w:t>等</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3310A64F">
            <w:pPr>
              <w:widowControl/>
              <w:jc w:val="center"/>
              <w:rPr>
                <w:rFonts w:hint="eastAsia" w:eastAsia="宋体" w:cs="Times New Roman"/>
                <w:bCs/>
                <w:color w:val="auto"/>
                <w:sz w:val="21"/>
                <w:szCs w:val="21"/>
                <w:highlight w:val="none"/>
              </w:rPr>
            </w:pPr>
          </w:p>
        </w:tc>
      </w:tr>
      <w:tr w14:paraId="4F93A480">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3B95A327">
            <w:pPr>
              <w:widowControl/>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3</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1A45B48">
            <w:pPr>
              <w:widowControl/>
              <w:jc w:val="center"/>
              <w:rPr>
                <w:rFonts w:hint="eastAsia"/>
                <w:bCs/>
                <w:color w:val="auto"/>
                <w:sz w:val="21"/>
                <w:szCs w:val="21"/>
                <w:highlight w:val="none"/>
              </w:rPr>
            </w:pPr>
            <w:r>
              <w:rPr>
                <w:rFonts w:hint="eastAsia"/>
                <w:bCs/>
                <w:color w:val="auto"/>
                <w:sz w:val="21"/>
                <w:szCs w:val="21"/>
                <w:highlight w:val="none"/>
                <w:lang w:val="en-US" w:eastAsia="zh-CN"/>
              </w:rPr>
              <w:t>柜内</w:t>
            </w:r>
            <w:r>
              <w:rPr>
                <w:rFonts w:hint="eastAsia"/>
                <w:bCs/>
                <w:color w:val="auto"/>
                <w:sz w:val="21"/>
                <w:szCs w:val="21"/>
                <w:highlight w:val="none"/>
              </w:rPr>
              <w:t>UPS维护</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7D84C844">
            <w:pPr>
              <w:widowControl/>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一套</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0CF4EC29">
            <w:pPr>
              <w:widowControl/>
              <w:jc w:val="left"/>
              <w:rPr>
                <w:rFonts w:hint="eastAsia"/>
                <w:bCs/>
                <w:color w:val="auto"/>
                <w:sz w:val="21"/>
                <w:szCs w:val="21"/>
                <w:highlight w:val="none"/>
              </w:rPr>
            </w:pPr>
            <w:r>
              <w:rPr>
                <w:rFonts w:hint="eastAsia" w:eastAsia="宋体" w:cs="Times New Roman"/>
                <w:bCs/>
                <w:color w:val="auto"/>
                <w:sz w:val="21"/>
                <w:szCs w:val="21"/>
                <w:highlight w:val="none"/>
              </w:rPr>
              <w:t>定期</w:t>
            </w:r>
            <w:r>
              <w:rPr>
                <w:rFonts w:hint="eastAsia"/>
                <w:bCs/>
                <w:color w:val="auto"/>
                <w:sz w:val="21"/>
                <w:szCs w:val="21"/>
                <w:highlight w:val="none"/>
              </w:rPr>
              <w:t>巡检，查看硬件的运行状态，进行日常的维护保养。</w:t>
            </w:r>
          </w:p>
        </w:tc>
      </w:tr>
      <w:tr w14:paraId="3B1BDE10">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77FBC4F3">
            <w:pPr>
              <w:widowControl/>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4</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1B8C162">
            <w:pPr>
              <w:widowControl/>
              <w:jc w:val="center"/>
              <w:rPr>
                <w:rFonts w:hint="eastAsia"/>
                <w:bCs/>
                <w:color w:val="auto"/>
                <w:sz w:val="21"/>
                <w:szCs w:val="21"/>
                <w:highlight w:val="none"/>
              </w:rPr>
            </w:pPr>
            <w:r>
              <w:rPr>
                <w:rFonts w:hint="eastAsia"/>
                <w:bCs/>
                <w:color w:val="auto"/>
                <w:sz w:val="21"/>
                <w:szCs w:val="21"/>
                <w:highlight w:val="none"/>
              </w:rPr>
              <w:t>空调维护</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16D6C5C0">
            <w:pPr>
              <w:widowControl/>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一套</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0E896327">
            <w:pPr>
              <w:widowControl/>
              <w:jc w:val="left"/>
              <w:rPr>
                <w:rFonts w:hint="eastAsia"/>
                <w:bCs/>
                <w:color w:val="auto"/>
                <w:sz w:val="21"/>
                <w:szCs w:val="21"/>
                <w:highlight w:val="none"/>
              </w:rPr>
            </w:pPr>
            <w:r>
              <w:rPr>
                <w:rFonts w:hint="eastAsia" w:eastAsia="宋体" w:cs="Times New Roman"/>
                <w:bCs/>
                <w:color w:val="auto"/>
                <w:sz w:val="21"/>
                <w:szCs w:val="21"/>
                <w:highlight w:val="none"/>
              </w:rPr>
              <w:t>定期</w:t>
            </w:r>
            <w:r>
              <w:rPr>
                <w:rFonts w:hint="eastAsia"/>
                <w:bCs/>
                <w:color w:val="auto"/>
                <w:sz w:val="21"/>
                <w:szCs w:val="21"/>
                <w:highlight w:val="none"/>
              </w:rPr>
              <w:t>巡检中查看空调的运行状态、温度、湿度情况，及时发现问题维护，维修。</w:t>
            </w:r>
          </w:p>
        </w:tc>
      </w:tr>
      <w:tr w14:paraId="224D3AB6">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47453296">
            <w:pPr>
              <w:widowControl/>
              <w:jc w:val="center"/>
              <w:rPr>
                <w:rFonts w:hint="eastAsia" w:eastAsia="宋体"/>
                <w:b/>
                <w:bCs w:val="0"/>
                <w:color w:val="auto"/>
                <w:sz w:val="21"/>
                <w:szCs w:val="21"/>
                <w:highlight w:val="none"/>
                <w:lang w:eastAsia="zh-CN"/>
              </w:rPr>
            </w:pPr>
            <w:r>
              <w:rPr>
                <w:rFonts w:hint="eastAsia"/>
                <w:b/>
                <w:bCs w:val="0"/>
                <w:color w:val="auto"/>
                <w:sz w:val="21"/>
                <w:szCs w:val="21"/>
                <w:highlight w:val="none"/>
                <w:lang w:val="en-US" w:eastAsia="zh-CN"/>
              </w:rPr>
              <w:t>三</w:t>
            </w:r>
          </w:p>
        </w:tc>
        <w:tc>
          <w:tcPr>
            <w:tcW w:w="4138" w:type="dxa"/>
            <w:gridSpan w:val="2"/>
            <w:tcBorders>
              <w:top w:val="single" w:color="auto" w:sz="4" w:space="0"/>
              <w:left w:val="single" w:color="auto" w:sz="4" w:space="0"/>
              <w:bottom w:val="single" w:color="auto" w:sz="4" w:space="0"/>
              <w:right w:val="single" w:color="auto" w:sz="4" w:space="0"/>
            </w:tcBorders>
            <w:noWrap w:val="0"/>
            <w:vAlign w:val="center"/>
          </w:tcPr>
          <w:p w14:paraId="44BCEE86">
            <w:pPr>
              <w:widowControl/>
              <w:jc w:val="center"/>
              <w:rPr>
                <w:rFonts w:hint="eastAsia"/>
                <w:b/>
                <w:bCs w:val="0"/>
                <w:color w:val="auto"/>
                <w:sz w:val="21"/>
                <w:szCs w:val="21"/>
                <w:highlight w:val="none"/>
              </w:rPr>
            </w:pPr>
            <w:r>
              <w:rPr>
                <w:rFonts w:hint="eastAsia"/>
                <w:b/>
                <w:bCs w:val="0"/>
                <w:color w:val="auto"/>
                <w:sz w:val="21"/>
                <w:szCs w:val="21"/>
                <w:highlight w:val="none"/>
              </w:rPr>
              <w:t>视频监控　</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356FF5DB">
            <w:pPr>
              <w:widowControl/>
              <w:jc w:val="center"/>
              <w:rPr>
                <w:rFonts w:hint="eastAsia"/>
                <w:b w:val="0"/>
                <w:bCs/>
                <w:color w:val="auto"/>
                <w:sz w:val="21"/>
                <w:szCs w:val="21"/>
                <w:highlight w:val="none"/>
              </w:rPr>
            </w:pPr>
            <w:r>
              <w:rPr>
                <w:rFonts w:hint="eastAsia"/>
                <w:b w:val="0"/>
                <w:bCs/>
                <w:color w:val="auto"/>
                <w:sz w:val="21"/>
                <w:szCs w:val="21"/>
                <w:highlight w:val="none"/>
              </w:rPr>
              <w:t>　</w:t>
            </w:r>
          </w:p>
        </w:tc>
      </w:tr>
      <w:tr w14:paraId="43AA9641">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7086315A">
            <w:pPr>
              <w:widowControl/>
              <w:jc w:val="center"/>
              <w:rPr>
                <w:rFonts w:hint="eastAsia"/>
                <w:bCs/>
                <w:color w:val="auto"/>
                <w:sz w:val="21"/>
                <w:szCs w:val="21"/>
                <w:highlight w:val="none"/>
              </w:rPr>
            </w:pPr>
            <w:r>
              <w:rPr>
                <w:rFonts w:hint="eastAsia"/>
                <w:bCs/>
                <w:color w:val="auto"/>
                <w:sz w:val="21"/>
                <w:szCs w:val="21"/>
                <w:highlight w:val="none"/>
              </w:rPr>
              <w:t>1</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7A7682C">
            <w:pPr>
              <w:widowControl/>
              <w:jc w:val="center"/>
              <w:rPr>
                <w:rFonts w:hint="eastAsia"/>
                <w:bCs/>
                <w:color w:val="auto"/>
                <w:sz w:val="21"/>
                <w:szCs w:val="21"/>
                <w:highlight w:val="none"/>
              </w:rPr>
            </w:pPr>
            <w:r>
              <w:rPr>
                <w:rFonts w:hint="eastAsia"/>
                <w:bCs/>
                <w:color w:val="auto"/>
                <w:szCs w:val="21"/>
                <w:highlight w:val="none"/>
              </w:rPr>
              <w:t>全彩球型摄像机</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158EE55D">
            <w:pPr>
              <w:widowControl/>
              <w:jc w:val="center"/>
              <w:rPr>
                <w:rFonts w:hint="eastAsia"/>
                <w:bCs/>
                <w:color w:val="auto"/>
                <w:sz w:val="21"/>
                <w:szCs w:val="21"/>
                <w:highlight w:val="none"/>
              </w:rPr>
            </w:pPr>
            <w:r>
              <w:rPr>
                <w:rFonts w:hint="eastAsia"/>
                <w:bCs/>
                <w:color w:val="auto"/>
                <w:szCs w:val="21"/>
                <w:highlight w:val="none"/>
              </w:rPr>
              <w:t>22套</w:t>
            </w:r>
          </w:p>
        </w:tc>
        <w:tc>
          <w:tcPr>
            <w:tcW w:w="4481" w:type="dxa"/>
            <w:vMerge w:val="restart"/>
            <w:tcBorders>
              <w:top w:val="single" w:color="auto" w:sz="4" w:space="0"/>
              <w:left w:val="single" w:color="auto" w:sz="4" w:space="0"/>
              <w:bottom w:val="single" w:color="auto" w:sz="4" w:space="0"/>
              <w:right w:val="single" w:color="auto" w:sz="4" w:space="0"/>
            </w:tcBorders>
            <w:noWrap w:val="0"/>
            <w:vAlign w:val="center"/>
          </w:tcPr>
          <w:p w14:paraId="720D8331">
            <w:pPr>
              <w:widowControl/>
              <w:jc w:val="left"/>
              <w:rPr>
                <w:rFonts w:hint="eastAsia"/>
                <w:bCs/>
                <w:color w:val="auto"/>
                <w:sz w:val="21"/>
                <w:szCs w:val="21"/>
                <w:highlight w:val="none"/>
              </w:rPr>
            </w:pPr>
            <w:r>
              <w:rPr>
                <w:rFonts w:hint="eastAsia"/>
                <w:bCs/>
                <w:color w:val="auto"/>
                <w:sz w:val="21"/>
                <w:szCs w:val="21"/>
                <w:highlight w:val="none"/>
                <w:lang w:val="en-US" w:eastAsia="zh-CN"/>
              </w:rPr>
              <w:t>1</w:t>
            </w:r>
            <w:r>
              <w:rPr>
                <w:rFonts w:hint="eastAsia"/>
                <w:bCs/>
                <w:color w:val="auto"/>
                <w:sz w:val="21"/>
                <w:szCs w:val="21"/>
                <w:highlight w:val="none"/>
              </w:rPr>
              <w:t>.定期</w:t>
            </w:r>
            <w:r>
              <w:rPr>
                <w:rFonts w:hint="eastAsia"/>
                <w:bCs/>
                <w:color w:val="auto"/>
                <w:sz w:val="21"/>
                <w:szCs w:val="21"/>
                <w:highlight w:val="none"/>
                <w:lang w:val="en-US" w:eastAsia="zh-CN"/>
              </w:rPr>
              <w:t>检查</w:t>
            </w:r>
            <w:r>
              <w:rPr>
                <w:rFonts w:hint="eastAsia"/>
                <w:bCs/>
                <w:color w:val="auto"/>
                <w:sz w:val="21"/>
                <w:szCs w:val="21"/>
                <w:highlight w:val="none"/>
              </w:rPr>
              <w:t>视频</w:t>
            </w:r>
            <w:r>
              <w:rPr>
                <w:rFonts w:hint="eastAsia"/>
                <w:bCs/>
                <w:color w:val="auto"/>
                <w:sz w:val="21"/>
                <w:szCs w:val="21"/>
                <w:highlight w:val="none"/>
                <w:lang w:val="en-US" w:eastAsia="zh-CN"/>
              </w:rPr>
              <w:t>监控</w:t>
            </w:r>
            <w:r>
              <w:rPr>
                <w:rFonts w:hint="eastAsia"/>
                <w:bCs/>
                <w:color w:val="auto"/>
                <w:sz w:val="21"/>
                <w:szCs w:val="21"/>
                <w:highlight w:val="none"/>
              </w:rPr>
              <w:t>系统运行状况，包括前端设备工作情况</w:t>
            </w:r>
            <w:r>
              <w:rPr>
                <w:rFonts w:hint="eastAsia"/>
                <w:bCs/>
                <w:color w:val="auto"/>
                <w:sz w:val="21"/>
                <w:szCs w:val="21"/>
                <w:highlight w:val="none"/>
                <w:lang w:eastAsia="zh-CN"/>
              </w:rPr>
              <w:t>、</w:t>
            </w:r>
            <w:r>
              <w:rPr>
                <w:rFonts w:hint="eastAsia"/>
                <w:bCs/>
                <w:color w:val="auto"/>
                <w:sz w:val="21"/>
                <w:szCs w:val="21"/>
                <w:highlight w:val="none"/>
              </w:rPr>
              <w:t>监控图像质量</w:t>
            </w:r>
            <w:r>
              <w:rPr>
                <w:rFonts w:hint="eastAsia"/>
                <w:bCs/>
                <w:color w:val="auto"/>
                <w:sz w:val="21"/>
                <w:szCs w:val="21"/>
                <w:highlight w:val="none"/>
                <w:lang w:val="en-US" w:eastAsia="zh-CN"/>
              </w:rPr>
              <w:t>等</w:t>
            </w:r>
            <w:r>
              <w:rPr>
                <w:rFonts w:hint="eastAsia"/>
                <w:bCs/>
                <w:color w:val="auto"/>
                <w:sz w:val="21"/>
                <w:szCs w:val="21"/>
                <w:highlight w:val="none"/>
              </w:rPr>
              <w:t>；</w:t>
            </w:r>
            <w:r>
              <w:rPr>
                <w:rFonts w:hint="eastAsia"/>
                <w:bCs/>
                <w:color w:val="auto"/>
                <w:sz w:val="21"/>
                <w:szCs w:val="21"/>
                <w:highlight w:val="none"/>
              </w:rPr>
              <w:br w:type="textWrapping"/>
            </w:r>
            <w:r>
              <w:rPr>
                <w:rFonts w:hint="eastAsia"/>
                <w:bCs/>
                <w:color w:val="auto"/>
                <w:sz w:val="21"/>
                <w:szCs w:val="21"/>
                <w:highlight w:val="none"/>
                <w:lang w:val="en-US" w:eastAsia="zh-CN"/>
              </w:rPr>
              <w:t>2</w:t>
            </w:r>
            <w:r>
              <w:rPr>
                <w:rFonts w:hint="eastAsia"/>
                <w:bCs/>
                <w:color w:val="auto"/>
                <w:sz w:val="21"/>
                <w:szCs w:val="21"/>
                <w:highlight w:val="none"/>
              </w:rPr>
              <w:t>.定期对视频</w:t>
            </w:r>
            <w:r>
              <w:rPr>
                <w:rFonts w:hint="eastAsia"/>
                <w:bCs/>
                <w:color w:val="auto"/>
                <w:sz w:val="21"/>
                <w:szCs w:val="21"/>
                <w:highlight w:val="none"/>
                <w:lang w:val="en-US" w:eastAsia="zh-CN"/>
              </w:rPr>
              <w:t>监控</w:t>
            </w:r>
            <w:r>
              <w:rPr>
                <w:rFonts w:hint="eastAsia"/>
                <w:bCs/>
                <w:color w:val="auto"/>
                <w:sz w:val="21"/>
                <w:szCs w:val="21"/>
                <w:highlight w:val="none"/>
              </w:rPr>
              <w:t>系统进行例行监测维护，包括 前端设备健康</w:t>
            </w:r>
            <w:r>
              <w:rPr>
                <w:rFonts w:hint="eastAsia"/>
                <w:bCs/>
                <w:color w:val="auto"/>
                <w:sz w:val="21"/>
                <w:szCs w:val="21"/>
                <w:highlight w:val="none"/>
                <w:lang w:val="en-US" w:eastAsia="zh-CN"/>
              </w:rPr>
              <w:t>维护</w:t>
            </w:r>
            <w:r>
              <w:rPr>
                <w:rFonts w:hint="eastAsia"/>
                <w:bCs/>
                <w:color w:val="auto"/>
                <w:sz w:val="21"/>
                <w:szCs w:val="21"/>
                <w:highlight w:val="none"/>
                <w:lang w:eastAsia="zh-CN"/>
              </w:rPr>
              <w:t>、</w:t>
            </w:r>
            <w:r>
              <w:rPr>
                <w:rFonts w:hint="eastAsia"/>
                <w:bCs/>
                <w:color w:val="auto"/>
                <w:sz w:val="21"/>
                <w:szCs w:val="21"/>
                <w:highlight w:val="none"/>
              </w:rPr>
              <w:t>局端设备键康</w:t>
            </w:r>
            <w:r>
              <w:rPr>
                <w:rFonts w:hint="eastAsia"/>
                <w:bCs/>
                <w:color w:val="auto"/>
                <w:sz w:val="21"/>
                <w:szCs w:val="21"/>
                <w:highlight w:val="none"/>
                <w:lang w:val="en-US" w:eastAsia="zh-CN"/>
              </w:rPr>
              <w:t>维护</w:t>
            </w:r>
            <w:r>
              <w:rPr>
                <w:rFonts w:hint="eastAsia"/>
                <w:bCs/>
                <w:color w:val="auto"/>
                <w:sz w:val="21"/>
                <w:szCs w:val="21"/>
                <w:highlight w:val="none"/>
                <w:lang w:eastAsia="zh-CN"/>
              </w:rPr>
              <w:t>、</w:t>
            </w:r>
            <w:r>
              <w:rPr>
                <w:rFonts w:hint="eastAsia"/>
                <w:bCs/>
                <w:color w:val="auto"/>
                <w:sz w:val="21"/>
                <w:szCs w:val="21"/>
                <w:highlight w:val="none"/>
              </w:rPr>
              <w:t>系统软件</w:t>
            </w:r>
            <w:r>
              <w:rPr>
                <w:rFonts w:hint="eastAsia"/>
                <w:bCs/>
                <w:color w:val="auto"/>
                <w:sz w:val="21"/>
                <w:szCs w:val="21"/>
                <w:highlight w:val="none"/>
                <w:lang w:val="en-US" w:eastAsia="zh-CN"/>
              </w:rPr>
              <w:t>按需</w:t>
            </w:r>
            <w:r>
              <w:rPr>
                <w:rFonts w:hint="eastAsia"/>
                <w:bCs/>
                <w:color w:val="auto"/>
                <w:sz w:val="21"/>
                <w:szCs w:val="21"/>
                <w:highlight w:val="none"/>
              </w:rPr>
              <w:t>升级；</w:t>
            </w:r>
            <w:r>
              <w:rPr>
                <w:rFonts w:hint="eastAsia"/>
                <w:bCs/>
                <w:color w:val="auto"/>
                <w:sz w:val="21"/>
                <w:szCs w:val="21"/>
                <w:highlight w:val="none"/>
              </w:rPr>
              <w:br w:type="textWrapping"/>
            </w:r>
            <w:r>
              <w:rPr>
                <w:rFonts w:hint="eastAsia"/>
                <w:bCs/>
                <w:color w:val="auto"/>
                <w:sz w:val="21"/>
                <w:szCs w:val="21"/>
                <w:highlight w:val="none"/>
                <w:lang w:val="en-US" w:eastAsia="zh-CN"/>
              </w:rPr>
              <w:t>3</w:t>
            </w:r>
            <w:r>
              <w:rPr>
                <w:rFonts w:hint="eastAsia"/>
                <w:bCs/>
                <w:color w:val="auto"/>
                <w:sz w:val="21"/>
                <w:szCs w:val="21"/>
                <w:highlight w:val="none"/>
              </w:rPr>
              <w:t>.根据需要对视频系统进行响应式维护，包括接入前端设备的变化、调整</w:t>
            </w:r>
            <w:r>
              <w:rPr>
                <w:rFonts w:hint="eastAsia"/>
                <w:bCs/>
                <w:color w:val="auto"/>
                <w:sz w:val="21"/>
                <w:szCs w:val="21"/>
                <w:highlight w:val="none"/>
                <w:lang w:eastAsia="zh-CN"/>
              </w:rPr>
              <w:t>，</w:t>
            </w:r>
            <w:r>
              <w:rPr>
                <w:rFonts w:hint="eastAsia"/>
                <w:bCs/>
                <w:color w:val="auto"/>
                <w:sz w:val="21"/>
                <w:szCs w:val="21"/>
                <w:highlight w:val="none"/>
              </w:rPr>
              <w:t>用户权限的分配</w:t>
            </w:r>
            <w:r>
              <w:rPr>
                <w:rFonts w:hint="eastAsia"/>
                <w:bCs/>
                <w:color w:val="auto"/>
                <w:sz w:val="21"/>
                <w:szCs w:val="21"/>
                <w:highlight w:val="none"/>
                <w:lang w:val="en-US" w:eastAsia="zh-CN"/>
              </w:rPr>
              <w:t>等</w:t>
            </w:r>
            <w:r>
              <w:rPr>
                <w:rFonts w:hint="eastAsia"/>
                <w:bCs/>
                <w:color w:val="auto"/>
                <w:sz w:val="21"/>
                <w:szCs w:val="21"/>
                <w:highlight w:val="none"/>
              </w:rPr>
              <w:t>。</w:t>
            </w:r>
          </w:p>
          <w:p w14:paraId="0BD67852">
            <w:pPr>
              <w:widowControl/>
              <w:jc w:val="left"/>
              <w:rPr>
                <w:rFonts w:hint="eastAsia"/>
                <w:bCs/>
                <w:color w:val="auto"/>
                <w:sz w:val="21"/>
                <w:szCs w:val="21"/>
                <w:highlight w:val="none"/>
                <w:lang w:eastAsia="zh-CN"/>
              </w:rPr>
            </w:pPr>
            <w:r>
              <w:rPr>
                <w:rFonts w:hint="eastAsia" w:eastAsia="宋体" w:cs="Times New Roman"/>
                <w:bCs/>
                <w:color w:val="auto"/>
                <w:sz w:val="21"/>
                <w:szCs w:val="21"/>
                <w:highlight w:val="none"/>
                <w:lang w:val="en-US" w:eastAsia="zh-CN"/>
              </w:rPr>
              <w:t>4.</w:t>
            </w:r>
            <w:r>
              <w:rPr>
                <w:rFonts w:hint="eastAsia" w:eastAsia="宋体" w:cs="Times New Roman"/>
                <w:bCs/>
                <w:color w:val="auto"/>
                <w:sz w:val="21"/>
                <w:szCs w:val="21"/>
                <w:highlight w:val="none"/>
              </w:rPr>
              <w:t>定期</w:t>
            </w:r>
            <w:r>
              <w:rPr>
                <w:rFonts w:hint="eastAsia"/>
                <w:bCs/>
                <w:color w:val="auto"/>
                <w:sz w:val="21"/>
                <w:szCs w:val="21"/>
                <w:highlight w:val="none"/>
              </w:rPr>
              <w:t>巡检中查看录像机的视频性能、存储情况等，对网络进行测试，及时发现问题维护，维修</w:t>
            </w:r>
            <w:r>
              <w:rPr>
                <w:rFonts w:hint="eastAsia"/>
                <w:bCs/>
                <w:color w:val="auto"/>
                <w:sz w:val="21"/>
                <w:szCs w:val="21"/>
                <w:highlight w:val="none"/>
                <w:lang w:eastAsia="zh-CN"/>
              </w:rPr>
              <w:t>。</w:t>
            </w:r>
          </w:p>
          <w:p w14:paraId="63698A0A">
            <w:pPr>
              <w:widowControl/>
              <w:rPr>
                <w:rFonts w:hint="eastAsia"/>
                <w:bCs/>
                <w:color w:val="auto"/>
                <w:sz w:val="21"/>
                <w:szCs w:val="21"/>
                <w:highlight w:val="none"/>
                <w:lang w:eastAsia="zh-CN"/>
              </w:rPr>
            </w:pPr>
            <w:r>
              <w:rPr>
                <w:rFonts w:hint="eastAsia" w:eastAsia="宋体" w:cs="Times New Roman"/>
                <w:bCs/>
                <w:color w:val="auto"/>
                <w:sz w:val="21"/>
                <w:szCs w:val="21"/>
                <w:highlight w:val="none"/>
                <w:lang w:val="en-US" w:eastAsia="zh-CN"/>
              </w:rPr>
              <w:t>5.</w:t>
            </w:r>
            <w:r>
              <w:rPr>
                <w:rFonts w:hint="eastAsia"/>
                <w:bCs/>
                <w:color w:val="auto"/>
                <w:sz w:val="21"/>
                <w:szCs w:val="21"/>
                <w:highlight w:val="none"/>
                <w:lang w:val="en-US" w:eastAsia="zh-CN"/>
              </w:rPr>
              <w:t>对门禁系统设备维护、维修</w:t>
            </w:r>
          </w:p>
        </w:tc>
      </w:tr>
      <w:tr w14:paraId="6B00701D">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39C8BAB2">
            <w:pPr>
              <w:widowControl/>
              <w:jc w:val="center"/>
              <w:rPr>
                <w:rFonts w:hint="eastAsia"/>
                <w:bCs/>
                <w:color w:val="auto"/>
                <w:sz w:val="21"/>
                <w:szCs w:val="21"/>
                <w:highlight w:val="none"/>
              </w:rPr>
            </w:pPr>
            <w:r>
              <w:rPr>
                <w:rFonts w:hint="eastAsia"/>
                <w:bCs/>
                <w:color w:val="auto"/>
                <w:sz w:val="21"/>
                <w:szCs w:val="21"/>
                <w:highlight w:val="none"/>
              </w:rPr>
              <w:t>2</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7DAD82A">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黑光球型摄像机</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4ECC4CD3">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28套</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252D2DE8">
            <w:pPr>
              <w:widowControl/>
              <w:jc w:val="center"/>
              <w:rPr>
                <w:rFonts w:hint="eastAsia"/>
                <w:bCs/>
                <w:color w:val="auto"/>
                <w:sz w:val="21"/>
                <w:szCs w:val="21"/>
                <w:highlight w:val="none"/>
              </w:rPr>
            </w:pPr>
          </w:p>
        </w:tc>
      </w:tr>
      <w:tr w14:paraId="27009DD8">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054DE466">
            <w:pPr>
              <w:widowControl/>
              <w:jc w:val="center"/>
              <w:rPr>
                <w:rFonts w:hint="eastAsia"/>
                <w:bCs/>
                <w:color w:val="auto"/>
                <w:sz w:val="21"/>
                <w:szCs w:val="21"/>
                <w:highlight w:val="none"/>
              </w:rPr>
            </w:pPr>
            <w:r>
              <w:rPr>
                <w:rFonts w:hint="eastAsia"/>
                <w:bCs/>
                <w:color w:val="auto"/>
                <w:sz w:val="21"/>
                <w:szCs w:val="21"/>
                <w:highlight w:val="none"/>
              </w:rPr>
              <w:t>3</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1A3EE0F">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枪型摄像机</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1030C542">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70台</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25DEF9B2">
            <w:pPr>
              <w:widowControl/>
              <w:jc w:val="center"/>
              <w:rPr>
                <w:rFonts w:hint="eastAsia"/>
                <w:bCs/>
                <w:color w:val="auto"/>
                <w:sz w:val="21"/>
                <w:szCs w:val="21"/>
                <w:highlight w:val="none"/>
              </w:rPr>
            </w:pPr>
          </w:p>
        </w:tc>
      </w:tr>
      <w:tr w14:paraId="318B9010">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43C60378">
            <w:pPr>
              <w:widowControl/>
              <w:jc w:val="center"/>
              <w:rPr>
                <w:rFonts w:hint="eastAsia"/>
                <w:bCs/>
                <w:color w:val="auto"/>
                <w:sz w:val="21"/>
                <w:szCs w:val="21"/>
                <w:highlight w:val="none"/>
              </w:rPr>
            </w:pPr>
            <w:r>
              <w:rPr>
                <w:rFonts w:hint="eastAsia"/>
                <w:bCs/>
                <w:color w:val="auto"/>
                <w:sz w:val="21"/>
                <w:szCs w:val="21"/>
                <w:highlight w:val="none"/>
              </w:rPr>
              <w:t>4</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D763C45">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半球型摄像机</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23868B27">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31台</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10DB91A9">
            <w:pPr>
              <w:widowControl/>
              <w:jc w:val="center"/>
              <w:rPr>
                <w:rFonts w:hint="eastAsia"/>
                <w:bCs/>
                <w:color w:val="auto"/>
                <w:sz w:val="21"/>
                <w:szCs w:val="21"/>
                <w:highlight w:val="none"/>
              </w:rPr>
            </w:pPr>
          </w:p>
        </w:tc>
      </w:tr>
      <w:tr w14:paraId="363A1CB4">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1A51469A">
            <w:pPr>
              <w:widowControl/>
              <w:jc w:val="center"/>
              <w:rPr>
                <w:rFonts w:hint="eastAsia"/>
                <w:bCs/>
                <w:color w:val="auto"/>
                <w:sz w:val="21"/>
                <w:szCs w:val="21"/>
                <w:highlight w:val="none"/>
              </w:rPr>
            </w:pPr>
            <w:r>
              <w:rPr>
                <w:rFonts w:hint="eastAsia"/>
                <w:bCs/>
                <w:color w:val="auto"/>
                <w:sz w:val="21"/>
                <w:szCs w:val="21"/>
                <w:highlight w:val="none"/>
              </w:rPr>
              <w:t>5</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AF37937">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全景摄像机</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6CD2548D">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4台</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0487DC83">
            <w:pPr>
              <w:widowControl/>
              <w:jc w:val="center"/>
              <w:rPr>
                <w:rFonts w:hint="eastAsia"/>
                <w:bCs/>
                <w:color w:val="auto"/>
                <w:sz w:val="21"/>
                <w:szCs w:val="21"/>
                <w:highlight w:val="none"/>
              </w:rPr>
            </w:pPr>
          </w:p>
        </w:tc>
      </w:tr>
      <w:tr w14:paraId="639FB9BD">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2BC81661">
            <w:pPr>
              <w:widowControl/>
              <w:jc w:val="center"/>
              <w:rPr>
                <w:rFonts w:hint="eastAsia"/>
                <w:bCs/>
                <w:color w:val="auto"/>
                <w:sz w:val="21"/>
                <w:szCs w:val="21"/>
                <w:highlight w:val="none"/>
              </w:rPr>
            </w:pPr>
            <w:r>
              <w:rPr>
                <w:rFonts w:hint="eastAsia"/>
                <w:bCs/>
                <w:color w:val="auto"/>
                <w:sz w:val="21"/>
                <w:szCs w:val="21"/>
                <w:highlight w:val="none"/>
              </w:rPr>
              <w:t>6</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AB7E506">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视频柜</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14118B90">
            <w:pPr>
              <w:widowControl/>
              <w:jc w:val="center"/>
              <w:rPr>
                <w:rFonts w:hint="eastAsia" w:eastAsia="宋体"/>
                <w:bCs/>
                <w:color w:val="auto"/>
                <w:sz w:val="21"/>
                <w:szCs w:val="21"/>
                <w:highlight w:val="none"/>
                <w:lang w:val="en-US" w:eastAsia="zh-CN"/>
              </w:rPr>
            </w:pPr>
            <w:r>
              <w:rPr>
                <w:rFonts w:hint="eastAsia" w:ascii="Calibri" w:hAnsi="Calibri" w:eastAsia="宋体" w:cs="Times New Roman"/>
                <w:bCs/>
                <w:color w:val="auto"/>
                <w:sz w:val="21"/>
                <w:szCs w:val="21"/>
                <w:highlight w:val="none"/>
              </w:rPr>
              <w:t>视频主机、硬盘录像机、视频矩阵、视频交换机等</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715C2EDE">
            <w:pPr>
              <w:widowControl/>
              <w:jc w:val="center"/>
              <w:rPr>
                <w:rFonts w:hint="eastAsia"/>
                <w:bCs/>
                <w:color w:val="auto"/>
                <w:sz w:val="21"/>
                <w:szCs w:val="21"/>
                <w:highlight w:val="none"/>
              </w:rPr>
            </w:pPr>
          </w:p>
        </w:tc>
      </w:tr>
      <w:tr w14:paraId="23CC4AB7">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18427C04">
            <w:pPr>
              <w:widowControl/>
              <w:jc w:val="center"/>
              <w:rPr>
                <w:rFonts w:hint="eastAsia"/>
                <w:bCs/>
                <w:color w:val="auto"/>
                <w:sz w:val="21"/>
                <w:szCs w:val="21"/>
                <w:highlight w:val="none"/>
              </w:rPr>
            </w:pPr>
            <w:r>
              <w:rPr>
                <w:rFonts w:hint="eastAsia"/>
                <w:bCs/>
                <w:color w:val="auto"/>
                <w:sz w:val="21"/>
                <w:szCs w:val="21"/>
                <w:highlight w:val="none"/>
              </w:rPr>
              <w:t>7</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55FAAC7">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门禁</w:t>
            </w:r>
            <w:r>
              <w:rPr>
                <w:rFonts w:hint="eastAsia" w:ascii="Calibri" w:hAnsi="Calibri" w:eastAsia="宋体" w:cs="Times New Roman"/>
                <w:bCs/>
                <w:color w:val="auto"/>
                <w:sz w:val="21"/>
                <w:szCs w:val="21"/>
                <w:highlight w:val="none"/>
                <w:lang w:val="en-US" w:eastAsia="zh-CN"/>
              </w:rPr>
              <w:t>系统</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5CF1FDFB">
            <w:pPr>
              <w:widowControl/>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1套</w:t>
            </w:r>
          </w:p>
        </w:tc>
        <w:tc>
          <w:tcPr>
            <w:tcW w:w="4481" w:type="dxa"/>
            <w:vMerge w:val="continue"/>
            <w:tcBorders>
              <w:top w:val="single" w:color="auto" w:sz="4" w:space="0"/>
              <w:left w:val="single" w:color="auto" w:sz="4" w:space="0"/>
              <w:bottom w:val="single" w:color="auto" w:sz="4" w:space="0"/>
              <w:right w:val="single" w:color="auto" w:sz="4" w:space="0"/>
            </w:tcBorders>
            <w:noWrap w:val="0"/>
            <w:vAlign w:val="center"/>
          </w:tcPr>
          <w:p w14:paraId="13B9EEE6">
            <w:pPr>
              <w:widowControl/>
              <w:jc w:val="center"/>
              <w:rPr>
                <w:rFonts w:hint="eastAsia"/>
                <w:bCs/>
                <w:color w:val="auto"/>
                <w:sz w:val="21"/>
                <w:szCs w:val="21"/>
                <w:highlight w:val="none"/>
              </w:rPr>
            </w:pPr>
          </w:p>
        </w:tc>
      </w:tr>
      <w:tr w14:paraId="67938011">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0527463E">
            <w:pPr>
              <w:widowControl/>
              <w:jc w:val="center"/>
              <w:rPr>
                <w:rFonts w:hint="eastAsia" w:eastAsia="宋体"/>
                <w:b/>
                <w:bCs w:val="0"/>
                <w:color w:val="auto"/>
                <w:sz w:val="21"/>
                <w:szCs w:val="21"/>
                <w:highlight w:val="none"/>
                <w:lang w:eastAsia="zh-CN"/>
              </w:rPr>
            </w:pPr>
            <w:r>
              <w:rPr>
                <w:rFonts w:hint="eastAsia"/>
                <w:b/>
                <w:bCs w:val="0"/>
                <w:color w:val="auto"/>
                <w:sz w:val="21"/>
                <w:szCs w:val="21"/>
                <w:highlight w:val="none"/>
                <w:lang w:val="en-US" w:eastAsia="zh-CN"/>
              </w:rPr>
              <w:t>三</w:t>
            </w:r>
          </w:p>
        </w:tc>
        <w:tc>
          <w:tcPr>
            <w:tcW w:w="4138" w:type="dxa"/>
            <w:gridSpan w:val="2"/>
            <w:tcBorders>
              <w:top w:val="single" w:color="auto" w:sz="4" w:space="0"/>
              <w:left w:val="single" w:color="auto" w:sz="4" w:space="0"/>
              <w:bottom w:val="single" w:color="auto" w:sz="4" w:space="0"/>
              <w:right w:val="single" w:color="auto" w:sz="4" w:space="0"/>
            </w:tcBorders>
            <w:noWrap w:val="0"/>
            <w:vAlign w:val="center"/>
          </w:tcPr>
          <w:p w14:paraId="130DCDC1">
            <w:pPr>
              <w:widowControl/>
              <w:jc w:val="center"/>
              <w:rPr>
                <w:rFonts w:hint="eastAsia"/>
                <w:b w:val="0"/>
                <w:bCs/>
                <w:color w:val="auto"/>
                <w:sz w:val="21"/>
                <w:szCs w:val="21"/>
                <w:highlight w:val="none"/>
              </w:rPr>
            </w:pPr>
            <w:r>
              <w:rPr>
                <w:rFonts w:hint="eastAsia"/>
                <w:b/>
                <w:bCs w:val="0"/>
                <w:color w:val="auto"/>
                <w:sz w:val="21"/>
                <w:szCs w:val="21"/>
                <w:highlight w:val="none"/>
                <w:lang w:val="en-US" w:eastAsia="zh-CN"/>
              </w:rPr>
              <w:t>中控室</w:t>
            </w:r>
            <w:r>
              <w:rPr>
                <w:rFonts w:hint="eastAsia"/>
                <w:b/>
                <w:bCs w:val="0"/>
                <w:color w:val="auto"/>
                <w:sz w:val="21"/>
                <w:szCs w:val="21"/>
                <w:highlight w:val="none"/>
              </w:rPr>
              <w:t>设备及配件</w:t>
            </w:r>
            <w:r>
              <w:rPr>
                <w:rFonts w:hint="eastAsia"/>
                <w:b w:val="0"/>
                <w:bCs/>
                <w:color w:val="auto"/>
                <w:sz w:val="21"/>
                <w:szCs w:val="21"/>
                <w:highlight w:val="none"/>
              </w:rPr>
              <w:t>　</w:t>
            </w:r>
          </w:p>
        </w:tc>
        <w:tc>
          <w:tcPr>
            <w:tcW w:w="4481" w:type="dxa"/>
            <w:tcBorders>
              <w:top w:val="single" w:color="auto" w:sz="4" w:space="0"/>
              <w:left w:val="single" w:color="auto" w:sz="4" w:space="0"/>
              <w:bottom w:val="single" w:color="auto" w:sz="4" w:space="0"/>
              <w:right w:val="single" w:color="auto" w:sz="4" w:space="0"/>
            </w:tcBorders>
            <w:noWrap w:val="0"/>
            <w:vAlign w:val="center"/>
          </w:tcPr>
          <w:p w14:paraId="16DE263D">
            <w:pPr>
              <w:widowControl/>
              <w:jc w:val="center"/>
              <w:rPr>
                <w:rFonts w:hint="eastAsia"/>
                <w:b w:val="0"/>
                <w:bCs/>
                <w:color w:val="auto"/>
                <w:sz w:val="21"/>
                <w:szCs w:val="21"/>
                <w:highlight w:val="none"/>
              </w:rPr>
            </w:pPr>
            <w:r>
              <w:rPr>
                <w:rFonts w:hint="eastAsia"/>
                <w:b w:val="0"/>
                <w:bCs/>
                <w:color w:val="auto"/>
                <w:sz w:val="21"/>
                <w:szCs w:val="21"/>
                <w:highlight w:val="none"/>
              </w:rPr>
              <w:t>　</w:t>
            </w:r>
          </w:p>
        </w:tc>
      </w:tr>
      <w:tr w14:paraId="0CFD2AAD">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019A9306">
            <w:pPr>
              <w:widowControl/>
              <w:jc w:val="center"/>
              <w:rPr>
                <w:rFonts w:hint="eastAsia"/>
                <w:bCs/>
                <w:color w:val="auto"/>
                <w:sz w:val="21"/>
                <w:szCs w:val="21"/>
                <w:highlight w:val="none"/>
              </w:rPr>
            </w:pPr>
            <w:r>
              <w:rPr>
                <w:rFonts w:hint="eastAsia"/>
                <w:bCs/>
                <w:color w:val="auto"/>
                <w:sz w:val="21"/>
                <w:szCs w:val="21"/>
                <w:highlight w:val="none"/>
              </w:rPr>
              <w:t>1</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3531B16">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控制区工作站</w:t>
            </w:r>
          </w:p>
        </w:tc>
        <w:tc>
          <w:tcPr>
            <w:tcW w:w="2237" w:type="dxa"/>
            <w:tcBorders>
              <w:top w:val="single" w:color="auto" w:sz="4" w:space="0"/>
              <w:left w:val="single" w:color="auto" w:sz="4" w:space="0"/>
              <w:bottom w:val="single" w:color="auto" w:sz="4" w:space="0"/>
              <w:right w:val="single" w:color="auto" w:sz="4" w:space="0"/>
            </w:tcBorders>
            <w:noWrap/>
            <w:vAlign w:val="center"/>
          </w:tcPr>
          <w:p w14:paraId="46C025FE">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4台</w:t>
            </w:r>
          </w:p>
        </w:tc>
        <w:tc>
          <w:tcPr>
            <w:tcW w:w="4481" w:type="dxa"/>
            <w:vMerge w:val="restart"/>
            <w:tcBorders>
              <w:top w:val="single" w:color="auto" w:sz="4" w:space="0"/>
              <w:left w:val="single" w:color="auto" w:sz="4" w:space="0"/>
              <w:right w:val="single" w:color="auto" w:sz="4" w:space="0"/>
            </w:tcBorders>
            <w:noWrap w:val="0"/>
            <w:vAlign w:val="center"/>
          </w:tcPr>
          <w:p w14:paraId="694577BD">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定期</w:t>
            </w:r>
            <w:r>
              <w:rPr>
                <w:rFonts w:hint="eastAsia" w:eastAsia="宋体" w:cs="Times New Roman"/>
                <w:bCs/>
                <w:color w:val="auto"/>
                <w:sz w:val="21"/>
                <w:szCs w:val="21"/>
                <w:highlight w:val="none"/>
              </w:rPr>
              <w:t>巡检，查看硬件的运行状态，进行维护保养。</w:t>
            </w:r>
          </w:p>
        </w:tc>
      </w:tr>
      <w:tr w14:paraId="737F0923">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42EE9423">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2</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2900452">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管理区工作站</w:t>
            </w:r>
          </w:p>
        </w:tc>
        <w:tc>
          <w:tcPr>
            <w:tcW w:w="2237" w:type="dxa"/>
            <w:tcBorders>
              <w:top w:val="single" w:color="auto" w:sz="4" w:space="0"/>
              <w:left w:val="single" w:color="auto" w:sz="4" w:space="0"/>
              <w:bottom w:val="single" w:color="auto" w:sz="4" w:space="0"/>
              <w:right w:val="single" w:color="auto" w:sz="4" w:space="0"/>
            </w:tcBorders>
            <w:noWrap/>
            <w:vAlign w:val="center"/>
          </w:tcPr>
          <w:p w14:paraId="363ECA0E">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7台</w:t>
            </w:r>
          </w:p>
        </w:tc>
        <w:tc>
          <w:tcPr>
            <w:tcW w:w="4481" w:type="dxa"/>
            <w:vMerge w:val="continue"/>
            <w:tcBorders>
              <w:left w:val="single" w:color="auto" w:sz="4" w:space="0"/>
              <w:right w:val="single" w:color="auto" w:sz="4" w:space="0"/>
            </w:tcBorders>
            <w:noWrap w:val="0"/>
            <w:vAlign w:val="center"/>
          </w:tcPr>
          <w:p w14:paraId="51E1932D">
            <w:pPr>
              <w:widowControl/>
              <w:jc w:val="center"/>
              <w:rPr>
                <w:rFonts w:hint="eastAsia"/>
                <w:bCs/>
                <w:color w:val="auto"/>
                <w:sz w:val="21"/>
                <w:szCs w:val="21"/>
                <w:highlight w:val="none"/>
              </w:rPr>
            </w:pPr>
          </w:p>
        </w:tc>
      </w:tr>
      <w:tr w14:paraId="39AEE53B">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3EB32136">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3</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E74AFB0">
            <w:pPr>
              <w:widowControl/>
              <w:jc w:val="center"/>
              <w:rPr>
                <w:rFonts w:hint="eastAsia" w:ascii="Calibri" w:hAnsi="Calibri" w:eastAsia="宋体" w:cs="Times New Roman"/>
                <w:bCs/>
                <w:color w:val="auto"/>
                <w:sz w:val="21"/>
                <w:szCs w:val="21"/>
                <w:highlight w:val="none"/>
                <w:lang w:val="en-US" w:eastAsia="zh-CN"/>
              </w:rPr>
            </w:pPr>
            <w:r>
              <w:rPr>
                <w:rFonts w:hint="eastAsia" w:eastAsia="宋体"/>
                <w:bCs/>
                <w:color w:val="auto"/>
                <w:sz w:val="21"/>
                <w:szCs w:val="21"/>
                <w:highlight w:val="none"/>
                <w:lang w:val="en-US" w:eastAsia="zh-CN"/>
              </w:rPr>
              <w:t>会议室移动屏</w:t>
            </w:r>
          </w:p>
        </w:tc>
        <w:tc>
          <w:tcPr>
            <w:tcW w:w="2237" w:type="dxa"/>
            <w:tcBorders>
              <w:top w:val="single" w:color="auto" w:sz="4" w:space="0"/>
              <w:left w:val="single" w:color="auto" w:sz="4" w:space="0"/>
              <w:bottom w:val="single" w:color="auto" w:sz="4" w:space="0"/>
              <w:right w:val="single" w:color="auto" w:sz="4" w:space="0"/>
            </w:tcBorders>
            <w:noWrap/>
            <w:vAlign w:val="center"/>
          </w:tcPr>
          <w:p w14:paraId="59FC2029">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lang w:val="en-US" w:eastAsia="zh-CN"/>
              </w:rPr>
              <w:t>3</w:t>
            </w:r>
            <w:r>
              <w:rPr>
                <w:rFonts w:hint="eastAsia" w:ascii="Calibri" w:hAnsi="Calibri" w:eastAsia="宋体" w:cs="Times New Roman"/>
                <w:bCs/>
                <w:color w:val="auto"/>
                <w:sz w:val="21"/>
                <w:szCs w:val="21"/>
                <w:highlight w:val="none"/>
              </w:rPr>
              <w:t>台</w:t>
            </w:r>
          </w:p>
        </w:tc>
        <w:tc>
          <w:tcPr>
            <w:tcW w:w="4481" w:type="dxa"/>
            <w:vMerge w:val="continue"/>
            <w:tcBorders>
              <w:left w:val="single" w:color="auto" w:sz="4" w:space="0"/>
              <w:right w:val="single" w:color="auto" w:sz="4" w:space="0"/>
            </w:tcBorders>
            <w:noWrap w:val="0"/>
            <w:vAlign w:val="center"/>
          </w:tcPr>
          <w:p w14:paraId="46CC47F7">
            <w:pPr>
              <w:widowControl/>
              <w:jc w:val="center"/>
              <w:rPr>
                <w:rFonts w:hint="eastAsia" w:eastAsia="宋体"/>
                <w:bCs/>
                <w:color w:val="auto"/>
                <w:sz w:val="21"/>
                <w:szCs w:val="21"/>
                <w:highlight w:val="none"/>
                <w:lang w:eastAsia="zh-CN"/>
              </w:rPr>
            </w:pPr>
          </w:p>
        </w:tc>
      </w:tr>
      <w:tr w14:paraId="632BCC24">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719B4374">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4</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9C2209F">
            <w:pPr>
              <w:widowControl/>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中控室大屏</w:t>
            </w:r>
          </w:p>
        </w:tc>
        <w:tc>
          <w:tcPr>
            <w:tcW w:w="2237" w:type="dxa"/>
            <w:tcBorders>
              <w:top w:val="single" w:color="auto" w:sz="4" w:space="0"/>
              <w:left w:val="single" w:color="auto" w:sz="4" w:space="0"/>
              <w:bottom w:val="single" w:color="auto" w:sz="4" w:space="0"/>
              <w:right w:val="single" w:color="auto" w:sz="4" w:space="0"/>
            </w:tcBorders>
            <w:noWrap/>
            <w:vAlign w:val="center"/>
          </w:tcPr>
          <w:p w14:paraId="7391430D">
            <w:pPr>
              <w:widowControl/>
              <w:jc w:val="center"/>
              <w:rPr>
                <w:rFonts w:hint="eastAsia" w:ascii="Calibri" w:hAnsi="Calibri" w:eastAsia="宋体" w:cs="Times New Roman"/>
                <w:bCs/>
                <w:color w:val="auto"/>
                <w:sz w:val="21"/>
                <w:szCs w:val="21"/>
                <w:highlight w:val="none"/>
                <w:lang w:val="en-US" w:eastAsia="zh-CN"/>
              </w:rPr>
            </w:pPr>
            <w:r>
              <w:rPr>
                <w:rFonts w:hint="eastAsia" w:ascii="Calibri" w:hAnsi="Calibri" w:eastAsia="宋体" w:cs="Times New Roman"/>
                <w:bCs/>
                <w:color w:val="auto"/>
                <w:sz w:val="21"/>
                <w:szCs w:val="21"/>
                <w:highlight w:val="none"/>
                <w:lang w:val="en-US" w:eastAsia="zh-CN"/>
              </w:rPr>
              <w:t>1套</w:t>
            </w:r>
          </w:p>
        </w:tc>
        <w:tc>
          <w:tcPr>
            <w:tcW w:w="4481" w:type="dxa"/>
            <w:vMerge w:val="continue"/>
            <w:tcBorders>
              <w:left w:val="single" w:color="auto" w:sz="4" w:space="0"/>
              <w:right w:val="single" w:color="auto" w:sz="4" w:space="0"/>
            </w:tcBorders>
            <w:noWrap w:val="0"/>
            <w:vAlign w:val="center"/>
          </w:tcPr>
          <w:p w14:paraId="7459FAE7">
            <w:pPr>
              <w:widowControl/>
              <w:jc w:val="center"/>
              <w:rPr>
                <w:rFonts w:hint="eastAsia"/>
                <w:bCs/>
                <w:color w:val="auto"/>
                <w:sz w:val="21"/>
                <w:szCs w:val="21"/>
                <w:highlight w:val="none"/>
              </w:rPr>
            </w:pPr>
          </w:p>
        </w:tc>
      </w:tr>
      <w:tr w14:paraId="2D2E6906">
        <w:tblPrEx>
          <w:tblCellMar>
            <w:top w:w="0" w:type="dxa"/>
            <w:left w:w="108" w:type="dxa"/>
            <w:bottom w:w="0" w:type="dxa"/>
            <w:right w:w="108" w:type="dxa"/>
          </w:tblCellMar>
        </w:tblPrEx>
        <w:trPr>
          <w:gridAfter w:val="1"/>
          <w:wAfter w:w="330" w:type="dxa"/>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57ABB4E7">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5</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B2FF2FE">
            <w:pPr>
              <w:widowControl/>
              <w:jc w:val="center"/>
              <w:rPr>
                <w:rFonts w:hint="eastAsia"/>
                <w:bCs/>
                <w:color w:val="auto"/>
                <w:sz w:val="21"/>
                <w:szCs w:val="21"/>
                <w:highlight w:val="none"/>
                <w:lang w:val="en-US" w:eastAsia="zh-CN"/>
              </w:rPr>
            </w:pPr>
            <w:r>
              <w:rPr>
                <w:rFonts w:hint="eastAsia"/>
                <w:bCs/>
                <w:color w:val="auto"/>
                <w:sz w:val="21"/>
                <w:szCs w:val="21"/>
                <w:highlight w:val="none"/>
                <w:lang w:val="en-US" w:eastAsia="zh-CN"/>
              </w:rPr>
              <w:t>会议室大屏</w:t>
            </w:r>
          </w:p>
        </w:tc>
        <w:tc>
          <w:tcPr>
            <w:tcW w:w="2237" w:type="dxa"/>
            <w:tcBorders>
              <w:top w:val="single" w:color="auto" w:sz="4" w:space="0"/>
              <w:left w:val="single" w:color="auto" w:sz="4" w:space="0"/>
              <w:bottom w:val="single" w:color="auto" w:sz="4" w:space="0"/>
              <w:right w:val="single" w:color="auto" w:sz="4" w:space="0"/>
            </w:tcBorders>
            <w:noWrap/>
            <w:vAlign w:val="center"/>
          </w:tcPr>
          <w:p w14:paraId="40A74BB5">
            <w:pPr>
              <w:widowControl/>
              <w:jc w:val="center"/>
              <w:rPr>
                <w:rFonts w:hint="eastAsia" w:ascii="Calibri" w:hAnsi="Calibri" w:eastAsia="宋体" w:cs="Times New Roman"/>
                <w:bCs/>
                <w:color w:val="auto"/>
                <w:sz w:val="21"/>
                <w:szCs w:val="21"/>
                <w:highlight w:val="none"/>
                <w:lang w:val="en-US" w:eastAsia="zh-CN"/>
              </w:rPr>
            </w:pPr>
            <w:r>
              <w:rPr>
                <w:rFonts w:hint="eastAsia" w:ascii="Calibri" w:hAnsi="Calibri" w:eastAsia="宋体" w:cs="Times New Roman"/>
                <w:bCs/>
                <w:color w:val="auto"/>
                <w:sz w:val="21"/>
                <w:szCs w:val="21"/>
                <w:highlight w:val="none"/>
                <w:lang w:val="en-US" w:eastAsia="zh-CN"/>
              </w:rPr>
              <w:t>1套</w:t>
            </w:r>
          </w:p>
        </w:tc>
        <w:tc>
          <w:tcPr>
            <w:tcW w:w="4481" w:type="dxa"/>
            <w:vMerge w:val="continue"/>
            <w:tcBorders>
              <w:left w:val="single" w:color="auto" w:sz="4" w:space="0"/>
              <w:right w:val="single" w:color="auto" w:sz="4" w:space="0"/>
            </w:tcBorders>
            <w:noWrap w:val="0"/>
            <w:vAlign w:val="center"/>
          </w:tcPr>
          <w:p w14:paraId="68CDE32F">
            <w:pPr>
              <w:widowControl/>
              <w:jc w:val="center"/>
              <w:rPr>
                <w:rFonts w:hint="eastAsia"/>
                <w:bCs/>
                <w:color w:val="auto"/>
                <w:sz w:val="21"/>
                <w:szCs w:val="21"/>
                <w:highlight w:val="none"/>
              </w:rPr>
            </w:pPr>
          </w:p>
        </w:tc>
      </w:tr>
      <w:tr w14:paraId="0F519114">
        <w:tblPrEx>
          <w:tblCellMar>
            <w:top w:w="0" w:type="dxa"/>
            <w:left w:w="108" w:type="dxa"/>
            <w:bottom w:w="0" w:type="dxa"/>
            <w:right w:w="108" w:type="dxa"/>
          </w:tblCellMar>
        </w:tblPrEx>
        <w:trPr>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2147B9FC">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6</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A37BB46">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地面巡检人</w:t>
            </w:r>
          </w:p>
        </w:tc>
        <w:tc>
          <w:tcPr>
            <w:tcW w:w="2237" w:type="dxa"/>
            <w:tcBorders>
              <w:top w:val="single" w:color="auto" w:sz="4" w:space="0"/>
              <w:left w:val="single" w:color="auto" w:sz="4" w:space="0"/>
              <w:bottom w:val="single" w:color="auto" w:sz="4" w:space="0"/>
              <w:right w:val="single" w:color="auto" w:sz="4" w:space="0"/>
            </w:tcBorders>
            <w:noWrap/>
            <w:vAlign w:val="center"/>
          </w:tcPr>
          <w:p w14:paraId="5F318629">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1套</w:t>
            </w:r>
          </w:p>
        </w:tc>
        <w:tc>
          <w:tcPr>
            <w:tcW w:w="4481" w:type="dxa"/>
            <w:vMerge w:val="continue"/>
            <w:tcBorders>
              <w:left w:val="single" w:color="auto" w:sz="4" w:space="0"/>
              <w:right w:val="single" w:color="auto" w:sz="4" w:space="0"/>
            </w:tcBorders>
            <w:noWrap/>
            <w:vAlign w:val="center"/>
          </w:tcPr>
          <w:p w14:paraId="32C4DCB9">
            <w:pPr>
              <w:widowControl/>
              <w:jc w:val="center"/>
              <w:rPr>
                <w:rFonts w:hint="eastAsia"/>
                <w:bCs/>
                <w:color w:val="auto"/>
                <w:sz w:val="21"/>
                <w:szCs w:val="21"/>
                <w:highlight w:val="none"/>
              </w:rPr>
            </w:pPr>
          </w:p>
        </w:tc>
        <w:tc>
          <w:tcPr>
            <w:tcW w:w="330" w:type="dxa"/>
            <w:noWrap w:val="0"/>
            <w:vAlign w:val="center"/>
          </w:tcPr>
          <w:p w14:paraId="1A4ABD73">
            <w:pPr>
              <w:widowControl/>
              <w:rPr>
                <w:rFonts w:hint="eastAsia"/>
                <w:color w:val="auto"/>
                <w:sz w:val="21"/>
                <w:szCs w:val="21"/>
                <w:highlight w:val="none"/>
              </w:rPr>
            </w:pPr>
          </w:p>
        </w:tc>
      </w:tr>
      <w:tr w14:paraId="35CCB220">
        <w:tblPrEx>
          <w:tblCellMar>
            <w:top w:w="0" w:type="dxa"/>
            <w:left w:w="108" w:type="dxa"/>
            <w:bottom w:w="0" w:type="dxa"/>
            <w:right w:w="108" w:type="dxa"/>
          </w:tblCellMar>
        </w:tblPrEx>
        <w:trPr>
          <w:trHeight w:val="23" w:hRule="atLeast"/>
        </w:trPr>
        <w:tc>
          <w:tcPr>
            <w:tcW w:w="637" w:type="dxa"/>
            <w:tcBorders>
              <w:top w:val="single" w:color="auto" w:sz="4" w:space="0"/>
              <w:left w:val="single" w:color="auto" w:sz="4" w:space="0"/>
              <w:bottom w:val="single" w:color="auto" w:sz="4" w:space="0"/>
              <w:right w:val="single" w:color="auto" w:sz="4" w:space="0"/>
            </w:tcBorders>
            <w:noWrap/>
            <w:vAlign w:val="center"/>
          </w:tcPr>
          <w:p w14:paraId="5A59109E">
            <w:pPr>
              <w:widowControl/>
              <w:jc w:val="center"/>
              <w:rPr>
                <w:rFonts w:hint="eastAsia"/>
                <w:bCs/>
                <w:color w:val="auto"/>
                <w:sz w:val="21"/>
                <w:szCs w:val="21"/>
                <w:highlight w:val="none"/>
              </w:rPr>
            </w:pPr>
            <w:r>
              <w:rPr>
                <w:rFonts w:hint="eastAsia" w:eastAsia="宋体" w:cs="Times New Roman"/>
                <w:bCs/>
                <w:color w:val="auto"/>
                <w:sz w:val="21"/>
                <w:szCs w:val="21"/>
                <w:highlight w:val="none"/>
                <w:lang w:val="en-US" w:eastAsia="zh-CN"/>
              </w:rPr>
              <w:t>7</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653DF49">
            <w:pPr>
              <w:widowControl/>
              <w:jc w:val="center"/>
              <w:rPr>
                <w:rFonts w:hint="eastAsia" w:ascii="Calibri" w:hAnsi="Calibri" w:eastAsia="宋体" w:cs="Times New Roman"/>
                <w:bCs/>
                <w:color w:val="auto"/>
                <w:sz w:val="21"/>
                <w:szCs w:val="21"/>
                <w:highlight w:val="none"/>
              </w:rPr>
            </w:pPr>
            <w:r>
              <w:rPr>
                <w:rFonts w:hint="eastAsia" w:ascii="Calibri" w:hAnsi="Calibri" w:eastAsia="宋体" w:cs="Times New Roman"/>
                <w:bCs/>
                <w:color w:val="auto"/>
                <w:sz w:val="21"/>
                <w:szCs w:val="21"/>
                <w:highlight w:val="none"/>
              </w:rPr>
              <w:t>轨道巡查机器人</w:t>
            </w:r>
          </w:p>
        </w:tc>
        <w:tc>
          <w:tcPr>
            <w:tcW w:w="2237" w:type="dxa"/>
            <w:tcBorders>
              <w:top w:val="single" w:color="auto" w:sz="4" w:space="0"/>
              <w:left w:val="single" w:color="auto" w:sz="4" w:space="0"/>
              <w:bottom w:val="single" w:color="auto" w:sz="4" w:space="0"/>
              <w:right w:val="single" w:color="auto" w:sz="4" w:space="0"/>
            </w:tcBorders>
            <w:noWrap/>
            <w:vAlign w:val="center"/>
          </w:tcPr>
          <w:p w14:paraId="5A31692E">
            <w:pPr>
              <w:widowControl/>
              <w:jc w:val="center"/>
              <w:rPr>
                <w:rFonts w:hint="eastAsia"/>
                <w:bCs/>
                <w:color w:val="auto"/>
                <w:sz w:val="21"/>
                <w:szCs w:val="21"/>
                <w:highlight w:val="none"/>
              </w:rPr>
            </w:pPr>
            <w:r>
              <w:rPr>
                <w:rFonts w:hint="eastAsia" w:ascii="Calibri" w:hAnsi="Calibri" w:eastAsia="宋体" w:cs="Times New Roman"/>
                <w:bCs/>
                <w:color w:val="auto"/>
                <w:sz w:val="21"/>
                <w:szCs w:val="21"/>
                <w:highlight w:val="none"/>
              </w:rPr>
              <w:t>2套</w:t>
            </w:r>
          </w:p>
        </w:tc>
        <w:tc>
          <w:tcPr>
            <w:tcW w:w="4481" w:type="dxa"/>
            <w:vMerge w:val="continue"/>
            <w:tcBorders>
              <w:left w:val="single" w:color="auto" w:sz="4" w:space="0"/>
              <w:bottom w:val="single" w:color="auto" w:sz="4" w:space="0"/>
              <w:right w:val="single" w:color="auto" w:sz="4" w:space="0"/>
            </w:tcBorders>
            <w:noWrap/>
            <w:vAlign w:val="center"/>
          </w:tcPr>
          <w:p w14:paraId="4F96D36C">
            <w:pPr>
              <w:widowControl/>
              <w:jc w:val="center"/>
              <w:rPr>
                <w:rFonts w:hint="eastAsia"/>
                <w:bCs/>
                <w:color w:val="auto"/>
                <w:sz w:val="21"/>
                <w:szCs w:val="21"/>
                <w:highlight w:val="none"/>
              </w:rPr>
            </w:pPr>
          </w:p>
        </w:tc>
        <w:tc>
          <w:tcPr>
            <w:tcW w:w="330" w:type="dxa"/>
            <w:noWrap w:val="0"/>
            <w:vAlign w:val="center"/>
          </w:tcPr>
          <w:p w14:paraId="1863C25F">
            <w:pPr>
              <w:widowControl/>
              <w:rPr>
                <w:rFonts w:hint="eastAsia"/>
                <w:color w:val="auto"/>
                <w:sz w:val="21"/>
                <w:szCs w:val="21"/>
                <w:highlight w:val="none"/>
              </w:rPr>
            </w:pPr>
          </w:p>
        </w:tc>
      </w:tr>
    </w:tbl>
    <w:p w14:paraId="0A397CC9">
      <w:pPr>
        <w:pStyle w:val="19"/>
        <w:rPr>
          <w:rFonts w:hint="eastAsia" w:ascii="宋体" w:hAnsi="宋体" w:eastAsia="宋体" w:cs="宋体"/>
          <w:color w:val="auto"/>
          <w:sz w:val="24"/>
          <w:szCs w:val="28"/>
          <w:highlight w:val="none"/>
        </w:rPr>
      </w:pPr>
    </w:p>
    <w:p w14:paraId="5A575A0F">
      <w:pPr>
        <w:pStyle w:val="39"/>
        <w:ind w:firstLine="0" w:firstLineChars="0"/>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 2 \* GB3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②</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lang w:val="en-US" w:eastAsia="zh-CN"/>
        </w:rPr>
        <w:t>频次要求</w:t>
      </w:r>
      <w:r>
        <w:rPr>
          <w:rFonts w:hint="eastAsia" w:ascii="宋体" w:hAnsi="宋体" w:cs="宋体"/>
          <w:color w:val="auto"/>
          <w:sz w:val="24"/>
          <w:szCs w:val="24"/>
          <w:highlight w:val="none"/>
          <w:lang w:val="en-US" w:eastAsia="zh-CN"/>
        </w:rPr>
        <w:t>：</w:t>
      </w:r>
    </w:p>
    <w:p w14:paraId="1A7557F9">
      <w:pPr>
        <w:pStyle w:val="39"/>
        <w:ind w:firstLine="0" w:firstLineChars="0"/>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rPr>
        <w:t>维护服务</w:t>
      </w:r>
      <w:r>
        <w:rPr>
          <w:rFonts w:hint="eastAsia" w:ascii="宋体" w:hAnsi="宋体" w:cs="宋体"/>
          <w:b/>
          <w:bCs/>
          <w:color w:val="auto"/>
          <w:sz w:val="24"/>
          <w:szCs w:val="24"/>
          <w:highlight w:val="none"/>
          <w:lang w:val="en-US" w:eastAsia="zh-CN"/>
        </w:rPr>
        <w:t>频次要求清单</w:t>
      </w:r>
    </w:p>
    <w:tbl>
      <w:tblPr>
        <w:tblStyle w:val="20"/>
        <w:tblW w:w="9288" w:type="dxa"/>
        <w:tblInd w:w="0" w:type="dxa"/>
        <w:tblLayout w:type="fixed"/>
        <w:tblCellMar>
          <w:top w:w="0" w:type="dxa"/>
          <w:left w:w="108" w:type="dxa"/>
          <w:bottom w:w="0" w:type="dxa"/>
          <w:right w:w="108" w:type="dxa"/>
        </w:tblCellMar>
      </w:tblPr>
      <w:tblGrid>
        <w:gridCol w:w="927"/>
        <w:gridCol w:w="7151"/>
        <w:gridCol w:w="1210"/>
      </w:tblGrid>
      <w:tr w14:paraId="4E0EC8BB">
        <w:tblPrEx>
          <w:tblCellMar>
            <w:top w:w="0" w:type="dxa"/>
            <w:left w:w="108" w:type="dxa"/>
            <w:bottom w:w="0" w:type="dxa"/>
            <w:right w:w="108" w:type="dxa"/>
          </w:tblCellMar>
        </w:tblPrEx>
        <w:trPr>
          <w:trHeight w:val="23" w:hRule="atLeast"/>
          <w:tblHeader/>
        </w:trPr>
        <w:tc>
          <w:tcPr>
            <w:tcW w:w="927" w:type="dxa"/>
            <w:tcBorders>
              <w:top w:val="single" w:color="auto" w:sz="4" w:space="0"/>
              <w:left w:val="single" w:color="auto" w:sz="4" w:space="0"/>
              <w:bottom w:val="single" w:color="auto" w:sz="4" w:space="0"/>
              <w:right w:val="single" w:color="auto" w:sz="4" w:space="0"/>
            </w:tcBorders>
            <w:shd w:val="clear" w:color="000000" w:fill="auto"/>
            <w:noWrap/>
            <w:vAlign w:val="center"/>
          </w:tcPr>
          <w:p w14:paraId="3335DE8D">
            <w:pPr>
              <w:widowControl/>
              <w:jc w:val="center"/>
              <w:rPr>
                <w:rFonts w:hint="eastAsia"/>
                <w:b/>
                <w:bCs/>
                <w:color w:val="auto"/>
                <w:sz w:val="21"/>
                <w:szCs w:val="21"/>
                <w:highlight w:val="none"/>
              </w:rPr>
            </w:pPr>
            <w:r>
              <w:rPr>
                <w:rFonts w:hint="eastAsia"/>
                <w:b/>
                <w:bCs/>
                <w:color w:val="auto"/>
                <w:sz w:val="21"/>
                <w:szCs w:val="21"/>
                <w:highlight w:val="none"/>
              </w:rPr>
              <w:t>序号</w:t>
            </w:r>
          </w:p>
        </w:tc>
        <w:tc>
          <w:tcPr>
            <w:tcW w:w="7151" w:type="dxa"/>
            <w:tcBorders>
              <w:top w:val="single" w:color="auto" w:sz="4" w:space="0"/>
              <w:left w:val="nil"/>
              <w:bottom w:val="single" w:color="auto" w:sz="4" w:space="0"/>
              <w:right w:val="single" w:color="auto" w:sz="4" w:space="0"/>
            </w:tcBorders>
            <w:shd w:val="clear" w:color="000000" w:fill="auto"/>
            <w:noWrap/>
            <w:vAlign w:val="center"/>
          </w:tcPr>
          <w:p w14:paraId="7BF60F01">
            <w:pPr>
              <w:widowControl/>
              <w:jc w:val="center"/>
              <w:rPr>
                <w:rFonts w:hint="eastAsia"/>
                <w:b/>
                <w:bCs/>
                <w:color w:val="auto"/>
                <w:sz w:val="21"/>
                <w:szCs w:val="21"/>
                <w:highlight w:val="none"/>
              </w:rPr>
            </w:pPr>
            <w:r>
              <w:rPr>
                <w:rFonts w:hint="eastAsia"/>
                <w:b/>
                <w:bCs/>
                <w:color w:val="auto"/>
                <w:sz w:val="21"/>
                <w:szCs w:val="21"/>
                <w:highlight w:val="none"/>
              </w:rPr>
              <w:t>服务内容</w:t>
            </w:r>
          </w:p>
        </w:tc>
        <w:tc>
          <w:tcPr>
            <w:tcW w:w="1210" w:type="dxa"/>
            <w:tcBorders>
              <w:top w:val="single" w:color="auto" w:sz="4" w:space="0"/>
              <w:left w:val="nil"/>
              <w:bottom w:val="single" w:color="auto" w:sz="4" w:space="0"/>
              <w:right w:val="single" w:color="auto" w:sz="4" w:space="0"/>
            </w:tcBorders>
            <w:shd w:val="clear" w:color="000000" w:fill="auto"/>
            <w:noWrap/>
            <w:vAlign w:val="center"/>
          </w:tcPr>
          <w:p w14:paraId="3D78AABB">
            <w:pPr>
              <w:widowControl/>
              <w:jc w:val="center"/>
              <w:rPr>
                <w:rFonts w:hint="eastAsia"/>
                <w:b/>
                <w:bCs/>
                <w:color w:val="auto"/>
                <w:sz w:val="21"/>
                <w:szCs w:val="21"/>
                <w:highlight w:val="none"/>
              </w:rPr>
            </w:pPr>
            <w:r>
              <w:rPr>
                <w:rFonts w:hint="eastAsia"/>
                <w:b/>
                <w:bCs/>
                <w:color w:val="auto"/>
                <w:sz w:val="21"/>
                <w:szCs w:val="21"/>
                <w:highlight w:val="none"/>
              </w:rPr>
              <w:t>维护频率</w:t>
            </w:r>
          </w:p>
        </w:tc>
      </w:tr>
      <w:tr w14:paraId="000E9A46">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shd w:val="clear" w:color="000000" w:fill="auto"/>
            <w:noWrap/>
            <w:vAlign w:val="center"/>
          </w:tcPr>
          <w:p w14:paraId="3F4FC06A">
            <w:pPr>
              <w:widowControl/>
              <w:jc w:val="center"/>
              <w:rPr>
                <w:rFonts w:hint="eastAsia"/>
                <w:b/>
                <w:bCs/>
                <w:color w:val="auto"/>
                <w:sz w:val="21"/>
                <w:szCs w:val="21"/>
                <w:highlight w:val="none"/>
              </w:rPr>
            </w:pPr>
            <w:r>
              <w:rPr>
                <w:rFonts w:hint="eastAsia"/>
                <w:b/>
                <w:bCs/>
                <w:color w:val="auto"/>
                <w:sz w:val="21"/>
                <w:szCs w:val="21"/>
                <w:highlight w:val="none"/>
              </w:rPr>
              <w:t>（一）</w:t>
            </w:r>
          </w:p>
        </w:tc>
        <w:tc>
          <w:tcPr>
            <w:tcW w:w="7151" w:type="dxa"/>
            <w:tcBorders>
              <w:top w:val="nil"/>
              <w:left w:val="nil"/>
              <w:bottom w:val="single" w:color="auto" w:sz="4" w:space="0"/>
              <w:right w:val="single" w:color="auto" w:sz="4" w:space="0"/>
            </w:tcBorders>
            <w:shd w:val="clear" w:color="000000" w:fill="auto"/>
            <w:noWrap/>
            <w:vAlign w:val="center"/>
          </w:tcPr>
          <w:p w14:paraId="239CC4E3">
            <w:pPr>
              <w:widowControl/>
              <w:jc w:val="center"/>
              <w:rPr>
                <w:rFonts w:hint="eastAsia"/>
                <w:b/>
                <w:bCs/>
                <w:color w:val="auto"/>
                <w:sz w:val="21"/>
                <w:szCs w:val="21"/>
                <w:highlight w:val="none"/>
              </w:rPr>
            </w:pPr>
            <w:r>
              <w:rPr>
                <w:rFonts w:hint="eastAsia"/>
                <w:b/>
                <w:bCs/>
                <w:color w:val="auto"/>
                <w:sz w:val="21"/>
                <w:szCs w:val="21"/>
                <w:highlight w:val="none"/>
                <w:lang w:val="en-US" w:eastAsia="zh-CN"/>
              </w:rPr>
              <w:t>八堡一体化智慧管控</w:t>
            </w:r>
            <w:r>
              <w:rPr>
                <w:rFonts w:hint="eastAsia"/>
                <w:b/>
                <w:bCs/>
                <w:color w:val="auto"/>
                <w:sz w:val="21"/>
                <w:szCs w:val="21"/>
                <w:highlight w:val="none"/>
              </w:rPr>
              <w:t>平台</w:t>
            </w:r>
          </w:p>
        </w:tc>
        <w:tc>
          <w:tcPr>
            <w:tcW w:w="1210" w:type="dxa"/>
            <w:tcBorders>
              <w:top w:val="nil"/>
              <w:left w:val="nil"/>
              <w:bottom w:val="single" w:color="auto" w:sz="4" w:space="0"/>
              <w:right w:val="single" w:color="auto" w:sz="4" w:space="0"/>
            </w:tcBorders>
            <w:shd w:val="clear" w:color="000000" w:fill="auto"/>
            <w:noWrap/>
            <w:vAlign w:val="center"/>
          </w:tcPr>
          <w:p w14:paraId="08BFA2FB">
            <w:pPr>
              <w:widowControl/>
              <w:jc w:val="center"/>
              <w:rPr>
                <w:rFonts w:hint="eastAsia"/>
                <w:b/>
                <w:bCs/>
                <w:color w:val="auto"/>
                <w:sz w:val="21"/>
                <w:szCs w:val="21"/>
                <w:highlight w:val="none"/>
              </w:rPr>
            </w:pPr>
          </w:p>
        </w:tc>
      </w:tr>
      <w:tr w14:paraId="2812F5C7">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shd w:val="clear" w:color="000000" w:fill="auto"/>
            <w:noWrap/>
            <w:vAlign w:val="center"/>
          </w:tcPr>
          <w:p w14:paraId="17C0F5AF">
            <w:pPr>
              <w:widowControl/>
              <w:jc w:val="center"/>
              <w:rPr>
                <w:rFonts w:hint="eastAsia"/>
                <w:b/>
                <w:bCs/>
                <w:color w:val="auto"/>
                <w:sz w:val="21"/>
                <w:szCs w:val="21"/>
                <w:highlight w:val="none"/>
              </w:rPr>
            </w:pPr>
            <w:r>
              <w:rPr>
                <w:rFonts w:hint="eastAsia"/>
                <w:b/>
                <w:bCs/>
                <w:color w:val="auto"/>
                <w:sz w:val="21"/>
                <w:szCs w:val="21"/>
                <w:highlight w:val="none"/>
              </w:rPr>
              <w:t>1</w:t>
            </w:r>
          </w:p>
        </w:tc>
        <w:tc>
          <w:tcPr>
            <w:tcW w:w="7151" w:type="dxa"/>
            <w:tcBorders>
              <w:top w:val="nil"/>
              <w:left w:val="nil"/>
              <w:bottom w:val="single" w:color="auto" w:sz="4" w:space="0"/>
              <w:right w:val="single" w:color="auto" w:sz="4" w:space="0"/>
            </w:tcBorders>
            <w:shd w:val="clear" w:color="000000" w:fill="auto"/>
            <w:noWrap/>
            <w:vAlign w:val="center"/>
          </w:tcPr>
          <w:p w14:paraId="41D5B425">
            <w:pPr>
              <w:widowControl/>
              <w:jc w:val="center"/>
              <w:rPr>
                <w:rFonts w:hint="eastAsia"/>
                <w:b/>
                <w:bCs/>
                <w:color w:val="auto"/>
                <w:sz w:val="21"/>
                <w:szCs w:val="21"/>
                <w:highlight w:val="none"/>
              </w:rPr>
            </w:pPr>
            <w:r>
              <w:rPr>
                <w:rFonts w:hint="eastAsia"/>
                <w:b/>
                <w:bCs/>
                <w:color w:val="auto"/>
                <w:sz w:val="21"/>
                <w:szCs w:val="21"/>
                <w:highlight w:val="none"/>
              </w:rPr>
              <w:t>定期巡检平台</w:t>
            </w:r>
            <w:r>
              <w:rPr>
                <w:rFonts w:hint="eastAsia"/>
                <w:b/>
                <w:bCs/>
                <w:color w:val="auto"/>
                <w:sz w:val="21"/>
                <w:szCs w:val="21"/>
                <w:highlight w:val="none"/>
                <w:lang w:val="en-US" w:eastAsia="zh-CN"/>
              </w:rPr>
              <w:t>及业务应用</w:t>
            </w:r>
            <w:r>
              <w:rPr>
                <w:rFonts w:hint="eastAsia"/>
                <w:b/>
                <w:bCs/>
                <w:color w:val="auto"/>
                <w:sz w:val="21"/>
                <w:szCs w:val="21"/>
                <w:highlight w:val="none"/>
              </w:rPr>
              <w:t>运行状况</w:t>
            </w:r>
          </w:p>
        </w:tc>
        <w:tc>
          <w:tcPr>
            <w:tcW w:w="1210" w:type="dxa"/>
            <w:tcBorders>
              <w:top w:val="nil"/>
              <w:left w:val="nil"/>
              <w:bottom w:val="single" w:color="auto" w:sz="4" w:space="0"/>
              <w:right w:val="single" w:color="auto" w:sz="4" w:space="0"/>
            </w:tcBorders>
            <w:shd w:val="clear" w:color="000000" w:fill="auto"/>
            <w:noWrap/>
            <w:vAlign w:val="center"/>
          </w:tcPr>
          <w:p w14:paraId="6E9215D6">
            <w:pPr>
              <w:widowControl/>
              <w:jc w:val="center"/>
              <w:rPr>
                <w:rFonts w:hint="eastAsia"/>
                <w:b/>
                <w:bCs/>
                <w:color w:val="auto"/>
                <w:sz w:val="21"/>
                <w:szCs w:val="21"/>
                <w:highlight w:val="none"/>
              </w:rPr>
            </w:pPr>
          </w:p>
        </w:tc>
      </w:tr>
      <w:tr w14:paraId="0406A7A4">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5FADA647">
            <w:pPr>
              <w:widowControl/>
              <w:jc w:val="center"/>
              <w:rPr>
                <w:rFonts w:hint="eastAsia"/>
                <w:color w:val="auto"/>
                <w:sz w:val="21"/>
                <w:szCs w:val="21"/>
                <w:highlight w:val="none"/>
              </w:rPr>
            </w:pPr>
            <w:r>
              <w:rPr>
                <w:rFonts w:hint="eastAsia"/>
                <w:color w:val="auto"/>
                <w:sz w:val="21"/>
                <w:szCs w:val="21"/>
                <w:highlight w:val="none"/>
              </w:rPr>
              <w:t>1.1</w:t>
            </w:r>
          </w:p>
        </w:tc>
        <w:tc>
          <w:tcPr>
            <w:tcW w:w="7151" w:type="dxa"/>
            <w:tcBorders>
              <w:top w:val="nil"/>
              <w:left w:val="nil"/>
              <w:bottom w:val="single" w:color="auto" w:sz="4" w:space="0"/>
              <w:right w:val="single" w:color="auto" w:sz="4" w:space="0"/>
            </w:tcBorders>
            <w:noWrap/>
            <w:vAlign w:val="center"/>
          </w:tcPr>
          <w:p w14:paraId="030CBE26">
            <w:pPr>
              <w:widowControl/>
              <w:jc w:val="center"/>
              <w:rPr>
                <w:rFonts w:hint="eastAsia"/>
                <w:color w:val="auto"/>
                <w:sz w:val="21"/>
                <w:szCs w:val="21"/>
                <w:highlight w:val="none"/>
              </w:rPr>
            </w:pPr>
            <w:r>
              <w:rPr>
                <w:rFonts w:hint="eastAsia"/>
                <w:color w:val="auto"/>
                <w:sz w:val="21"/>
                <w:szCs w:val="21"/>
                <w:highlight w:val="none"/>
              </w:rPr>
              <w:t>平台</w:t>
            </w:r>
            <w:r>
              <w:rPr>
                <w:rFonts w:hint="eastAsia"/>
                <w:color w:val="auto"/>
                <w:sz w:val="21"/>
                <w:szCs w:val="21"/>
                <w:highlight w:val="none"/>
                <w:lang w:val="en-US" w:eastAsia="zh-CN"/>
              </w:rPr>
              <w:t>及</w:t>
            </w:r>
            <w:r>
              <w:rPr>
                <w:rFonts w:hint="eastAsia"/>
                <w:color w:val="auto"/>
                <w:sz w:val="21"/>
                <w:szCs w:val="21"/>
                <w:highlight w:val="none"/>
              </w:rPr>
              <w:t>业务应用运行状态监控</w:t>
            </w:r>
          </w:p>
        </w:tc>
        <w:tc>
          <w:tcPr>
            <w:tcW w:w="1210" w:type="dxa"/>
            <w:tcBorders>
              <w:top w:val="nil"/>
              <w:left w:val="nil"/>
              <w:bottom w:val="single" w:color="auto" w:sz="4" w:space="0"/>
              <w:right w:val="single" w:color="auto" w:sz="4" w:space="0"/>
            </w:tcBorders>
            <w:noWrap/>
            <w:vAlign w:val="center"/>
          </w:tcPr>
          <w:p w14:paraId="54258B3A">
            <w:pPr>
              <w:widowControl/>
              <w:jc w:val="center"/>
              <w:rPr>
                <w:rFonts w:hint="eastAsia"/>
                <w:color w:val="auto"/>
                <w:sz w:val="21"/>
                <w:szCs w:val="21"/>
                <w:highlight w:val="none"/>
              </w:rPr>
            </w:pPr>
            <w:r>
              <w:rPr>
                <w:rFonts w:hint="eastAsia"/>
                <w:color w:val="auto"/>
                <w:sz w:val="21"/>
                <w:szCs w:val="21"/>
                <w:highlight w:val="none"/>
              </w:rPr>
              <w:t>1次/每周</w:t>
            </w:r>
          </w:p>
        </w:tc>
      </w:tr>
      <w:tr w14:paraId="33BF2E0C">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65E5946">
            <w:pPr>
              <w:widowControl/>
              <w:jc w:val="center"/>
              <w:rPr>
                <w:rFonts w:hint="eastAsia"/>
                <w:color w:val="auto"/>
                <w:sz w:val="21"/>
                <w:szCs w:val="21"/>
                <w:highlight w:val="none"/>
              </w:rPr>
            </w:pPr>
            <w:r>
              <w:rPr>
                <w:rFonts w:hint="eastAsia"/>
                <w:color w:val="auto"/>
                <w:sz w:val="21"/>
                <w:szCs w:val="21"/>
                <w:highlight w:val="none"/>
              </w:rPr>
              <w:t>1.2</w:t>
            </w:r>
          </w:p>
        </w:tc>
        <w:tc>
          <w:tcPr>
            <w:tcW w:w="7151" w:type="dxa"/>
            <w:tcBorders>
              <w:top w:val="nil"/>
              <w:left w:val="nil"/>
              <w:bottom w:val="single" w:color="auto" w:sz="4" w:space="0"/>
              <w:right w:val="single" w:color="auto" w:sz="4" w:space="0"/>
            </w:tcBorders>
            <w:noWrap/>
            <w:vAlign w:val="center"/>
          </w:tcPr>
          <w:p w14:paraId="46970FBA">
            <w:pPr>
              <w:widowControl/>
              <w:jc w:val="center"/>
              <w:rPr>
                <w:rFonts w:hint="eastAsia"/>
                <w:color w:val="auto"/>
                <w:sz w:val="21"/>
                <w:szCs w:val="21"/>
                <w:highlight w:val="none"/>
              </w:rPr>
            </w:pPr>
            <w:r>
              <w:rPr>
                <w:rFonts w:hint="eastAsia"/>
                <w:color w:val="auto"/>
                <w:sz w:val="21"/>
                <w:szCs w:val="21"/>
                <w:highlight w:val="none"/>
              </w:rPr>
              <w:t>分析平台</w:t>
            </w:r>
            <w:r>
              <w:rPr>
                <w:rFonts w:hint="eastAsia"/>
                <w:color w:val="auto"/>
                <w:sz w:val="21"/>
                <w:szCs w:val="21"/>
                <w:highlight w:val="none"/>
                <w:lang w:val="en-US" w:eastAsia="zh-CN"/>
              </w:rPr>
              <w:t>及</w:t>
            </w:r>
            <w:r>
              <w:rPr>
                <w:rFonts w:hint="eastAsia"/>
                <w:color w:val="auto"/>
                <w:sz w:val="21"/>
                <w:szCs w:val="21"/>
                <w:highlight w:val="none"/>
              </w:rPr>
              <w:t>业务应用日志</w:t>
            </w:r>
          </w:p>
        </w:tc>
        <w:tc>
          <w:tcPr>
            <w:tcW w:w="1210" w:type="dxa"/>
            <w:tcBorders>
              <w:top w:val="nil"/>
              <w:left w:val="nil"/>
              <w:bottom w:val="single" w:color="auto" w:sz="4" w:space="0"/>
              <w:right w:val="single" w:color="auto" w:sz="4" w:space="0"/>
            </w:tcBorders>
            <w:noWrap/>
            <w:vAlign w:val="center"/>
          </w:tcPr>
          <w:p w14:paraId="216CC0AD">
            <w:pPr>
              <w:widowControl/>
              <w:jc w:val="center"/>
              <w:rPr>
                <w:rFonts w:hint="eastAsia"/>
                <w:color w:val="auto"/>
                <w:sz w:val="21"/>
                <w:szCs w:val="21"/>
                <w:highlight w:val="none"/>
              </w:rPr>
            </w:pPr>
            <w:r>
              <w:rPr>
                <w:rFonts w:hint="eastAsia"/>
                <w:color w:val="auto"/>
                <w:sz w:val="21"/>
                <w:szCs w:val="21"/>
                <w:highlight w:val="none"/>
              </w:rPr>
              <w:t>1次/每周</w:t>
            </w:r>
          </w:p>
        </w:tc>
      </w:tr>
      <w:tr w14:paraId="2F37CD13">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4904401">
            <w:pPr>
              <w:widowControl/>
              <w:jc w:val="center"/>
              <w:rPr>
                <w:rFonts w:hint="eastAsia"/>
                <w:color w:val="auto"/>
                <w:sz w:val="21"/>
                <w:szCs w:val="21"/>
                <w:highlight w:val="none"/>
              </w:rPr>
            </w:pPr>
            <w:r>
              <w:rPr>
                <w:rFonts w:hint="eastAsia"/>
                <w:color w:val="auto"/>
                <w:sz w:val="21"/>
                <w:szCs w:val="21"/>
                <w:highlight w:val="none"/>
              </w:rPr>
              <w:t>1.3</w:t>
            </w:r>
          </w:p>
        </w:tc>
        <w:tc>
          <w:tcPr>
            <w:tcW w:w="7151" w:type="dxa"/>
            <w:tcBorders>
              <w:top w:val="nil"/>
              <w:left w:val="nil"/>
              <w:bottom w:val="single" w:color="auto" w:sz="4" w:space="0"/>
              <w:right w:val="single" w:color="auto" w:sz="4" w:space="0"/>
            </w:tcBorders>
            <w:noWrap/>
            <w:vAlign w:val="center"/>
          </w:tcPr>
          <w:p w14:paraId="4EAA8F1B">
            <w:pPr>
              <w:widowControl/>
              <w:jc w:val="center"/>
              <w:rPr>
                <w:rFonts w:hint="eastAsia"/>
                <w:color w:val="auto"/>
                <w:sz w:val="21"/>
                <w:szCs w:val="21"/>
                <w:highlight w:val="none"/>
              </w:rPr>
            </w:pPr>
            <w:r>
              <w:rPr>
                <w:rFonts w:hint="eastAsia"/>
                <w:color w:val="auto"/>
                <w:sz w:val="21"/>
                <w:szCs w:val="21"/>
                <w:highlight w:val="none"/>
              </w:rPr>
              <w:t>平台</w:t>
            </w:r>
            <w:r>
              <w:rPr>
                <w:rFonts w:hint="eastAsia"/>
                <w:color w:val="auto"/>
                <w:sz w:val="21"/>
                <w:szCs w:val="21"/>
                <w:highlight w:val="none"/>
                <w:lang w:val="en-US" w:eastAsia="zh-CN"/>
              </w:rPr>
              <w:t>及</w:t>
            </w:r>
            <w:r>
              <w:rPr>
                <w:rFonts w:hint="eastAsia"/>
                <w:color w:val="auto"/>
                <w:sz w:val="21"/>
                <w:szCs w:val="21"/>
                <w:highlight w:val="none"/>
              </w:rPr>
              <w:t>业务应用功能健康检查</w:t>
            </w:r>
          </w:p>
        </w:tc>
        <w:tc>
          <w:tcPr>
            <w:tcW w:w="1210" w:type="dxa"/>
            <w:tcBorders>
              <w:top w:val="nil"/>
              <w:left w:val="nil"/>
              <w:bottom w:val="single" w:color="auto" w:sz="4" w:space="0"/>
              <w:right w:val="single" w:color="auto" w:sz="4" w:space="0"/>
            </w:tcBorders>
            <w:noWrap/>
            <w:vAlign w:val="center"/>
          </w:tcPr>
          <w:p w14:paraId="07F89253">
            <w:pPr>
              <w:widowControl/>
              <w:jc w:val="center"/>
              <w:rPr>
                <w:rFonts w:hint="eastAsia"/>
                <w:color w:val="auto"/>
                <w:sz w:val="21"/>
                <w:szCs w:val="21"/>
                <w:highlight w:val="none"/>
              </w:rPr>
            </w:pPr>
            <w:r>
              <w:rPr>
                <w:rFonts w:hint="eastAsia"/>
                <w:color w:val="auto"/>
                <w:sz w:val="21"/>
                <w:szCs w:val="21"/>
                <w:highlight w:val="none"/>
              </w:rPr>
              <w:t>1次/每周</w:t>
            </w:r>
          </w:p>
        </w:tc>
      </w:tr>
      <w:tr w14:paraId="67EC4530">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586BE394">
            <w:pPr>
              <w:widowControl/>
              <w:jc w:val="center"/>
              <w:rPr>
                <w:rFonts w:hint="eastAsia"/>
                <w:color w:val="auto"/>
                <w:sz w:val="21"/>
                <w:szCs w:val="21"/>
                <w:highlight w:val="none"/>
              </w:rPr>
            </w:pPr>
          </w:p>
        </w:tc>
        <w:tc>
          <w:tcPr>
            <w:tcW w:w="7151" w:type="dxa"/>
            <w:tcBorders>
              <w:top w:val="nil"/>
              <w:left w:val="nil"/>
              <w:bottom w:val="single" w:color="auto" w:sz="4" w:space="0"/>
              <w:right w:val="single" w:color="auto" w:sz="4" w:space="0"/>
            </w:tcBorders>
            <w:noWrap/>
            <w:vAlign w:val="center"/>
          </w:tcPr>
          <w:p w14:paraId="5FF73BFF">
            <w:pPr>
              <w:widowControl/>
              <w:jc w:val="center"/>
              <w:rPr>
                <w:rFonts w:hint="eastAsia"/>
                <w:color w:val="auto"/>
                <w:sz w:val="21"/>
                <w:szCs w:val="21"/>
                <w:highlight w:val="none"/>
              </w:rPr>
            </w:pPr>
            <w:r>
              <w:rPr>
                <w:rFonts w:hint="eastAsia"/>
                <w:color w:val="auto"/>
                <w:sz w:val="21"/>
                <w:szCs w:val="21"/>
                <w:highlight w:val="none"/>
              </w:rPr>
              <w:t>接入设备状态检查</w:t>
            </w:r>
          </w:p>
        </w:tc>
        <w:tc>
          <w:tcPr>
            <w:tcW w:w="1210" w:type="dxa"/>
            <w:tcBorders>
              <w:top w:val="nil"/>
              <w:left w:val="nil"/>
              <w:bottom w:val="single" w:color="auto" w:sz="4" w:space="0"/>
              <w:right w:val="single" w:color="auto" w:sz="4" w:space="0"/>
            </w:tcBorders>
            <w:noWrap/>
            <w:vAlign w:val="center"/>
          </w:tcPr>
          <w:p w14:paraId="3C89F858">
            <w:pPr>
              <w:widowControl/>
              <w:jc w:val="center"/>
              <w:rPr>
                <w:rFonts w:hint="eastAsia"/>
                <w:color w:val="auto"/>
                <w:sz w:val="21"/>
                <w:szCs w:val="21"/>
                <w:highlight w:val="none"/>
              </w:rPr>
            </w:pPr>
            <w:r>
              <w:rPr>
                <w:rFonts w:hint="eastAsia"/>
                <w:color w:val="auto"/>
                <w:sz w:val="21"/>
                <w:szCs w:val="21"/>
                <w:highlight w:val="none"/>
              </w:rPr>
              <w:t>1次/每周</w:t>
            </w:r>
          </w:p>
        </w:tc>
      </w:tr>
      <w:tr w14:paraId="700C0F1D">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714241DF">
            <w:pPr>
              <w:widowControl/>
              <w:jc w:val="center"/>
              <w:rPr>
                <w:rFonts w:hint="eastAsia"/>
                <w:b/>
                <w:bCs/>
                <w:color w:val="auto"/>
                <w:sz w:val="21"/>
                <w:szCs w:val="21"/>
                <w:highlight w:val="none"/>
              </w:rPr>
            </w:pPr>
            <w:r>
              <w:rPr>
                <w:rFonts w:hint="eastAsia"/>
                <w:b/>
                <w:bCs/>
                <w:color w:val="auto"/>
                <w:sz w:val="21"/>
                <w:szCs w:val="21"/>
                <w:highlight w:val="none"/>
              </w:rPr>
              <w:t>2</w:t>
            </w:r>
          </w:p>
        </w:tc>
        <w:tc>
          <w:tcPr>
            <w:tcW w:w="7151" w:type="dxa"/>
            <w:tcBorders>
              <w:top w:val="nil"/>
              <w:left w:val="nil"/>
              <w:bottom w:val="single" w:color="auto" w:sz="4" w:space="0"/>
              <w:right w:val="single" w:color="auto" w:sz="4" w:space="0"/>
            </w:tcBorders>
            <w:noWrap/>
            <w:vAlign w:val="center"/>
          </w:tcPr>
          <w:p w14:paraId="149BFFC8">
            <w:pPr>
              <w:widowControl/>
              <w:jc w:val="center"/>
              <w:rPr>
                <w:rFonts w:hint="eastAsia"/>
                <w:b/>
                <w:bCs/>
                <w:color w:val="auto"/>
                <w:sz w:val="21"/>
                <w:szCs w:val="21"/>
                <w:highlight w:val="none"/>
              </w:rPr>
            </w:pPr>
            <w:r>
              <w:rPr>
                <w:rFonts w:hint="eastAsia"/>
                <w:b/>
                <w:bCs/>
                <w:color w:val="auto"/>
                <w:sz w:val="21"/>
                <w:szCs w:val="21"/>
                <w:highlight w:val="none"/>
              </w:rPr>
              <w:t>定期对平台进行例行养护</w:t>
            </w:r>
          </w:p>
        </w:tc>
        <w:tc>
          <w:tcPr>
            <w:tcW w:w="1210" w:type="dxa"/>
            <w:tcBorders>
              <w:top w:val="nil"/>
              <w:left w:val="nil"/>
              <w:bottom w:val="single" w:color="auto" w:sz="4" w:space="0"/>
              <w:right w:val="single" w:color="auto" w:sz="4" w:space="0"/>
            </w:tcBorders>
            <w:noWrap/>
            <w:vAlign w:val="center"/>
          </w:tcPr>
          <w:p w14:paraId="0942CCCB">
            <w:pPr>
              <w:widowControl/>
              <w:jc w:val="center"/>
              <w:rPr>
                <w:rFonts w:hint="eastAsia"/>
                <w:b/>
                <w:bCs/>
                <w:color w:val="auto"/>
                <w:sz w:val="21"/>
                <w:szCs w:val="21"/>
                <w:highlight w:val="none"/>
              </w:rPr>
            </w:pPr>
          </w:p>
        </w:tc>
      </w:tr>
      <w:tr w14:paraId="272EA557">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2EB5ED9">
            <w:pPr>
              <w:widowControl/>
              <w:jc w:val="center"/>
              <w:rPr>
                <w:rFonts w:hint="eastAsia"/>
                <w:color w:val="auto"/>
                <w:sz w:val="21"/>
                <w:szCs w:val="21"/>
                <w:highlight w:val="none"/>
              </w:rPr>
            </w:pPr>
            <w:r>
              <w:rPr>
                <w:rFonts w:hint="eastAsia"/>
                <w:color w:val="auto"/>
                <w:sz w:val="21"/>
                <w:szCs w:val="21"/>
                <w:highlight w:val="none"/>
              </w:rPr>
              <w:t>2.1</w:t>
            </w:r>
          </w:p>
        </w:tc>
        <w:tc>
          <w:tcPr>
            <w:tcW w:w="7151" w:type="dxa"/>
            <w:tcBorders>
              <w:top w:val="nil"/>
              <w:left w:val="nil"/>
              <w:bottom w:val="single" w:color="auto" w:sz="4" w:space="0"/>
              <w:right w:val="single" w:color="auto" w:sz="4" w:space="0"/>
            </w:tcBorders>
            <w:noWrap/>
            <w:vAlign w:val="center"/>
          </w:tcPr>
          <w:p w14:paraId="387E94BB">
            <w:pPr>
              <w:widowControl/>
              <w:jc w:val="center"/>
              <w:rPr>
                <w:rFonts w:hint="eastAsia" w:eastAsia="宋体"/>
                <w:color w:val="auto"/>
                <w:sz w:val="21"/>
                <w:szCs w:val="21"/>
                <w:highlight w:val="none"/>
                <w:lang w:eastAsia="zh-CN"/>
              </w:rPr>
            </w:pPr>
            <w:r>
              <w:rPr>
                <w:rFonts w:hint="eastAsia"/>
                <w:color w:val="auto"/>
                <w:sz w:val="21"/>
                <w:szCs w:val="21"/>
                <w:highlight w:val="none"/>
              </w:rPr>
              <w:t>平台业务应用数据的校核、清理</w:t>
            </w:r>
            <w:r>
              <w:rPr>
                <w:rFonts w:hint="eastAsia"/>
                <w:color w:val="auto"/>
                <w:sz w:val="21"/>
                <w:szCs w:val="21"/>
                <w:highlight w:val="none"/>
                <w:lang w:eastAsia="zh-CN"/>
              </w:rPr>
              <w:t>，</w:t>
            </w:r>
            <w:r>
              <w:rPr>
                <w:rFonts w:hint="eastAsia"/>
                <w:color w:val="auto"/>
                <w:szCs w:val="21"/>
                <w:highlight w:val="none"/>
              </w:rPr>
              <w:t>数据库健康检查</w:t>
            </w:r>
            <w:r>
              <w:rPr>
                <w:rFonts w:hint="eastAsia"/>
                <w:color w:val="auto"/>
                <w:szCs w:val="21"/>
                <w:highlight w:val="none"/>
                <w:lang w:eastAsia="zh-CN"/>
              </w:rPr>
              <w:t>，</w:t>
            </w:r>
            <w:r>
              <w:rPr>
                <w:rFonts w:hint="eastAsia"/>
                <w:color w:val="auto"/>
                <w:szCs w:val="21"/>
                <w:highlight w:val="none"/>
              </w:rPr>
              <w:t>接入数据的校核、清理</w:t>
            </w:r>
          </w:p>
        </w:tc>
        <w:tc>
          <w:tcPr>
            <w:tcW w:w="1210" w:type="dxa"/>
            <w:tcBorders>
              <w:top w:val="nil"/>
              <w:left w:val="nil"/>
              <w:bottom w:val="single" w:color="auto" w:sz="4" w:space="0"/>
              <w:right w:val="single" w:color="auto" w:sz="4" w:space="0"/>
            </w:tcBorders>
            <w:noWrap/>
            <w:vAlign w:val="center"/>
          </w:tcPr>
          <w:p w14:paraId="38AA26EB">
            <w:pPr>
              <w:widowControl/>
              <w:jc w:val="center"/>
              <w:rPr>
                <w:rFonts w:hint="eastAsia" w:eastAsia="宋体"/>
                <w:color w:val="auto"/>
                <w:sz w:val="21"/>
                <w:szCs w:val="21"/>
                <w:highlight w:val="none"/>
                <w:lang w:eastAsia="zh-CN"/>
              </w:rPr>
            </w:pPr>
            <w:r>
              <w:rPr>
                <w:rFonts w:hint="eastAsia"/>
                <w:color w:val="auto"/>
                <w:sz w:val="21"/>
                <w:szCs w:val="21"/>
                <w:highlight w:val="none"/>
              </w:rPr>
              <w:t>1次/每</w:t>
            </w:r>
            <w:r>
              <w:rPr>
                <w:rFonts w:hint="eastAsia"/>
                <w:color w:val="auto"/>
                <w:sz w:val="21"/>
                <w:szCs w:val="21"/>
                <w:highlight w:val="none"/>
                <w:lang w:val="en-US" w:eastAsia="zh-CN"/>
              </w:rPr>
              <w:t>周</w:t>
            </w:r>
          </w:p>
        </w:tc>
      </w:tr>
      <w:tr w14:paraId="60B51FDB">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569710CD">
            <w:pPr>
              <w:widowControl/>
              <w:jc w:val="center"/>
              <w:rPr>
                <w:rFonts w:hint="eastAsia"/>
                <w:color w:val="auto"/>
                <w:sz w:val="21"/>
                <w:szCs w:val="21"/>
                <w:highlight w:val="none"/>
              </w:rPr>
            </w:pPr>
            <w:r>
              <w:rPr>
                <w:rFonts w:hint="eastAsia"/>
                <w:color w:val="auto"/>
                <w:sz w:val="21"/>
                <w:szCs w:val="21"/>
                <w:highlight w:val="none"/>
              </w:rPr>
              <w:t>2.2</w:t>
            </w:r>
          </w:p>
        </w:tc>
        <w:tc>
          <w:tcPr>
            <w:tcW w:w="7151" w:type="dxa"/>
            <w:tcBorders>
              <w:top w:val="nil"/>
              <w:left w:val="nil"/>
              <w:bottom w:val="single" w:color="auto" w:sz="4" w:space="0"/>
              <w:right w:val="single" w:color="auto" w:sz="4" w:space="0"/>
            </w:tcBorders>
            <w:noWrap/>
            <w:vAlign w:val="center"/>
          </w:tcPr>
          <w:p w14:paraId="1A1AAC21">
            <w:pPr>
              <w:widowControl/>
              <w:jc w:val="center"/>
              <w:rPr>
                <w:rFonts w:hint="eastAsia"/>
                <w:color w:val="auto"/>
                <w:sz w:val="21"/>
                <w:szCs w:val="21"/>
                <w:highlight w:val="none"/>
              </w:rPr>
            </w:pPr>
            <w:r>
              <w:rPr>
                <w:rFonts w:hint="eastAsia"/>
                <w:color w:val="auto"/>
                <w:sz w:val="21"/>
                <w:szCs w:val="21"/>
                <w:highlight w:val="none"/>
              </w:rPr>
              <w:t>平台</w:t>
            </w:r>
            <w:r>
              <w:rPr>
                <w:rFonts w:hint="eastAsia"/>
                <w:color w:val="auto"/>
                <w:sz w:val="21"/>
                <w:szCs w:val="21"/>
                <w:highlight w:val="none"/>
                <w:lang w:val="en-US" w:eastAsia="zh-CN"/>
              </w:rPr>
              <w:t>及</w:t>
            </w:r>
            <w:r>
              <w:rPr>
                <w:rFonts w:hint="eastAsia"/>
                <w:color w:val="auto"/>
                <w:sz w:val="21"/>
                <w:szCs w:val="21"/>
                <w:highlight w:val="none"/>
              </w:rPr>
              <w:t>业务应用性能分析、维护</w:t>
            </w:r>
          </w:p>
        </w:tc>
        <w:tc>
          <w:tcPr>
            <w:tcW w:w="1210" w:type="dxa"/>
            <w:tcBorders>
              <w:top w:val="nil"/>
              <w:left w:val="nil"/>
              <w:bottom w:val="single" w:color="auto" w:sz="4" w:space="0"/>
              <w:right w:val="single" w:color="auto" w:sz="4" w:space="0"/>
            </w:tcBorders>
            <w:noWrap/>
            <w:vAlign w:val="center"/>
          </w:tcPr>
          <w:p w14:paraId="60B0E8DC">
            <w:pPr>
              <w:widowControl/>
              <w:jc w:val="center"/>
              <w:rPr>
                <w:rFonts w:hint="eastAsia"/>
                <w:color w:val="auto"/>
                <w:sz w:val="21"/>
                <w:szCs w:val="21"/>
                <w:highlight w:val="none"/>
              </w:rPr>
            </w:pPr>
            <w:r>
              <w:rPr>
                <w:rFonts w:hint="eastAsia"/>
                <w:color w:val="auto"/>
                <w:sz w:val="21"/>
                <w:szCs w:val="21"/>
                <w:highlight w:val="none"/>
              </w:rPr>
              <w:t>1次/每</w:t>
            </w:r>
            <w:r>
              <w:rPr>
                <w:rFonts w:hint="eastAsia"/>
                <w:color w:val="auto"/>
                <w:sz w:val="21"/>
                <w:szCs w:val="21"/>
                <w:highlight w:val="none"/>
                <w:lang w:val="en-US" w:eastAsia="zh-CN"/>
              </w:rPr>
              <w:t>周</w:t>
            </w:r>
          </w:p>
        </w:tc>
      </w:tr>
      <w:tr w14:paraId="11555CFE">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10FA96D9">
            <w:pPr>
              <w:widowControl/>
              <w:jc w:val="center"/>
              <w:rPr>
                <w:rFonts w:hint="eastAsia"/>
                <w:color w:val="auto"/>
                <w:sz w:val="21"/>
                <w:szCs w:val="21"/>
                <w:highlight w:val="none"/>
              </w:rPr>
            </w:pPr>
            <w:r>
              <w:rPr>
                <w:rFonts w:hint="eastAsia"/>
                <w:color w:val="auto"/>
                <w:sz w:val="21"/>
                <w:szCs w:val="21"/>
                <w:highlight w:val="none"/>
              </w:rPr>
              <w:t>2.4</w:t>
            </w:r>
          </w:p>
        </w:tc>
        <w:tc>
          <w:tcPr>
            <w:tcW w:w="7151" w:type="dxa"/>
            <w:tcBorders>
              <w:top w:val="nil"/>
              <w:left w:val="nil"/>
              <w:bottom w:val="single" w:color="auto" w:sz="4" w:space="0"/>
              <w:right w:val="single" w:color="auto" w:sz="4" w:space="0"/>
            </w:tcBorders>
            <w:noWrap/>
            <w:vAlign w:val="center"/>
          </w:tcPr>
          <w:p w14:paraId="01968896">
            <w:pPr>
              <w:widowControl/>
              <w:jc w:val="center"/>
              <w:rPr>
                <w:rFonts w:hint="eastAsia"/>
                <w:color w:val="auto"/>
                <w:sz w:val="21"/>
                <w:szCs w:val="21"/>
                <w:highlight w:val="none"/>
              </w:rPr>
            </w:pPr>
            <w:r>
              <w:rPr>
                <w:rFonts w:hint="eastAsia"/>
                <w:color w:val="auto"/>
                <w:sz w:val="21"/>
                <w:szCs w:val="21"/>
                <w:highlight w:val="none"/>
              </w:rPr>
              <w:t>系统漏洞修复、定期杀毒</w:t>
            </w:r>
          </w:p>
        </w:tc>
        <w:tc>
          <w:tcPr>
            <w:tcW w:w="1210" w:type="dxa"/>
            <w:tcBorders>
              <w:top w:val="nil"/>
              <w:left w:val="nil"/>
              <w:bottom w:val="single" w:color="auto" w:sz="4" w:space="0"/>
              <w:right w:val="single" w:color="auto" w:sz="4" w:space="0"/>
            </w:tcBorders>
            <w:noWrap/>
            <w:vAlign w:val="center"/>
          </w:tcPr>
          <w:p w14:paraId="4DE0D403">
            <w:pPr>
              <w:widowControl/>
              <w:jc w:val="center"/>
              <w:rPr>
                <w:rFonts w:hint="eastAsia"/>
                <w:color w:val="auto"/>
                <w:sz w:val="21"/>
                <w:szCs w:val="21"/>
                <w:highlight w:val="none"/>
              </w:rPr>
            </w:pPr>
            <w:r>
              <w:rPr>
                <w:rFonts w:hint="eastAsia"/>
                <w:color w:val="auto"/>
                <w:sz w:val="21"/>
                <w:szCs w:val="21"/>
                <w:highlight w:val="none"/>
              </w:rPr>
              <w:t>1次/每月</w:t>
            </w:r>
          </w:p>
        </w:tc>
      </w:tr>
      <w:tr w14:paraId="3D4B05D6">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16D34379">
            <w:pPr>
              <w:widowControl/>
              <w:jc w:val="center"/>
              <w:rPr>
                <w:rFonts w:hint="eastAsia"/>
                <w:color w:val="auto"/>
                <w:sz w:val="21"/>
                <w:szCs w:val="21"/>
                <w:highlight w:val="none"/>
              </w:rPr>
            </w:pPr>
            <w:r>
              <w:rPr>
                <w:rFonts w:hint="eastAsia"/>
                <w:color w:val="auto"/>
                <w:sz w:val="21"/>
                <w:szCs w:val="21"/>
                <w:highlight w:val="none"/>
              </w:rPr>
              <w:t>2.5</w:t>
            </w:r>
          </w:p>
        </w:tc>
        <w:tc>
          <w:tcPr>
            <w:tcW w:w="7151" w:type="dxa"/>
            <w:tcBorders>
              <w:top w:val="nil"/>
              <w:left w:val="nil"/>
              <w:bottom w:val="single" w:color="auto" w:sz="4" w:space="0"/>
              <w:right w:val="single" w:color="auto" w:sz="4" w:space="0"/>
            </w:tcBorders>
            <w:noWrap/>
            <w:vAlign w:val="center"/>
          </w:tcPr>
          <w:p w14:paraId="2EB2900D">
            <w:pPr>
              <w:widowControl/>
              <w:jc w:val="center"/>
              <w:rPr>
                <w:rFonts w:hint="eastAsia"/>
                <w:color w:val="auto"/>
                <w:sz w:val="21"/>
                <w:szCs w:val="21"/>
                <w:highlight w:val="none"/>
              </w:rPr>
            </w:pPr>
            <w:r>
              <w:rPr>
                <w:rFonts w:hint="eastAsia"/>
                <w:color w:val="auto"/>
                <w:sz w:val="21"/>
                <w:szCs w:val="21"/>
                <w:highlight w:val="none"/>
              </w:rPr>
              <w:t>平台运行测试</w:t>
            </w:r>
          </w:p>
        </w:tc>
        <w:tc>
          <w:tcPr>
            <w:tcW w:w="1210" w:type="dxa"/>
            <w:tcBorders>
              <w:top w:val="nil"/>
              <w:left w:val="nil"/>
              <w:bottom w:val="single" w:color="auto" w:sz="4" w:space="0"/>
              <w:right w:val="single" w:color="auto" w:sz="4" w:space="0"/>
            </w:tcBorders>
            <w:noWrap/>
            <w:vAlign w:val="center"/>
          </w:tcPr>
          <w:p w14:paraId="357A274B">
            <w:pPr>
              <w:widowControl/>
              <w:jc w:val="center"/>
              <w:rPr>
                <w:rFonts w:hint="eastAsia" w:eastAsia="宋体"/>
                <w:color w:val="auto"/>
                <w:sz w:val="21"/>
                <w:szCs w:val="21"/>
                <w:highlight w:val="none"/>
                <w:lang w:eastAsia="zh-CN"/>
              </w:rPr>
            </w:pPr>
            <w:r>
              <w:rPr>
                <w:rFonts w:hint="eastAsia"/>
                <w:color w:val="auto"/>
                <w:sz w:val="21"/>
                <w:szCs w:val="21"/>
                <w:highlight w:val="none"/>
              </w:rPr>
              <w:t>1次/每</w:t>
            </w:r>
            <w:r>
              <w:rPr>
                <w:rFonts w:hint="eastAsia"/>
                <w:color w:val="auto"/>
                <w:sz w:val="21"/>
                <w:szCs w:val="21"/>
                <w:highlight w:val="none"/>
                <w:lang w:val="en-US" w:eastAsia="zh-CN"/>
              </w:rPr>
              <w:t>月</w:t>
            </w:r>
          </w:p>
        </w:tc>
      </w:tr>
      <w:tr w14:paraId="32F131C1">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2AA28F74">
            <w:pPr>
              <w:widowControl/>
              <w:jc w:val="center"/>
              <w:rPr>
                <w:rFonts w:hint="eastAsia"/>
                <w:color w:val="auto"/>
                <w:sz w:val="21"/>
                <w:szCs w:val="21"/>
                <w:highlight w:val="none"/>
              </w:rPr>
            </w:pPr>
            <w:r>
              <w:rPr>
                <w:rFonts w:hint="eastAsia"/>
                <w:b/>
                <w:bCs/>
                <w:color w:val="auto"/>
                <w:sz w:val="21"/>
                <w:szCs w:val="21"/>
                <w:highlight w:val="none"/>
              </w:rPr>
              <w:t>3</w:t>
            </w:r>
          </w:p>
        </w:tc>
        <w:tc>
          <w:tcPr>
            <w:tcW w:w="7151" w:type="dxa"/>
            <w:tcBorders>
              <w:top w:val="nil"/>
              <w:left w:val="nil"/>
              <w:bottom w:val="single" w:color="auto" w:sz="4" w:space="0"/>
              <w:right w:val="single" w:color="auto" w:sz="4" w:space="0"/>
            </w:tcBorders>
            <w:noWrap/>
            <w:vAlign w:val="center"/>
          </w:tcPr>
          <w:p w14:paraId="4B26F9B3">
            <w:pPr>
              <w:widowControl/>
              <w:jc w:val="center"/>
              <w:rPr>
                <w:rFonts w:hint="eastAsia"/>
                <w:color w:val="auto"/>
                <w:sz w:val="21"/>
                <w:szCs w:val="21"/>
                <w:highlight w:val="none"/>
              </w:rPr>
            </w:pPr>
            <w:r>
              <w:rPr>
                <w:rFonts w:hint="eastAsia"/>
                <w:b/>
                <w:bCs/>
                <w:color w:val="auto"/>
                <w:sz w:val="21"/>
                <w:szCs w:val="21"/>
                <w:highlight w:val="none"/>
              </w:rPr>
              <w:t>重要活动实时保障</w:t>
            </w:r>
          </w:p>
        </w:tc>
        <w:tc>
          <w:tcPr>
            <w:tcW w:w="1210" w:type="dxa"/>
            <w:tcBorders>
              <w:top w:val="nil"/>
              <w:left w:val="nil"/>
              <w:bottom w:val="single" w:color="auto" w:sz="4" w:space="0"/>
              <w:right w:val="single" w:color="auto" w:sz="4" w:space="0"/>
            </w:tcBorders>
            <w:noWrap/>
            <w:vAlign w:val="center"/>
          </w:tcPr>
          <w:p w14:paraId="32EA48FF">
            <w:pPr>
              <w:widowControl/>
              <w:jc w:val="center"/>
              <w:rPr>
                <w:rFonts w:hint="eastAsia"/>
                <w:color w:val="auto"/>
                <w:sz w:val="21"/>
                <w:szCs w:val="21"/>
                <w:highlight w:val="none"/>
              </w:rPr>
            </w:pPr>
          </w:p>
        </w:tc>
      </w:tr>
      <w:tr w14:paraId="42D92753">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F512225">
            <w:pPr>
              <w:widowControl/>
              <w:jc w:val="center"/>
              <w:rPr>
                <w:rFonts w:hint="eastAsia"/>
                <w:color w:val="auto"/>
                <w:sz w:val="21"/>
                <w:szCs w:val="21"/>
                <w:highlight w:val="none"/>
              </w:rPr>
            </w:pPr>
            <w:r>
              <w:rPr>
                <w:rFonts w:hint="eastAsia"/>
                <w:color w:val="auto"/>
                <w:sz w:val="21"/>
                <w:szCs w:val="21"/>
                <w:highlight w:val="none"/>
              </w:rPr>
              <w:t>3.1</w:t>
            </w:r>
          </w:p>
        </w:tc>
        <w:tc>
          <w:tcPr>
            <w:tcW w:w="7151" w:type="dxa"/>
            <w:tcBorders>
              <w:top w:val="nil"/>
              <w:left w:val="nil"/>
              <w:bottom w:val="single" w:color="auto" w:sz="4" w:space="0"/>
              <w:right w:val="single" w:color="auto" w:sz="4" w:space="0"/>
            </w:tcBorders>
            <w:noWrap/>
            <w:vAlign w:val="center"/>
          </w:tcPr>
          <w:p w14:paraId="76005C93">
            <w:pPr>
              <w:widowControl/>
              <w:jc w:val="center"/>
              <w:rPr>
                <w:rFonts w:hint="eastAsia"/>
                <w:color w:val="auto"/>
                <w:sz w:val="21"/>
                <w:szCs w:val="21"/>
                <w:highlight w:val="none"/>
              </w:rPr>
            </w:pPr>
            <w:r>
              <w:rPr>
                <w:rFonts w:hint="eastAsia"/>
                <w:color w:val="auto"/>
                <w:sz w:val="21"/>
                <w:szCs w:val="21"/>
                <w:highlight w:val="none"/>
              </w:rPr>
              <w:t>平台业务应用运行稳定、功能完整</w:t>
            </w:r>
          </w:p>
        </w:tc>
        <w:tc>
          <w:tcPr>
            <w:tcW w:w="1210" w:type="dxa"/>
            <w:tcBorders>
              <w:top w:val="nil"/>
              <w:left w:val="nil"/>
              <w:bottom w:val="single" w:color="auto" w:sz="4" w:space="0"/>
              <w:right w:val="single" w:color="auto" w:sz="4" w:space="0"/>
            </w:tcBorders>
            <w:noWrap/>
            <w:vAlign w:val="center"/>
          </w:tcPr>
          <w:p w14:paraId="0ECB355A">
            <w:pPr>
              <w:widowControl/>
              <w:jc w:val="center"/>
              <w:rPr>
                <w:rFonts w:hint="eastAsia"/>
                <w:color w:val="auto"/>
                <w:sz w:val="21"/>
                <w:szCs w:val="21"/>
                <w:highlight w:val="none"/>
              </w:rPr>
            </w:pPr>
            <w:r>
              <w:rPr>
                <w:rFonts w:hint="eastAsia"/>
                <w:color w:val="auto"/>
                <w:sz w:val="21"/>
                <w:szCs w:val="21"/>
                <w:highlight w:val="none"/>
              </w:rPr>
              <w:t>按实际</w:t>
            </w:r>
          </w:p>
        </w:tc>
      </w:tr>
      <w:tr w14:paraId="46DCAAD8">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0A434429">
            <w:pPr>
              <w:widowControl/>
              <w:jc w:val="center"/>
              <w:rPr>
                <w:rFonts w:hint="eastAsia"/>
                <w:color w:val="auto"/>
                <w:sz w:val="21"/>
                <w:szCs w:val="21"/>
                <w:highlight w:val="none"/>
              </w:rPr>
            </w:pPr>
            <w:r>
              <w:rPr>
                <w:rFonts w:hint="eastAsia"/>
                <w:color w:val="auto"/>
                <w:sz w:val="21"/>
                <w:szCs w:val="21"/>
                <w:highlight w:val="none"/>
              </w:rPr>
              <w:t>3.2</w:t>
            </w:r>
          </w:p>
        </w:tc>
        <w:tc>
          <w:tcPr>
            <w:tcW w:w="7151" w:type="dxa"/>
            <w:tcBorders>
              <w:top w:val="nil"/>
              <w:left w:val="nil"/>
              <w:bottom w:val="single" w:color="auto" w:sz="4" w:space="0"/>
              <w:right w:val="single" w:color="auto" w:sz="4" w:space="0"/>
            </w:tcBorders>
            <w:noWrap/>
            <w:vAlign w:val="center"/>
          </w:tcPr>
          <w:p w14:paraId="08F6F667">
            <w:pPr>
              <w:widowControl/>
              <w:jc w:val="center"/>
              <w:rPr>
                <w:rFonts w:hint="eastAsia"/>
                <w:color w:val="auto"/>
                <w:sz w:val="21"/>
                <w:szCs w:val="21"/>
                <w:highlight w:val="none"/>
              </w:rPr>
            </w:pPr>
            <w:r>
              <w:rPr>
                <w:rFonts w:hint="eastAsia"/>
                <w:color w:val="auto"/>
                <w:sz w:val="21"/>
                <w:szCs w:val="21"/>
                <w:highlight w:val="none"/>
              </w:rPr>
              <w:t>平台业务应用数据实时、准确</w:t>
            </w:r>
          </w:p>
        </w:tc>
        <w:tc>
          <w:tcPr>
            <w:tcW w:w="1210" w:type="dxa"/>
            <w:tcBorders>
              <w:top w:val="nil"/>
              <w:left w:val="nil"/>
              <w:bottom w:val="single" w:color="auto" w:sz="4" w:space="0"/>
              <w:right w:val="single" w:color="auto" w:sz="4" w:space="0"/>
            </w:tcBorders>
            <w:noWrap/>
            <w:vAlign w:val="center"/>
          </w:tcPr>
          <w:p w14:paraId="0A824BC7">
            <w:pPr>
              <w:widowControl/>
              <w:jc w:val="center"/>
              <w:rPr>
                <w:rFonts w:hint="eastAsia"/>
                <w:color w:val="auto"/>
                <w:sz w:val="21"/>
                <w:szCs w:val="21"/>
                <w:highlight w:val="none"/>
              </w:rPr>
            </w:pPr>
            <w:r>
              <w:rPr>
                <w:rFonts w:hint="eastAsia"/>
                <w:color w:val="auto"/>
                <w:sz w:val="21"/>
                <w:szCs w:val="21"/>
                <w:highlight w:val="none"/>
              </w:rPr>
              <w:t>按实际</w:t>
            </w:r>
          </w:p>
        </w:tc>
      </w:tr>
      <w:tr w14:paraId="011FF03F">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4E26B69">
            <w:pPr>
              <w:widowControl/>
              <w:jc w:val="center"/>
              <w:rPr>
                <w:rFonts w:hint="eastAsia"/>
                <w:b/>
                <w:bCs/>
                <w:color w:val="auto"/>
                <w:sz w:val="21"/>
                <w:szCs w:val="21"/>
                <w:highlight w:val="none"/>
              </w:rPr>
            </w:pPr>
            <w:r>
              <w:rPr>
                <w:rFonts w:hint="eastAsia"/>
                <w:b/>
                <w:bCs/>
                <w:color w:val="auto"/>
                <w:sz w:val="21"/>
                <w:szCs w:val="21"/>
                <w:highlight w:val="none"/>
              </w:rPr>
              <w:t>4</w:t>
            </w:r>
          </w:p>
        </w:tc>
        <w:tc>
          <w:tcPr>
            <w:tcW w:w="7151" w:type="dxa"/>
            <w:tcBorders>
              <w:top w:val="nil"/>
              <w:left w:val="nil"/>
              <w:bottom w:val="single" w:color="auto" w:sz="4" w:space="0"/>
              <w:right w:val="single" w:color="auto" w:sz="4" w:space="0"/>
            </w:tcBorders>
            <w:noWrap/>
            <w:vAlign w:val="center"/>
          </w:tcPr>
          <w:p w14:paraId="41F636B3">
            <w:pPr>
              <w:widowControl/>
              <w:jc w:val="center"/>
              <w:rPr>
                <w:rFonts w:hint="eastAsia"/>
                <w:b/>
                <w:bCs/>
                <w:color w:val="auto"/>
                <w:sz w:val="21"/>
                <w:szCs w:val="21"/>
                <w:highlight w:val="none"/>
              </w:rPr>
            </w:pPr>
            <w:r>
              <w:rPr>
                <w:rFonts w:hint="eastAsia"/>
                <w:b/>
                <w:bCs/>
                <w:color w:val="auto"/>
                <w:sz w:val="21"/>
                <w:szCs w:val="21"/>
                <w:highlight w:val="none"/>
              </w:rPr>
              <w:t>响应式维护</w:t>
            </w:r>
          </w:p>
        </w:tc>
        <w:tc>
          <w:tcPr>
            <w:tcW w:w="1210" w:type="dxa"/>
            <w:tcBorders>
              <w:top w:val="nil"/>
              <w:left w:val="nil"/>
              <w:bottom w:val="single" w:color="auto" w:sz="4" w:space="0"/>
              <w:right w:val="single" w:color="auto" w:sz="4" w:space="0"/>
            </w:tcBorders>
            <w:noWrap/>
            <w:vAlign w:val="center"/>
          </w:tcPr>
          <w:p w14:paraId="0A0D0291">
            <w:pPr>
              <w:widowControl/>
              <w:jc w:val="center"/>
              <w:rPr>
                <w:rFonts w:hint="eastAsia"/>
                <w:b/>
                <w:bCs/>
                <w:color w:val="auto"/>
                <w:sz w:val="21"/>
                <w:szCs w:val="21"/>
                <w:highlight w:val="none"/>
              </w:rPr>
            </w:pPr>
          </w:p>
        </w:tc>
      </w:tr>
      <w:tr w14:paraId="0D7BC68E">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6E3FE97F">
            <w:pPr>
              <w:widowControl/>
              <w:jc w:val="center"/>
              <w:rPr>
                <w:rFonts w:hint="eastAsia"/>
                <w:color w:val="auto"/>
                <w:sz w:val="21"/>
                <w:szCs w:val="21"/>
                <w:highlight w:val="none"/>
              </w:rPr>
            </w:pPr>
            <w:r>
              <w:rPr>
                <w:rFonts w:hint="eastAsia"/>
                <w:color w:val="auto"/>
                <w:sz w:val="21"/>
                <w:szCs w:val="21"/>
                <w:highlight w:val="none"/>
              </w:rPr>
              <w:t>4.1</w:t>
            </w:r>
          </w:p>
        </w:tc>
        <w:tc>
          <w:tcPr>
            <w:tcW w:w="7151" w:type="dxa"/>
            <w:tcBorders>
              <w:top w:val="nil"/>
              <w:left w:val="nil"/>
              <w:bottom w:val="single" w:color="auto" w:sz="4" w:space="0"/>
              <w:right w:val="single" w:color="auto" w:sz="4" w:space="0"/>
            </w:tcBorders>
            <w:noWrap/>
            <w:vAlign w:val="center"/>
          </w:tcPr>
          <w:p w14:paraId="74C49461">
            <w:pPr>
              <w:widowControl/>
              <w:jc w:val="center"/>
              <w:rPr>
                <w:rFonts w:hint="eastAsia"/>
                <w:color w:val="auto"/>
                <w:sz w:val="21"/>
                <w:szCs w:val="21"/>
                <w:highlight w:val="none"/>
              </w:rPr>
            </w:pPr>
            <w:r>
              <w:rPr>
                <w:rFonts w:hint="eastAsia"/>
                <w:color w:val="auto"/>
                <w:sz w:val="21"/>
                <w:szCs w:val="21"/>
                <w:highlight w:val="none"/>
              </w:rPr>
              <w:t>平台</w:t>
            </w:r>
            <w:r>
              <w:rPr>
                <w:rFonts w:hint="eastAsia"/>
                <w:color w:val="auto"/>
                <w:sz w:val="21"/>
                <w:szCs w:val="21"/>
                <w:highlight w:val="none"/>
                <w:lang w:val="en-US" w:eastAsia="zh-CN"/>
              </w:rPr>
              <w:t>及</w:t>
            </w:r>
            <w:r>
              <w:rPr>
                <w:rFonts w:hint="eastAsia"/>
                <w:color w:val="auto"/>
                <w:sz w:val="21"/>
                <w:szCs w:val="21"/>
                <w:highlight w:val="none"/>
              </w:rPr>
              <w:t>业务应用权限、业务流程维护</w:t>
            </w:r>
          </w:p>
        </w:tc>
        <w:tc>
          <w:tcPr>
            <w:tcW w:w="1210" w:type="dxa"/>
            <w:tcBorders>
              <w:top w:val="nil"/>
              <w:left w:val="nil"/>
              <w:bottom w:val="single" w:color="auto" w:sz="4" w:space="0"/>
              <w:right w:val="single" w:color="auto" w:sz="4" w:space="0"/>
            </w:tcBorders>
            <w:noWrap/>
            <w:vAlign w:val="center"/>
          </w:tcPr>
          <w:p w14:paraId="5DFA6B09">
            <w:pPr>
              <w:widowControl/>
              <w:jc w:val="center"/>
              <w:rPr>
                <w:rFonts w:hint="eastAsia"/>
                <w:color w:val="auto"/>
                <w:sz w:val="21"/>
                <w:szCs w:val="21"/>
                <w:highlight w:val="none"/>
              </w:rPr>
            </w:pPr>
            <w:r>
              <w:rPr>
                <w:rFonts w:hint="eastAsia"/>
                <w:color w:val="auto"/>
                <w:sz w:val="21"/>
                <w:szCs w:val="21"/>
                <w:highlight w:val="none"/>
              </w:rPr>
              <w:t>按实际</w:t>
            </w:r>
          </w:p>
        </w:tc>
      </w:tr>
      <w:tr w14:paraId="5C230C5F">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734DF4B6">
            <w:pPr>
              <w:widowControl/>
              <w:jc w:val="center"/>
              <w:rPr>
                <w:rFonts w:hint="eastAsia"/>
                <w:color w:val="auto"/>
                <w:sz w:val="21"/>
                <w:szCs w:val="21"/>
                <w:highlight w:val="none"/>
              </w:rPr>
            </w:pPr>
            <w:r>
              <w:rPr>
                <w:rFonts w:hint="eastAsia"/>
                <w:color w:val="auto"/>
                <w:sz w:val="21"/>
                <w:szCs w:val="21"/>
                <w:highlight w:val="none"/>
              </w:rPr>
              <w:t>4.2</w:t>
            </w:r>
          </w:p>
        </w:tc>
        <w:tc>
          <w:tcPr>
            <w:tcW w:w="7151" w:type="dxa"/>
            <w:tcBorders>
              <w:top w:val="nil"/>
              <w:left w:val="nil"/>
              <w:bottom w:val="single" w:color="auto" w:sz="4" w:space="0"/>
              <w:right w:val="single" w:color="auto" w:sz="4" w:space="0"/>
            </w:tcBorders>
            <w:noWrap/>
            <w:vAlign w:val="center"/>
          </w:tcPr>
          <w:p w14:paraId="78542FA0">
            <w:pPr>
              <w:widowControl/>
              <w:jc w:val="center"/>
              <w:rPr>
                <w:rFonts w:hint="eastAsia"/>
                <w:color w:val="auto"/>
                <w:sz w:val="21"/>
                <w:szCs w:val="21"/>
                <w:highlight w:val="none"/>
              </w:rPr>
            </w:pPr>
            <w:r>
              <w:rPr>
                <w:rFonts w:hint="eastAsia"/>
                <w:color w:val="auto"/>
                <w:sz w:val="21"/>
                <w:szCs w:val="21"/>
                <w:highlight w:val="none"/>
              </w:rPr>
              <w:t>平台</w:t>
            </w:r>
            <w:r>
              <w:rPr>
                <w:rFonts w:hint="eastAsia"/>
                <w:color w:val="auto"/>
                <w:sz w:val="21"/>
                <w:szCs w:val="21"/>
                <w:highlight w:val="none"/>
                <w:lang w:val="en-US" w:eastAsia="zh-CN"/>
              </w:rPr>
              <w:t>及</w:t>
            </w:r>
            <w:r>
              <w:rPr>
                <w:rFonts w:hint="eastAsia"/>
                <w:color w:val="auto"/>
                <w:sz w:val="21"/>
                <w:szCs w:val="21"/>
                <w:highlight w:val="none"/>
              </w:rPr>
              <w:t>业务应用数据维护</w:t>
            </w:r>
          </w:p>
        </w:tc>
        <w:tc>
          <w:tcPr>
            <w:tcW w:w="1210" w:type="dxa"/>
            <w:tcBorders>
              <w:top w:val="nil"/>
              <w:left w:val="nil"/>
              <w:bottom w:val="single" w:color="auto" w:sz="4" w:space="0"/>
              <w:right w:val="single" w:color="auto" w:sz="4" w:space="0"/>
            </w:tcBorders>
            <w:noWrap/>
            <w:vAlign w:val="center"/>
          </w:tcPr>
          <w:p w14:paraId="2DF5E982">
            <w:pPr>
              <w:widowControl/>
              <w:jc w:val="center"/>
              <w:rPr>
                <w:rFonts w:hint="eastAsia"/>
                <w:color w:val="auto"/>
                <w:sz w:val="21"/>
                <w:szCs w:val="21"/>
                <w:highlight w:val="none"/>
              </w:rPr>
            </w:pPr>
            <w:r>
              <w:rPr>
                <w:rFonts w:hint="eastAsia"/>
                <w:color w:val="auto"/>
                <w:sz w:val="21"/>
                <w:szCs w:val="21"/>
                <w:highlight w:val="none"/>
              </w:rPr>
              <w:t>按实际</w:t>
            </w:r>
          </w:p>
        </w:tc>
      </w:tr>
      <w:tr w14:paraId="5CE67F45">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03379CFF">
            <w:pPr>
              <w:widowControl/>
              <w:jc w:val="center"/>
              <w:rPr>
                <w:rFonts w:hint="eastAsia"/>
                <w:color w:val="auto"/>
                <w:sz w:val="21"/>
                <w:szCs w:val="21"/>
                <w:highlight w:val="none"/>
              </w:rPr>
            </w:pPr>
          </w:p>
        </w:tc>
        <w:tc>
          <w:tcPr>
            <w:tcW w:w="7151" w:type="dxa"/>
            <w:tcBorders>
              <w:top w:val="nil"/>
              <w:left w:val="nil"/>
              <w:bottom w:val="single" w:color="auto" w:sz="4" w:space="0"/>
              <w:right w:val="single" w:color="auto" w:sz="4" w:space="0"/>
            </w:tcBorders>
            <w:noWrap/>
            <w:vAlign w:val="center"/>
          </w:tcPr>
          <w:p w14:paraId="46D636B0">
            <w:pPr>
              <w:widowControl/>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接入设备的变化、调整</w:t>
            </w:r>
          </w:p>
        </w:tc>
        <w:tc>
          <w:tcPr>
            <w:tcW w:w="1210" w:type="dxa"/>
            <w:tcBorders>
              <w:top w:val="nil"/>
              <w:left w:val="nil"/>
              <w:bottom w:val="single" w:color="auto" w:sz="4" w:space="0"/>
              <w:right w:val="single" w:color="auto" w:sz="4" w:space="0"/>
            </w:tcBorders>
            <w:noWrap/>
            <w:vAlign w:val="center"/>
          </w:tcPr>
          <w:p w14:paraId="5B8F4F8D">
            <w:pPr>
              <w:widowControl/>
              <w:jc w:val="center"/>
              <w:rPr>
                <w:rFonts w:hint="eastAsia"/>
                <w:color w:val="auto"/>
                <w:sz w:val="21"/>
                <w:szCs w:val="21"/>
                <w:highlight w:val="none"/>
              </w:rPr>
            </w:pPr>
            <w:r>
              <w:rPr>
                <w:rFonts w:hint="eastAsia"/>
                <w:color w:val="auto"/>
                <w:sz w:val="21"/>
                <w:szCs w:val="21"/>
                <w:highlight w:val="none"/>
              </w:rPr>
              <w:t>按实际</w:t>
            </w:r>
          </w:p>
        </w:tc>
      </w:tr>
      <w:tr w14:paraId="0A2A3D08">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65A72E8">
            <w:pPr>
              <w:widowControl/>
              <w:jc w:val="center"/>
              <w:rPr>
                <w:rFonts w:hint="eastAsia"/>
                <w:b/>
                <w:bCs/>
                <w:color w:val="auto"/>
                <w:sz w:val="21"/>
                <w:szCs w:val="21"/>
                <w:highlight w:val="none"/>
              </w:rPr>
            </w:pPr>
            <w:r>
              <w:rPr>
                <w:rFonts w:hint="eastAsia"/>
                <w:b/>
                <w:bCs/>
                <w:color w:val="auto"/>
                <w:sz w:val="21"/>
                <w:szCs w:val="21"/>
                <w:highlight w:val="none"/>
              </w:rPr>
              <w:t>5</w:t>
            </w:r>
          </w:p>
        </w:tc>
        <w:tc>
          <w:tcPr>
            <w:tcW w:w="7151" w:type="dxa"/>
            <w:tcBorders>
              <w:top w:val="nil"/>
              <w:left w:val="nil"/>
              <w:bottom w:val="single" w:color="auto" w:sz="4" w:space="0"/>
              <w:right w:val="single" w:color="auto" w:sz="4" w:space="0"/>
            </w:tcBorders>
            <w:noWrap/>
            <w:vAlign w:val="center"/>
          </w:tcPr>
          <w:p w14:paraId="3B236132">
            <w:pPr>
              <w:widowControl/>
              <w:jc w:val="center"/>
              <w:rPr>
                <w:rFonts w:hint="eastAsia"/>
                <w:b/>
                <w:bCs/>
                <w:color w:val="auto"/>
                <w:sz w:val="21"/>
                <w:szCs w:val="21"/>
                <w:highlight w:val="none"/>
              </w:rPr>
            </w:pPr>
            <w:r>
              <w:rPr>
                <w:rFonts w:hint="eastAsia"/>
                <w:b/>
                <w:bCs/>
                <w:color w:val="auto"/>
                <w:sz w:val="21"/>
                <w:szCs w:val="21"/>
                <w:highlight w:val="none"/>
              </w:rPr>
              <w:t>故障修复</w:t>
            </w:r>
          </w:p>
        </w:tc>
        <w:tc>
          <w:tcPr>
            <w:tcW w:w="1210" w:type="dxa"/>
            <w:tcBorders>
              <w:top w:val="nil"/>
              <w:left w:val="nil"/>
              <w:bottom w:val="single" w:color="auto" w:sz="4" w:space="0"/>
              <w:right w:val="single" w:color="auto" w:sz="4" w:space="0"/>
            </w:tcBorders>
            <w:noWrap/>
            <w:vAlign w:val="center"/>
          </w:tcPr>
          <w:p w14:paraId="236F2FC8">
            <w:pPr>
              <w:widowControl/>
              <w:jc w:val="center"/>
              <w:rPr>
                <w:rFonts w:hint="eastAsia"/>
                <w:b/>
                <w:bCs/>
                <w:color w:val="auto"/>
                <w:sz w:val="21"/>
                <w:szCs w:val="21"/>
                <w:highlight w:val="none"/>
              </w:rPr>
            </w:pPr>
          </w:p>
        </w:tc>
      </w:tr>
      <w:tr w14:paraId="1F5D779A">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0DFF844C">
            <w:pPr>
              <w:widowControl/>
              <w:jc w:val="center"/>
              <w:rPr>
                <w:rFonts w:hint="eastAsia"/>
                <w:color w:val="auto"/>
                <w:sz w:val="21"/>
                <w:szCs w:val="21"/>
                <w:highlight w:val="none"/>
              </w:rPr>
            </w:pPr>
            <w:r>
              <w:rPr>
                <w:rFonts w:hint="eastAsia"/>
                <w:color w:val="auto"/>
                <w:sz w:val="21"/>
                <w:szCs w:val="21"/>
                <w:highlight w:val="none"/>
              </w:rPr>
              <w:t>5.1</w:t>
            </w:r>
          </w:p>
        </w:tc>
        <w:tc>
          <w:tcPr>
            <w:tcW w:w="7151" w:type="dxa"/>
            <w:tcBorders>
              <w:top w:val="nil"/>
              <w:left w:val="nil"/>
              <w:bottom w:val="single" w:color="auto" w:sz="4" w:space="0"/>
              <w:right w:val="single" w:color="auto" w:sz="4" w:space="0"/>
            </w:tcBorders>
            <w:noWrap/>
            <w:vAlign w:val="center"/>
          </w:tcPr>
          <w:p w14:paraId="12BAC668">
            <w:pPr>
              <w:widowControl/>
              <w:jc w:val="center"/>
              <w:rPr>
                <w:rFonts w:hint="eastAsia"/>
                <w:color w:val="auto"/>
                <w:sz w:val="21"/>
                <w:szCs w:val="21"/>
                <w:highlight w:val="none"/>
              </w:rPr>
            </w:pPr>
            <w:r>
              <w:rPr>
                <w:rFonts w:hint="eastAsia"/>
                <w:color w:val="auto"/>
                <w:sz w:val="21"/>
                <w:szCs w:val="21"/>
                <w:highlight w:val="none"/>
              </w:rPr>
              <w:t>系统垃圾信息清理</w:t>
            </w:r>
          </w:p>
        </w:tc>
        <w:tc>
          <w:tcPr>
            <w:tcW w:w="1210" w:type="dxa"/>
            <w:tcBorders>
              <w:top w:val="nil"/>
              <w:left w:val="nil"/>
              <w:bottom w:val="single" w:color="auto" w:sz="4" w:space="0"/>
              <w:right w:val="single" w:color="auto" w:sz="4" w:space="0"/>
            </w:tcBorders>
            <w:noWrap/>
            <w:vAlign w:val="center"/>
          </w:tcPr>
          <w:p w14:paraId="513B4C25">
            <w:pPr>
              <w:widowControl/>
              <w:jc w:val="center"/>
              <w:rPr>
                <w:rFonts w:hint="eastAsia"/>
                <w:color w:val="auto"/>
                <w:sz w:val="21"/>
                <w:szCs w:val="21"/>
                <w:highlight w:val="none"/>
              </w:rPr>
            </w:pPr>
            <w:r>
              <w:rPr>
                <w:rFonts w:hint="eastAsia"/>
                <w:color w:val="auto"/>
                <w:sz w:val="21"/>
                <w:szCs w:val="21"/>
                <w:highlight w:val="none"/>
              </w:rPr>
              <w:t>1次/每月</w:t>
            </w:r>
          </w:p>
        </w:tc>
      </w:tr>
      <w:tr w14:paraId="300225FA">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46B24A0E">
            <w:pPr>
              <w:widowControl/>
              <w:jc w:val="center"/>
              <w:rPr>
                <w:rFonts w:hint="eastAsia"/>
                <w:color w:val="auto"/>
                <w:sz w:val="21"/>
                <w:szCs w:val="21"/>
                <w:highlight w:val="none"/>
              </w:rPr>
            </w:pPr>
            <w:r>
              <w:rPr>
                <w:rFonts w:hint="eastAsia"/>
                <w:color w:val="auto"/>
                <w:sz w:val="21"/>
                <w:szCs w:val="21"/>
                <w:highlight w:val="none"/>
              </w:rPr>
              <w:t>5.2</w:t>
            </w:r>
          </w:p>
        </w:tc>
        <w:tc>
          <w:tcPr>
            <w:tcW w:w="7151" w:type="dxa"/>
            <w:tcBorders>
              <w:top w:val="nil"/>
              <w:left w:val="nil"/>
              <w:bottom w:val="single" w:color="auto" w:sz="4" w:space="0"/>
              <w:right w:val="single" w:color="auto" w:sz="4" w:space="0"/>
            </w:tcBorders>
            <w:noWrap/>
            <w:vAlign w:val="center"/>
          </w:tcPr>
          <w:p w14:paraId="288BB166">
            <w:pPr>
              <w:widowControl/>
              <w:jc w:val="center"/>
              <w:rPr>
                <w:rFonts w:hint="eastAsia"/>
                <w:color w:val="auto"/>
                <w:sz w:val="21"/>
                <w:szCs w:val="21"/>
                <w:highlight w:val="none"/>
              </w:rPr>
            </w:pPr>
            <w:r>
              <w:rPr>
                <w:rFonts w:hint="eastAsia"/>
                <w:color w:val="auto"/>
                <w:sz w:val="21"/>
                <w:szCs w:val="21"/>
                <w:highlight w:val="none"/>
              </w:rPr>
              <w:t>系统安全维护</w:t>
            </w:r>
          </w:p>
        </w:tc>
        <w:tc>
          <w:tcPr>
            <w:tcW w:w="1210" w:type="dxa"/>
            <w:tcBorders>
              <w:top w:val="nil"/>
              <w:left w:val="nil"/>
              <w:bottom w:val="single" w:color="auto" w:sz="4" w:space="0"/>
              <w:right w:val="single" w:color="auto" w:sz="4" w:space="0"/>
            </w:tcBorders>
            <w:noWrap/>
            <w:vAlign w:val="center"/>
          </w:tcPr>
          <w:p w14:paraId="0C0980E9">
            <w:pPr>
              <w:widowControl/>
              <w:jc w:val="center"/>
              <w:rPr>
                <w:rFonts w:hint="eastAsia"/>
                <w:color w:val="auto"/>
                <w:sz w:val="21"/>
                <w:szCs w:val="21"/>
                <w:highlight w:val="none"/>
              </w:rPr>
            </w:pPr>
            <w:r>
              <w:rPr>
                <w:rFonts w:hint="eastAsia"/>
                <w:color w:val="auto"/>
                <w:sz w:val="21"/>
                <w:szCs w:val="21"/>
                <w:highlight w:val="none"/>
              </w:rPr>
              <w:t>1次/每月</w:t>
            </w:r>
          </w:p>
        </w:tc>
      </w:tr>
      <w:tr w14:paraId="5347B2C4">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204ED161">
            <w:pPr>
              <w:widowControl/>
              <w:jc w:val="center"/>
              <w:rPr>
                <w:rFonts w:hint="eastAsia"/>
                <w:color w:val="auto"/>
                <w:sz w:val="21"/>
                <w:szCs w:val="21"/>
                <w:highlight w:val="none"/>
              </w:rPr>
            </w:pPr>
            <w:r>
              <w:rPr>
                <w:rFonts w:hint="eastAsia"/>
                <w:color w:val="auto"/>
                <w:sz w:val="21"/>
                <w:szCs w:val="21"/>
                <w:highlight w:val="none"/>
              </w:rPr>
              <w:t>5.3</w:t>
            </w:r>
          </w:p>
        </w:tc>
        <w:tc>
          <w:tcPr>
            <w:tcW w:w="7151" w:type="dxa"/>
            <w:tcBorders>
              <w:top w:val="nil"/>
              <w:left w:val="nil"/>
              <w:bottom w:val="single" w:color="auto" w:sz="4" w:space="0"/>
              <w:right w:val="single" w:color="auto" w:sz="4" w:space="0"/>
            </w:tcBorders>
            <w:noWrap/>
            <w:vAlign w:val="center"/>
          </w:tcPr>
          <w:p w14:paraId="7686EF12">
            <w:pPr>
              <w:widowControl/>
              <w:jc w:val="center"/>
              <w:rPr>
                <w:rFonts w:hint="eastAsia"/>
                <w:color w:val="auto"/>
                <w:sz w:val="21"/>
                <w:szCs w:val="21"/>
                <w:highlight w:val="none"/>
              </w:rPr>
            </w:pPr>
            <w:r>
              <w:rPr>
                <w:rFonts w:hint="eastAsia"/>
                <w:color w:val="auto"/>
                <w:sz w:val="21"/>
                <w:szCs w:val="21"/>
                <w:highlight w:val="none"/>
              </w:rPr>
              <w:t>系统故障排除</w:t>
            </w:r>
          </w:p>
        </w:tc>
        <w:tc>
          <w:tcPr>
            <w:tcW w:w="1210" w:type="dxa"/>
            <w:tcBorders>
              <w:top w:val="nil"/>
              <w:left w:val="nil"/>
              <w:bottom w:val="single" w:color="auto" w:sz="4" w:space="0"/>
              <w:right w:val="single" w:color="auto" w:sz="4" w:space="0"/>
            </w:tcBorders>
            <w:noWrap/>
            <w:vAlign w:val="center"/>
          </w:tcPr>
          <w:p w14:paraId="77724E7E">
            <w:pPr>
              <w:widowControl/>
              <w:jc w:val="center"/>
              <w:rPr>
                <w:rFonts w:hint="eastAsia"/>
                <w:color w:val="auto"/>
                <w:sz w:val="21"/>
                <w:szCs w:val="21"/>
                <w:highlight w:val="none"/>
              </w:rPr>
            </w:pPr>
            <w:r>
              <w:rPr>
                <w:rFonts w:hint="eastAsia"/>
                <w:color w:val="auto"/>
                <w:sz w:val="21"/>
                <w:szCs w:val="21"/>
                <w:highlight w:val="none"/>
              </w:rPr>
              <w:t>按实际</w:t>
            </w:r>
          </w:p>
        </w:tc>
      </w:tr>
      <w:tr w14:paraId="5CCDE67B">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72AD2D8A">
            <w:pPr>
              <w:widowControl/>
              <w:jc w:val="center"/>
              <w:rPr>
                <w:rFonts w:hint="eastAsia"/>
                <w:b/>
                <w:bCs/>
                <w:color w:val="auto"/>
                <w:sz w:val="21"/>
                <w:szCs w:val="21"/>
                <w:highlight w:val="none"/>
              </w:rPr>
            </w:pPr>
            <w:r>
              <w:rPr>
                <w:rFonts w:hint="eastAsia"/>
                <w:b/>
                <w:bCs/>
                <w:color w:val="auto"/>
                <w:sz w:val="21"/>
                <w:szCs w:val="21"/>
                <w:highlight w:val="none"/>
              </w:rPr>
              <w:t>（</w:t>
            </w:r>
            <w:r>
              <w:rPr>
                <w:rFonts w:hint="eastAsia"/>
                <w:b/>
                <w:bCs/>
                <w:color w:val="auto"/>
                <w:sz w:val="21"/>
                <w:szCs w:val="21"/>
                <w:highlight w:val="none"/>
                <w:lang w:val="en-US" w:eastAsia="zh-CN"/>
              </w:rPr>
              <w:t>二</w:t>
            </w:r>
            <w:r>
              <w:rPr>
                <w:rFonts w:hint="eastAsia"/>
                <w:b/>
                <w:bCs/>
                <w:color w:val="auto"/>
                <w:sz w:val="21"/>
                <w:szCs w:val="21"/>
                <w:highlight w:val="none"/>
              </w:rPr>
              <w:t>）</w:t>
            </w:r>
          </w:p>
        </w:tc>
        <w:tc>
          <w:tcPr>
            <w:tcW w:w="7151" w:type="dxa"/>
            <w:tcBorders>
              <w:top w:val="nil"/>
              <w:left w:val="nil"/>
              <w:bottom w:val="single" w:color="auto" w:sz="4" w:space="0"/>
              <w:right w:val="single" w:color="auto" w:sz="4" w:space="0"/>
            </w:tcBorders>
            <w:noWrap/>
            <w:vAlign w:val="center"/>
          </w:tcPr>
          <w:p w14:paraId="17E524EF">
            <w:pPr>
              <w:widowControl/>
              <w:jc w:val="center"/>
              <w:rPr>
                <w:rFonts w:hint="eastAsia"/>
                <w:b/>
                <w:bCs/>
                <w:color w:val="auto"/>
                <w:sz w:val="21"/>
                <w:szCs w:val="21"/>
                <w:highlight w:val="none"/>
              </w:rPr>
            </w:pPr>
            <w:r>
              <w:rPr>
                <w:rFonts w:hint="eastAsia"/>
                <w:b/>
                <w:bCs/>
                <w:color w:val="auto"/>
                <w:sz w:val="21"/>
                <w:szCs w:val="21"/>
                <w:highlight w:val="none"/>
              </w:rPr>
              <w:t>中心机房、视频监控、</w:t>
            </w:r>
            <w:r>
              <w:rPr>
                <w:rFonts w:hint="eastAsia"/>
                <w:b/>
                <w:bCs/>
                <w:color w:val="auto"/>
                <w:sz w:val="21"/>
                <w:szCs w:val="21"/>
                <w:highlight w:val="none"/>
                <w:lang w:val="en-US" w:eastAsia="zh-CN"/>
              </w:rPr>
              <w:t>中控室</w:t>
            </w:r>
            <w:r>
              <w:rPr>
                <w:rFonts w:hint="eastAsia"/>
                <w:b/>
                <w:bCs/>
                <w:color w:val="auto"/>
                <w:sz w:val="21"/>
                <w:szCs w:val="21"/>
                <w:highlight w:val="none"/>
              </w:rPr>
              <w:t>设备及配件</w:t>
            </w:r>
          </w:p>
        </w:tc>
        <w:tc>
          <w:tcPr>
            <w:tcW w:w="1210" w:type="dxa"/>
            <w:tcBorders>
              <w:top w:val="nil"/>
              <w:left w:val="nil"/>
              <w:bottom w:val="single" w:color="auto" w:sz="4" w:space="0"/>
              <w:right w:val="single" w:color="auto" w:sz="4" w:space="0"/>
            </w:tcBorders>
            <w:noWrap/>
            <w:vAlign w:val="center"/>
          </w:tcPr>
          <w:p w14:paraId="3704403C">
            <w:pPr>
              <w:widowControl/>
              <w:jc w:val="center"/>
              <w:rPr>
                <w:rFonts w:hint="eastAsia"/>
                <w:b/>
                <w:bCs/>
                <w:color w:val="auto"/>
                <w:sz w:val="21"/>
                <w:szCs w:val="21"/>
                <w:highlight w:val="none"/>
              </w:rPr>
            </w:pPr>
          </w:p>
        </w:tc>
      </w:tr>
      <w:tr w14:paraId="707ED5DF">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6CDEAC4D">
            <w:pPr>
              <w:widowControl/>
              <w:jc w:val="center"/>
              <w:rPr>
                <w:rFonts w:hint="eastAsia"/>
                <w:b/>
                <w:bCs/>
                <w:color w:val="auto"/>
                <w:sz w:val="21"/>
                <w:szCs w:val="21"/>
                <w:highlight w:val="none"/>
              </w:rPr>
            </w:pPr>
            <w:r>
              <w:rPr>
                <w:rFonts w:hint="eastAsia"/>
                <w:bCs/>
                <w:color w:val="auto"/>
                <w:sz w:val="21"/>
                <w:szCs w:val="21"/>
                <w:highlight w:val="none"/>
              </w:rPr>
              <w:t>1</w:t>
            </w:r>
          </w:p>
        </w:tc>
        <w:tc>
          <w:tcPr>
            <w:tcW w:w="7151" w:type="dxa"/>
            <w:tcBorders>
              <w:top w:val="nil"/>
              <w:left w:val="nil"/>
              <w:bottom w:val="single" w:color="auto" w:sz="4" w:space="0"/>
              <w:right w:val="single" w:color="auto" w:sz="4" w:space="0"/>
            </w:tcBorders>
            <w:noWrap/>
            <w:vAlign w:val="center"/>
          </w:tcPr>
          <w:p w14:paraId="10CAF898">
            <w:pPr>
              <w:widowControl/>
              <w:jc w:val="center"/>
              <w:rPr>
                <w:rFonts w:hint="eastAsia"/>
                <w:color w:val="auto"/>
                <w:sz w:val="21"/>
                <w:szCs w:val="21"/>
                <w:highlight w:val="none"/>
              </w:rPr>
            </w:pPr>
            <w:r>
              <w:rPr>
                <w:rFonts w:hint="eastAsia"/>
                <w:color w:val="auto"/>
                <w:sz w:val="21"/>
                <w:szCs w:val="21"/>
                <w:highlight w:val="none"/>
                <w:lang w:val="en-US" w:eastAsia="zh-CN"/>
              </w:rPr>
              <w:t>设备</w:t>
            </w:r>
            <w:r>
              <w:rPr>
                <w:rFonts w:hint="eastAsia"/>
                <w:color w:val="auto"/>
                <w:sz w:val="21"/>
                <w:szCs w:val="21"/>
                <w:highlight w:val="none"/>
              </w:rPr>
              <w:t>运行状态监控</w:t>
            </w:r>
          </w:p>
        </w:tc>
        <w:tc>
          <w:tcPr>
            <w:tcW w:w="1210" w:type="dxa"/>
            <w:tcBorders>
              <w:top w:val="nil"/>
              <w:left w:val="nil"/>
              <w:bottom w:val="single" w:color="auto" w:sz="4" w:space="0"/>
              <w:right w:val="single" w:color="auto" w:sz="4" w:space="0"/>
            </w:tcBorders>
            <w:noWrap/>
            <w:vAlign w:val="center"/>
          </w:tcPr>
          <w:p w14:paraId="02B089F2">
            <w:pPr>
              <w:widowControl/>
              <w:jc w:val="center"/>
              <w:rPr>
                <w:rFonts w:hint="eastAsia"/>
                <w:color w:val="auto"/>
                <w:sz w:val="21"/>
                <w:szCs w:val="21"/>
                <w:highlight w:val="none"/>
              </w:rPr>
            </w:pPr>
            <w:r>
              <w:rPr>
                <w:rFonts w:hint="eastAsia"/>
                <w:color w:val="auto"/>
                <w:sz w:val="21"/>
                <w:szCs w:val="21"/>
                <w:highlight w:val="none"/>
              </w:rPr>
              <w:t>1次/每周</w:t>
            </w:r>
          </w:p>
        </w:tc>
      </w:tr>
      <w:tr w14:paraId="07FFEB53">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2F1D68BD">
            <w:pPr>
              <w:widowControl/>
              <w:jc w:val="center"/>
              <w:rPr>
                <w:rFonts w:hint="eastAsia"/>
                <w:bCs/>
                <w:color w:val="auto"/>
                <w:sz w:val="21"/>
                <w:szCs w:val="21"/>
                <w:highlight w:val="none"/>
              </w:rPr>
            </w:pPr>
            <w:r>
              <w:rPr>
                <w:rFonts w:hint="eastAsia"/>
                <w:bCs/>
                <w:color w:val="auto"/>
                <w:sz w:val="21"/>
                <w:szCs w:val="21"/>
                <w:highlight w:val="none"/>
              </w:rPr>
              <w:t>2</w:t>
            </w:r>
          </w:p>
        </w:tc>
        <w:tc>
          <w:tcPr>
            <w:tcW w:w="7151" w:type="dxa"/>
            <w:tcBorders>
              <w:top w:val="nil"/>
              <w:left w:val="nil"/>
              <w:bottom w:val="single" w:color="auto" w:sz="4" w:space="0"/>
              <w:right w:val="single" w:color="auto" w:sz="4" w:space="0"/>
            </w:tcBorders>
            <w:noWrap/>
            <w:vAlign w:val="center"/>
          </w:tcPr>
          <w:p w14:paraId="586CCB55">
            <w:pPr>
              <w:widowControl/>
              <w:jc w:val="center"/>
              <w:rPr>
                <w:rFonts w:hint="eastAsia"/>
                <w:bCs/>
                <w:color w:val="auto"/>
                <w:sz w:val="21"/>
                <w:szCs w:val="21"/>
                <w:highlight w:val="none"/>
              </w:rPr>
            </w:pPr>
            <w:r>
              <w:rPr>
                <w:rFonts w:hint="eastAsia"/>
                <w:bCs/>
                <w:color w:val="auto"/>
                <w:sz w:val="21"/>
                <w:szCs w:val="21"/>
                <w:highlight w:val="none"/>
              </w:rPr>
              <w:t>软件版本升级服务</w:t>
            </w:r>
          </w:p>
        </w:tc>
        <w:tc>
          <w:tcPr>
            <w:tcW w:w="1210" w:type="dxa"/>
            <w:tcBorders>
              <w:top w:val="nil"/>
              <w:left w:val="nil"/>
              <w:bottom w:val="single" w:color="auto" w:sz="4" w:space="0"/>
              <w:right w:val="single" w:color="auto" w:sz="4" w:space="0"/>
            </w:tcBorders>
            <w:noWrap/>
            <w:vAlign w:val="center"/>
          </w:tcPr>
          <w:p w14:paraId="3D5FF8F2">
            <w:pPr>
              <w:widowControl/>
              <w:jc w:val="center"/>
              <w:rPr>
                <w:rFonts w:hint="eastAsia"/>
                <w:color w:val="auto"/>
                <w:sz w:val="21"/>
                <w:szCs w:val="21"/>
                <w:highlight w:val="none"/>
              </w:rPr>
            </w:pPr>
            <w:r>
              <w:rPr>
                <w:rFonts w:hint="eastAsia"/>
                <w:color w:val="auto"/>
                <w:sz w:val="21"/>
                <w:szCs w:val="21"/>
                <w:highlight w:val="none"/>
                <w:lang w:val="en-US" w:eastAsia="zh-CN"/>
              </w:rPr>
              <w:t>半年</w:t>
            </w:r>
            <w:r>
              <w:rPr>
                <w:rFonts w:hint="eastAsia"/>
                <w:color w:val="auto"/>
                <w:sz w:val="21"/>
                <w:szCs w:val="21"/>
                <w:highlight w:val="none"/>
              </w:rPr>
              <w:t>期</w:t>
            </w:r>
          </w:p>
        </w:tc>
      </w:tr>
      <w:tr w14:paraId="4F4E7AD6">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732F8BC6">
            <w:pPr>
              <w:widowControl/>
              <w:jc w:val="center"/>
              <w:rPr>
                <w:rFonts w:hint="eastAsia"/>
                <w:bCs/>
                <w:color w:val="auto"/>
                <w:sz w:val="21"/>
                <w:szCs w:val="21"/>
                <w:highlight w:val="none"/>
              </w:rPr>
            </w:pPr>
            <w:r>
              <w:rPr>
                <w:rFonts w:hint="eastAsia"/>
                <w:bCs/>
                <w:color w:val="auto"/>
                <w:sz w:val="21"/>
                <w:szCs w:val="21"/>
                <w:highlight w:val="none"/>
              </w:rPr>
              <w:t>3</w:t>
            </w:r>
          </w:p>
        </w:tc>
        <w:tc>
          <w:tcPr>
            <w:tcW w:w="7151" w:type="dxa"/>
            <w:tcBorders>
              <w:top w:val="nil"/>
              <w:left w:val="nil"/>
              <w:bottom w:val="single" w:color="auto" w:sz="4" w:space="0"/>
              <w:right w:val="single" w:color="auto" w:sz="4" w:space="0"/>
            </w:tcBorders>
            <w:noWrap/>
            <w:vAlign w:val="center"/>
          </w:tcPr>
          <w:p w14:paraId="357FFDE3">
            <w:pPr>
              <w:widowControl/>
              <w:jc w:val="center"/>
              <w:rPr>
                <w:rFonts w:hint="eastAsia"/>
                <w:bCs/>
                <w:color w:val="auto"/>
                <w:sz w:val="21"/>
                <w:szCs w:val="21"/>
                <w:highlight w:val="none"/>
              </w:rPr>
            </w:pPr>
            <w:r>
              <w:rPr>
                <w:rFonts w:hint="eastAsia"/>
                <w:bCs/>
                <w:color w:val="auto"/>
                <w:sz w:val="21"/>
                <w:szCs w:val="21"/>
                <w:highlight w:val="none"/>
              </w:rPr>
              <w:t>硬件</w:t>
            </w:r>
            <w:r>
              <w:rPr>
                <w:rFonts w:hint="eastAsia"/>
                <w:bCs/>
                <w:color w:val="auto"/>
                <w:sz w:val="21"/>
                <w:szCs w:val="21"/>
                <w:highlight w:val="none"/>
                <w:lang w:val="en-US" w:eastAsia="zh-CN"/>
              </w:rPr>
              <w:t>维修</w:t>
            </w:r>
            <w:r>
              <w:rPr>
                <w:rFonts w:hint="eastAsia"/>
                <w:bCs/>
                <w:color w:val="auto"/>
                <w:sz w:val="21"/>
                <w:szCs w:val="21"/>
                <w:highlight w:val="none"/>
              </w:rPr>
              <w:t>服务</w:t>
            </w:r>
          </w:p>
        </w:tc>
        <w:tc>
          <w:tcPr>
            <w:tcW w:w="1210" w:type="dxa"/>
            <w:tcBorders>
              <w:top w:val="nil"/>
              <w:left w:val="nil"/>
              <w:bottom w:val="single" w:color="auto" w:sz="4" w:space="0"/>
              <w:right w:val="single" w:color="auto" w:sz="4" w:space="0"/>
            </w:tcBorders>
            <w:noWrap/>
            <w:vAlign w:val="center"/>
          </w:tcPr>
          <w:p w14:paraId="345BAB0E">
            <w:pPr>
              <w:widowControl/>
              <w:jc w:val="center"/>
              <w:rPr>
                <w:rFonts w:hint="eastAsia"/>
                <w:color w:val="auto"/>
                <w:sz w:val="21"/>
                <w:szCs w:val="21"/>
                <w:highlight w:val="none"/>
              </w:rPr>
            </w:pPr>
            <w:r>
              <w:rPr>
                <w:rFonts w:hint="eastAsia"/>
                <w:color w:val="auto"/>
                <w:sz w:val="21"/>
                <w:szCs w:val="21"/>
                <w:highlight w:val="none"/>
                <w:lang w:val="en-US" w:eastAsia="zh-CN"/>
              </w:rPr>
              <w:t>半年</w:t>
            </w:r>
            <w:r>
              <w:rPr>
                <w:rFonts w:hint="eastAsia"/>
                <w:color w:val="auto"/>
                <w:sz w:val="21"/>
                <w:szCs w:val="21"/>
                <w:highlight w:val="none"/>
              </w:rPr>
              <w:t>期</w:t>
            </w:r>
          </w:p>
        </w:tc>
      </w:tr>
      <w:tr w14:paraId="223E211C">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721FDDAC">
            <w:pPr>
              <w:widowControl/>
              <w:jc w:val="center"/>
              <w:rPr>
                <w:rFonts w:hint="eastAsia"/>
                <w:bCs/>
                <w:color w:val="auto"/>
                <w:sz w:val="21"/>
                <w:szCs w:val="21"/>
                <w:highlight w:val="none"/>
              </w:rPr>
            </w:pPr>
            <w:r>
              <w:rPr>
                <w:rFonts w:hint="eastAsia"/>
                <w:bCs/>
                <w:color w:val="auto"/>
                <w:sz w:val="21"/>
                <w:szCs w:val="21"/>
                <w:highlight w:val="none"/>
              </w:rPr>
              <w:t>4</w:t>
            </w:r>
          </w:p>
        </w:tc>
        <w:tc>
          <w:tcPr>
            <w:tcW w:w="7151" w:type="dxa"/>
            <w:tcBorders>
              <w:top w:val="nil"/>
              <w:left w:val="nil"/>
              <w:bottom w:val="single" w:color="auto" w:sz="4" w:space="0"/>
              <w:right w:val="single" w:color="auto" w:sz="4" w:space="0"/>
            </w:tcBorders>
            <w:noWrap/>
            <w:vAlign w:val="center"/>
          </w:tcPr>
          <w:p w14:paraId="44B00D63">
            <w:pPr>
              <w:widowControl/>
              <w:jc w:val="center"/>
              <w:rPr>
                <w:rFonts w:hint="eastAsia"/>
                <w:bCs/>
                <w:color w:val="auto"/>
                <w:sz w:val="21"/>
                <w:szCs w:val="21"/>
                <w:highlight w:val="none"/>
              </w:rPr>
            </w:pPr>
            <w:r>
              <w:rPr>
                <w:rFonts w:hint="eastAsia"/>
                <w:bCs/>
                <w:color w:val="auto"/>
                <w:sz w:val="21"/>
                <w:szCs w:val="21"/>
                <w:highlight w:val="none"/>
              </w:rPr>
              <w:t>技术支持服务</w:t>
            </w:r>
          </w:p>
        </w:tc>
        <w:tc>
          <w:tcPr>
            <w:tcW w:w="1210" w:type="dxa"/>
            <w:tcBorders>
              <w:top w:val="nil"/>
              <w:left w:val="nil"/>
              <w:bottom w:val="single" w:color="auto" w:sz="4" w:space="0"/>
              <w:right w:val="single" w:color="auto" w:sz="4" w:space="0"/>
            </w:tcBorders>
            <w:noWrap/>
            <w:vAlign w:val="center"/>
          </w:tcPr>
          <w:p w14:paraId="5FD218EC">
            <w:pPr>
              <w:widowControl/>
              <w:jc w:val="center"/>
              <w:rPr>
                <w:rFonts w:hint="eastAsia"/>
                <w:color w:val="auto"/>
                <w:sz w:val="21"/>
                <w:szCs w:val="21"/>
                <w:highlight w:val="none"/>
              </w:rPr>
            </w:pPr>
            <w:r>
              <w:rPr>
                <w:rFonts w:hint="eastAsia"/>
                <w:color w:val="auto"/>
                <w:sz w:val="21"/>
                <w:szCs w:val="21"/>
                <w:highlight w:val="none"/>
                <w:lang w:val="en-US" w:eastAsia="zh-CN"/>
              </w:rPr>
              <w:t>半年</w:t>
            </w:r>
            <w:r>
              <w:rPr>
                <w:rFonts w:hint="eastAsia"/>
                <w:color w:val="auto"/>
                <w:sz w:val="21"/>
                <w:szCs w:val="21"/>
                <w:highlight w:val="none"/>
              </w:rPr>
              <w:t>期</w:t>
            </w:r>
          </w:p>
        </w:tc>
      </w:tr>
      <w:tr w14:paraId="5752CA89">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63DB8BFC">
            <w:pPr>
              <w:widowControl/>
              <w:jc w:val="center"/>
              <w:rPr>
                <w:rFonts w:hint="eastAsia"/>
                <w:b/>
                <w:bCs/>
                <w:color w:val="auto"/>
                <w:sz w:val="21"/>
                <w:szCs w:val="21"/>
                <w:highlight w:val="none"/>
              </w:rPr>
            </w:pPr>
            <w:r>
              <w:rPr>
                <w:rFonts w:hint="eastAsia"/>
                <w:b/>
                <w:bCs/>
                <w:color w:val="auto"/>
                <w:sz w:val="21"/>
                <w:szCs w:val="21"/>
                <w:highlight w:val="none"/>
              </w:rPr>
              <w:t>（</w:t>
            </w:r>
            <w:r>
              <w:rPr>
                <w:rFonts w:hint="eastAsia"/>
                <w:b/>
                <w:bCs/>
                <w:color w:val="auto"/>
                <w:sz w:val="21"/>
                <w:szCs w:val="21"/>
                <w:highlight w:val="none"/>
                <w:lang w:val="en-US" w:eastAsia="zh-CN"/>
              </w:rPr>
              <w:t>三</w:t>
            </w:r>
            <w:r>
              <w:rPr>
                <w:rFonts w:hint="eastAsia"/>
                <w:b/>
                <w:bCs/>
                <w:color w:val="auto"/>
                <w:sz w:val="21"/>
                <w:szCs w:val="21"/>
                <w:highlight w:val="none"/>
              </w:rPr>
              <w:t>）</w:t>
            </w:r>
          </w:p>
        </w:tc>
        <w:tc>
          <w:tcPr>
            <w:tcW w:w="7151" w:type="dxa"/>
            <w:tcBorders>
              <w:top w:val="nil"/>
              <w:left w:val="nil"/>
              <w:bottom w:val="single" w:color="auto" w:sz="4" w:space="0"/>
              <w:right w:val="single" w:color="auto" w:sz="4" w:space="0"/>
            </w:tcBorders>
            <w:noWrap/>
            <w:vAlign w:val="center"/>
          </w:tcPr>
          <w:p w14:paraId="661F83A3">
            <w:pPr>
              <w:widowControl/>
              <w:jc w:val="center"/>
              <w:rPr>
                <w:rFonts w:hint="eastAsia"/>
                <w:b/>
                <w:bCs/>
                <w:color w:val="auto"/>
                <w:sz w:val="21"/>
                <w:szCs w:val="21"/>
                <w:highlight w:val="none"/>
              </w:rPr>
            </w:pPr>
            <w:r>
              <w:rPr>
                <w:rFonts w:hint="eastAsia"/>
                <w:b/>
                <w:bCs/>
                <w:color w:val="auto"/>
                <w:sz w:val="21"/>
                <w:szCs w:val="21"/>
                <w:highlight w:val="none"/>
              </w:rPr>
              <w:t>资料整理与分析总结</w:t>
            </w:r>
          </w:p>
        </w:tc>
        <w:tc>
          <w:tcPr>
            <w:tcW w:w="1210" w:type="dxa"/>
            <w:tcBorders>
              <w:top w:val="nil"/>
              <w:left w:val="nil"/>
              <w:bottom w:val="single" w:color="auto" w:sz="4" w:space="0"/>
              <w:right w:val="single" w:color="auto" w:sz="4" w:space="0"/>
            </w:tcBorders>
            <w:noWrap/>
            <w:vAlign w:val="center"/>
          </w:tcPr>
          <w:p w14:paraId="4204D34B">
            <w:pPr>
              <w:widowControl/>
              <w:jc w:val="center"/>
              <w:rPr>
                <w:rFonts w:hint="eastAsia"/>
                <w:b/>
                <w:bCs/>
                <w:color w:val="auto"/>
                <w:sz w:val="21"/>
                <w:szCs w:val="21"/>
                <w:highlight w:val="none"/>
              </w:rPr>
            </w:pPr>
          </w:p>
        </w:tc>
      </w:tr>
      <w:tr w14:paraId="7C460D6E">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6DED4797">
            <w:pPr>
              <w:widowControl/>
              <w:jc w:val="center"/>
              <w:rPr>
                <w:rFonts w:hint="eastAsia"/>
                <w:color w:val="auto"/>
                <w:sz w:val="21"/>
                <w:szCs w:val="21"/>
                <w:highlight w:val="none"/>
              </w:rPr>
            </w:pPr>
            <w:r>
              <w:rPr>
                <w:rFonts w:hint="eastAsia"/>
                <w:color w:val="auto"/>
                <w:sz w:val="21"/>
                <w:szCs w:val="21"/>
                <w:highlight w:val="none"/>
              </w:rPr>
              <w:t>1</w:t>
            </w:r>
          </w:p>
        </w:tc>
        <w:tc>
          <w:tcPr>
            <w:tcW w:w="7151" w:type="dxa"/>
            <w:tcBorders>
              <w:top w:val="nil"/>
              <w:left w:val="nil"/>
              <w:bottom w:val="single" w:color="auto" w:sz="4" w:space="0"/>
              <w:right w:val="single" w:color="auto" w:sz="4" w:space="0"/>
            </w:tcBorders>
            <w:noWrap/>
            <w:vAlign w:val="center"/>
          </w:tcPr>
          <w:p w14:paraId="0B11C1D3">
            <w:pPr>
              <w:widowControl/>
              <w:jc w:val="center"/>
              <w:rPr>
                <w:rFonts w:hint="eastAsia"/>
                <w:color w:val="auto"/>
                <w:sz w:val="21"/>
                <w:szCs w:val="21"/>
                <w:highlight w:val="none"/>
              </w:rPr>
            </w:pPr>
            <w:r>
              <w:rPr>
                <w:rFonts w:hint="eastAsia"/>
                <w:color w:val="auto"/>
                <w:sz w:val="21"/>
                <w:szCs w:val="21"/>
                <w:highlight w:val="none"/>
              </w:rPr>
              <w:t>资料整理</w:t>
            </w:r>
          </w:p>
        </w:tc>
        <w:tc>
          <w:tcPr>
            <w:tcW w:w="1210" w:type="dxa"/>
            <w:tcBorders>
              <w:top w:val="nil"/>
              <w:left w:val="nil"/>
              <w:bottom w:val="single" w:color="auto" w:sz="4" w:space="0"/>
              <w:right w:val="single" w:color="auto" w:sz="4" w:space="0"/>
            </w:tcBorders>
            <w:noWrap/>
            <w:vAlign w:val="center"/>
          </w:tcPr>
          <w:p w14:paraId="78836B69">
            <w:pPr>
              <w:widowControl/>
              <w:jc w:val="center"/>
              <w:rPr>
                <w:rFonts w:hint="eastAsia"/>
                <w:color w:val="auto"/>
                <w:sz w:val="21"/>
                <w:szCs w:val="21"/>
                <w:highlight w:val="none"/>
              </w:rPr>
            </w:pPr>
            <w:r>
              <w:rPr>
                <w:rFonts w:hint="eastAsia"/>
                <w:color w:val="auto"/>
                <w:sz w:val="21"/>
                <w:szCs w:val="21"/>
                <w:highlight w:val="none"/>
              </w:rPr>
              <w:t>按实际</w:t>
            </w:r>
          </w:p>
        </w:tc>
      </w:tr>
      <w:tr w14:paraId="751CD7EC">
        <w:tblPrEx>
          <w:tblCellMar>
            <w:top w:w="0" w:type="dxa"/>
            <w:left w:w="108" w:type="dxa"/>
            <w:bottom w:w="0" w:type="dxa"/>
            <w:right w:w="108" w:type="dxa"/>
          </w:tblCellMar>
        </w:tblPrEx>
        <w:trPr>
          <w:trHeight w:val="23" w:hRule="atLeast"/>
        </w:trPr>
        <w:tc>
          <w:tcPr>
            <w:tcW w:w="927" w:type="dxa"/>
            <w:tcBorders>
              <w:top w:val="nil"/>
              <w:left w:val="single" w:color="auto" w:sz="4" w:space="0"/>
              <w:bottom w:val="single" w:color="auto" w:sz="4" w:space="0"/>
              <w:right w:val="single" w:color="auto" w:sz="4" w:space="0"/>
            </w:tcBorders>
            <w:noWrap/>
            <w:vAlign w:val="center"/>
          </w:tcPr>
          <w:p w14:paraId="22A4B05D">
            <w:pPr>
              <w:widowControl/>
              <w:jc w:val="center"/>
              <w:rPr>
                <w:rFonts w:hint="eastAsia"/>
                <w:color w:val="auto"/>
                <w:sz w:val="21"/>
                <w:szCs w:val="21"/>
                <w:highlight w:val="none"/>
              </w:rPr>
            </w:pPr>
            <w:r>
              <w:rPr>
                <w:rFonts w:hint="eastAsia"/>
                <w:color w:val="auto"/>
                <w:sz w:val="21"/>
                <w:szCs w:val="21"/>
                <w:highlight w:val="none"/>
              </w:rPr>
              <w:t>2</w:t>
            </w:r>
          </w:p>
        </w:tc>
        <w:tc>
          <w:tcPr>
            <w:tcW w:w="7151" w:type="dxa"/>
            <w:tcBorders>
              <w:top w:val="nil"/>
              <w:left w:val="nil"/>
              <w:bottom w:val="single" w:color="auto" w:sz="4" w:space="0"/>
              <w:right w:val="single" w:color="auto" w:sz="4" w:space="0"/>
            </w:tcBorders>
            <w:noWrap/>
            <w:vAlign w:val="center"/>
          </w:tcPr>
          <w:p w14:paraId="4711F46F">
            <w:pPr>
              <w:widowControl/>
              <w:jc w:val="center"/>
              <w:rPr>
                <w:rFonts w:hint="eastAsia"/>
                <w:color w:val="auto"/>
                <w:sz w:val="21"/>
                <w:szCs w:val="21"/>
                <w:highlight w:val="none"/>
              </w:rPr>
            </w:pPr>
            <w:r>
              <w:rPr>
                <w:rFonts w:hint="eastAsia"/>
                <w:color w:val="auto"/>
                <w:sz w:val="21"/>
                <w:szCs w:val="21"/>
                <w:highlight w:val="none"/>
              </w:rPr>
              <w:t>分析总结</w:t>
            </w:r>
          </w:p>
        </w:tc>
        <w:tc>
          <w:tcPr>
            <w:tcW w:w="1210" w:type="dxa"/>
            <w:tcBorders>
              <w:top w:val="nil"/>
              <w:left w:val="nil"/>
              <w:bottom w:val="single" w:color="auto" w:sz="4" w:space="0"/>
              <w:right w:val="single" w:color="auto" w:sz="4" w:space="0"/>
            </w:tcBorders>
            <w:noWrap/>
            <w:vAlign w:val="center"/>
          </w:tcPr>
          <w:p w14:paraId="34DC6EA2">
            <w:pPr>
              <w:widowControl/>
              <w:jc w:val="center"/>
              <w:rPr>
                <w:rFonts w:hint="eastAsia"/>
                <w:color w:val="auto"/>
                <w:sz w:val="21"/>
                <w:szCs w:val="21"/>
                <w:highlight w:val="none"/>
              </w:rPr>
            </w:pPr>
            <w:r>
              <w:rPr>
                <w:rFonts w:hint="eastAsia"/>
                <w:color w:val="auto"/>
                <w:sz w:val="21"/>
                <w:szCs w:val="21"/>
                <w:highlight w:val="none"/>
              </w:rPr>
              <w:t>按实际</w:t>
            </w:r>
          </w:p>
        </w:tc>
      </w:tr>
    </w:tbl>
    <w:p w14:paraId="666709C0">
      <w:pPr>
        <w:pStyle w:val="39"/>
        <w:snapToGrid w:val="0"/>
        <w:spacing w:line="360" w:lineRule="auto"/>
        <w:ind w:left="0" w:leftChars="0" w:firstLine="0" w:firstLineChars="0"/>
        <w:jc w:val="both"/>
        <w:rPr>
          <w:rFonts w:hint="eastAsia" w:ascii="宋体" w:hAnsi="宋体" w:cs="宋体"/>
          <w:color w:val="auto"/>
          <w:sz w:val="24"/>
          <w:szCs w:val="24"/>
          <w:highlight w:val="none"/>
          <w:lang w:val="en-US" w:eastAsia="zh-CN"/>
        </w:rPr>
      </w:pPr>
    </w:p>
    <w:p w14:paraId="5C442876">
      <w:pPr>
        <w:pStyle w:val="10"/>
        <w:snapToGrid w:val="0"/>
        <w:spacing w:line="360" w:lineRule="auto"/>
        <w:ind w:firstLine="482" w:firstLineChars="200"/>
        <w:rPr>
          <w:rFonts w:hint="eastAsia" w:hAnsi="宋体" w:cs="宋体"/>
          <w:color w:val="auto"/>
          <w:szCs w:val="28"/>
          <w:highlight w:val="none"/>
          <w:lang w:val="en-US" w:eastAsia="zh-CN"/>
        </w:rPr>
      </w:pPr>
      <w:r>
        <w:rPr>
          <w:rFonts w:hint="eastAsia" w:hAnsi="宋体" w:cs="宋体"/>
          <w:b/>
          <w:color w:val="auto"/>
          <w:szCs w:val="24"/>
          <w:highlight w:val="none"/>
          <w:lang w:val="en-US" w:eastAsia="zh-CN"/>
        </w:rPr>
        <w:t>（4）响应时间：</w:t>
      </w:r>
      <w:r>
        <w:rPr>
          <w:rFonts w:hint="eastAsia" w:hAnsi="宋体" w:cs="宋体"/>
          <w:color w:val="auto"/>
          <w:szCs w:val="28"/>
          <w:highlight w:val="none"/>
          <w:lang w:val="en-US" w:eastAsia="zh-CN"/>
        </w:rPr>
        <w:t>提供24小时电话服务，受理平台维护业务，保障技术支撑；控制区一般故障在2小时内恢复，重大故障在8小时内修复；管理区一般故障在12小时内恢复，重大故障在36小时内修复；涉及新增需求需安排技术团队处理的，能够及时安排相应人员在一周内察看分析需求并及时制定合理的处理方案并及时处理。</w:t>
      </w:r>
    </w:p>
    <w:p w14:paraId="1869017A">
      <w:pPr>
        <w:pStyle w:val="10"/>
        <w:snapToGrid w:val="0"/>
        <w:spacing w:line="360" w:lineRule="auto"/>
        <w:ind w:firstLine="482" w:firstLineChars="200"/>
        <w:rPr>
          <w:rFonts w:hint="eastAsia" w:ascii="宋体" w:hAnsi="宋体" w:cs="宋体"/>
          <w:color w:val="auto"/>
          <w:sz w:val="24"/>
          <w:szCs w:val="28"/>
          <w:highlight w:val="none"/>
        </w:rPr>
      </w:pPr>
      <w:r>
        <w:rPr>
          <w:rFonts w:hint="eastAsia" w:hAnsi="宋体" w:cs="宋体"/>
          <w:b/>
          <w:color w:val="auto"/>
          <w:szCs w:val="24"/>
          <w:highlight w:val="none"/>
          <w:lang w:val="en-US" w:eastAsia="zh-CN"/>
        </w:rPr>
        <w:t>（5）</w:t>
      </w:r>
      <w:r>
        <w:rPr>
          <w:rFonts w:hint="eastAsia" w:hAnsi="宋体" w:cs="宋体"/>
          <w:b/>
          <w:color w:val="auto"/>
          <w:szCs w:val="24"/>
          <w:highlight w:val="none"/>
        </w:rPr>
        <w:t>成果</w:t>
      </w:r>
      <w:r>
        <w:rPr>
          <w:rFonts w:hint="eastAsia" w:hAnsi="宋体" w:cs="宋体"/>
          <w:b/>
          <w:color w:val="auto"/>
          <w:szCs w:val="24"/>
          <w:highlight w:val="none"/>
          <w:lang w:val="en-US" w:eastAsia="zh-CN"/>
        </w:rPr>
        <w:t>要求</w:t>
      </w:r>
      <w:r>
        <w:rPr>
          <w:rFonts w:hint="eastAsia" w:hAnsi="宋体" w:cs="宋体"/>
          <w:b/>
          <w:color w:val="auto"/>
          <w:szCs w:val="24"/>
          <w:highlight w:val="none"/>
        </w:rPr>
        <w:t>：</w:t>
      </w:r>
      <w:r>
        <w:rPr>
          <w:rFonts w:hint="eastAsia"/>
          <w:color w:val="auto"/>
          <w:highlight w:val="none"/>
          <w:lang w:val="en-US"/>
        </w:rPr>
        <w:t>提交</w:t>
      </w:r>
      <w:r>
        <w:rPr>
          <w:rFonts w:hint="eastAsia" w:hAnsi="宋体" w:cs="宋体"/>
          <w:color w:val="auto"/>
          <w:szCs w:val="28"/>
          <w:highlight w:val="none"/>
        </w:rPr>
        <w:t>一体化智慧管控平台</w:t>
      </w:r>
      <w:r>
        <w:rPr>
          <w:rFonts w:hint="eastAsia"/>
          <w:color w:val="auto"/>
          <w:highlight w:val="none"/>
          <w:lang w:val="en-US"/>
        </w:rPr>
        <w:t>技术档案一份。包含定期检查记录、维护记录、更新记录、运行故障和事故记录</w:t>
      </w:r>
      <w:r>
        <w:rPr>
          <w:rFonts w:hint="eastAsia"/>
          <w:color w:val="auto"/>
          <w:highlight w:val="none"/>
          <w:lang w:val="en-US" w:eastAsia="zh-CN"/>
        </w:rPr>
        <w:t>、工作总结报告</w:t>
      </w:r>
      <w:r>
        <w:rPr>
          <w:rFonts w:hint="eastAsia"/>
          <w:color w:val="auto"/>
          <w:highlight w:val="none"/>
          <w:lang w:val="en-US"/>
        </w:rPr>
        <w:t>等。</w:t>
      </w:r>
    </w:p>
    <w:p w14:paraId="3C0B569B">
      <w:pPr>
        <w:pStyle w:val="5"/>
        <w:tabs>
          <w:tab w:val="left" w:pos="709"/>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2.2.7.3一体化平台网络安全等保测评</w:t>
      </w: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允许分包</w:t>
      </w:r>
      <w:r>
        <w:rPr>
          <w:rFonts w:hint="eastAsia" w:hAnsi="宋体" w:cs="宋体"/>
          <w:b/>
          <w:color w:val="auto"/>
          <w:sz w:val="24"/>
          <w:szCs w:val="24"/>
          <w:highlight w:val="none"/>
          <w:lang w:eastAsia="zh-CN"/>
        </w:rPr>
        <w:t>）</w:t>
      </w:r>
    </w:p>
    <w:p w14:paraId="3929ECF0">
      <w:pPr>
        <w:snapToGrid w:val="0"/>
        <w:spacing w:line="360" w:lineRule="auto"/>
        <w:ind w:firstLine="472" w:firstLineChars="196"/>
        <w:rPr>
          <w:rFonts w:hint="eastAsia" w:ascii="宋体" w:hAnsi="宋体" w:cs="宋体"/>
          <w:b/>
          <w:color w:val="auto"/>
          <w:sz w:val="24"/>
          <w:szCs w:val="24"/>
          <w:highlight w:val="none"/>
        </w:rPr>
      </w:pPr>
      <w:r>
        <w:rPr>
          <w:rFonts w:hint="eastAsia" w:ascii="宋体" w:hAnsi="宋体" w:cs="宋体"/>
          <w:b/>
          <w:color w:val="auto"/>
          <w:sz w:val="24"/>
          <w:szCs w:val="24"/>
          <w:highlight w:val="none"/>
        </w:rPr>
        <w:t>（1）工作内容</w:t>
      </w:r>
    </w:p>
    <w:p w14:paraId="2D3A761D">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1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①</w:t>
      </w:r>
      <w:r>
        <w:rPr>
          <w:rFonts w:ascii="宋体" w:hAnsi="宋体" w:cs="宋体"/>
          <w:color w:val="auto"/>
          <w:kern w:val="2"/>
          <w:szCs w:val="28"/>
          <w:highlight w:val="none"/>
        </w:rPr>
        <w:fldChar w:fldCharType="end"/>
      </w:r>
      <w:r>
        <w:rPr>
          <w:rFonts w:ascii="宋体" w:hAnsi="宋体" w:cs="宋体"/>
          <w:color w:val="auto"/>
          <w:kern w:val="2"/>
          <w:szCs w:val="28"/>
          <w:highlight w:val="none"/>
        </w:rPr>
        <w:t>开展安全技术测评：包括安全物理环境、安全通信网络、安全区域边界、安全计算环境、安全管理中心等五个方面的安全测评；</w:t>
      </w:r>
    </w:p>
    <w:p w14:paraId="2C6192A6">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2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②</w:t>
      </w:r>
      <w:r>
        <w:rPr>
          <w:rFonts w:ascii="宋体" w:hAnsi="宋体" w:cs="宋体"/>
          <w:color w:val="auto"/>
          <w:kern w:val="2"/>
          <w:szCs w:val="28"/>
          <w:highlight w:val="none"/>
        </w:rPr>
        <w:fldChar w:fldCharType="end"/>
      </w:r>
      <w:r>
        <w:rPr>
          <w:rFonts w:ascii="宋体" w:hAnsi="宋体" w:cs="宋体"/>
          <w:color w:val="auto"/>
          <w:kern w:val="2"/>
          <w:szCs w:val="28"/>
          <w:highlight w:val="none"/>
        </w:rPr>
        <w:t>开展安全管理测评：安全管理制度、安全管理机构、安全管理人员、安全建设管理、安全运维管理等五个方面的安全测评；</w:t>
      </w:r>
    </w:p>
    <w:p w14:paraId="5D7A14DC">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3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③</w:t>
      </w:r>
      <w:r>
        <w:rPr>
          <w:rFonts w:ascii="宋体" w:hAnsi="宋体" w:cs="宋体"/>
          <w:color w:val="auto"/>
          <w:kern w:val="2"/>
          <w:szCs w:val="28"/>
          <w:highlight w:val="none"/>
        </w:rPr>
        <w:fldChar w:fldCharType="end"/>
      </w:r>
      <w:r>
        <w:rPr>
          <w:rFonts w:ascii="宋体" w:hAnsi="宋体" w:cs="宋体"/>
          <w:color w:val="auto"/>
          <w:kern w:val="2"/>
          <w:szCs w:val="28"/>
          <w:highlight w:val="none"/>
        </w:rPr>
        <w:t>提供纸质测评报告：在测评完成后，实施方提供符合国家网络安全等级保护测评标准的测评报告；</w:t>
      </w:r>
    </w:p>
    <w:p w14:paraId="26E4F77E">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4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④</w:t>
      </w:r>
      <w:r>
        <w:rPr>
          <w:rFonts w:ascii="宋体" w:hAnsi="宋体" w:cs="宋体"/>
          <w:color w:val="auto"/>
          <w:kern w:val="2"/>
          <w:szCs w:val="28"/>
          <w:highlight w:val="none"/>
        </w:rPr>
        <w:fldChar w:fldCharType="end"/>
      </w:r>
      <w:r>
        <w:rPr>
          <w:rFonts w:ascii="宋体" w:hAnsi="宋体" w:cs="宋体"/>
          <w:color w:val="auto"/>
          <w:kern w:val="2"/>
          <w:szCs w:val="28"/>
          <w:highlight w:val="none"/>
        </w:rPr>
        <w:t>督促整改单位进行问题整改，并进行问题复测检查：对不符合等级保护标准要求的安全问题，实施方提供整改意见建议等相关情况说明材料，并协助用户方和软件外包公司进行技术指导和沟通协调，督促整改单位进行问题整改，并进行相应的复查核实；</w:t>
      </w:r>
    </w:p>
    <w:p w14:paraId="338CB96D">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5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⑤</w:t>
      </w:r>
      <w:r>
        <w:rPr>
          <w:rFonts w:ascii="宋体" w:hAnsi="宋体" w:cs="宋体"/>
          <w:color w:val="auto"/>
          <w:kern w:val="2"/>
          <w:szCs w:val="28"/>
          <w:highlight w:val="none"/>
        </w:rPr>
        <w:fldChar w:fldCharType="end"/>
      </w:r>
      <w:r>
        <w:rPr>
          <w:rFonts w:ascii="宋体" w:hAnsi="宋体" w:cs="宋体"/>
          <w:color w:val="auto"/>
          <w:kern w:val="2"/>
          <w:szCs w:val="28"/>
          <w:highlight w:val="none"/>
        </w:rPr>
        <w:t>协助办理备案手续：实施方协助甲方向公安部门办理网络等级保护备案相关手续和相关材料。</w:t>
      </w:r>
    </w:p>
    <w:p w14:paraId="7AC30E60">
      <w:pPr>
        <w:pStyle w:val="56"/>
        <w:spacing w:line="360" w:lineRule="auto"/>
        <w:ind w:firstLine="480" w:firstLineChars="200"/>
        <w:rPr>
          <w:rFonts w:ascii="宋体" w:hAnsi="宋体" w:cs="宋体"/>
          <w:color w:val="auto"/>
          <w:kern w:val="2"/>
          <w:szCs w:val="28"/>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6 \* GB3 \* MERGEFORMAT </w:instrText>
      </w:r>
      <w:r>
        <w:rPr>
          <w:rFonts w:ascii="宋体" w:hAnsi="宋体" w:cs="宋体"/>
          <w:color w:val="auto"/>
          <w:kern w:val="2"/>
          <w:szCs w:val="28"/>
          <w:highlight w:val="none"/>
        </w:rPr>
        <w:fldChar w:fldCharType="separate"/>
      </w:r>
      <w:r>
        <w:rPr>
          <w:color w:val="auto"/>
          <w:highlight w:val="none"/>
        </w:rPr>
        <w:t>⑥</w:t>
      </w:r>
      <w:r>
        <w:rPr>
          <w:rFonts w:ascii="宋体" w:hAnsi="宋体" w:cs="宋体"/>
          <w:color w:val="auto"/>
          <w:kern w:val="2"/>
          <w:szCs w:val="28"/>
          <w:highlight w:val="none"/>
        </w:rPr>
        <w:fldChar w:fldCharType="end"/>
      </w:r>
      <w:r>
        <w:rPr>
          <w:rFonts w:hint="eastAsia" w:ascii="宋体" w:hAnsi="宋体" w:cs="宋体"/>
          <w:color w:val="auto"/>
          <w:kern w:val="2"/>
          <w:szCs w:val="28"/>
          <w:highlight w:val="none"/>
          <w:lang w:val="en-US" w:eastAsia="zh-CN"/>
        </w:rPr>
        <w:t>协助采购人做好上级有关部门执行网络安全等级保护督察检查及整改等相关工作</w:t>
      </w:r>
      <w:r>
        <w:rPr>
          <w:rFonts w:hint="eastAsia" w:ascii="宋体" w:hAnsi="宋体" w:cs="宋体"/>
          <w:color w:val="auto"/>
          <w:kern w:val="2"/>
          <w:szCs w:val="28"/>
          <w:highlight w:val="none"/>
        </w:rPr>
        <w:t>。</w:t>
      </w:r>
    </w:p>
    <w:p w14:paraId="770EA25D">
      <w:pPr>
        <w:snapToGrid w:val="0"/>
        <w:spacing w:line="360" w:lineRule="auto"/>
        <w:ind w:firstLine="472" w:firstLineChars="196"/>
        <w:rPr>
          <w:rFonts w:hint="eastAsia" w:ascii="宋体" w:hAnsi="宋体" w:cs="宋体"/>
          <w:b/>
          <w:color w:val="auto"/>
          <w:sz w:val="24"/>
          <w:szCs w:val="24"/>
          <w:highlight w:val="none"/>
        </w:rPr>
      </w:pPr>
      <w:r>
        <w:rPr>
          <w:rFonts w:hint="eastAsia" w:ascii="宋体" w:hAnsi="宋体" w:cs="宋体"/>
          <w:b/>
          <w:color w:val="auto"/>
          <w:sz w:val="24"/>
          <w:szCs w:val="24"/>
          <w:highlight w:val="none"/>
        </w:rPr>
        <w:t>（2）资质要求</w:t>
      </w:r>
    </w:p>
    <w:p w14:paraId="67A6F3E3">
      <w:pPr>
        <w:pStyle w:val="56"/>
        <w:spacing w:line="360" w:lineRule="auto"/>
        <w:ind w:firstLine="480" w:firstLineChars="200"/>
        <w:rPr>
          <w:rFonts w:ascii="宋体" w:hAnsi="宋体" w:cs="宋体"/>
          <w:color w:val="auto"/>
          <w:highlight w:val="none"/>
        </w:rPr>
      </w:pPr>
      <w:r>
        <w:rPr>
          <w:rFonts w:ascii="宋体" w:hAnsi="宋体" w:cs="宋体"/>
          <w:color w:val="auto"/>
          <w:highlight w:val="none"/>
        </w:rPr>
        <w:t>具有公安部第三研究所颁发的《网络安全等级测评与检测评估机构服务认证证书》</w:t>
      </w:r>
    </w:p>
    <w:p w14:paraId="7193C4FD">
      <w:pPr>
        <w:pStyle w:val="56"/>
        <w:spacing w:line="360" w:lineRule="auto"/>
        <w:ind w:firstLine="482" w:firstLineChars="200"/>
        <w:rPr>
          <w:rFonts w:ascii="宋体" w:hAnsi="宋体" w:cs="宋体"/>
          <w:color w:val="auto"/>
          <w:highlight w:val="none"/>
        </w:rPr>
      </w:pPr>
      <w:r>
        <w:rPr>
          <w:rFonts w:ascii="宋体" w:hAnsi="宋体" w:cs="宋体"/>
          <w:b/>
          <w:color w:val="auto"/>
          <w:szCs w:val="24"/>
          <w:highlight w:val="none"/>
        </w:rPr>
        <w:t>（3）服务要求</w:t>
      </w:r>
    </w:p>
    <w:p w14:paraId="542B134C">
      <w:pPr>
        <w:spacing w:line="360" w:lineRule="auto"/>
        <w:ind w:firstLine="480" w:firstLineChars="200"/>
        <w:rPr>
          <w:rFonts w:hint="eastAsia" w:ascii="宋体" w:hAnsi="宋体"/>
          <w:color w:val="auto"/>
          <w:sz w:val="24"/>
          <w:highlight w:val="none"/>
        </w:rPr>
      </w:pPr>
      <w:r>
        <w:rPr>
          <w:rFonts w:hint="eastAsia" w:ascii="宋体" w:hAnsi="宋体" w:cs="宋体"/>
          <w:color w:val="auto"/>
          <w:sz w:val="24"/>
          <w:szCs w:val="28"/>
          <w:highlight w:val="none"/>
        </w:rPr>
        <w:fldChar w:fldCharType="begin"/>
      </w:r>
      <w:r>
        <w:rPr>
          <w:rFonts w:hint="eastAsia" w:ascii="宋体" w:hAnsi="宋体" w:cs="宋体"/>
          <w:color w:val="auto"/>
          <w:sz w:val="24"/>
          <w:szCs w:val="28"/>
          <w:highlight w:val="none"/>
        </w:rPr>
        <w:instrText xml:space="preserve"> = 1 \* GB3 </w:instrText>
      </w:r>
      <w:r>
        <w:rPr>
          <w:rFonts w:hint="eastAsia" w:ascii="宋体" w:hAnsi="宋体" w:cs="宋体"/>
          <w:color w:val="auto"/>
          <w:sz w:val="24"/>
          <w:szCs w:val="28"/>
          <w:highlight w:val="none"/>
        </w:rPr>
        <w:fldChar w:fldCharType="separate"/>
      </w:r>
      <w:r>
        <w:rPr>
          <w:rFonts w:hint="eastAsia" w:ascii="宋体" w:hAnsi="宋体" w:cs="宋体"/>
          <w:color w:val="auto"/>
          <w:sz w:val="24"/>
          <w:szCs w:val="28"/>
          <w:highlight w:val="none"/>
        </w:rPr>
        <w:t>①</w:t>
      </w:r>
      <w:r>
        <w:rPr>
          <w:rFonts w:hint="eastAsia" w:ascii="宋体" w:hAnsi="宋体" w:cs="宋体"/>
          <w:color w:val="auto"/>
          <w:sz w:val="24"/>
          <w:szCs w:val="28"/>
          <w:highlight w:val="none"/>
        </w:rPr>
        <w:fldChar w:fldCharType="end"/>
      </w:r>
      <w:r>
        <w:rPr>
          <w:rFonts w:hint="eastAsia" w:ascii="宋体" w:hAnsi="宋体"/>
          <w:color w:val="auto"/>
          <w:sz w:val="24"/>
          <w:highlight w:val="none"/>
        </w:rPr>
        <w:t>实施方提供的网络安全等级测评服务，需要满足国家颁布网络安全相关文件技术标准要求：</w:t>
      </w:r>
    </w:p>
    <w:p w14:paraId="193B11A4">
      <w:pPr>
        <w:pStyle w:val="56"/>
        <w:numPr>
          <w:ilvl w:val="0"/>
          <w:numId w:val="5"/>
        </w:numPr>
        <w:snapToGrid w:val="0"/>
        <w:spacing w:line="360" w:lineRule="auto"/>
        <w:rPr>
          <w:rFonts w:ascii="宋体" w:hAnsi="宋体" w:cs="宋体"/>
          <w:color w:val="auto"/>
          <w:highlight w:val="none"/>
        </w:rPr>
      </w:pPr>
      <w:r>
        <w:rPr>
          <w:rFonts w:ascii="宋体" w:hAnsi="宋体" w:cs="宋体"/>
          <w:color w:val="auto"/>
          <w:highlight w:val="none"/>
        </w:rPr>
        <w:t xml:space="preserve">GB/T 22240-2020 信息安全技术 网络安全等级保护基本要求 </w:t>
      </w:r>
    </w:p>
    <w:p w14:paraId="468E7E4F">
      <w:pPr>
        <w:pStyle w:val="56"/>
        <w:numPr>
          <w:ilvl w:val="0"/>
          <w:numId w:val="5"/>
        </w:numPr>
        <w:snapToGrid w:val="0"/>
        <w:spacing w:line="360" w:lineRule="auto"/>
        <w:rPr>
          <w:rFonts w:ascii="宋体" w:hAnsi="宋体" w:cs="宋体"/>
          <w:color w:val="auto"/>
          <w:highlight w:val="none"/>
        </w:rPr>
      </w:pPr>
      <w:r>
        <w:rPr>
          <w:rFonts w:ascii="宋体" w:hAnsi="宋体" w:cs="宋体"/>
          <w:color w:val="auto"/>
          <w:highlight w:val="none"/>
        </w:rPr>
        <w:t>GB/T28448-2019 信息安全技术 网络安全等级保护测评要求</w:t>
      </w:r>
    </w:p>
    <w:p w14:paraId="38F51776">
      <w:pPr>
        <w:pStyle w:val="56"/>
        <w:numPr>
          <w:ilvl w:val="0"/>
          <w:numId w:val="5"/>
        </w:numPr>
        <w:snapToGrid w:val="0"/>
        <w:spacing w:line="360" w:lineRule="auto"/>
        <w:rPr>
          <w:rFonts w:ascii="宋体" w:hAnsi="宋体" w:cs="宋体"/>
          <w:color w:val="auto"/>
          <w:highlight w:val="none"/>
        </w:rPr>
      </w:pPr>
      <w:r>
        <w:rPr>
          <w:rFonts w:ascii="宋体" w:hAnsi="宋体" w:cs="宋体"/>
          <w:color w:val="auto"/>
          <w:highlight w:val="none"/>
        </w:rPr>
        <w:t xml:space="preserve">T/ISEAA 001-2020 网络安全等级保护测评高风险判定指引 </w:t>
      </w:r>
    </w:p>
    <w:p w14:paraId="4DE864B0">
      <w:pPr>
        <w:pStyle w:val="56"/>
        <w:spacing w:line="360" w:lineRule="auto"/>
        <w:ind w:firstLine="480" w:firstLineChars="200"/>
        <w:rPr>
          <w:rFonts w:ascii="宋体" w:hAnsi="宋体" w:cs="宋体"/>
          <w:color w:val="auto"/>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2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②</w:t>
      </w:r>
      <w:r>
        <w:rPr>
          <w:rFonts w:ascii="宋体" w:hAnsi="宋体" w:cs="宋体"/>
          <w:color w:val="auto"/>
          <w:kern w:val="2"/>
          <w:szCs w:val="28"/>
          <w:highlight w:val="none"/>
        </w:rPr>
        <w:fldChar w:fldCharType="end"/>
      </w:r>
      <w:r>
        <w:rPr>
          <w:rFonts w:ascii="宋体" w:hAnsi="宋体" w:cs="宋体"/>
          <w:color w:val="auto"/>
          <w:highlight w:val="none"/>
        </w:rPr>
        <w:t>服务单位需严格执行甲方有关安全保密管理制度和保密要求，在测评期间和测评结束后，涉及服务器、数据库、应用系统管理账号和密码、数据库数据、电子数据资料等未公开数据信息，实施方未征得甲方许可不得泄露给任何第三方。</w:t>
      </w:r>
    </w:p>
    <w:p w14:paraId="04B69B30">
      <w:pPr>
        <w:pStyle w:val="56"/>
        <w:spacing w:line="360" w:lineRule="auto"/>
        <w:ind w:firstLine="480" w:firstLineChars="200"/>
        <w:rPr>
          <w:rFonts w:ascii="宋体" w:hAnsi="宋体" w:cs="宋体"/>
          <w:color w:val="auto"/>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3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③</w:t>
      </w:r>
      <w:r>
        <w:rPr>
          <w:rFonts w:ascii="宋体" w:hAnsi="宋体" w:cs="宋体"/>
          <w:color w:val="auto"/>
          <w:kern w:val="2"/>
          <w:szCs w:val="28"/>
          <w:highlight w:val="none"/>
        </w:rPr>
        <w:fldChar w:fldCharType="end"/>
      </w:r>
      <w:r>
        <w:rPr>
          <w:rFonts w:ascii="宋体" w:hAnsi="宋体" w:cs="宋体"/>
          <w:b/>
          <w:bCs/>
          <w:color w:val="auto"/>
          <w:kern w:val="2"/>
          <w:szCs w:val="28"/>
          <w:highlight w:val="none"/>
        </w:rPr>
        <w:t>完成2025年、2026年各一次三级网络等保测评</w:t>
      </w:r>
      <w:r>
        <w:rPr>
          <w:rFonts w:ascii="宋体" w:hAnsi="宋体" w:cs="宋体"/>
          <w:color w:val="auto"/>
          <w:kern w:val="2"/>
          <w:szCs w:val="28"/>
          <w:highlight w:val="none"/>
        </w:rPr>
        <w:t>。</w:t>
      </w:r>
    </w:p>
    <w:p w14:paraId="1EBA66F2">
      <w:pPr>
        <w:pStyle w:val="56"/>
        <w:spacing w:line="360" w:lineRule="auto"/>
        <w:ind w:firstLine="482" w:firstLineChars="200"/>
        <w:rPr>
          <w:rFonts w:ascii="宋体" w:hAnsi="宋体" w:cs="宋体"/>
          <w:b/>
          <w:bCs/>
          <w:color w:val="auto"/>
          <w:highlight w:val="none"/>
        </w:rPr>
      </w:pPr>
      <w:r>
        <w:rPr>
          <w:rFonts w:ascii="宋体" w:hAnsi="宋体" w:cs="宋体"/>
          <w:b/>
          <w:bCs/>
          <w:color w:val="auto"/>
          <w:highlight w:val="none"/>
        </w:rPr>
        <w:t>（4）成果要求</w:t>
      </w:r>
    </w:p>
    <w:p w14:paraId="6EA0F1BB">
      <w:pPr>
        <w:pStyle w:val="56"/>
        <w:spacing w:line="360" w:lineRule="auto"/>
        <w:ind w:firstLine="480" w:firstLineChars="200"/>
        <w:rPr>
          <w:rFonts w:hint="eastAsia" w:ascii="宋体" w:hAnsi="宋体" w:cs="宋体"/>
          <w:color w:val="auto"/>
          <w:highlight w:val="none"/>
          <w:lang w:eastAsia="zh-CN"/>
        </w:rPr>
      </w:pPr>
      <w:r>
        <w:rPr>
          <w:rFonts w:hint="eastAsia" w:ascii="宋体" w:hAnsi="宋体" w:cs="宋体"/>
          <w:color w:val="auto"/>
          <w:highlight w:val="none"/>
          <w:lang w:val="en-US" w:eastAsia="zh-CN"/>
        </w:rPr>
        <w:t>提交</w:t>
      </w:r>
      <w:r>
        <w:rPr>
          <w:rFonts w:hint="eastAsia" w:ascii="宋体" w:hAnsi="宋体" w:cs="宋体"/>
          <w:color w:val="auto"/>
          <w:highlight w:val="none"/>
        </w:rPr>
        <w:t>等级保护测评方案</w:t>
      </w:r>
      <w:r>
        <w:rPr>
          <w:rFonts w:hint="eastAsia" w:ascii="宋体" w:hAnsi="宋体" w:cs="宋体"/>
          <w:color w:val="auto"/>
          <w:highlight w:val="none"/>
          <w:lang w:eastAsia="zh-CN"/>
        </w:rPr>
        <w:t>、</w:t>
      </w:r>
      <w:r>
        <w:rPr>
          <w:rFonts w:hint="eastAsia" w:ascii="宋体" w:hAnsi="宋体" w:cs="宋体"/>
          <w:color w:val="auto"/>
          <w:highlight w:val="none"/>
        </w:rPr>
        <w:t>等级保护测评报告</w:t>
      </w:r>
      <w:r>
        <w:rPr>
          <w:rFonts w:hint="eastAsia" w:ascii="宋体" w:hAnsi="宋体" w:cs="宋体"/>
          <w:color w:val="auto"/>
          <w:highlight w:val="none"/>
          <w:lang w:eastAsia="zh-CN"/>
        </w:rPr>
        <w:t>、</w:t>
      </w:r>
      <w:r>
        <w:rPr>
          <w:rFonts w:hint="eastAsia" w:ascii="宋体" w:hAnsi="宋体" w:cs="宋体"/>
          <w:color w:val="auto"/>
          <w:highlight w:val="none"/>
        </w:rPr>
        <w:t>等级保护整改建议书</w:t>
      </w:r>
      <w:r>
        <w:rPr>
          <w:rFonts w:hint="eastAsia" w:ascii="宋体" w:hAnsi="宋体" w:cs="宋体"/>
          <w:color w:val="auto"/>
          <w:highlight w:val="none"/>
          <w:lang w:eastAsia="zh-CN"/>
        </w:rPr>
        <w:t>、</w:t>
      </w:r>
      <w:r>
        <w:rPr>
          <w:rFonts w:hint="eastAsia" w:ascii="宋体" w:hAnsi="宋体" w:cs="宋体"/>
          <w:color w:val="auto"/>
          <w:highlight w:val="none"/>
        </w:rPr>
        <w:t>等级保护测评过程文档</w:t>
      </w:r>
      <w:r>
        <w:rPr>
          <w:rFonts w:hint="eastAsia" w:ascii="宋体" w:hAnsi="宋体" w:cs="宋体"/>
          <w:color w:val="auto"/>
          <w:highlight w:val="none"/>
          <w:lang w:eastAsia="zh-CN"/>
        </w:rPr>
        <w:t>（</w:t>
      </w:r>
      <w:r>
        <w:rPr>
          <w:rFonts w:hint="eastAsia" w:ascii="宋体" w:hAnsi="宋体" w:cs="宋体"/>
          <w:color w:val="auto"/>
          <w:highlight w:val="none"/>
          <w:lang w:val="en-US" w:eastAsia="zh-CN"/>
        </w:rPr>
        <w:t>纸质文档两份、电子文档一份）</w:t>
      </w:r>
      <w:r>
        <w:rPr>
          <w:rFonts w:hint="eastAsia" w:ascii="宋体" w:hAnsi="宋体" w:cs="宋体"/>
          <w:color w:val="auto"/>
          <w:highlight w:val="none"/>
          <w:lang w:eastAsia="zh-CN"/>
        </w:rPr>
        <w:t>。</w:t>
      </w:r>
    </w:p>
    <w:p w14:paraId="387F9705">
      <w:pPr>
        <w:pStyle w:val="5"/>
        <w:tabs>
          <w:tab w:val="left" w:pos="709"/>
        </w:tabs>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安防运行维护及网络安全服务</w:t>
      </w: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允许分包</w:t>
      </w:r>
      <w:r>
        <w:rPr>
          <w:rFonts w:hint="eastAsia" w:hAnsi="宋体" w:cs="宋体"/>
          <w:b/>
          <w:color w:val="auto"/>
          <w:sz w:val="24"/>
          <w:szCs w:val="24"/>
          <w:highlight w:val="none"/>
          <w:lang w:eastAsia="zh-CN"/>
        </w:rPr>
        <w:t>）</w:t>
      </w:r>
    </w:p>
    <w:p w14:paraId="1EF40EF8">
      <w:pPr>
        <w:pStyle w:val="56"/>
        <w:numPr>
          <w:ilvl w:val="0"/>
          <w:numId w:val="0"/>
        </w:numPr>
        <w:spacing w:line="360" w:lineRule="auto"/>
        <w:ind w:firstLine="480" w:firstLineChars="200"/>
        <w:rPr>
          <w:rFonts w:hint="eastAsia" w:ascii="宋体" w:hAnsi="宋体" w:cs="宋体"/>
          <w:color w:val="auto"/>
          <w:highlight w:val="none"/>
        </w:rPr>
      </w:pPr>
      <w:r>
        <w:rPr>
          <w:rFonts w:hint="eastAsia" w:ascii="宋体" w:hAnsi="宋体" w:eastAsia="宋体" w:cs="宋体"/>
          <w:color w:val="auto"/>
          <w:kern w:val="0"/>
          <w:sz w:val="24"/>
          <w:szCs w:val="20"/>
          <w:highlight w:val="none"/>
          <w:lang w:val="en-US" w:eastAsia="zh-CN" w:bidi="ar-SA"/>
        </w:rPr>
        <w:t>（1）</w:t>
      </w:r>
      <w:r>
        <w:rPr>
          <w:rFonts w:hint="eastAsia" w:ascii="宋体" w:hAnsi="宋体" w:cs="宋体"/>
          <w:color w:val="auto"/>
          <w:highlight w:val="none"/>
          <w:lang w:val="en-US" w:eastAsia="zh-CN"/>
        </w:rPr>
        <w:t>工作</w:t>
      </w:r>
      <w:r>
        <w:rPr>
          <w:rFonts w:hint="eastAsia" w:ascii="宋体" w:hAnsi="宋体" w:cs="宋体"/>
          <w:color w:val="auto"/>
          <w:highlight w:val="none"/>
        </w:rPr>
        <w:t>内容：对泵站网络系统、视频会商系统、安防系统的</w:t>
      </w:r>
      <w:r>
        <w:rPr>
          <w:rFonts w:hint="eastAsia" w:ascii="宋体" w:hAnsi="宋体" w:cs="宋体"/>
          <w:color w:val="auto"/>
          <w:highlight w:val="none"/>
          <w:lang w:val="en-US" w:eastAsia="zh-CN"/>
        </w:rPr>
        <w:t>软</w:t>
      </w:r>
      <w:r>
        <w:rPr>
          <w:rFonts w:hint="eastAsia" w:ascii="宋体" w:hAnsi="宋体" w:cs="宋体"/>
          <w:color w:val="auto"/>
          <w:highlight w:val="none"/>
        </w:rPr>
        <w:t>硬件开展日常巡检维护，并开展网络安全服务。单项设备及实施费用两千元及以上的经采购人确认</w:t>
      </w:r>
      <w:r>
        <w:rPr>
          <w:rFonts w:hint="eastAsia" w:ascii="宋体" w:hAnsi="宋体" w:cs="宋体"/>
          <w:color w:val="auto"/>
          <w:highlight w:val="none"/>
          <w:lang w:val="en-US" w:eastAsia="zh-CN"/>
        </w:rPr>
        <w:t>后</w:t>
      </w:r>
      <w:r>
        <w:rPr>
          <w:rFonts w:hint="eastAsia" w:ascii="宋体" w:hAnsi="宋体" w:cs="宋体"/>
          <w:color w:val="auto"/>
          <w:highlight w:val="none"/>
        </w:rPr>
        <w:t>落实资金保障。</w:t>
      </w:r>
    </w:p>
    <w:p w14:paraId="52CEE4FB">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网络系统：通过专业化、规范化管理，对机房内交换机、路由器、防火墙、服务器等设备进行巡检及维护，有效改善网络系统性能，增强系统的安全性、可靠性和可维护性；延长系统设备的使用寿命，降低系统的故障率和维护成本。</w:t>
      </w:r>
    </w:p>
    <w:p w14:paraId="41D11E42">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视频会商系统：对会议室内会商大屏、会议室三套移动屏、视频矩阵、音频系统、信息发布等设备定期进行巡检及功能性测试，确保满足工程防汛会商的正常使用。</w:t>
      </w:r>
    </w:p>
    <w:p w14:paraId="6C7F52DF">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安防系统：对泵站所有安防类门禁、道闸等进行定期巡检维护，并做好相应巡检记录，确保安防系统整体的稳定性及可靠性。</w:t>
      </w:r>
    </w:p>
    <w:p w14:paraId="39D99F6E">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网络安全服务：全面评估泵站内外网信息系统安全，优化网络安全策略，结合传统本地网络和主机安全以及政务云上基于云的应用层的安全防护措施，通过“事前检测+事中防护+事后响应”的服务形式提供安全维护解决方案，降低网络、应用安全风险，保障网络安全。</w:t>
      </w:r>
    </w:p>
    <w:p w14:paraId="780913F1">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工作</w:t>
      </w:r>
      <w:r>
        <w:rPr>
          <w:rFonts w:hint="eastAsia" w:ascii="宋体" w:hAnsi="宋体" w:cs="宋体"/>
          <w:color w:val="auto"/>
          <w:highlight w:val="none"/>
        </w:rPr>
        <w:t>要求：</w:t>
      </w:r>
    </w:p>
    <w:p w14:paraId="19970D3A">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hint="eastAsia" w:ascii="宋体" w:hAnsi="宋体" w:cs="宋体"/>
          <w:color w:val="auto"/>
          <w:sz w:val="24"/>
          <w:szCs w:val="28"/>
          <w:highlight w:val="none"/>
        </w:rPr>
        <w:fldChar w:fldCharType="begin"/>
      </w:r>
      <w:r>
        <w:rPr>
          <w:rFonts w:hint="eastAsia" w:ascii="宋体" w:hAnsi="宋体" w:cs="宋体"/>
          <w:color w:val="auto"/>
          <w:sz w:val="24"/>
          <w:szCs w:val="28"/>
          <w:highlight w:val="none"/>
        </w:rPr>
        <w:instrText xml:space="preserve"> = 1 \* GB3 </w:instrText>
      </w:r>
      <w:r>
        <w:rPr>
          <w:rFonts w:hint="eastAsia" w:ascii="宋体" w:hAnsi="宋体" w:cs="宋体"/>
          <w:color w:val="auto"/>
          <w:sz w:val="24"/>
          <w:szCs w:val="28"/>
          <w:highlight w:val="none"/>
        </w:rPr>
        <w:fldChar w:fldCharType="separate"/>
      </w:r>
      <w:r>
        <w:rPr>
          <w:rFonts w:hint="eastAsia" w:ascii="宋体" w:hAnsi="宋体" w:cs="宋体"/>
          <w:color w:val="auto"/>
          <w:sz w:val="24"/>
          <w:szCs w:val="28"/>
          <w:highlight w:val="none"/>
        </w:rPr>
        <w:t>①</w:t>
      </w:r>
      <w:r>
        <w:rPr>
          <w:rFonts w:hint="eastAsia" w:ascii="宋体" w:hAnsi="宋体" w:cs="宋体"/>
          <w:color w:val="auto"/>
          <w:sz w:val="24"/>
          <w:szCs w:val="28"/>
          <w:highlight w:val="none"/>
        </w:rPr>
        <w:fldChar w:fldCharType="end"/>
      </w:r>
      <w:r>
        <w:rPr>
          <w:rFonts w:hint="eastAsia" w:ascii="宋体" w:hAnsi="宋体" w:cs="宋体"/>
          <w:color w:val="auto"/>
          <w:highlight w:val="none"/>
        </w:rPr>
        <w:t>日常维护，每次巡检完成后提供维护清单、巡检报告等相关材料，并由</w:t>
      </w:r>
      <w:r>
        <w:rPr>
          <w:rFonts w:hint="eastAsia" w:ascii="宋体" w:hAnsi="宋体" w:cs="宋体"/>
          <w:color w:val="auto"/>
          <w:highlight w:val="none"/>
          <w:lang w:val="en-US" w:eastAsia="zh-CN"/>
        </w:rPr>
        <w:t>采购人</w:t>
      </w:r>
      <w:r>
        <w:rPr>
          <w:rFonts w:hint="eastAsia" w:ascii="宋体" w:hAnsi="宋体" w:cs="宋体"/>
          <w:color w:val="auto"/>
          <w:highlight w:val="none"/>
        </w:rPr>
        <w:t>签字确认。</w:t>
      </w:r>
    </w:p>
    <w:p w14:paraId="60C16870">
      <w:pPr>
        <w:pStyle w:val="56"/>
        <w:numPr>
          <w:ilvl w:val="-1"/>
          <w:numId w:val="0"/>
        </w:numPr>
        <w:autoSpaceDE/>
        <w:autoSpaceDN/>
        <w:spacing w:line="360" w:lineRule="auto"/>
        <w:ind w:firstLine="480" w:firstLineChars="200"/>
        <w:rPr>
          <w:rFonts w:hint="eastAsia" w:ascii="宋体" w:hAnsi="宋体" w:cs="宋体"/>
          <w:color w:val="auto"/>
          <w:highlight w:val="none"/>
        </w:rPr>
      </w:pPr>
      <w:r>
        <w:rPr>
          <w:rFonts w:ascii="宋体" w:hAnsi="宋体" w:cs="宋体"/>
          <w:color w:val="auto"/>
          <w:kern w:val="2"/>
          <w:szCs w:val="28"/>
          <w:highlight w:val="none"/>
        </w:rPr>
        <w:fldChar w:fldCharType="begin"/>
      </w:r>
      <w:r>
        <w:rPr>
          <w:rFonts w:ascii="宋体" w:hAnsi="宋体" w:cs="宋体"/>
          <w:color w:val="auto"/>
          <w:kern w:val="2"/>
          <w:szCs w:val="28"/>
          <w:highlight w:val="none"/>
        </w:rPr>
        <w:instrText xml:space="preserve"> = 2 \* GB3 </w:instrText>
      </w:r>
      <w:r>
        <w:rPr>
          <w:rFonts w:ascii="宋体" w:hAnsi="宋体" w:cs="宋体"/>
          <w:color w:val="auto"/>
          <w:kern w:val="2"/>
          <w:szCs w:val="28"/>
          <w:highlight w:val="none"/>
        </w:rPr>
        <w:fldChar w:fldCharType="separate"/>
      </w:r>
      <w:r>
        <w:rPr>
          <w:rFonts w:ascii="宋体" w:hAnsi="宋体" w:cs="宋体"/>
          <w:color w:val="auto"/>
          <w:kern w:val="2"/>
          <w:szCs w:val="28"/>
          <w:highlight w:val="none"/>
        </w:rPr>
        <w:t>②</w:t>
      </w:r>
      <w:r>
        <w:rPr>
          <w:rFonts w:ascii="宋体" w:hAnsi="宋体" w:cs="宋体"/>
          <w:color w:val="auto"/>
          <w:kern w:val="2"/>
          <w:szCs w:val="28"/>
          <w:highlight w:val="none"/>
        </w:rPr>
        <w:fldChar w:fldCharType="end"/>
      </w:r>
      <w:r>
        <w:rPr>
          <w:rFonts w:hint="eastAsia" w:ascii="宋体" w:hAnsi="宋体" w:cs="宋体"/>
          <w:color w:val="auto"/>
          <w:highlight w:val="none"/>
        </w:rPr>
        <w:t>项目所列系统出现故障时，要求接到通知后即时响应，1小时以内到达现场，查找和确认故障原因。对于非硬件故障，要求在接到通知起2小时内排除故障并恢复系统正常运行；对于硬件故障，应及时联系原设备厂商在最短时间内恢复；对于网络安全问题，要求发现问题48小时内处理解决，如被数据局通报，每通报一次扣款1000元。以上相关问题处理完毕，应提交详细的故障报告，对故障原因进行分析、说明处理过程，</w:t>
      </w:r>
    </w:p>
    <w:p w14:paraId="5866F968">
      <w:pPr>
        <w:pStyle w:val="56"/>
        <w:numPr>
          <w:ilvl w:val="-1"/>
          <w:numId w:val="0"/>
        </w:numPr>
        <w:autoSpaceDE/>
        <w:autoSpaceDN/>
        <w:spacing w:line="360" w:lineRule="auto"/>
        <w:ind w:firstLine="0" w:firstLineChars="0"/>
        <w:rPr>
          <w:rFonts w:hint="eastAsia" w:ascii="宋体" w:hAnsi="宋体" w:cs="宋体"/>
          <w:color w:val="auto"/>
          <w:highlight w:val="none"/>
          <w:lang w:eastAsia="zh-CN"/>
        </w:rPr>
      </w:pPr>
      <w:r>
        <w:rPr>
          <w:rFonts w:hint="eastAsia" w:ascii="宋体" w:hAnsi="宋体" w:cs="宋体"/>
          <w:color w:val="auto"/>
          <w:highlight w:val="none"/>
        </w:rPr>
        <w:t>并提出类似故障的防范措施。</w:t>
      </w:r>
    </w:p>
    <w:p w14:paraId="50509871">
      <w:pPr>
        <w:pStyle w:val="5"/>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2.3室外环境养护（允许分包）</w:t>
      </w:r>
    </w:p>
    <w:p w14:paraId="22DC50DE">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2.3.1服务内容</w:t>
      </w:r>
    </w:p>
    <w:p w14:paraId="336BF680">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工程室外景观绿化面积192500m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，主要为及园区内所有乔木、果树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灌木、地被、草坪等植物的养护管理，铺装道路、沥青路面、路灯、垃圾桶等设施的保洁维护。</w:t>
      </w:r>
    </w:p>
    <w:p w14:paraId="35CF3797">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4"/>
          <w:highlight w:val="none"/>
        </w:rPr>
        <w:t>包括淋水、松土、施肥、整型、修剪枯枝败叶、草坪除杂草、修剪和滚压草坪、防治病虫害、苗木补种、树木涂白、保证出果质量等植物保养工作，果树养护、</w:t>
      </w:r>
      <w:r>
        <w:rPr>
          <w:rFonts w:hint="eastAsia" w:ascii="宋体" w:hAnsi="宋体" w:cs="宋体"/>
          <w:color w:val="auto"/>
          <w:sz w:val="24"/>
          <w:szCs w:val="24"/>
          <w:highlight w:val="none"/>
          <w:lang w:val="en-US" w:eastAsia="zh-CN"/>
        </w:rPr>
        <w:t>施肥、</w:t>
      </w:r>
      <w:r>
        <w:rPr>
          <w:rFonts w:hint="eastAsia" w:ascii="宋体" w:hAnsi="宋体" w:cs="宋体"/>
          <w:color w:val="auto"/>
          <w:sz w:val="24"/>
          <w:szCs w:val="24"/>
          <w:highlight w:val="none"/>
        </w:rPr>
        <w:t>果实套袋保护、采摘装篮</w:t>
      </w:r>
      <w:r>
        <w:rPr>
          <w:rFonts w:hint="eastAsia" w:ascii="宋体" w:hAnsi="宋体" w:cs="宋体"/>
          <w:color w:val="auto"/>
          <w:sz w:val="24"/>
          <w:szCs w:val="24"/>
          <w:highlight w:val="none"/>
          <w:lang w:val="en-US" w:eastAsia="zh-CN"/>
        </w:rPr>
        <w:t>等工作</w:t>
      </w:r>
      <w:r>
        <w:rPr>
          <w:rFonts w:hint="eastAsia" w:ascii="宋体" w:hAnsi="宋体" w:cs="宋体"/>
          <w:color w:val="auto"/>
          <w:sz w:val="24"/>
          <w:szCs w:val="24"/>
          <w:highlight w:val="none"/>
        </w:rPr>
        <w:t>，景点的美化</w:t>
      </w:r>
      <w:r>
        <w:rPr>
          <w:rFonts w:hint="eastAsia" w:ascii="宋体" w:hAnsi="宋体" w:cs="宋体"/>
          <w:color w:val="auto"/>
          <w:sz w:val="24"/>
          <w:szCs w:val="28"/>
          <w:highlight w:val="none"/>
        </w:rPr>
        <w:t>、绿化垃圾清运等有关绿化保</w:t>
      </w:r>
      <w:r>
        <w:rPr>
          <w:rFonts w:hint="eastAsia" w:ascii="宋体" w:hAnsi="宋体" w:cs="宋体"/>
          <w:color w:val="auto"/>
          <w:sz w:val="24"/>
          <w:szCs w:val="28"/>
          <w:highlight w:val="none"/>
          <w:lang w:val="en-US" w:eastAsia="zh-CN"/>
        </w:rPr>
        <w:t>养工作，</w:t>
      </w:r>
      <w:r>
        <w:rPr>
          <w:rFonts w:hint="eastAsia" w:ascii="宋体" w:hAnsi="宋体" w:cs="宋体"/>
          <w:color w:val="auto"/>
          <w:sz w:val="24"/>
          <w:szCs w:val="28"/>
          <w:highlight w:val="none"/>
        </w:rPr>
        <w:t>园</w:t>
      </w:r>
      <w:r>
        <w:rPr>
          <w:rFonts w:hint="eastAsia" w:ascii="宋体" w:hAnsi="宋体" w:cs="宋体"/>
          <w:color w:val="auto"/>
          <w:sz w:val="24"/>
          <w:szCs w:val="28"/>
          <w:highlight w:val="none"/>
          <w:lang w:val="en-US" w:eastAsia="zh-CN"/>
        </w:rPr>
        <w:t>区铺装道路、沥青路面、路灯、垃圾桶等</w:t>
      </w:r>
      <w:r>
        <w:rPr>
          <w:rFonts w:hint="eastAsia" w:ascii="宋体" w:hAnsi="宋体" w:cs="宋体"/>
          <w:color w:val="auto"/>
          <w:sz w:val="24"/>
          <w:szCs w:val="28"/>
          <w:highlight w:val="none"/>
        </w:rPr>
        <w:t>设施的维护</w:t>
      </w:r>
      <w:r>
        <w:rPr>
          <w:rFonts w:hint="eastAsia" w:ascii="宋体" w:hAnsi="宋体" w:cs="宋体"/>
          <w:color w:val="auto"/>
          <w:sz w:val="24"/>
          <w:szCs w:val="28"/>
          <w:highlight w:val="none"/>
          <w:lang w:val="en-US" w:eastAsia="zh-CN"/>
        </w:rPr>
        <w:t>工作</w:t>
      </w:r>
      <w:r>
        <w:rPr>
          <w:rFonts w:hint="eastAsia" w:ascii="宋体" w:hAnsi="宋体" w:cs="宋体"/>
          <w:color w:val="auto"/>
          <w:sz w:val="24"/>
          <w:szCs w:val="28"/>
          <w:highlight w:val="none"/>
        </w:rPr>
        <w:t>以及园区卫生</w:t>
      </w:r>
      <w:r>
        <w:rPr>
          <w:rFonts w:hint="eastAsia" w:ascii="宋体" w:hAnsi="宋体" w:cs="宋体"/>
          <w:color w:val="auto"/>
          <w:sz w:val="24"/>
          <w:szCs w:val="24"/>
          <w:highlight w:val="none"/>
        </w:rPr>
        <w:t>保洁工作</w:t>
      </w:r>
      <w:r>
        <w:rPr>
          <w:rFonts w:hint="eastAsia" w:ascii="宋体" w:hAnsi="宋体" w:cs="宋体"/>
          <w:color w:val="auto"/>
          <w:sz w:val="24"/>
          <w:szCs w:val="28"/>
          <w:highlight w:val="none"/>
        </w:rPr>
        <w:t>。</w:t>
      </w:r>
    </w:p>
    <w:p w14:paraId="55C579D6">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8"/>
          <w:highlight w:val="none"/>
          <w:lang w:val="en-US" w:eastAsia="zh-CN"/>
        </w:rPr>
        <w:t>园区范围内需定期开展乱石、</w:t>
      </w:r>
      <w:r>
        <w:rPr>
          <w:rFonts w:hint="eastAsia" w:ascii="宋体" w:hAnsi="宋体" w:cs="宋体"/>
          <w:color w:val="auto"/>
          <w:sz w:val="24"/>
          <w:szCs w:val="24"/>
          <w:highlight w:val="none"/>
        </w:rPr>
        <w:t>杂草、矮木、</w:t>
      </w:r>
      <w:r>
        <w:rPr>
          <w:rFonts w:hint="eastAsia" w:ascii="宋体" w:hAnsi="宋体" w:cs="宋体"/>
          <w:color w:val="auto"/>
          <w:sz w:val="24"/>
          <w:szCs w:val="24"/>
          <w:highlight w:val="none"/>
          <w:lang w:val="en-US" w:eastAsia="zh-CN"/>
        </w:rPr>
        <w:t>杂</w:t>
      </w:r>
      <w:r>
        <w:rPr>
          <w:rFonts w:hint="eastAsia" w:ascii="宋体" w:hAnsi="宋体" w:cs="宋体"/>
          <w:color w:val="auto"/>
          <w:sz w:val="24"/>
          <w:szCs w:val="24"/>
          <w:highlight w:val="none"/>
        </w:rPr>
        <w:t>树砍伐，保证</w:t>
      </w:r>
      <w:r>
        <w:rPr>
          <w:rFonts w:hint="eastAsia" w:ascii="宋体" w:hAnsi="宋体" w:cs="宋体"/>
          <w:color w:val="auto"/>
          <w:sz w:val="24"/>
          <w:szCs w:val="24"/>
          <w:highlight w:val="none"/>
          <w:lang w:val="en-US" w:eastAsia="zh-CN"/>
        </w:rPr>
        <w:t>工程绿化</w:t>
      </w:r>
      <w:r>
        <w:rPr>
          <w:rFonts w:hint="eastAsia" w:ascii="宋体" w:hAnsi="宋体" w:cs="宋体"/>
          <w:color w:val="auto"/>
          <w:sz w:val="24"/>
          <w:szCs w:val="24"/>
          <w:highlight w:val="none"/>
        </w:rPr>
        <w:t>清爽，每年</w:t>
      </w:r>
      <w:r>
        <w:rPr>
          <w:rFonts w:hint="eastAsia" w:ascii="宋体" w:hAnsi="宋体" w:cs="宋体"/>
          <w:color w:val="auto"/>
          <w:sz w:val="24"/>
          <w:szCs w:val="24"/>
          <w:highlight w:val="none"/>
          <w:lang w:val="en-US" w:eastAsia="zh-CN"/>
        </w:rPr>
        <w:t>需</w:t>
      </w:r>
      <w:r>
        <w:rPr>
          <w:rFonts w:hint="eastAsia" w:ascii="宋体" w:hAnsi="宋体" w:cs="宋体"/>
          <w:color w:val="auto"/>
          <w:sz w:val="24"/>
          <w:szCs w:val="24"/>
          <w:highlight w:val="none"/>
        </w:rPr>
        <w:t>完成</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次清理。</w:t>
      </w:r>
      <w:r>
        <w:rPr>
          <w:rFonts w:hint="eastAsia" w:ascii="宋体" w:hAnsi="宋体" w:cs="宋体"/>
          <w:color w:val="auto"/>
          <w:sz w:val="24"/>
          <w:szCs w:val="24"/>
          <w:highlight w:val="none"/>
          <w:lang w:val="en-US" w:eastAsia="zh-CN"/>
        </w:rPr>
        <w:t>根据养护需要，需进行园区场地翻耕平整、加盖种植土等服务。</w:t>
      </w:r>
    </w:p>
    <w:p w14:paraId="3489EA3B">
      <w:pPr>
        <w:snapToGrid w:val="0"/>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8"/>
          <w:highlight w:val="none"/>
        </w:rPr>
        <w:t>供应商自行解决室外环境养护和保洁工作所需的一切生活、生产设施，包含各类工器具、药品肥料、人员休息场所、物品堆放等。</w:t>
      </w:r>
    </w:p>
    <w:p w14:paraId="2360958B">
      <w:pPr>
        <w:spacing w:before="0" w:after="0" w:line="360" w:lineRule="auto"/>
        <w:ind w:firstLineChars="5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主要苗木</w:t>
      </w:r>
      <w:r>
        <w:rPr>
          <w:rFonts w:hint="eastAsia" w:ascii="宋体" w:hAnsi="宋体" w:eastAsia="宋体" w:cs="宋体"/>
          <w:color w:val="auto"/>
          <w:sz w:val="24"/>
          <w:szCs w:val="24"/>
          <w:highlight w:val="none"/>
        </w:rPr>
        <w:t>清单</w:t>
      </w:r>
    </w:p>
    <w:tbl>
      <w:tblPr>
        <w:tblStyle w:val="20"/>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481"/>
        <w:gridCol w:w="881"/>
        <w:gridCol w:w="844"/>
        <w:gridCol w:w="787"/>
        <w:gridCol w:w="1482"/>
        <w:gridCol w:w="1143"/>
        <w:gridCol w:w="1425"/>
      </w:tblGrid>
      <w:tr w14:paraId="71DC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26" w:type="dxa"/>
            <w:noWrap/>
            <w:vAlign w:val="center"/>
          </w:tcPr>
          <w:p w14:paraId="4C64F3BB">
            <w:pPr>
              <w:pStyle w:val="11"/>
              <w:tabs>
                <w:tab w:val="left" w:pos="3025"/>
              </w:tabs>
              <w:snapToGrid w:val="0"/>
              <w:spacing w:line="360" w:lineRule="auto"/>
              <w:ind w:firstLine="0" w:firstLineChars="0"/>
              <w:jc w:val="center"/>
              <w:rPr>
                <w:rFonts w:hint="eastAsia" w:cs="宋体"/>
                <w:b/>
                <w:bCs/>
                <w:color w:val="auto"/>
                <w:sz w:val="24"/>
                <w:szCs w:val="24"/>
                <w:highlight w:val="none"/>
              </w:rPr>
            </w:pPr>
            <w:r>
              <w:rPr>
                <w:rFonts w:hint="eastAsia" w:cs="宋体"/>
                <w:b/>
                <w:bCs/>
                <w:color w:val="auto"/>
                <w:sz w:val="24"/>
                <w:szCs w:val="24"/>
                <w:highlight w:val="none"/>
              </w:rPr>
              <w:t>序号</w:t>
            </w:r>
          </w:p>
        </w:tc>
        <w:tc>
          <w:tcPr>
            <w:tcW w:w="1481" w:type="dxa"/>
            <w:noWrap/>
            <w:vAlign w:val="center"/>
          </w:tcPr>
          <w:p w14:paraId="1FDF304B">
            <w:pPr>
              <w:pStyle w:val="11"/>
              <w:tabs>
                <w:tab w:val="left" w:pos="3025"/>
              </w:tabs>
              <w:snapToGrid w:val="0"/>
              <w:spacing w:line="360" w:lineRule="auto"/>
              <w:ind w:firstLine="0" w:firstLineChars="0"/>
              <w:jc w:val="center"/>
              <w:rPr>
                <w:rFonts w:hint="eastAsia" w:cs="宋体"/>
                <w:b/>
                <w:bCs/>
                <w:color w:val="auto"/>
                <w:sz w:val="24"/>
                <w:szCs w:val="24"/>
                <w:highlight w:val="none"/>
              </w:rPr>
            </w:pPr>
            <w:r>
              <w:rPr>
                <w:rFonts w:hint="eastAsia" w:cs="宋体"/>
                <w:b/>
                <w:bCs/>
                <w:color w:val="auto"/>
                <w:sz w:val="24"/>
                <w:szCs w:val="24"/>
                <w:highlight w:val="none"/>
              </w:rPr>
              <w:t>名称</w:t>
            </w:r>
          </w:p>
        </w:tc>
        <w:tc>
          <w:tcPr>
            <w:tcW w:w="881" w:type="dxa"/>
            <w:noWrap/>
            <w:vAlign w:val="center"/>
          </w:tcPr>
          <w:p w14:paraId="7CC1D458">
            <w:pPr>
              <w:pStyle w:val="11"/>
              <w:tabs>
                <w:tab w:val="left" w:pos="3025"/>
              </w:tabs>
              <w:snapToGrid w:val="0"/>
              <w:spacing w:line="360" w:lineRule="auto"/>
              <w:ind w:firstLine="0" w:firstLineChars="0"/>
              <w:jc w:val="center"/>
              <w:rPr>
                <w:rFonts w:hint="eastAsia" w:cs="宋体"/>
                <w:b/>
                <w:bCs/>
                <w:color w:val="auto"/>
                <w:sz w:val="24"/>
                <w:szCs w:val="24"/>
                <w:highlight w:val="none"/>
              </w:rPr>
            </w:pPr>
            <w:r>
              <w:rPr>
                <w:rFonts w:hint="eastAsia" w:cs="宋体"/>
                <w:b/>
                <w:bCs/>
                <w:color w:val="auto"/>
                <w:sz w:val="24"/>
                <w:szCs w:val="24"/>
                <w:highlight w:val="none"/>
              </w:rPr>
              <w:t>单位</w:t>
            </w:r>
          </w:p>
        </w:tc>
        <w:tc>
          <w:tcPr>
            <w:tcW w:w="844" w:type="dxa"/>
            <w:noWrap/>
            <w:vAlign w:val="center"/>
          </w:tcPr>
          <w:p w14:paraId="491DB1A2">
            <w:pPr>
              <w:pStyle w:val="11"/>
              <w:tabs>
                <w:tab w:val="left" w:pos="3025"/>
              </w:tabs>
              <w:snapToGrid w:val="0"/>
              <w:spacing w:line="360" w:lineRule="auto"/>
              <w:ind w:firstLine="0" w:firstLineChars="0"/>
              <w:jc w:val="center"/>
              <w:rPr>
                <w:rFonts w:hint="eastAsia" w:cs="宋体"/>
                <w:b/>
                <w:bCs/>
                <w:color w:val="auto"/>
                <w:sz w:val="24"/>
                <w:szCs w:val="24"/>
                <w:highlight w:val="none"/>
              </w:rPr>
            </w:pPr>
            <w:r>
              <w:rPr>
                <w:rFonts w:hint="eastAsia" w:cs="宋体"/>
                <w:b/>
                <w:bCs/>
                <w:color w:val="auto"/>
                <w:sz w:val="24"/>
                <w:szCs w:val="24"/>
                <w:highlight w:val="none"/>
              </w:rPr>
              <w:t>数量</w:t>
            </w:r>
          </w:p>
        </w:tc>
        <w:tc>
          <w:tcPr>
            <w:tcW w:w="787" w:type="dxa"/>
            <w:tcBorders>
              <w:top w:val="single" w:color="auto" w:sz="4" w:space="0"/>
              <w:bottom w:val="single" w:color="auto" w:sz="4" w:space="0"/>
            </w:tcBorders>
            <w:noWrap/>
            <w:vAlign w:val="center"/>
          </w:tcPr>
          <w:p w14:paraId="44F9FD48">
            <w:pPr>
              <w:pStyle w:val="11"/>
              <w:tabs>
                <w:tab w:val="left" w:pos="3025"/>
              </w:tabs>
              <w:snapToGrid w:val="0"/>
              <w:spacing w:line="360" w:lineRule="auto"/>
              <w:ind w:firstLine="0" w:firstLineChars="0"/>
              <w:jc w:val="center"/>
              <w:rPr>
                <w:rFonts w:hint="eastAsia" w:eastAsia="宋体" w:cs="宋体"/>
                <w:b/>
                <w:bCs/>
                <w:color w:val="auto"/>
                <w:sz w:val="24"/>
                <w:szCs w:val="24"/>
                <w:highlight w:val="none"/>
                <w:lang w:val="en-US" w:eastAsia="zh-CN"/>
              </w:rPr>
            </w:pPr>
            <w:r>
              <w:rPr>
                <w:rFonts w:hint="eastAsia" w:cs="宋体"/>
                <w:b/>
                <w:bCs/>
                <w:color w:val="auto"/>
                <w:sz w:val="24"/>
                <w:szCs w:val="24"/>
                <w:highlight w:val="none"/>
                <w:lang w:val="en-US" w:eastAsia="zh-CN"/>
              </w:rPr>
              <w:t>序号</w:t>
            </w:r>
          </w:p>
        </w:tc>
        <w:tc>
          <w:tcPr>
            <w:tcW w:w="1482" w:type="dxa"/>
            <w:noWrap/>
            <w:vAlign w:val="center"/>
          </w:tcPr>
          <w:p w14:paraId="5B1F9D00">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名称</w:t>
            </w:r>
          </w:p>
        </w:tc>
        <w:tc>
          <w:tcPr>
            <w:tcW w:w="1143" w:type="dxa"/>
            <w:noWrap/>
            <w:vAlign w:val="center"/>
          </w:tcPr>
          <w:p w14:paraId="028CD7C4">
            <w:pPr>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单位</w:t>
            </w:r>
          </w:p>
        </w:tc>
        <w:tc>
          <w:tcPr>
            <w:tcW w:w="1425" w:type="dxa"/>
            <w:noWrap/>
            <w:vAlign w:val="center"/>
          </w:tcPr>
          <w:p w14:paraId="4C82F2D8">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数量</w:t>
            </w:r>
          </w:p>
        </w:tc>
      </w:tr>
      <w:tr w14:paraId="717F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0F1B729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w:t>
            </w:r>
          </w:p>
        </w:tc>
        <w:tc>
          <w:tcPr>
            <w:tcW w:w="1481" w:type="dxa"/>
            <w:noWrap/>
            <w:vAlign w:val="center"/>
          </w:tcPr>
          <w:p w14:paraId="44539CE1">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大香樟</w:t>
            </w:r>
          </w:p>
        </w:tc>
        <w:tc>
          <w:tcPr>
            <w:tcW w:w="881" w:type="dxa"/>
            <w:noWrap/>
            <w:vAlign w:val="center"/>
          </w:tcPr>
          <w:p w14:paraId="2D4101C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21BC8A87">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11</w:t>
            </w:r>
          </w:p>
        </w:tc>
        <w:tc>
          <w:tcPr>
            <w:tcW w:w="787" w:type="dxa"/>
            <w:tcBorders>
              <w:top w:val="single" w:color="auto" w:sz="4" w:space="0"/>
              <w:bottom w:val="single" w:color="auto" w:sz="4" w:space="0"/>
            </w:tcBorders>
            <w:noWrap/>
            <w:vAlign w:val="center"/>
          </w:tcPr>
          <w:p w14:paraId="34D5A0C5">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26</w:t>
            </w:r>
          </w:p>
        </w:tc>
        <w:tc>
          <w:tcPr>
            <w:tcW w:w="1482" w:type="dxa"/>
            <w:shd w:val="clear" w:color="auto" w:fill="auto"/>
            <w:noWrap/>
            <w:vAlign w:val="center"/>
          </w:tcPr>
          <w:p w14:paraId="470F84AF">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浙江樟</w:t>
            </w:r>
          </w:p>
        </w:tc>
        <w:tc>
          <w:tcPr>
            <w:tcW w:w="1143" w:type="dxa"/>
            <w:shd w:val="clear" w:color="auto" w:fill="auto"/>
            <w:noWrap/>
            <w:vAlign w:val="center"/>
          </w:tcPr>
          <w:p w14:paraId="2D483261">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4D6E1E2D">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204</w:t>
            </w:r>
          </w:p>
        </w:tc>
      </w:tr>
      <w:tr w14:paraId="0569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5308BE81">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2</w:t>
            </w:r>
          </w:p>
        </w:tc>
        <w:tc>
          <w:tcPr>
            <w:tcW w:w="1481" w:type="dxa"/>
            <w:noWrap/>
            <w:vAlign w:val="center"/>
          </w:tcPr>
          <w:p w14:paraId="4AFA9EEE">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香樟</w:t>
            </w:r>
          </w:p>
        </w:tc>
        <w:tc>
          <w:tcPr>
            <w:tcW w:w="881" w:type="dxa"/>
            <w:noWrap/>
            <w:vAlign w:val="center"/>
          </w:tcPr>
          <w:p w14:paraId="2F6CBC82">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13C65E1F">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6</w:t>
            </w:r>
          </w:p>
        </w:tc>
        <w:tc>
          <w:tcPr>
            <w:tcW w:w="787" w:type="dxa"/>
            <w:tcBorders>
              <w:top w:val="single" w:color="auto" w:sz="4" w:space="0"/>
              <w:bottom w:val="single" w:color="auto" w:sz="4" w:space="0"/>
            </w:tcBorders>
            <w:noWrap/>
            <w:vAlign w:val="center"/>
          </w:tcPr>
          <w:p w14:paraId="2F25C39F">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27</w:t>
            </w:r>
          </w:p>
        </w:tc>
        <w:tc>
          <w:tcPr>
            <w:tcW w:w="1482" w:type="dxa"/>
            <w:shd w:val="clear" w:color="auto" w:fill="auto"/>
            <w:noWrap/>
            <w:vAlign w:val="center"/>
          </w:tcPr>
          <w:p w14:paraId="67537C7B">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浙江楠</w:t>
            </w:r>
          </w:p>
        </w:tc>
        <w:tc>
          <w:tcPr>
            <w:tcW w:w="1143" w:type="dxa"/>
            <w:shd w:val="clear" w:color="auto" w:fill="auto"/>
            <w:noWrap/>
            <w:vAlign w:val="center"/>
          </w:tcPr>
          <w:p w14:paraId="362B886C">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1D17EA1D">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50</w:t>
            </w:r>
          </w:p>
        </w:tc>
      </w:tr>
      <w:tr w14:paraId="3662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7453299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3</w:t>
            </w:r>
          </w:p>
        </w:tc>
        <w:tc>
          <w:tcPr>
            <w:tcW w:w="1481" w:type="dxa"/>
            <w:noWrap/>
            <w:vAlign w:val="center"/>
          </w:tcPr>
          <w:p w14:paraId="337B26C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雪松</w:t>
            </w:r>
          </w:p>
        </w:tc>
        <w:tc>
          <w:tcPr>
            <w:tcW w:w="881" w:type="dxa"/>
            <w:noWrap/>
            <w:vAlign w:val="center"/>
          </w:tcPr>
          <w:p w14:paraId="7F3E17F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315032B1">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14</w:t>
            </w:r>
          </w:p>
        </w:tc>
        <w:tc>
          <w:tcPr>
            <w:tcW w:w="787" w:type="dxa"/>
            <w:tcBorders>
              <w:top w:val="single" w:color="auto" w:sz="4" w:space="0"/>
              <w:bottom w:val="single" w:color="auto" w:sz="4" w:space="0"/>
            </w:tcBorders>
            <w:noWrap/>
            <w:vAlign w:val="center"/>
          </w:tcPr>
          <w:p w14:paraId="0EC00A65">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28</w:t>
            </w:r>
          </w:p>
        </w:tc>
        <w:tc>
          <w:tcPr>
            <w:tcW w:w="1482" w:type="dxa"/>
            <w:shd w:val="clear" w:color="auto" w:fill="auto"/>
            <w:noWrap/>
            <w:vAlign w:val="center"/>
          </w:tcPr>
          <w:p w14:paraId="1A81829B">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福建山樱花</w:t>
            </w:r>
          </w:p>
        </w:tc>
        <w:tc>
          <w:tcPr>
            <w:tcW w:w="1143" w:type="dxa"/>
            <w:shd w:val="clear" w:color="auto" w:fill="auto"/>
            <w:noWrap/>
            <w:vAlign w:val="center"/>
          </w:tcPr>
          <w:p w14:paraId="30607744">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0ABCC2A2">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71</w:t>
            </w:r>
          </w:p>
        </w:tc>
      </w:tr>
      <w:tr w14:paraId="456F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26" w:type="dxa"/>
            <w:noWrap/>
            <w:vAlign w:val="center"/>
          </w:tcPr>
          <w:p w14:paraId="410526D0">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4</w:t>
            </w:r>
          </w:p>
        </w:tc>
        <w:tc>
          <w:tcPr>
            <w:tcW w:w="1481" w:type="dxa"/>
            <w:noWrap/>
            <w:vAlign w:val="center"/>
          </w:tcPr>
          <w:p w14:paraId="3190E6F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银杏</w:t>
            </w:r>
          </w:p>
        </w:tc>
        <w:tc>
          <w:tcPr>
            <w:tcW w:w="881" w:type="dxa"/>
            <w:noWrap/>
            <w:vAlign w:val="center"/>
          </w:tcPr>
          <w:p w14:paraId="0A7EBC5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677ACF61">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40</w:t>
            </w:r>
          </w:p>
        </w:tc>
        <w:tc>
          <w:tcPr>
            <w:tcW w:w="787" w:type="dxa"/>
            <w:tcBorders>
              <w:top w:val="single" w:color="auto" w:sz="4" w:space="0"/>
              <w:bottom w:val="single" w:color="auto" w:sz="4" w:space="0"/>
            </w:tcBorders>
            <w:noWrap/>
            <w:vAlign w:val="center"/>
          </w:tcPr>
          <w:p w14:paraId="02452AA4">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29</w:t>
            </w:r>
          </w:p>
        </w:tc>
        <w:tc>
          <w:tcPr>
            <w:tcW w:w="1482" w:type="dxa"/>
            <w:shd w:val="clear" w:color="auto" w:fill="auto"/>
            <w:noWrap/>
            <w:vAlign w:val="center"/>
          </w:tcPr>
          <w:p w14:paraId="57528F87">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红粉家人樱</w:t>
            </w:r>
          </w:p>
        </w:tc>
        <w:tc>
          <w:tcPr>
            <w:tcW w:w="1143" w:type="dxa"/>
            <w:shd w:val="clear" w:color="auto" w:fill="auto"/>
            <w:noWrap/>
            <w:vAlign w:val="center"/>
          </w:tcPr>
          <w:p w14:paraId="5FE57729">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28C73768">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100</w:t>
            </w:r>
          </w:p>
        </w:tc>
      </w:tr>
      <w:tr w14:paraId="4C0A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17D7C47A">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5</w:t>
            </w:r>
          </w:p>
        </w:tc>
        <w:tc>
          <w:tcPr>
            <w:tcW w:w="1481" w:type="dxa"/>
            <w:noWrap/>
            <w:vAlign w:val="center"/>
          </w:tcPr>
          <w:p w14:paraId="0FA30C4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黄山栾树</w:t>
            </w:r>
          </w:p>
        </w:tc>
        <w:tc>
          <w:tcPr>
            <w:tcW w:w="881" w:type="dxa"/>
            <w:noWrap/>
            <w:vAlign w:val="center"/>
          </w:tcPr>
          <w:p w14:paraId="7920DAC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0777C214">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6</w:t>
            </w:r>
          </w:p>
        </w:tc>
        <w:tc>
          <w:tcPr>
            <w:tcW w:w="787" w:type="dxa"/>
            <w:tcBorders>
              <w:top w:val="single" w:color="auto" w:sz="4" w:space="0"/>
              <w:bottom w:val="single" w:color="auto" w:sz="4" w:space="0"/>
            </w:tcBorders>
            <w:noWrap/>
            <w:vAlign w:val="center"/>
          </w:tcPr>
          <w:p w14:paraId="7570C4CA">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30</w:t>
            </w:r>
          </w:p>
        </w:tc>
        <w:tc>
          <w:tcPr>
            <w:tcW w:w="1482" w:type="dxa"/>
            <w:shd w:val="clear" w:color="auto" w:fill="auto"/>
            <w:noWrap/>
            <w:vAlign w:val="center"/>
          </w:tcPr>
          <w:p w14:paraId="1DD24BCA">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rPr>
              <w:t>珊瑚树</w:t>
            </w:r>
          </w:p>
        </w:tc>
        <w:tc>
          <w:tcPr>
            <w:tcW w:w="1143" w:type="dxa"/>
            <w:shd w:val="clear" w:color="auto" w:fill="auto"/>
            <w:noWrap/>
            <w:vAlign w:val="center"/>
          </w:tcPr>
          <w:p w14:paraId="1991CC79">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7D77CE77">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rPr>
              <w:t>19000</w:t>
            </w:r>
          </w:p>
        </w:tc>
      </w:tr>
      <w:tr w14:paraId="7F6F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708BFEA6">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6</w:t>
            </w:r>
          </w:p>
        </w:tc>
        <w:tc>
          <w:tcPr>
            <w:tcW w:w="1481" w:type="dxa"/>
            <w:noWrap/>
            <w:vAlign w:val="center"/>
          </w:tcPr>
          <w:p w14:paraId="660DA99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榉树</w:t>
            </w:r>
          </w:p>
        </w:tc>
        <w:tc>
          <w:tcPr>
            <w:tcW w:w="881" w:type="dxa"/>
            <w:noWrap/>
            <w:vAlign w:val="center"/>
          </w:tcPr>
          <w:p w14:paraId="45778ACA">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4A41BAA0">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119</w:t>
            </w:r>
          </w:p>
        </w:tc>
        <w:tc>
          <w:tcPr>
            <w:tcW w:w="787" w:type="dxa"/>
            <w:tcBorders>
              <w:top w:val="single" w:color="auto" w:sz="4" w:space="0"/>
              <w:bottom w:val="single" w:color="auto" w:sz="4" w:space="0"/>
            </w:tcBorders>
            <w:noWrap/>
            <w:vAlign w:val="center"/>
          </w:tcPr>
          <w:p w14:paraId="6F36AE00">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31</w:t>
            </w:r>
          </w:p>
        </w:tc>
        <w:tc>
          <w:tcPr>
            <w:tcW w:w="1482" w:type="dxa"/>
            <w:shd w:val="clear" w:color="auto" w:fill="auto"/>
            <w:noWrap/>
            <w:vAlign w:val="center"/>
          </w:tcPr>
          <w:p w14:paraId="1F0A1FD1">
            <w:pPr>
              <w:pStyle w:val="11"/>
              <w:tabs>
                <w:tab w:val="left" w:pos="3025"/>
              </w:tabs>
              <w:snapToGrid w:val="0"/>
              <w:spacing w:line="360" w:lineRule="auto"/>
              <w:ind w:firstLine="0" w:firstLine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rPr>
              <w:t>红枫</w:t>
            </w:r>
          </w:p>
        </w:tc>
        <w:tc>
          <w:tcPr>
            <w:tcW w:w="1143" w:type="dxa"/>
            <w:shd w:val="clear" w:color="auto" w:fill="auto"/>
            <w:noWrap/>
            <w:vAlign w:val="center"/>
          </w:tcPr>
          <w:p w14:paraId="38F175DA">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168A411C">
            <w:pPr>
              <w:pStyle w:val="11"/>
              <w:tabs>
                <w:tab w:val="left" w:pos="3025"/>
              </w:tabs>
              <w:snapToGrid w:val="0"/>
              <w:spacing w:line="360" w:lineRule="auto"/>
              <w:ind w:firstLine="0" w:firstLine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rPr>
              <w:t>10</w:t>
            </w:r>
          </w:p>
        </w:tc>
      </w:tr>
      <w:tr w14:paraId="2499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1A96D00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7</w:t>
            </w:r>
          </w:p>
        </w:tc>
        <w:tc>
          <w:tcPr>
            <w:tcW w:w="1481" w:type="dxa"/>
            <w:noWrap/>
            <w:vAlign w:val="center"/>
          </w:tcPr>
          <w:p w14:paraId="3A4160A6">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杜英</w:t>
            </w:r>
          </w:p>
        </w:tc>
        <w:tc>
          <w:tcPr>
            <w:tcW w:w="881" w:type="dxa"/>
            <w:noWrap/>
            <w:vAlign w:val="center"/>
          </w:tcPr>
          <w:p w14:paraId="5EB0F753">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7C71FABA">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49</w:t>
            </w:r>
          </w:p>
        </w:tc>
        <w:tc>
          <w:tcPr>
            <w:tcW w:w="787" w:type="dxa"/>
            <w:tcBorders>
              <w:top w:val="single" w:color="auto" w:sz="4" w:space="0"/>
              <w:bottom w:val="single" w:color="auto" w:sz="4" w:space="0"/>
            </w:tcBorders>
            <w:noWrap/>
            <w:vAlign w:val="center"/>
          </w:tcPr>
          <w:p w14:paraId="76A8C2DE">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32</w:t>
            </w:r>
          </w:p>
        </w:tc>
        <w:tc>
          <w:tcPr>
            <w:tcW w:w="1482" w:type="dxa"/>
            <w:shd w:val="clear" w:color="auto" w:fill="auto"/>
            <w:noWrap/>
            <w:vAlign w:val="center"/>
          </w:tcPr>
          <w:p w14:paraId="1C1B1BAF">
            <w:pPr>
              <w:pStyle w:val="11"/>
              <w:tabs>
                <w:tab w:val="left" w:pos="3025"/>
              </w:tabs>
              <w:snapToGrid w:val="0"/>
              <w:spacing w:line="360" w:lineRule="auto"/>
              <w:ind w:firstLine="0" w:firstLine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rPr>
              <w:t>罗汉松</w:t>
            </w:r>
          </w:p>
        </w:tc>
        <w:tc>
          <w:tcPr>
            <w:tcW w:w="1143" w:type="dxa"/>
            <w:shd w:val="clear" w:color="auto" w:fill="auto"/>
            <w:noWrap/>
            <w:vAlign w:val="center"/>
          </w:tcPr>
          <w:p w14:paraId="60357C95">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1388D54D">
            <w:pPr>
              <w:pStyle w:val="11"/>
              <w:tabs>
                <w:tab w:val="left" w:pos="3025"/>
              </w:tabs>
              <w:snapToGrid w:val="0"/>
              <w:spacing w:line="360" w:lineRule="auto"/>
              <w:ind w:firstLine="0" w:firstLine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rPr>
              <w:t>5</w:t>
            </w:r>
          </w:p>
        </w:tc>
      </w:tr>
      <w:tr w14:paraId="6C27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5FBD7F83">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8</w:t>
            </w:r>
          </w:p>
        </w:tc>
        <w:tc>
          <w:tcPr>
            <w:tcW w:w="1481" w:type="dxa"/>
            <w:noWrap/>
            <w:vAlign w:val="center"/>
          </w:tcPr>
          <w:p w14:paraId="5AB0F5D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水杉</w:t>
            </w:r>
          </w:p>
        </w:tc>
        <w:tc>
          <w:tcPr>
            <w:tcW w:w="881" w:type="dxa"/>
            <w:noWrap/>
            <w:vAlign w:val="center"/>
          </w:tcPr>
          <w:p w14:paraId="0D2FCA0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29CC5471">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185</w:t>
            </w:r>
          </w:p>
        </w:tc>
        <w:tc>
          <w:tcPr>
            <w:tcW w:w="787" w:type="dxa"/>
            <w:tcBorders>
              <w:top w:val="single" w:color="auto" w:sz="4" w:space="0"/>
              <w:bottom w:val="single" w:color="auto" w:sz="4" w:space="0"/>
            </w:tcBorders>
            <w:noWrap/>
            <w:vAlign w:val="center"/>
          </w:tcPr>
          <w:p w14:paraId="05452D1F">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33</w:t>
            </w:r>
          </w:p>
        </w:tc>
        <w:tc>
          <w:tcPr>
            <w:tcW w:w="1482" w:type="dxa"/>
            <w:shd w:val="clear" w:color="auto" w:fill="auto"/>
            <w:noWrap/>
            <w:vAlign w:val="center"/>
          </w:tcPr>
          <w:p w14:paraId="39A1BB8C">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橘树</w:t>
            </w:r>
          </w:p>
        </w:tc>
        <w:tc>
          <w:tcPr>
            <w:tcW w:w="1143" w:type="dxa"/>
            <w:shd w:val="clear" w:color="auto" w:fill="auto"/>
            <w:noWrap/>
            <w:vAlign w:val="center"/>
          </w:tcPr>
          <w:p w14:paraId="4E70ABC7">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2955113F">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300</w:t>
            </w:r>
          </w:p>
        </w:tc>
      </w:tr>
      <w:tr w14:paraId="3C57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5FA7CC0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9</w:t>
            </w:r>
          </w:p>
        </w:tc>
        <w:tc>
          <w:tcPr>
            <w:tcW w:w="1481" w:type="dxa"/>
            <w:noWrap/>
            <w:vAlign w:val="center"/>
          </w:tcPr>
          <w:p w14:paraId="4EA36EF7">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无患子</w:t>
            </w:r>
          </w:p>
        </w:tc>
        <w:tc>
          <w:tcPr>
            <w:tcW w:w="881" w:type="dxa"/>
            <w:noWrap/>
            <w:vAlign w:val="center"/>
          </w:tcPr>
          <w:p w14:paraId="5979180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12109754">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24</w:t>
            </w:r>
          </w:p>
        </w:tc>
        <w:tc>
          <w:tcPr>
            <w:tcW w:w="787" w:type="dxa"/>
            <w:tcBorders>
              <w:top w:val="single" w:color="auto" w:sz="4" w:space="0"/>
              <w:bottom w:val="single" w:color="auto" w:sz="4" w:space="0"/>
            </w:tcBorders>
            <w:noWrap/>
            <w:vAlign w:val="center"/>
          </w:tcPr>
          <w:p w14:paraId="07F60C21">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34</w:t>
            </w:r>
          </w:p>
        </w:tc>
        <w:tc>
          <w:tcPr>
            <w:tcW w:w="1482" w:type="dxa"/>
            <w:shd w:val="clear" w:color="auto" w:fill="auto"/>
            <w:noWrap/>
            <w:vAlign w:val="center"/>
          </w:tcPr>
          <w:p w14:paraId="1AB52774">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柚树</w:t>
            </w:r>
          </w:p>
        </w:tc>
        <w:tc>
          <w:tcPr>
            <w:tcW w:w="1143" w:type="dxa"/>
            <w:shd w:val="clear" w:color="auto" w:fill="auto"/>
            <w:noWrap/>
            <w:vAlign w:val="center"/>
          </w:tcPr>
          <w:p w14:paraId="4FBFC90A">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690025CA">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74D3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72BE729B">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10</w:t>
            </w:r>
          </w:p>
        </w:tc>
        <w:tc>
          <w:tcPr>
            <w:tcW w:w="1481" w:type="dxa"/>
            <w:noWrap/>
            <w:vAlign w:val="center"/>
          </w:tcPr>
          <w:p w14:paraId="6456A54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四季桂</w:t>
            </w:r>
          </w:p>
        </w:tc>
        <w:tc>
          <w:tcPr>
            <w:tcW w:w="881" w:type="dxa"/>
            <w:noWrap/>
            <w:vAlign w:val="center"/>
          </w:tcPr>
          <w:p w14:paraId="2B6B3BDA">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5DE6239A">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35</w:t>
            </w:r>
          </w:p>
        </w:tc>
        <w:tc>
          <w:tcPr>
            <w:tcW w:w="787" w:type="dxa"/>
            <w:tcBorders>
              <w:top w:val="single" w:color="auto" w:sz="4" w:space="0"/>
              <w:bottom w:val="single" w:color="auto" w:sz="4" w:space="0"/>
            </w:tcBorders>
            <w:noWrap/>
            <w:vAlign w:val="center"/>
          </w:tcPr>
          <w:p w14:paraId="5A6B4EFC">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35</w:t>
            </w:r>
          </w:p>
        </w:tc>
        <w:tc>
          <w:tcPr>
            <w:tcW w:w="1482" w:type="dxa"/>
            <w:shd w:val="clear" w:color="auto" w:fill="auto"/>
            <w:noWrap/>
            <w:vAlign w:val="center"/>
          </w:tcPr>
          <w:p w14:paraId="6CA2178E">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李树</w:t>
            </w:r>
          </w:p>
        </w:tc>
        <w:tc>
          <w:tcPr>
            <w:tcW w:w="1143" w:type="dxa"/>
            <w:shd w:val="clear" w:color="auto" w:fill="auto"/>
            <w:noWrap/>
            <w:vAlign w:val="center"/>
          </w:tcPr>
          <w:p w14:paraId="2B088205">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2EBD9D01">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375B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3D817601">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11</w:t>
            </w:r>
          </w:p>
        </w:tc>
        <w:tc>
          <w:tcPr>
            <w:tcW w:w="1481" w:type="dxa"/>
            <w:noWrap/>
            <w:vAlign w:val="center"/>
          </w:tcPr>
          <w:p w14:paraId="78494B93">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日本早樱</w:t>
            </w:r>
          </w:p>
        </w:tc>
        <w:tc>
          <w:tcPr>
            <w:tcW w:w="881" w:type="dxa"/>
            <w:noWrap/>
            <w:vAlign w:val="center"/>
          </w:tcPr>
          <w:p w14:paraId="547427D0">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64A8DFF8">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33</w:t>
            </w:r>
          </w:p>
        </w:tc>
        <w:tc>
          <w:tcPr>
            <w:tcW w:w="787" w:type="dxa"/>
            <w:tcBorders>
              <w:top w:val="single" w:color="auto" w:sz="4" w:space="0"/>
              <w:bottom w:val="single" w:color="auto" w:sz="4" w:space="0"/>
            </w:tcBorders>
            <w:noWrap/>
            <w:vAlign w:val="center"/>
          </w:tcPr>
          <w:p w14:paraId="0FBA094B">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36</w:t>
            </w:r>
          </w:p>
        </w:tc>
        <w:tc>
          <w:tcPr>
            <w:tcW w:w="1482" w:type="dxa"/>
            <w:shd w:val="clear" w:color="auto" w:fill="auto"/>
            <w:noWrap/>
            <w:vAlign w:val="center"/>
          </w:tcPr>
          <w:p w14:paraId="673E9BA1">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梨树</w:t>
            </w:r>
          </w:p>
        </w:tc>
        <w:tc>
          <w:tcPr>
            <w:tcW w:w="1143" w:type="dxa"/>
            <w:shd w:val="clear" w:color="auto" w:fill="auto"/>
            <w:noWrap/>
            <w:vAlign w:val="center"/>
          </w:tcPr>
          <w:p w14:paraId="458D3B90">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310AE0B6">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795C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6F4B538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12</w:t>
            </w:r>
          </w:p>
        </w:tc>
        <w:tc>
          <w:tcPr>
            <w:tcW w:w="1481" w:type="dxa"/>
            <w:noWrap/>
            <w:vAlign w:val="center"/>
          </w:tcPr>
          <w:p w14:paraId="24A893B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碧桃</w:t>
            </w:r>
          </w:p>
        </w:tc>
        <w:tc>
          <w:tcPr>
            <w:tcW w:w="881" w:type="dxa"/>
            <w:noWrap/>
            <w:vAlign w:val="center"/>
          </w:tcPr>
          <w:p w14:paraId="23D0877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539825F7">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47</w:t>
            </w:r>
          </w:p>
        </w:tc>
        <w:tc>
          <w:tcPr>
            <w:tcW w:w="787" w:type="dxa"/>
            <w:tcBorders>
              <w:top w:val="single" w:color="auto" w:sz="4" w:space="0"/>
              <w:bottom w:val="single" w:color="auto" w:sz="4" w:space="0"/>
            </w:tcBorders>
            <w:noWrap/>
            <w:vAlign w:val="center"/>
          </w:tcPr>
          <w:p w14:paraId="43A624EF">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37</w:t>
            </w:r>
          </w:p>
        </w:tc>
        <w:tc>
          <w:tcPr>
            <w:tcW w:w="1482" w:type="dxa"/>
            <w:shd w:val="clear" w:color="auto" w:fill="auto"/>
            <w:noWrap/>
            <w:vAlign w:val="center"/>
          </w:tcPr>
          <w:p w14:paraId="0FD3AB1A">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樱桃树</w:t>
            </w:r>
          </w:p>
        </w:tc>
        <w:tc>
          <w:tcPr>
            <w:tcW w:w="1143" w:type="dxa"/>
            <w:shd w:val="clear" w:color="auto" w:fill="auto"/>
            <w:noWrap/>
            <w:vAlign w:val="center"/>
          </w:tcPr>
          <w:p w14:paraId="25258DED">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1402694B">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2183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58255E2D">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13</w:t>
            </w:r>
          </w:p>
        </w:tc>
        <w:tc>
          <w:tcPr>
            <w:tcW w:w="1481" w:type="dxa"/>
            <w:noWrap/>
            <w:vAlign w:val="center"/>
          </w:tcPr>
          <w:p w14:paraId="764F39C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白花山碧桃</w:t>
            </w:r>
          </w:p>
        </w:tc>
        <w:tc>
          <w:tcPr>
            <w:tcW w:w="881" w:type="dxa"/>
            <w:noWrap/>
            <w:vAlign w:val="center"/>
          </w:tcPr>
          <w:p w14:paraId="71E9B131">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1DA490DB">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787" w:type="dxa"/>
            <w:tcBorders>
              <w:top w:val="single" w:color="auto" w:sz="4" w:space="0"/>
              <w:bottom w:val="single" w:color="auto" w:sz="4" w:space="0"/>
            </w:tcBorders>
            <w:noWrap/>
            <w:vAlign w:val="center"/>
          </w:tcPr>
          <w:p w14:paraId="7234E9D3">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38</w:t>
            </w:r>
          </w:p>
        </w:tc>
        <w:tc>
          <w:tcPr>
            <w:tcW w:w="1482" w:type="dxa"/>
            <w:shd w:val="clear" w:color="auto" w:fill="auto"/>
            <w:noWrap/>
            <w:vAlign w:val="center"/>
          </w:tcPr>
          <w:p w14:paraId="09D6AAC4">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柿子树</w:t>
            </w:r>
          </w:p>
        </w:tc>
        <w:tc>
          <w:tcPr>
            <w:tcW w:w="1143" w:type="dxa"/>
            <w:shd w:val="clear" w:color="auto" w:fill="auto"/>
            <w:noWrap/>
            <w:vAlign w:val="center"/>
          </w:tcPr>
          <w:p w14:paraId="7A279180">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555AA858">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50</w:t>
            </w:r>
          </w:p>
        </w:tc>
      </w:tr>
      <w:tr w14:paraId="6333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02678C5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14</w:t>
            </w:r>
          </w:p>
        </w:tc>
        <w:tc>
          <w:tcPr>
            <w:tcW w:w="1481" w:type="dxa"/>
            <w:noWrap/>
            <w:vAlign w:val="center"/>
          </w:tcPr>
          <w:p w14:paraId="708A7B1B">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大紫薇</w:t>
            </w:r>
          </w:p>
        </w:tc>
        <w:tc>
          <w:tcPr>
            <w:tcW w:w="881" w:type="dxa"/>
            <w:noWrap/>
            <w:vAlign w:val="center"/>
          </w:tcPr>
          <w:p w14:paraId="3F705CD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3CDC867F">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24</w:t>
            </w:r>
          </w:p>
        </w:tc>
        <w:tc>
          <w:tcPr>
            <w:tcW w:w="787" w:type="dxa"/>
            <w:tcBorders>
              <w:top w:val="single" w:color="auto" w:sz="4" w:space="0"/>
              <w:bottom w:val="single" w:color="auto" w:sz="4" w:space="0"/>
            </w:tcBorders>
            <w:noWrap/>
            <w:vAlign w:val="center"/>
          </w:tcPr>
          <w:p w14:paraId="1E0E2175">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39</w:t>
            </w:r>
          </w:p>
        </w:tc>
        <w:tc>
          <w:tcPr>
            <w:tcW w:w="1482" w:type="dxa"/>
            <w:shd w:val="clear" w:color="auto" w:fill="auto"/>
            <w:noWrap/>
            <w:vAlign w:val="center"/>
          </w:tcPr>
          <w:p w14:paraId="084E4776">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枇杷树</w:t>
            </w:r>
          </w:p>
        </w:tc>
        <w:tc>
          <w:tcPr>
            <w:tcW w:w="1143" w:type="dxa"/>
            <w:shd w:val="clear" w:color="auto" w:fill="auto"/>
            <w:noWrap/>
            <w:vAlign w:val="center"/>
          </w:tcPr>
          <w:p w14:paraId="4AE89980">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498F7BA5">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5493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6046496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15</w:t>
            </w:r>
          </w:p>
        </w:tc>
        <w:tc>
          <w:tcPr>
            <w:tcW w:w="1481" w:type="dxa"/>
            <w:noWrap/>
            <w:vAlign w:val="center"/>
          </w:tcPr>
          <w:p w14:paraId="613277C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紫薇</w:t>
            </w:r>
          </w:p>
        </w:tc>
        <w:tc>
          <w:tcPr>
            <w:tcW w:w="881" w:type="dxa"/>
            <w:noWrap/>
            <w:vAlign w:val="center"/>
          </w:tcPr>
          <w:p w14:paraId="4D68159A">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2CBFE21F">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17</w:t>
            </w:r>
          </w:p>
        </w:tc>
        <w:tc>
          <w:tcPr>
            <w:tcW w:w="787" w:type="dxa"/>
            <w:tcBorders>
              <w:top w:val="single" w:color="auto" w:sz="4" w:space="0"/>
              <w:bottom w:val="single" w:color="auto" w:sz="4" w:space="0"/>
            </w:tcBorders>
            <w:noWrap/>
            <w:vAlign w:val="center"/>
          </w:tcPr>
          <w:p w14:paraId="25F32823">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40</w:t>
            </w:r>
          </w:p>
        </w:tc>
        <w:tc>
          <w:tcPr>
            <w:tcW w:w="1482" w:type="dxa"/>
            <w:shd w:val="clear" w:color="auto" w:fill="auto"/>
            <w:noWrap/>
            <w:vAlign w:val="center"/>
          </w:tcPr>
          <w:p w14:paraId="62458A93">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杨梅树</w:t>
            </w:r>
          </w:p>
        </w:tc>
        <w:tc>
          <w:tcPr>
            <w:tcW w:w="1143" w:type="dxa"/>
            <w:shd w:val="clear" w:color="auto" w:fill="auto"/>
            <w:noWrap/>
            <w:vAlign w:val="center"/>
          </w:tcPr>
          <w:p w14:paraId="7FC1A56E">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4757CA2F">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7F87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4B73FE7A">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16</w:t>
            </w:r>
          </w:p>
        </w:tc>
        <w:tc>
          <w:tcPr>
            <w:tcW w:w="1481" w:type="dxa"/>
            <w:noWrap/>
            <w:vAlign w:val="center"/>
          </w:tcPr>
          <w:p w14:paraId="234ECDB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花石榴</w:t>
            </w:r>
          </w:p>
        </w:tc>
        <w:tc>
          <w:tcPr>
            <w:tcW w:w="881" w:type="dxa"/>
            <w:noWrap/>
            <w:vAlign w:val="center"/>
          </w:tcPr>
          <w:p w14:paraId="156EB4D1">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7BB2B79A">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19</w:t>
            </w:r>
          </w:p>
        </w:tc>
        <w:tc>
          <w:tcPr>
            <w:tcW w:w="787" w:type="dxa"/>
            <w:tcBorders>
              <w:top w:val="single" w:color="auto" w:sz="4" w:space="0"/>
              <w:bottom w:val="single" w:color="auto" w:sz="4" w:space="0"/>
            </w:tcBorders>
            <w:noWrap/>
            <w:vAlign w:val="center"/>
          </w:tcPr>
          <w:p w14:paraId="749B6C8E">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41</w:t>
            </w:r>
          </w:p>
        </w:tc>
        <w:tc>
          <w:tcPr>
            <w:tcW w:w="1482" w:type="dxa"/>
            <w:shd w:val="clear" w:color="auto" w:fill="auto"/>
            <w:noWrap/>
            <w:vAlign w:val="center"/>
          </w:tcPr>
          <w:p w14:paraId="3B2BC638">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桃树</w:t>
            </w:r>
          </w:p>
        </w:tc>
        <w:tc>
          <w:tcPr>
            <w:tcW w:w="1143" w:type="dxa"/>
            <w:shd w:val="clear" w:color="auto" w:fill="auto"/>
            <w:noWrap/>
            <w:vAlign w:val="center"/>
          </w:tcPr>
          <w:p w14:paraId="0D9A3A98">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3A3114D5">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3F98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04C2F35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17</w:t>
            </w:r>
          </w:p>
        </w:tc>
        <w:tc>
          <w:tcPr>
            <w:tcW w:w="1481" w:type="dxa"/>
            <w:noWrap/>
            <w:vAlign w:val="center"/>
          </w:tcPr>
          <w:p w14:paraId="419BB35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木槿</w:t>
            </w:r>
          </w:p>
        </w:tc>
        <w:tc>
          <w:tcPr>
            <w:tcW w:w="881" w:type="dxa"/>
            <w:noWrap/>
            <w:vAlign w:val="center"/>
          </w:tcPr>
          <w:p w14:paraId="6F95E1DB">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5D400218">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rPr>
              <w:t>1</w:t>
            </w:r>
            <w:r>
              <w:rPr>
                <w:rFonts w:hint="eastAsia" w:cs="宋体"/>
                <w:color w:val="auto"/>
                <w:sz w:val="24"/>
                <w:szCs w:val="24"/>
                <w:highlight w:val="none"/>
                <w:lang w:val="en-US" w:eastAsia="zh-CN"/>
              </w:rPr>
              <w:t>1</w:t>
            </w:r>
          </w:p>
        </w:tc>
        <w:tc>
          <w:tcPr>
            <w:tcW w:w="787" w:type="dxa"/>
            <w:tcBorders>
              <w:top w:val="single" w:color="auto" w:sz="4" w:space="0"/>
              <w:bottom w:val="single" w:color="auto" w:sz="4" w:space="0"/>
            </w:tcBorders>
            <w:noWrap/>
            <w:vAlign w:val="center"/>
          </w:tcPr>
          <w:p w14:paraId="4341062E">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42</w:t>
            </w:r>
          </w:p>
        </w:tc>
        <w:tc>
          <w:tcPr>
            <w:tcW w:w="1482" w:type="dxa"/>
            <w:shd w:val="clear" w:color="auto" w:fill="auto"/>
            <w:noWrap/>
            <w:vAlign w:val="center"/>
          </w:tcPr>
          <w:p w14:paraId="7699BCF5">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橙</w:t>
            </w:r>
          </w:p>
        </w:tc>
        <w:tc>
          <w:tcPr>
            <w:tcW w:w="1143" w:type="dxa"/>
            <w:shd w:val="clear" w:color="auto" w:fill="auto"/>
            <w:noWrap/>
            <w:vAlign w:val="center"/>
          </w:tcPr>
          <w:p w14:paraId="1491CC01">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26B013D2">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100</w:t>
            </w:r>
          </w:p>
        </w:tc>
      </w:tr>
      <w:tr w14:paraId="26BA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4BF8AFF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18</w:t>
            </w:r>
          </w:p>
        </w:tc>
        <w:tc>
          <w:tcPr>
            <w:tcW w:w="1481" w:type="dxa"/>
            <w:noWrap/>
            <w:vAlign w:val="center"/>
          </w:tcPr>
          <w:p w14:paraId="4C1CF42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大红枫</w:t>
            </w:r>
          </w:p>
        </w:tc>
        <w:tc>
          <w:tcPr>
            <w:tcW w:w="881" w:type="dxa"/>
            <w:noWrap/>
            <w:vAlign w:val="center"/>
          </w:tcPr>
          <w:p w14:paraId="544CBD0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464E770A">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2</w:t>
            </w:r>
          </w:p>
        </w:tc>
        <w:tc>
          <w:tcPr>
            <w:tcW w:w="787" w:type="dxa"/>
            <w:tcBorders>
              <w:top w:val="single" w:color="auto" w:sz="4" w:space="0"/>
              <w:bottom w:val="single" w:color="auto" w:sz="4" w:space="0"/>
            </w:tcBorders>
            <w:noWrap/>
            <w:vAlign w:val="center"/>
          </w:tcPr>
          <w:p w14:paraId="68D680FB">
            <w:pPr>
              <w:pStyle w:val="11"/>
              <w:tabs>
                <w:tab w:val="left" w:pos="3025"/>
              </w:tabs>
              <w:snapToGrid w:val="0"/>
              <w:spacing w:line="360" w:lineRule="auto"/>
              <w:ind w:firstLine="0" w:firstLineChars="0"/>
              <w:jc w:val="center"/>
              <w:rPr>
                <w:rFonts w:hint="default" w:cs="宋体"/>
                <w:color w:val="auto"/>
                <w:sz w:val="24"/>
                <w:szCs w:val="24"/>
                <w:highlight w:val="none"/>
              </w:rPr>
            </w:pPr>
            <w:r>
              <w:rPr>
                <w:rFonts w:hint="eastAsia" w:ascii="宋体" w:hAnsi="宋体" w:eastAsia="宋体" w:cs="宋体"/>
                <w:color w:val="auto"/>
                <w:sz w:val="24"/>
                <w:szCs w:val="24"/>
                <w:highlight w:val="none"/>
                <w:lang w:val="en-US" w:eastAsia="zh-CN"/>
              </w:rPr>
              <w:t>43</w:t>
            </w:r>
          </w:p>
        </w:tc>
        <w:tc>
          <w:tcPr>
            <w:tcW w:w="1482" w:type="dxa"/>
            <w:shd w:val="clear" w:color="auto" w:fill="auto"/>
            <w:noWrap/>
            <w:vAlign w:val="center"/>
          </w:tcPr>
          <w:p w14:paraId="48C644E4">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无花果树</w:t>
            </w:r>
          </w:p>
        </w:tc>
        <w:tc>
          <w:tcPr>
            <w:tcW w:w="1143" w:type="dxa"/>
            <w:shd w:val="clear" w:color="auto" w:fill="auto"/>
            <w:noWrap/>
            <w:vAlign w:val="center"/>
          </w:tcPr>
          <w:p w14:paraId="49D6049F">
            <w:pPr>
              <w:pStyle w:val="11"/>
              <w:tabs>
                <w:tab w:val="left" w:pos="3025"/>
              </w:tabs>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rPr>
              <w:t>株</w:t>
            </w:r>
          </w:p>
        </w:tc>
        <w:tc>
          <w:tcPr>
            <w:tcW w:w="1425" w:type="dxa"/>
            <w:shd w:val="clear" w:color="auto" w:fill="auto"/>
            <w:noWrap/>
            <w:vAlign w:val="center"/>
          </w:tcPr>
          <w:p w14:paraId="3979B439">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50</w:t>
            </w:r>
          </w:p>
        </w:tc>
      </w:tr>
      <w:tr w14:paraId="2E65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67238D0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19</w:t>
            </w:r>
          </w:p>
        </w:tc>
        <w:tc>
          <w:tcPr>
            <w:tcW w:w="1481" w:type="dxa"/>
            <w:noWrap/>
            <w:vAlign w:val="center"/>
          </w:tcPr>
          <w:p w14:paraId="01EF7212">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鸡爪槭</w:t>
            </w:r>
          </w:p>
        </w:tc>
        <w:tc>
          <w:tcPr>
            <w:tcW w:w="881" w:type="dxa"/>
            <w:noWrap/>
            <w:vAlign w:val="center"/>
          </w:tcPr>
          <w:p w14:paraId="2B2C95D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640027EB">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86</w:t>
            </w:r>
          </w:p>
        </w:tc>
        <w:tc>
          <w:tcPr>
            <w:tcW w:w="787" w:type="dxa"/>
            <w:tcBorders>
              <w:top w:val="single" w:color="auto" w:sz="4" w:space="0"/>
              <w:bottom w:val="single" w:color="auto" w:sz="4" w:space="0"/>
            </w:tcBorders>
            <w:noWrap/>
            <w:vAlign w:val="center"/>
          </w:tcPr>
          <w:p w14:paraId="52D714E3">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3D8194BC">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69AA851D">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72A23027">
            <w:pPr>
              <w:jc w:val="center"/>
              <w:rPr>
                <w:rFonts w:hint="eastAsia" w:ascii="宋体" w:hAnsi="宋体" w:eastAsia="宋体" w:cs="宋体"/>
                <w:color w:val="auto"/>
                <w:kern w:val="2"/>
                <w:sz w:val="24"/>
                <w:szCs w:val="24"/>
                <w:highlight w:val="none"/>
                <w:lang w:val="en-US" w:eastAsia="zh-CN" w:bidi="ar-SA"/>
              </w:rPr>
            </w:pPr>
          </w:p>
        </w:tc>
      </w:tr>
      <w:tr w14:paraId="662B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49518413">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20</w:t>
            </w:r>
          </w:p>
        </w:tc>
        <w:tc>
          <w:tcPr>
            <w:tcW w:w="1481" w:type="dxa"/>
            <w:noWrap/>
            <w:vAlign w:val="center"/>
          </w:tcPr>
          <w:p w14:paraId="50CDD7D2">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海棠</w:t>
            </w:r>
          </w:p>
        </w:tc>
        <w:tc>
          <w:tcPr>
            <w:tcW w:w="881" w:type="dxa"/>
            <w:noWrap/>
            <w:vAlign w:val="center"/>
          </w:tcPr>
          <w:p w14:paraId="3F51C75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68023BCD">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6</w:t>
            </w:r>
          </w:p>
        </w:tc>
        <w:tc>
          <w:tcPr>
            <w:tcW w:w="787" w:type="dxa"/>
            <w:tcBorders>
              <w:top w:val="single" w:color="auto" w:sz="4" w:space="0"/>
              <w:bottom w:val="single" w:color="auto" w:sz="4" w:space="0"/>
            </w:tcBorders>
            <w:noWrap/>
            <w:vAlign w:val="center"/>
          </w:tcPr>
          <w:p w14:paraId="420CC720">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4BDA23C1">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0299A3B3">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3BDBD2BF">
            <w:pPr>
              <w:jc w:val="center"/>
              <w:rPr>
                <w:rFonts w:hint="eastAsia" w:ascii="宋体" w:hAnsi="宋体" w:eastAsia="宋体" w:cs="宋体"/>
                <w:color w:val="auto"/>
                <w:kern w:val="2"/>
                <w:sz w:val="24"/>
                <w:szCs w:val="24"/>
                <w:highlight w:val="none"/>
                <w:lang w:val="en-US" w:eastAsia="zh-CN" w:bidi="ar-SA"/>
              </w:rPr>
            </w:pPr>
          </w:p>
        </w:tc>
      </w:tr>
      <w:tr w14:paraId="3939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0B9E8E77">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21</w:t>
            </w:r>
          </w:p>
        </w:tc>
        <w:tc>
          <w:tcPr>
            <w:tcW w:w="1481" w:type="dxa"/>
            <w:noWrap/>
            <w:vAlign w:val="center"/>
          </w:tcPr>
          <w:p w14:paraId="7713AA40">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紫荆</w:t>
            </w:r>
          </w:p>
        </w:tc>
        <w:tc>
          <w:tcPr>
            <w:tcW w:w="881" w:type="dxa"/>
            <w:noWrap/>
            <w:vAlign w:val="center"/>
          </w:tcPr>
          <w:p w14:paraId="6B1B273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64DDD190">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3</w:t>
            </w:r>
          </w:p>
        </w:tc>
        <w:tc>
          <w:tcPr>
            <w:tcW w:w="787" w:type="dxa"/>
            <w:tcBorders>
              <w:top w:val="single" w:color="auto" w:sz="4" w:space="0"/>
              <w:bottom w:val="single" w:color="auto" w:sz="4" w:space="0"/>
            </w:tcBorders>
            <w:noWrap/>
            <w:vAlign w:val="center"/>
          </w:tcPr>
          <w:p w14:paraId="050E2E28">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05BCE937">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05C76CA4">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4D670260">
            <w:pPr>
              <w:jc w:val="center"/>
              <w:rPr>
                <w:rFonts w:hint="eastAsia" w:ascii="宋体" w:hAnsi="宋体" w:eastAsia="宋体" w:cs="宋体"/>
                <w:color w:val="auto"/>
                <w:kern w:val="2"/>
                <w:sz w:val="24"/>
                <w:szCs w:val="24"/>
                <w:highlight w:val="none"/>
                <w:lang w:val="en-US" w:eastAsia="zh-CN" w:bidi="ar-SA"/>
              </w:rPr>
            </w:pPr>
          </w:p>
        </w:tc>
      </w:tr>
      <w:tr w14:paraId="4D27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3085B824">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22</w:t>
            </w:r>
          </w:p>
        </w:tc>
        <w:tc>
          <w:tcPr>
            <w:tcW w:w="1481" w:type="dxa"/>
            <w:noWrap/>
            <w:vAlign w:val="center"/>
          </w:tcPr>
          <w:p w14:paraId="081FC9CF">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酒瓶椰</w:t>
            </w:r>
          </w:p>
        </w:tc>
        <w:tc>
          <w:tcPr>
            <w:tcW w:w="881" w:type="dxa"/>
            <w:noWrap/>
            <w:vAlign w:val="center"/>
          </w:tcPr>
          <w:p w14:paraId="0C771AB5">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13668C37">
            <w:pPr>
              <w:pStyle w:val="11"/>
              <w:tabs>
                <w:tab w:val="left" w:pos="3025"/>
              </w:tabs>
              <w:snapToGrid w:val="0"/>
              <w:spacing w:line="360" w:lineRule="auto"/>
              <w:ind w:firstLine="0" w:firstLineChars="0"/>
              <w:jc w:val="center"/>
              <w:rPr>
                <w:rFonts w:hint="eastAsia" w:eastAsia="宋体" w:cs="宋体"/>
                <w:color w:val="auto"/>
                <w:sz w:val="24"/>
                <w:szCs w:val="24"/>
                <w:highlight w:val="none"/>
                <w:lang w:eastAsia="zh-CN"/>
              </w:rPr>
            </w:pPr>
            <w:r>
              <w:rPr>
                <w:rFonts w:hint="eastAsia" w:cs="宋体"/>
                <w:color w:val="auto"/>
                <w:sz w:val="24"/>
                <w:szCs w:val="24"/>
                <w:highlight w:val="none"/>
                <w:lang w:val="en-US" w:eastAsia="zh-CN"/>
              </w:rPr>
              <w:t>2</w:t>
            </w:r>
          </w:p>
        </w:tc>
        <w:tc>
          <w:tcPr>
            <w:tcW w:w="787" w:type="dxa"/>
            <w:tcBorders>
              <w:top w:val="single" w:color="auto" w:sz="4" w:space="0"/>
              <w:bottom w:val="single" w:color="auto" w:sz="4" w:space="0"/>
            </w:tcBorders>
            <w:noWrap/>
            <w:vAlign w:val="center"/>
          </w:tcPr>
          <w:p w14:paraId="45A9BCF7">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11B0D4A8">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4B66F2E7">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65AEDE10">
            <w:pPr>
              <w:jc w:val="center"/>
              <w:rPr>
                <w:rFonts w:hint="eastAsia" w:ascii="宋体" w:hAnsi="宋体" w:eastAsia="宋体" w:cs="宋体"/>
                <w:color w:val="auto"/>
                <w:kern w:val="2"/>
                <w:sz w:val="24"/>
                <w:szCs w:val="24"/>
                <w:highlight w:val="none"/>
                <w:lang w:val="en-US" w:eastAsia="zh-CN" w:bidi="ar-SA"/>
              </w:rPr>
            </w:pPr>
          </w:p>
        </w:tc>
      </w:tr>
      <w:tr w14:paraId="3995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2D31C608">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23</w:t>
            </w:r>
          </w:p>
        </w:tc>
        <w:tc>
          <w:tcPr>
            <w:tcW w:w="1481" w:type="dxa"/>
            <w:noWrap/>
            <w:vAlign w:val="center"/>
          </w:tcPr>
          <w:p w14:paraId="3EA43A1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红叶石楠树</w:t>
            </w:r>
          </w:p>
        </w:tc>
        <w:tc>
          <w:tcPr>
            <w:tcW w:w="881" w:type="dxa"/>
            <w:noWrap/>
            <w:vAlign w:val="center"/>
          </w:tcPr>
          <w:p w14:paraId="677242A9">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2803CDFE">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5</w:t>
            </w:r>
          </w:p>
        </w:tc>
        <w:tc>
          <w:tcPr>
            <w:tcW w:w="787" w:type="dxa"/>
            <w:tcBorders>
              <w:top w:val="single" w:color="auto" w:sz="4" w:space="0"/>
              <w:bottom w:val="single" w:color="auto" w:sz="4" w:space="0"/>
            </w:tcBorders>
            <w:noWrap/>
            <w:vAlign w:val="center"/>
          </w:tcPr>
          <w:p w14:paraId="64583E51">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76F4077F">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51CA5139">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52F269B7">
            <w:pPr>
              <w:jc w:val="center"/>
              <w:rPr>
                <w:rFonts w:hint="eastAsia" w:ascii="宋体" w:hAnsi="宋体" w:eastAsia="宋体" w:cs="宋体"/>
                <w:color w:val="auto"/>
                <w:kern w:val="2"/>
                <w:sz w:val="24"/>
                <w:szCs w:val="24"/>
                <w:highlight w:val="none"/>
                <w:lang w:val="en-US" w:eastAsia="zh-CN" w:bidi="ar-SA"/>
              </w:rPr>
            </w:pPr>
          </w:p>
        </w:tc>
      </w:tr>
      <w:tr w14:paraId="6B0A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321F82BA">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24</w:t>
            </w:r>
          </w:p>
        </w:tc>
        <w:tc>
          <w:tcPr>
            <w:tcW w:w="1481" w:type="dxa"/>
            <w:noWrap/>
            <w:vAlign w:val="center"/>
          </w:tcPr>
          <w:p w14:paraId="394E9DA3">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罗汉松</w:t>
            </w:r>
          </w:p>
        </w:tc>
        <w:tc>
          <w:tcPr>
            <w:tcW w:w="881" w:type="dxa"/>
            <w:noWrap/>
            <w:vAlign w:val="center"/>
          </w:tcPr>
          <w:p w14:paraId="4D638CC8">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1EF6FFB5">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w:t>
            </w:r>
          </w:p>
        </w:tc>
        <w:tc>
          <w:tcPr>
            <w:tcW w:w="787" w:type="dxa"/>
            <w:tcBorders>
              <w:top w:val="single" w:color="auto" w:sz="4" w:space="0"/>
              <w:bottom w:val="single" w:color="auto" w:sz="4" w:space="0"/>
            </w:tcBorders>
            <w:noWrap/>
            <w:vAlign w:val="center"/>
          </w:tcPr>
          <w:p w14:paraId="226BF1F2">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6975524D">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1906C974">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658CC936">
            <w:pPr>
              <w:jc w:val="center"/>
              <w:rPr>
                <w:rFonts w:hint="eastAsia" w:ascii="宋体" w:hAnsi="宋体" w:eastAsia="宋体" w:cs="宋体"/>
                <w:color w:val="auto"/>
                <w:kern w:val="2"/>
                <w:sz w:val="24"/>
                <w:szCs w:val="24"/>
                <w:highlight w:val="none"/>
                <w:lang w:val="en-US" w:eastAsia="zh-CN" w:bidi="ar-SA"/>
              </w:rPr>
            </w:pPr>
          </w:p>
        </w:tc>
      </w:tr>
      <w:tr w14:paraId="3685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6" w:type="dxa"/>
            <w:noWrap/>
            <w:vAlign w:val="center"/>
          </w:tcPr>
          <w:p w14:paraId="25F065BC">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25</w:t>
            </w:r>
          </w:p>
        </w:tc>
        <w:tc>
          <w:tcPr>
            <w:tcW w:w="1481" w:type="dxa"/>
            <w:noWrap/>
            <w:vAlign w:val="center"/>
          </w:tcPr>
          <w:p w14:paraId="57DD18AC">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枸骨</w:t>
            </w:r>
          </w:p>
        </w:tc>
        <w:tc>
          <w:tcPr>
            <w:tcW w:w="881" w:type="dxa"/>
            <w:noWrap/>
            <w:vAlign w:val="center"/>
          </w:tcPr>
          <w:p w14:paraId="091129D7">
            <w:pPr>
              <w:pStyle w:val="11"/>
              <w:tabs>
                <w:tab w:val="left" w:pos="3025"/>
              </w:tabs>
              <w:snapToGrid w:val="0"/>
              <w:spacing w:line="360" w:lineRule="auto"/>
              <w:ind w:firstLine="0" w:firstLineChars="0"/>
              <w:jc w:val="center"/>
              <w:rPr>
                <w:rFonts w:hint="eastAsia" w:cs="宋体"/>
                <w:color w:val="auto"/>
                <w:sz w:val="24"/>
                <w:szCs w:val="24"/>
                <w:highlight w:val="none"/>
              </w:rPr>
            </w:pPr>
            <w:r>
              <w:rPr>
                <w:rFonts w:hint="eastAsia" w:cs="宋体"/>
                <w:color w:val="auto"/>
                <w:sz w:val="24"/>
                <w:szCs w:val="24"/>
                <w:highlight w:val="none"/>
              </w:rPr>
              <w:t>株</w:t>
            </w:r>
          </w:p>
        </w:tc>
        <w:tc>
          <w:tcPr>
            <w:tcW w:w="844" w:type="dxa"/>
            <w:noWrap/>
            <w:vAlign w:val="center"/>
          </w:tcPr>
          <w:p w14:paraId="7105CADA">
            <w:pPr>
              <w:pStyle w:val="11"/>
              <w:tabs>
                <w:tab w:val="left" w:pos="3025"/>
              </w:tabs>
              <w:snapToGrid w:val="0"/>
              <w:spacing w:line="360" w:lineRule="auto"/>
              <w:ind w:firstLine="0" w:firstLineChars="0"/>
              <w:jc w:val="center"/>
              <w:rPr>
                <w:rFonts w:hint="eastAsia" w:eastAsia="宋体" w:cs="宋体"/>
                <w:color w:val="auto"/>
                <w:sz w:val="24"/>
                <w:szCs w:val="24"/>
                <w:highlight w:val="none"/>
                <w:lang w:val="en-US" w:eastAsia="zh-CN"/>
              </w:rPr>
            </w:pPr>
            <w:r>
              <w:rPr>
                <w:rFonts w:hint="eastAsia" w:cs="宋体"/>
                <w:color w:val="auto"/>
                <w:sz w:val="24"/>
                <w:szCs w:val="24"/>
                <w:highlight w:val="none"/>
                <w:lang w:val="en-US" w:eastAsia="zh-CN"/>
              </w:rPr>
              <w:t>4</w:t>
            </w:r>
          </w:p>
        </w:tc>
        <w:tc>
          <w:tcPr>
            <w:tcW w:w="787" w:type="dxa"/>
            <w:tcBorders>
              <w:top w:val="single" w:color="auto" w:sz="4" w:space="0"/>
              <w:bottom w:val="single" w:color="auto" w:sz="4" w:space="0"/>
            </w:tcBorders>
            <w:noWrap/>
            <w:vAlign w:val="center"/>
          </w:tcPr>
          <w:p w14:paraId="65D7963F">
            <w:pPr>
              <w:pStyle w:val="11"/>
              <w:tabs>
                <w:tab w:val="left" w:pos="3025"/>
              </w:tabs>
              <w:snapToGrid w:val="0"/>
              <w:spacing w:line="360" w:lineRule="auto"/>
              <w:ind w:firstLine="0" w:firstLineChars="0"/>
              <w:jc w:val="center"/>
              <w:rPr>
                <w:rFonts w:hint="eastAsia" w:cs="宋体"/>
                <w:color w:val="auto"/>
                <w:sz w:val="24"/>
                <w:szCs w:val="24"/>
                <w:highlight w:val="none"/>
              </w:rPr>
            </w:pPr>
          </w:p>
        </w:tc>
        <w:tc>
          <w:tcPr>
            <w:tcW w:w="1482" w:type="dxa"/>
            <w:shd w:val="clear" w:color="auto" w:fill="auto"/>
            <w:noWrap/>
            <w:vAlign w:val="center"/>
          </w:tcPr>
          <w:p w14:paraId="0DFCDDCF">
            <w:pPr>
              <w:jc w:val="center"/>
              <w:rPr>
                <w:rFonts w:hint="eastAsia" w:ascii="宋体" w:hAnsi="宋体" w:eastAsia="宋体" w:cs="宋体"/>
                <w:color w:val="auto"/>
                <w:kern w:val="2"/>
                <w:sz w:val="24"/>
                <w:szCs w:val="24"/>
                <w:highlight w:val="none"/>
                <w:lang w:val="en-US" w:eastAsia="zh-CN" w:bidi="ar-SA"/>
              </w:rPr>
            </w:pPr>
          </w:p>
        </w:tc>
        <w:tc>
          <w:tcPr>
            <w:tcW w:w="1143" w:type="dxa"/>
            <w:shd w:val="clear" w:color="auto" w:fill="auto"/>
            <w:noWrap/>
            <w:vAlign w:val="center"/>
          </w:tcPr>
          <w:p w14:paraId="39A9E973">
            <w:pPr>
              <w:jc w:val="center"/>
              <w:rPr>
                <w:rFonts w:hint="eastAsia" w:ascii="宋体" w:hAnsi="宋体" w:eastAsia="宋体" w:cs="宋体"/>
                <w:color w:val="auto"/>
                <w:kern w:val="2"/>
                <w:sz w:val="24"/>
                <w:szCs w:val="24"/>
                <w:highlight w:val="none"/>
                <w:lang w:val="en-US" w:eastAsia="zh-CN" w:bidi="ar-SA"/>
              </w:rPr>
            </w:pPr>
          </w:p>
        </w:tc>
        <w:tc>
          <w:tcPr>
            <w:tcW w:w="1425" w:type="dxa"/>
            <w:shd w:val="clear" w:color="auto" w:fill="auto"/>
            <w:noWrap/>
            <w:vAlign w:val="center"/>
          </w:tcPr>
          <w:p w14:paraId="2445B82D">
            <w:pPr>
              <w:jc w:val="center"/>
              <w:rPr>
                <w:rFonts w:hint="eastAsia" w:ascii="宋体" w:hAnsi="宋体" w:eastAsia="宋体" w:cs="宋体"/>
                <w:color w:val="auto"/>
                <w:kern w:val="2"/>
                <w:sz w:val="24"/>
                <w:szCs w:val="24"/>
                <w:highlight w:val="none"/>
                <w:lang w:val="en-US" w:eastAsia="zh-CN" w:bidi="ar-SA"/>
              </w:rPr>
            </w:pPr>
          </w:p>
        </w:tc>
      </w:tr>
    </w:tbl>
    <w:p w14:paraId="7974EDF9">
      <w:pPr>
        <w:rPr>
          <w:color w:val="auto"/>
          <w:highlight w:val="none"/>
        </w:rPr>
      </w:pPr>
    </w:p>
    <w:p w14:paraId="03E16F12">
      <w:pPr>
        <w:pStyle w:val="5"/>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2.3.2单位</w:t>
      </w:r>
      <w:r>
        <w:rPr>
          <w:rFonts w:hint="eastAsia" w:ascii="宋体" w:hAnsi="宋体" w:eastAsia="宋体" w:cs="宋体"/>
          <w:color w:val="auto"/>
          <w:sz w:val="24"/>
          <w:szCs w:val="24"/>
          <w:highlight w:val="none"/>
        </w:rPr>
        <w:t>要求</w:t>
      </w:r>
    </w:p>
    <w:p w14:paraId="4FAE998A">
      <w:pPr>
        <w:spacing w:before="0" w:after="0" w:line="360" w:lineRule="auto"/>
        <w:ind w:firstLine="48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经营范围包括园林绿化养护类项目</w:t>
      </w:r>
      <w:r>
        <w:rPr>
          <w:rFonts w:hint="eastAsia" w:ascii="宋体" w:hAnsi="宋体" w:cs="宋体"/>
          <w:color w:val="auto"/>
          <w:sz w:val="24"/>
          <w:szCs w:val="24"/>
          <w:highlight w:val="none"/>
        </w:rPr>
        <w:t>。</w:t>
      </w:r>
    </w:p>
    <w:p w14:paraId="3C0444A7">
      <w:pPr>
        <w:pStyle w:val="5"/>
        <w:spacing w:before="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2.3.3养护目标</w:t>
      </w:r>
    </w:p>
    <w:p w14:paraId="471B5E9A">
      <w:pPr>
        <w:snapToGrid w:val="0"/>
        <w:spacing w:line="360" w:lineRule="auto"/>
        <w:ind w:firstLine="480" w:firstLineChars="200"/>
        <w:rPr>
          <w:rFonts w:hint="eastAsia" w:ascii="宋体" w:hAnsi="宋体" w:cs="宋体"/>
          <w:color w:val="auto"/>
          <w:szCs w:val="21"/>
          <w:highlight w:val="none"/>
        </w:rPr>
      </w:pPr>
      <w:r>
        <w:rPr>
          <w:rFonts w:hint="eastAsia" w:ascii="宋体" w:hAnsi="宋体" w:cs="宋体"/>
          <w:bCs/>
          <w:color w:val="auto"/>
          <w:sz w:val="24"/>
          <w:szCs w:val="24"/>
          <w:highlight w:val="none"/>
        </w:rPr>
        <w:t>工程室外景观绿化面积</w:t>
      </w:r>
      <w:r>
        <w:rPr>
          <w:rFonts w:hint="eastAsia" w:ascii="宋体" w:hAnsi="宋体" w:cs="宋体"/>
          <w:color w:val="auto"/>
          <w:sz w:val="24"/>
          <w:szCs w:val="24"/>
          <w:highlight w:val="none"/>
        </w:rPr>
        <w:t>192500m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w:t>
      </w:r>
      <w:r>
        <w:rPr>
          <w:rFonts w:hint="eastAsia" w:ascii="宋体" w:hAnsi="宋体" w:cs="宋体"/>
          <w:bCs/>
          <w:color w:val="auto"/>
          <w:sz w:val="24"/>
          <w:szCs w:val="24"/>
          <w:highlight w:val="none"/>
          <w:lang w:val="en-US" w:eastAsia="zh-CN"/>
        </w:rPr>
        <w:t>需</w:t>
      </w:r>
      <w:r>
        <w:rPr>
          <w:rFonts w:hint="eastAsia" w:ascii="宋体" w:hAnsi="宋体" w:cs="宋体"/>
          <w:bCs/>
          <w:color w:val="auto"/>
          <w:sz w:val="24"/>
          <w:szCs w:val="24"/>
          <w:highlight w:val="none"/>
        </w:rPr>
        <w:t>发挥</w:t>
      </w:r>
      <w:r>
        <w:rPr>
          <w:rFonts w:hint="eastAsia" w:ascii="宋体" w:hAnsi="宋体" w:cs="宋体"/>
          <w:bCs/>
          <w:color w:val="auto"/>
          <w:sz w:val="24"/>
          <w:szCs w:val="24"/>
          <w:highlight w:val="none"/>
          <w:lang w:eastAsia="zh-CN"/>
        </w:rPr>
        <w:t>室外环境养护</w:t>
      </w:r>
      <w:r>
        <w:rPr>
          <w:rFonts w:hint="eastAsia" w:ascii="宋体" w:hAnsi="宋体" w:cs="宋体"/>
          <w:bCs/>
          <w:color w:val="auto"/>
          <w:sz w:val="24"/>
          <w:szCs w:val="24"/>
          <w:highlight w:val="none"/>
        </w:rPr>
        <w:t>专业队伍的优势，按《杭州市城区绿地养护质量标准》一级公共绿地标准进行养护</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确保养护质量</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在养护范围内无动物圈养。杭州数字城管平台、12345市长热线等政府部门的投诉案卷，需要在投诉案件规定时间内完成整改反馈。</w:t>
      </w:r>
    </w:p>
    <w:p w14:paraId="4EE216D1">
      <w:pPr>
        <w:pStyle w:val="5"/>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工作要求</w:t>
      </w:r>
    </w:p>
    <w:p w14:paraId="63CCFE32">
      <w:pPr>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①劳动力配置要求</w:t>
      </w:r>
    </w:p>
    <w:p w14:paraId="0F0B3317">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为了更好完成保养任务，设绿化保养经验丰富的</w:t>
      </w:r>
      <w:r>
        <w:rPr>
          <w:rFonts w:hint="eastAsia" w:ascii="宋体" w:hAnsi="宋体" w:cs="宋体"/>
          <w:color w:val="auto"/>
          <w:sz w:val="24"/>
          <w:szCs w:val="24"/>
          <w:highlight w:val="none"/>
          <w:lang w:eastAsia="zh-CN"/>
        </w:rPr>
        <w:t>负责</w:t>
      </w:r>
      <w:r>
        <w:rPr>
          <w:rFonts w:hint="eastAsia" w:ascii="宋体" w:hAnsi="宋体" w:cs="宋体"/>
          <w:color w:val="auto"/>
          <w:sz w:val="24"/>
          <w:szCs w:val="24"/>
          <w:highlight w:val="none"/>
          <w:lang w:val="en-US" w:eastAsia="zh-CN"/>
        </w:rPr>
        <w:t>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班组长</w:t>
      </w:r>
      <w:r>
        <w:rPr>
          <w:rFonts w:hint="eastAsia" w:ascii="宋体" w:hAnsi="宋体" w:cs="宋体"/>
          <w:color w:val="auto"/>
          <w:sz w:val="24"/>
          <w:szCs w:val="24"/>
          <w:highlight w:val="none"/>
          <w:lang w:eastAsia="zh-CN"/>
        </w:rPr>
        <w:t>各1名</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组织</w:t>
      </w:r>
      <w:r>
        <w:rPr>
          <w:rFonts w:hint="eastAsia" w:ascii="宋体" w:hAnsi="宋体" w:cs="宋体"/>
          <w:color w:val="auto"/>
          <w:sz w:val="24"/>
          <w:szCs w:val="24"/>
          <w:highlight w:val="none"/>
        </w:rPr>
        <w:t>做好各项保养工作。绿化日常养护</w:t>
      </w:r>
      <w:r>
        <w:rPr>
          <w:rFonts w:hint="eastAsia" w:ascii="宋体" w:hAnsi="宋体" w:cs="宋体"/>
          <w:color w:val="auto"/>
          <w:sz w:val="24"/>
          <w:szCs w:val="24"/>
          <w:highlight w:val="none"/>
          <w:lang w:val="en-US" w:eastAsia="zh-CN"/>
        </w:rPr>
        <w:t>现场养护人员不少于</w:t>
      </w:r>
      <w:r>
        <w:rPr>
          <w:rFonts w:hint="eastAsia" w:ascii="宋体" w:hAnsi="宋体" w:cs="宋体"/>
          <w:color w:val="auto"/>
          <w:sz w:val="24"/>
          <w:szCs w:val="24"/>
          <w:highlight w:val="none"/>
        </w:rPr>
        <w:t>1</w:t>
      </w:r>
      <w:r>
        <w:rPr>
          <w:rFonts w:hint="eastAsia" w:ascii="宋体" w:hAnsi="宋体" w:cs="宋体"/>
          <w:color w:val="auto"/>
          <w:sz w:val="24"/>
          <w:szCs w:val="24"/>
          <w:highlight w:val="none"/>
          <w:lang w:eastAsia="zh-CN"/>
        </w:rPr>
        <w:t>5</w:t>
      </w:r>
      <w:r>
        <w:rPr>
          <w:rFonts w:hint="eastAsia" w:ascii="宋体" w:hAnsi="宋体" w:cs="宋体"/>
          <w:color w:val="auto"/>
          <w:sz w:val="24"/>
          <w:szCs w:val="24"/>
          <w:highlight w:val="none"/>
        </w:rPr>
        <w:t>人，有季节性变化、重大检查、接待、国家级水管单位验收的重要情况需要增加投入保障。每月</w:t>
      </w:r>
      <w:r>
        <w:rPr>
          <w:rFonts w:hint="eastAsia" w:ascii="宋体" w:hAnsi="宋体" w:cs="宋体"/>
          <w:color w:val="auto"/>
          <w:sz w:val="24"/>
          <w:szCs w:val="24"/>
          <w:highlight w:val="none"/>
          <w:lang w:val="en-US" w:eastAsia="zh-CN"/>
        </w:rPr>
        <w:t>定期</w:t>
      </w:r>
      <w:r>
        <w:rPr>
          <w:rFonts w:hint="eastAsia" w:ascii="宋体" w:hAnsi="宋体" w:cs="宋体"/>
          <w:color w:val="auto"/>
          <w:sz w:val="24"/>
          <w:szCs w:val="24"/>
          <w:highlight w:val="none"/>
        </w:rPr>
        <w:t>上报</w:t>
      </w:r>
      <w:r>
        <w:rPr>
          <w:rFonts w:hint="eastAsia" w:ascii="宋体" w:hAnsi="宋体" w:cs="宋体"/>
          <w:color w:val="auto"/>
          <w:sz w:val="24"/>
          <w:szCs w:val="24"/>
          <w:highlight w:val="none"/>
          <w:lang w:eastAsia="zh-CN"/>
        </w:rPr>
        <w:t>室外环境养护</w:t>
      </w:r>
      <w:r>
        <w:rPr>
          <w:rFonts w:hint="eastAsia" w:ascii="宋体" w:hAnsi="宋体" w:cs="宋体"/>
          <w:color w:val="auto"/>
          <w:sz w:val="24"/>
          <w:szCs w:val="24"/>
          <w:highlight w:val="none"/>
        </w:rPr>
        <w:t>工作计划</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并按计划开展养护工作</w:t>
      </w:r>
      <w:r>
        <w:rPr>
          <w:rFonts w:hint="eastAsia" w:ascii="宋体" w:hAnsi="宋体" w:cs="宋体"/>
          <w:color w:val="auto"/>
          <w:sz w:val="24"/>
          <w:szCs w:val="24"/>
          <w:highlight w:val="none"/>
          <w:lang w:eastAsia="zh-CN"/>
        </w:rPr>
        <w:t>。</w:t>
      </w:r>
    </w:p>
    <w:p w14:paraId="1FCBAD9F">
      <w:pPr>
        <w:pStyle w:val="59"/>
        <w:spacing w:line="360" w:lineRule="auto"/>
        <w:jc w:val="center"/>
        <w:rPr>
          <w:rFonts w:hAnsi="宋体" w:eastAsia="宋体" w:cs="仿宋"/>
          <w:b/>
          <w:bCs/>
          <w:color w:val="auto"/>
          <w:sz w:val="24"/>
          <w:szCs w:val="24"/>
          <w:highlight w:val="none"/>
        </w:rPr>
      </w:pPr>
      <w:r>
        <w:rPr>
          <w:rFonts w:hint="eastAsia" w:hAnsi="宋体" w:eastAsia="宋体" w:cs="仿宋"/>
          <w:b/>
          <w:bCs/>
          <w:color w:val="auto"/>
          <w:sz w:val="24"/>
          <w:szCs w:val="24"/>
          <w:highlight w:val="none"/>
        </w:rPr>
        <w:t>月度维修养护工作计划安排表</w:t>
      </w:r>
    </w:p>
    <w:tbl>
      <w:tblPr>
        <w:tblStyle w:val="20"/>
        <w:tblW w:w="9831" w:type="dxa"/>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89"/>
        <w:gridCol w:w="290"/>
        <w:gridCol w:w="289"/>
        <w:gridCol w:w="290"/>
        <w:gridCol w:w="290"/>
        <w:gridCol w:w="289"/>
        <w:gridCol w:w="290"/>
        <w:gridCol w:w="289"/>
        <w:gridCol w:w="290"/>
        <w:gridCol w:w="290"/>
        <w:gridCol w:w="289"/>
        <w:gridCol w:w="290"/>
        <w:gridCol w:w="289"/>
        <w:gridCol w:w="290"/>
        <w:gridCol w:w="290"/>
        <w:gridCol w:w="289"/>
        <w:gridCol w:w="290"/>
        <w:gridCol w:w="289"/>
        <w:gridCol w:w="290"/>
        <w:gridCol w:w="290"/>
        <w:gridCol w:w="289"/>
        <w:gridCol w:w="290"/>
        <w:gridCol w:w="289"/>
        <w:gridCol w:w="290"/>
        <w:gridCol w:w="290"/>
        <w:gridCol w:w="289"/>
        <w:gridCol w:w="290"/>
        <w:gridCol w:w="289"/>
        <w:gridCol w:w="290"/>
        <w:gridCol w:w="290"/>
      </w:tblGrid>
      <w:tr w14:paraId="3787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exact"/>
        </w:trPr>
        <w:tc>
          <w:tcPr>
            <w:tcW w:w="1143" w:type="dxa"/>
            <w:tcBorders>
              <w:top w:val="single" w:color="auto" w:sz="4" w:space="0"/>
              <w:left w:val="single" w:color="auto" w:sz="4" w:space="0"/>
              <w:bottom w:val="single" w:color="auto" w:sz="4" w:space="0"/>
              <w:right w:val="single" w:color="auto" w:sz="4" w:space="0"/>
            </w:tcBorders>
            <w:vAlign w:val="center"/>
          </w:tcPr>
          <w:p w14:paraId="560C5AD0">
            <w:pPr>
              <w:snapToGrid w:val="0"/>
              <w:spacing w:line="360" w:lineRule="auto"/>
              <w:ind w:firstLine="240" w:firstLineChars="100"/>
              <w:jc w:val="left"/>
              <w:rPr>
                <w:rFonts w:ascii="宋体" w:hAnsi="宋体" w:cs="仿宋"/>
                <w:color w:val="auto"/>
                <w:sz w:val="24"/>
                <w:highlight w:val="none"/>
              </w:rPr>
            </w:pPr>
            <w:r>
              <w:rPr>
                <w:rFonts w:hint="eastAsia" w:ascii="宋体" w:hAnsi="宋体" w:cs="仿宋"/>
                <w:color w:val="auto"/>
                <w:sz w:val="24"/>
                <w:highlight w:val="none"/>
              </w:rPr>
              <w:t>日期</w:t>
            </w:r>
          </w:p>
          <w:p w14:paraId="6FE46896">
            <w:pPr>
              <w:snapToGrid w:val="0"/>
              <w:spacing w:line="360" w:lineRule="auto"/>
              <w:jc w:val="left"/>
              <w:rPr>
                <w:rFonts w:ascii="宋体" w:hAnsi="宋体" w:cs="仿宋"/>
                <w:color w:val="auto"/>
                <w:sz w:val="24"/>
                <w:highlight w:val="none"/>
              </w:rPr>
            </w:pPr>
            <w:r>
              <w:rPr>
                <w:rFonts w:hint="eastAsia" w:ascii="宋体" w:hAnsi="宋体" w:cs="仿宋"/>
                <w:color w:val="auto"/>
                <w:sz w:val="24"/>
                <w:highlight w:val="none"/>
              </w:rPr>
              <w:t>项目</w:t>
            </w:r>
          </w:p>
        </w:tc>
        <w:tc>
          <w:tcPr>
            <w:tcW w:w="289" w:type="dxa"/>
            <w:tcBorders>
              <w:top w:val="single" w:color="auto" w:sz="4" w:space="0"/>
              <w:left w:val="single" w:color="auto" w:sz="4" w:space="0"/>
              <w:bottom w:val="single" w:color="auto" w:sz="4" w:space="0"/>
              <w:right w:val="single" w:color="auto" w:sz="4" w:space="0"/>
            </w:tcBorders>
            <w:vAlign w:val="center"/>
          </w:tcPr>
          <w:p w14:paraId="611D2987">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w:t>
            </w:r>
          </w:p>
        </w:tc>
        <w:tc>
          <w:tcPr>
            <w:tcW w:w="290" w:type="dxa"/>
            <w:tcBorders>
              <w:top w:val="single" w:color="auto" w:sz="4" w:space="0"/>
              <w:left w:val="single" w:color="auto" w:sz="4" w:space="0"/>
              <w:bottom w:val="single" w:color="auto" w:sz="4" w:space="0"/>
              <w:right w:val="single" w:color="auto" w:sz="4" w:space="0"/>
            </w:tcBorders>
            <w:vAlign w:val="center"/>
          </w:tcPr>
          <w:p w14:paraId="35EF0800">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w:t>
            </w:r>
          </w:p>
        </w:tc>
        <w:tc>
          <w:tcPr>
            <w:tcW w:w="289" w:type="dxa"/>
            <w:tcBorders>
              <w:top w:val="single" w:color="auto" w:sz="4" w:space="0"/>
              <w:left w:val="single" w:color="auto" w:sz="4" w:space="0"/>
              <w:bottom w:val="single" w:color="auto" w:sz="4" w:space="0"/>
              <w:right w:val="single" w:color="auto" w:sz="4" w:space="0"/>
            </w:tcBorders>
            <w:vAlign w:val="center"/>
          </w:tcPr>
          <w:p w14:paraId="3EA96455">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3</w:t>
            </w:r>
          </w:p>
        </w:tc>
        <w:tc>
          <w:tcPr>
            <w:tcW w:w="290" w:type="dxa"/>
            <w:tcBorders>
              <w:top w:val="single" w:color="auto" w:sz="4" w:space="0"/>
              <w:left w:val="single" w:color="auto" w:sz="4" w:space="0"/>
              <w:bottom w:val="single" w:color="auto" w:sz="4" w:space="0"/>
              <w:right w:val="single" w:color="auto" w:sz="4" w:space="0"/>
            </w:tcBorders>
            <w:vAlign w:val="center"/>
          </w:tcPr>
          <w:p w14:paraId="30E4ED7A">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4</w:t>
            </w:r>
          </w:p>
        </w:tc>
        <w:tc>
          <w:tcPr>
            <w:tcW w:w="290" w:type="dxa"/>
            <w:tcBorders>
              <w:top w:val="single" w:color="auto" w:sz="4" w:space="0"/>
              <w:left w:val="single" w:color="auto" w:sz="4" w:space="0"/>
              <w:bottom w:val="single" w:color="auto" w:sz="4" w:space="0"/>
              <w:right w:val="single" w:color="auto" w:sz="4" w:space="0"/>
            </w:tcBorders>
            <w:vAlign w:val="center"/>
          </w:tcPr>
          <w:p w14:paraId="4674B21C">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5</w:t>
            </w:r>
          </w:p>
        </w:tc>
        <w:tc>
          <w:tcPr>
            <w:tcW w:w="289" w:type="dxa"/>
            <w:tcBorders>
              <w:top w:val="single" w:color="auto" w:sz="4" w:space="0"/>
              <w:left w:val="single" w:color="auto" w:sz="4" w:space="0"/>
              <w:bottom w:val="single" w:color="auto" w:sz="4" w:space="0"/>
              <w:right w:val="single" w:color="auto" w:sz="4" w:space="0"/>
            </w:tcBorders>
            <w:vAlign w:val="center"/>
          </w:tcPr>
          <w:p w14:paraId="6680A391">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6</w:t>
            </w:r>
          </w:p>
        </w:tc>
        <w:tc>
          <w:tcPr>
            <w:tcW w:w="290" w:type="dxa"/>
            <w:tcBorders>
              <w:top w:val="single" w:color="auto" w:sz="4" w:space="0"/>
              <w:left w:val="single" w:color="auto" w:sz="4" w:space="0"/>
              <w:bottom w:val="single" w:color="auto" w:sz="4" w:space="0"/>
              <w:right w:val="single" w:color="auto" w:sz="4" w:space="0"/>
            </w:tcBorders>
            <w:vAlign w:val="center"/>
          </w:tcPr>
          <w:p w14:paraId="42A244C4">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7</w:t>
            </w:r>
          </w:p>
        </w:tc>
        <w:tc>
          <w:tcPr>
            <w:tcW w:w="289" w:type="dxa"/>
            <w:tcBorders>
              <w:top w:val="single" w:color="auto" w:sz="4" w:space="0"/>
              <w:left w:val="single" w:color="auto" w:sz="4" w:space="0"/>
              <w:bottom w:val="single" w:color="auto" w:sz="4" w:space="0"/>
              <w:right w:val="single" w:color="auto" w:sz="4" w:space="0"/>
            </w:tcBorders>
            <w:vAlign w:val="center"/>
          </w:tcPr>
          <w:p w14:paraId="0C9B508A">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8</w:t>
            </w:r>
          </w:p>
        </w:tc>
        <w:tc>
          <w:tcPr>
            <w:tcW w:w="290" w:type="dxa"/>
            <w:tcBorders>
              <w:top w:val="single" w:color="auto" w:sz="4" w:space="0"/>
              <w:left w:val="single" w:color="auto" w:sz="4" w:space="0"/>
              <w:bottom w:val="single" w:color="auto" w:sz="4" w:space="0"/>
              <w:right w:val="single" w:color="auto" w:sz="4" w:space="0"/>
            </w:tcBorders>
            <w:vAlign w:val="center"/>
          </w:tcPr>
          <w:p w14:paraId="157CEF30">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9</w:t>
            </w:r>
          </w:p>
        </w:tc>
        <w:tc>
          <w:tcPr>
            <w:tcW w:w="290" w:type="dxa"/>
            <w:tcBorders>
              <w:top w:val="single" w:color="auto" w:sz="4" w:space="0"/>
              <w:left w:val="single" w:color="auto" w:sz="4" w:space="0"/>
              <w:bottom w:val="single" w:color="auto" w:sz="4" w:space="0"/>
              <w:right w:val="single" w:color="auto" w:sz="4" w:space="0"/>
            </w:tcBorders>
            <w:vAlign w:val="center"/>
          </w:tcPr>
          <w:p w14:paraId="11C73C6F">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10</w:t>
            </w:r>
          </w:p>
        </w:tc>
        <w:tc>
          <w:tcPr>
            <w:tcW w:w="289" w:type="dxa"/>
            <w:tcBorders>
              <w:top w:val="single" w:color="auto" w:sz="4" w:space="0"/>
              <w:left w:val="single" w:color="auto" w:sz="4" w:space="0"/>
              <w:bottom w:val="single" w:color="auto" w:sz="4" w:space="0"/>
              <w:right w:val="single" w:color="auto" w:sz="4" w:space="0"/>
            </w:tcBorders>
            <w:vAlign w:val="center"/>
          </w:tcPr>
          <w:p w14:paraId="38AD83B5">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11</w:t>
            </w:r>
          </w:p>
        </w:tc>
        <w:tc>
          <w:tcPr>
            <w:tcW w:w="290" w:type="dxa"/>
            <w:tcBorders>
              <w:top w:val="single" w:color="auto" w:sz="4" w:space="0"/>
              <w:left w:val="single" w:color="auto" w:sz="4" w:space="0"/>
              <w:bottom w:val="single" w:color="auto" w:sz="4" w:space="0"/>
              <w:right w:val="single" w:color="auto" w:sz="4" w:space="0"/>
            </w:tcBorders>
            <w:vAlign w:val="center"/>
          </w:tcPr>
          <w:p w14:paraId="072CEED8">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12</w:t>
            </w:r>
          </w:p>
        </w:tc>
        <w:tc>
          <w:tcPr>
            <w:tcW w:w="289" w:type="dxa"/>
            <w:tcBorders>
              <w:top w:val="single" w:color="auto" w:sz="4" w:space="0"/>
              <w:left w:val="single" w:color="auto" w:sz="4" w:space="0"/>
              <w:bottom w:val="single" w:color="auto" w:sz="4" w:space="0"/>
              <w:right w:val="single" w:color="auto" w:sz="4" w:space="0"/>
            </w:tcBorders>
            <w:vAlign w:val="center"/>
          </w:tcPr>
          <w:p w14:paraId="3A08E24C">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13</w:t>
            </w:r>
          </w:p>
        </w:tc>
        <w:tc>
          <w:tcPr>
            <w:tcW w:w="290" w:type="dxa"/>
            <w:tcBorders>
              <w:top w:val="single" w:color="auto" w:sz="4" w:space="0"/>
              <w:left w:val="single" w:color="auto" w:sz="4" w:space="0"/>
              <w:bottom w:val="single" w:color="auto" w:sz="4" w:space="0"/>
              <w:right w:val="single" w:color="auto" w:sz="4" w:space="0"/>
            </w:tcBorders>
            <w:vAlign w:val="center"/>
          </w:tcPr>
          <w:p w14:paraId="73823300">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14</w:t>
            </w:r>
          </w:p>
        </w:tc>
        <w:tc>
          <w:tcPr>
            <w:tcW w:w="290" w:type="dxa"/>
            <w:tcBorders>
              <w:top w:val="single" w:color="auto" w:sz="4" w:space="0"/>
              <w:left w:val="single" w:color="auto" w:sz="4" w:space="0"/>
              <w:bottom w:val="single" w:color="auto" w:sz="4" w:space="0"/>
              <w:right w:val="single" w:color="auto" w:sz="4" w:space="0"/>
            </w:tcBorders>
            <w:vAlign w:val="center"/>
          </w:tcPr>
          <w:p w14:paraId="6E016773">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15</w:t>
            </w:r>
          </w:p>
        </w:tc>
        <w:tc>
          <w:tcPr>
            <w:tcW w:w="289" w:type="dxa"/>
            <w:tcBorders>
              <w:top w:val="single" w:color="auto" w:sz="4" w:space="0"/>
              <w:left w:val="single" w:color="auto" w:sz="4" w:space="0"/>
              <w:bottom w:val="single" w:color="auto" w:sz="4" w:space="0"/>
              <w:right w:val="single" w:color="auto" w:sz="4" w:space="0"/>
            </w:tcBorders>
            <w:vAlign w:val="center"/>
          </w:tcPr>
          <w:p w14:paraId="48195812">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16</w:t>
            </w:r>
          </w:p>
        </w:tc>
        <w:tc>
          <w:tcPr>
            <w:tcW w:w="290" w:type="dxa"/>
            <w:tcBorders>
              <w:top w:val="single" w:color="auto" w:sz="4" w:space="0"/>
              <w:left w:val="single" w:color="auto" w:sz="4" w:space="0"/>
              <w:bottom w:val="single" w:color="auto" w:sz="4" w:space="0"/>
              <w:right w:val="single" w:color="auto" w:sz="4" w:space="0"/>
            </w:tcBorders>
            <w:vAlign w:val="center"/>
          </w:tcPr>
          <w:p w14:paraId="631E40AC">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17</w:t>
            </w:r>
          </w:p>
        </w:tc>
        <w:tc>
          <w:tcPr>
            <w:tcW w:w="289" w:type="dxa"/>
            <w:tcBorders>
              <w:top w:val="single" w:color="auto" w:sz="4" w:space="0"/>
              <w:left w:val="single" w:color="auto" w:sz="4" w:space="0"/>
              <w:bottom w:val="single" w:color="auto" w:sz="4" w:space="0"/>
              <w:right w:val="single" w:color="auto" w:sz="4" w:space="0"/>
            </w:tcBorders>
            <w:vAlign w:val="center"/>
          </w:tcPr>
          <w:p w14:paraId="0215B38D">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18</w:t>
            </w:r>
          </w:p>
        </w:tc>
        <w:tc>
          <w:tcPr>
            <w:tcW w:w="290" w:type="dxa"/>
            <w:tcBorders>
              <w:top w:val="single" w:color="auto" w:sz="4" w:space="0"/>
              <w:left w:val="single" w:color="auto" w:sz="4" w:space="0"/>
              <w:bottom w:val="single" w:color="auto" w:sz="4" w:space="0"/>
              <w:right w:val="single" w:color="auto" w:sz="4" w:space="0"/>
            </w:tcBorders>
            <w:vAlign w:val="center"/>
          </w:tcPr>
          <w:p w14:paraId="118D54FD">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19</w:t>
            </w:r>
          </w:p>
        </w:tc>
        <w:tc>
          <w:tcPr>
            <w:tcW w:w="290" w:type="dxa"/>
            <w:tcBorders>
              <w:top w:val="single" w:color="auto" w:sz="4" w:space="0"/>
              <w:left w:val="single" w:color="auto" w:sz="4" w:space="0"/>
              <w:bottom w:val="single" w:color="auto" w:sz="4" w:space="0"/>
              <w:right w:val="single" w:color="auto" w:sz="4" w:space="0"/>
            </w:tcBorders>
            <w:vAlign w:val="center"/>
          </w:tcPr>
          <w:p w14:paraId="56B072D6">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20</w:t>
            </w:r>
          </w:p>
        </w:tc>
        <w:tc>
          <w:tcPr>
            <w:tcW w:w="289" w:type="dxa"/>
            <w:tcBorders>
              <w:top w:val="single" w:color="auto" w:sz="4" w:space="0"/>
              <w:left w:val="single" w:color="auto" w:sz="4" w:space="0"/>
              <w:bottom w:val="single" w:color="auto" w:sz="4" w:space="0"/>
              <w:right w:val="single" w:color="auto" w:sz="4" w:space="0"/>
            </w:tcBorders>
            <w:vAlign w:val="center"/>
          </w:tcPr>
          <w:p w14:paraId="0C8C6BBB">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21</w:t>
            </w:r>
          </w:p>
        </w:tc>
        <w:tc>
          <w:tcPr>
            <w:tcW w:w="290" w:type="dxa"/>
            <w:tcBorders>
              <w:top w:val="single" w:color="auto" w:sz="4" w:space="0"/>
              <w:left w:val="single" w:color="auto" w:sz="4" w:space="0"/>
              <w:bottom w:val="single" w:color="auto" w:sz="4" w:space="0"/>
              <w:right w:val="single" w:color="auto" w:sz="4" w:space="0"/>
            </w:tcBorders>
            <w:vAlign w:val="center"/>
          </w:tcPr>
          <w:p w14:paraId="25EBA3D6">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22</w:t>
            </w:r>
          </w:p>
        </w:tc>
        <w:tc>
          <w:tcPr>
            <w:tcW w:w="289" w:type="dxa"/>
            <w:tcBorders>
              <w:top w:val="single" w:color="auto" w:sz="4" w:space="0"/>
              <w:left w:val="single" w:color="auto" w:sz="4" w:space="0"/>
              <w:bottom w:val="single" w:color="auto" w:sz="4" w:space="0"/>
              <w:right w:val="single" w:color="auto" w:sz="4" w:space="0"/>
            </w:tcBorders>
            <w:vAlign w:val="center"/>
          </w:tcPr>
          <w:p w14:paraId="57B127DF">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23</w:t>
            </w:r>
          </w:p>
        </w:tc>
        <w:tc>
          <w:tcPr>
            <w:tcW w:w="290" w:type="dxa"/>
            <w:tcBorders>
              <w:top w:val="single" w:color="auto" w:sz="4" w:space="0"/>
              <w:left w:val="single" w:color="auto" w:sz="4" w:space="0"/>
              <w:bottom w:val="single" w:color="auto" w:sz="4" w:space="0"/>
              <w:right w:val="single" w:color="auto" w:sz="4" w:space="0"/>
            </w:tcBorders>
            <w:vAlign w:val="center"/>
          </w:tcPr>
          <w:p w14:paraId="112451D7">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24</w:t>
            </w:r>
          </w:p>
        </w:tc>
        <w:tc>
          <w:tcPr>
            <w:tcW w:w="290" w:type="dxa"/>
            <w:tcBorders>
              <w:top w:val="single" w:color="auto" w:sz="4" w:space="0"/>
              <w:left w:val="single" w:color="auto" w:sz="4" w:space="0"/>
              <w:bottom w:val="single" w:color="auto" w:sz="4" w:space="0"/>
              <w:right w:val="single" w:color="auto" w:sz="4" w:space="0"/>
            </w:tcBorders>
            <w:vAlign w:val="center"/>
          </w:tcPr>
          <w:p w14:paraId="30C1851A">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25</w:t>
            </w:r>
          </w:p>
        </w:tc>
        <w:tc>
          <w:tcPr>
            <w:tcW w:w="289" w:type="dxa"/>
            <w:tcBorders>
              <w:top w:val="single" w:color="auto" w:sz="4" w:space="0"/>
              <w:left w:val="single" w:color="auto" w:sz="4" w:space="0"/>
              <w:bottom w:val="single" w:color="auto" w:sz="4" w:space="0"/>
              <w:right w:val="single" w:color="auto" w:sz="4" w:space="0"/>
            </w:tcBorders>
            <w:vAlign w:val="center"/>
          </w:tcPr>
          <w:p w14:paraId="76FC78E6">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26</w:t>
            </w:r>
          </w:p>
        </w:tc>
        <w:tc>
          <w:tcPr>
            <w:tcW w:w="290" w:type="dxa"/>
            <w:tcBorders>
              <w:top w:val="single" w:color="auto" w:sz="4" w:space="0"/>
              <w:left w:val="single" w:color="auto" w:sz="4" w:space="0"/>
              <w:bottom w:val="single" w:color="auto" w:sz="4" w:space="0"/>
              <w:right w:val="single" w:color="auto" w:sz="4" w:space="0"/>
            </w:tcBorders>
            <w:vAlign w:val="center"/>
          </w:tcPr>
          <w:p w14:paraId="39DE0E62">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27</w:t>
            </w:r>
          </w:p>
        </w:tc>
        <w:tc>
          <w:tcPr>
            <w:tcW w:w="289" w:type="dxa"/>
            <w:tcBorders>
              <w:top w:val="single" w:color="auto" w:sz="4" w:space="0"/>
              <w:left w:val="single" w:color="auto" w:sz="4" w:space="0"/>
              <w:bottom w:val="single" w:color="auto" w:sz="4" w:space="0"/>
              <w:right w:val="single" w:color="auto" w:sz="4" w:space="0"/>
            </w:tcBorders>
            <w:vAlign w:val="center"/>
          </w:tcPr>
          <w:p w14:paraId="10F8FE70">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28</w:t>
            </w:r>
          </w:p>
        </w:tc>
        <w:tc>
          <w:tcPr>
            <w:tcW w:w="290" w:type="dxa"/>
            <w:tcBorders>
              <w:top w:val="single" w:color="auto" w:sz="4" w:space="0"/>
              <w:left w:val="single" w:color="auto" w:sz="4" w:space="0"/>
              <w:bottom w:val="single" w:color="auto" w:sz="4" w:space="0"/>
              <w:right w:val="single" w:color="auto" w:sz="4" w:space="0"/>
            </w:tcBorders>
            <w:vAlign w:val="center"/>
          </w:tcPr>
          <w:p w14:paraId="1E256CBE">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29</w:t>
            </w:r>
          </w:p>
        </w:tc>
        <w:tc>
          <w:tcPr>
            <w:tcW w:w="290" w:type="dxa"/>
            <w:tcBorders>
              <w:top w:val="single" w:color="auto" w:sz="4" w:space="0"/>
              <w:left w:val="single" w:color="auto" w:sz="4" w:space="0"/>
              <w:bottom w:val="single" w:color="auto" w:sz="4" w:space="0"/>
              <w:right w:val="single" w:color="auto" w:sz="4" w:space="0"/>
            </w:tcBorders>
            <w:vAlign w:val="center"/>
          </w:tcPr>
          <w:p w14:paraId="0A3E7834">
            <w:pPr>
              <w:snapToGrid w:val="0"/>
              <w:spacing w:line="360" w:lineRule="auto"/>
              <w:rPr>
                <w:rFonts w:ascii="宋体" w:hAnsi="宋体" w:cs="仿宋"/>
                <w:color w:val="auto"/>
                <w:sz w:val="24"/>
                <w:highlight w:val="none"/>
              </w:rPr>
            </w:pPr>
            <w:r>
              <w:rPr>
                <w:rFonts w:hint="eastAsia" w:ascii="宋体" w:hAnsi="宋体" w:cs="仿宋"/>
                <w:color w:val="auto"/>
                <w:sz w:val="24"/>
                <w:highlight w:val="none"/>
              </w:rPr>
              <w:t>30</w:t>
            </w:r>
          </w:p>
        </w:tc>
      </w:tr>
      <w:tr w14:paraId="3FC3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1143" w:type="dxa"/>
            <w:tcBorders>
              <w:top w:val="single" w:color="auto" w:sz="4" w:space="0"/>
              <w:left w:val="single" w:color="auto" w:sz="4" w:space="0"/>
              <w:bottom w:val="single" w:color="auto" w:sz="4" w:space="0"/>
              <w:right w:val="single" w:color="auto" w:sz="4" w:space="0"/>
            </w:tcBorders>
            <w:vAlign w:val="center"/>
          </w:tcPr>
          <w:p w14:paraId="0D032BED">
            <w:pPr>
              <w:snapToGrid w:val="0"/>
              <w:spacing w:line="360" w:lineRule="auto"/>
              <w:jc w:val="center"/>
              <w:rPr>
                <w:rFonts w:ascii="宋体" w:hAnsi="宋体" w:cs="仿宋"/>
                <w:color w:val="auto"/>
                <w:sz w:val="24"/>
                <w:highlight w:val="none"/>
              </w:rPr>
            </w:pPr>
            <w:r>
              <w:rPr>
                <w:rFonts w:hint="eastAsia" w:ascii="宋体" w:hAnsi="宋体" w:cs="仿宋"/>
                <w:color w:val="auto"/>
                <w:sz w:val="24"/>
                <w:highlight w:val="none"/>
              </w:rPr>
              <w:t>养护</w:t>
            </w:r>
          </w:p>
        </w:tc>
        <w:tc>
          <w:tcPr>
            <w:tcW w:w="289" w:type="dxa"/>
            <w:tcBorders>
              <w:top w:val="single" w:color="auto" w:sz="4" w:space="0"/>
              <w:left w:val="single" w:color="auto" w:sz="4" w:space="0"/>
              <w:bottom w:val="single" w:color="auto" w:sz="12" w:space="0"/>
              <w:right w:val="single" w:color="auto" w:sz="4" w:space="0"/>
            </w:tcBorders>
          </w:tcPr>
          <w:p w14:paraId="4455D6B8">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042FD870">
            <w:pPr>
              <w:snapToGrid w:val="0"/>
              <w:spacing w:line="360" w:lineRule="auto"/>
              <w:ind w:firstLine="326"/>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D021A97">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05B7550">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AF7AB98">
            <w:pPr>
              <w:snapToGrid w:val="0"/>
              <w:spacing w:line="360" w:lineRule="auto"/>
              <w:ind w:firstLine="326"/>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0A8C9003">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0C57772A">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47818516">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6914621">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0AAF6D0">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7D0D2BB4">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F164775">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33917EA">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2F31068">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709D8B6">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F2C7444">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A128C2D">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35B8CF6">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087F4D86">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C588027">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610F8E0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7EC13BA">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724B6A1">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C829DC0">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A75CC3F">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4439DE5">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02EAC7BE">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E68FA92">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48E0733">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3F58667">
            <w:pPr>
              <w:snapToGrid w:val="0"/>
              <w:spacing w:line="360" w:lineRule="auto"/>
              <w:ind w:firstLine="522"/>
              <w:jc w:val="center"/>
              <w:rPr>
                <w:rFonts w:ascii="宋体" w:hAnsi="宋体" w:cs="仿宋"/>
                <w:color w:val="auto"/>
                <w:sz w:val="24"/>
                <w:highlight w:val="none"/>
              </w:rPr>
            </w:pPr>
          </w:p>
        </w:tc>
      </w:tr>
      <w:tr w14:paraId="2F60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exact"/>
        </w:trPr>
        <w:tc>
          <w:tcPr>
            <w:tcW w:w="1143" w:type="dxa"/>
            <w:tcBorders>
              <w:top w:val="single" w:color="auto" w:sz="4" w:space="0"/>
              <w:left w:val="single" w:color="auto" w:sz="4" w:space="0"/>
              <w:bottom w:val="single" w:color="auto" w:sz="4" w:space="0"/>
              <w:right w:val="single" w:color="auto" w:sz="4" w:space="0"/>
            </w:tcBorders>
            <w:vAlign w:val="center"/>
          </w:tcPr>
          <w:p w14:paraId="0B8A9360">
            <w:pPr>
              <w:snapToGrid w:val="0"/>
              <w:spacing w:line="360" w:lineRule="auto"/>
              <w:jc w:val="center"/>
              <w:rPr>
                <w:rFonts w:ascii="宋体" w:hAnsi="宋体" w:cs="仿宋"/>
                <w:color w:val="auto"/>
                <w:sz w:val="24"/>
                <w:highlight w:val="none"/>
              </w:rPr>
            </w:pPr>
            <w:r>
              <w:rPr>
                <w:rFonts w:hint="eastAsia" w:ascii="宋体" w:hAnsi="宋体" w:cs="仿宋"/>
                <w:color w:val="auto"/>
                <w:sz w:val="24"/>
                <w:highlight w:val="none"/>
              </w:rPr>
              <w:t>清洁</w:t>
            </w:r>
          </w:p>
        </w:tc>
        <w:tc>
          <w:tcPr>
            <w:tcW w:w="289" w:type="dxa"/>
            <w:tcBorders>
              <w:top w:val="single" w:color="auto" w:sz="4" w:space="0"/>
              <w:left w:val="single" w:color="auto" w:sz="4" w:space="0"/>
              <w:bottom w:val="single" w:color="auto" w:sz="12" w:space="0"/>
              <w:right w:val="single" w:color="auto" w:sz="4" w:space="0"/>
            </w:tcBorders>
          </w:tcPr>
          <w:p w14:paraId="3F7559A2">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1BF200F">
            <w:pPr>
              <w:snapToGrid w:val="0"/>
              <w:spacing w:line="360" w:lineRule="auto"/>
              <w:ind w:firstLine="326"/>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9E56A23">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582AEA6">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BE59BD2">
            <w:pPr>
              <w:snapToGrid w:val="0"/>
              <w:spacing w:line="360" w:lineRule="auto"/>
              <w:ind w:firstLine="326"/>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65307F88">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2F541BC">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7110306F">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D72BA7D">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E91B945">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D91C745">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73E82C46">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436174F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771C746A">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7C12162">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8E34E6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4177C0E">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6677928C">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52194A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2D6DDE6">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7531860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9452683">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A92CC1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BF7AC38">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33C22F5">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F9E1BB3">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64B237F">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48BEE6B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F278B6C">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D921ADE">
            <w:pPr>
              <w:snapToGrid w:val="0"/>
              <w:spacing w:line="360" w:lineRule="auto"/>
              <w:ind w:firstLine="522"/>
              <w:jc w:val="center"/>
              <w:rPr>
                <w:rFonts w:ascii="宋体" w:hAnsi="宋体" w:cs="仿宋"/>
                <w:color w:val="auto"/>
                <w:sz w:val="24"/>
                <w:highlight w:val="none"/>
              </w:rPr>
            </w:pPr>
          </w:p>
        </w:tc>
      </w:tr>
      <w:tr w14:paraId="6E24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exact"/>
        </w:trPr>
        <w:tc>
          <w:tcPr>
            <w:tcW w:w="1143" w:type="dxa"/>
            <w:tcBorders>
              <w:top w:val="single" w:color="auto" w:sz="4" w:space="0"/>
              <w:left w:val="single" w:color="auto" w:sz="4" w:space="0"/>
              <w:bottom w:val="single" w:color="auto" w:sz="4" w:space="0"/>
              <w:right w:val="single" w:color="auto" w:sz="4" w:space="0"/>
            </w:tcBorders>
            <w:vAlign w:val="center"/>
          </w:tcPr>
          <w:p w14:paraId="2249AC43">
            <w:pPr>
              <w:snapToGrid w:val="0"/>
              <w:spacing w:line="360" w:lineRule="auto"/>
              <w:jc w:val="center"/>
              <w:rPr>
                <w:rFonts w:ascii="宋体" w:hAnsi="宋体" w:cs="仿宋"/>
                <w:color w:val="auto"/>
                <w:sz w:val="24"/>
                <w:highlight w:val="none"/>
              </w:rPr>
            </w:pPr>
            <w:r>
              <w:rPr>
                <w:rFonts w:hint="eastAsia" w:ascii="宋体" w:hAnsi="宋体" w:cs="仿宋"/>
                <w:color w:val="auto"/>
                <w:sz w:val="24"/>
                <w:highlight w:val="none"/>
              </w:rPr>
              <w:t>维护</w:t>
            </w:r>
          </w:p>
        </w:tc>
        <w:tc>
          <w:tcPr>
            <w:tcW w:w="289" w:type="dxa"/>
            <w:tcBorders>
              <w:top w:val="single" w:color="auto" w:sz="4" w:space="0"/>
              <w:left w:val="single" w:color="auto" w:sz="4" w:space="0"/>
              <w:bottom w:val="single" w:color="auto" w:sz="12" w:space="0"/>
              <w:right w:val="single" w:color="auto" w:sz="4" w:space="0"/>
            </w:tcBorders>
          </w:tcPr>
          <w:p w14:paraId="37BF57ED">
            <w:pPr>
              <w:snapToGrid w:val="0"/>
              <w:spacing w:line="360" w:lineRule="auto"/>
              <w:ind w:firstLine="326"/>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A7417DF">
            <w:pPr>
              <w:snapToGrid w:val="0"/>
              <w:spacing w:line="360" w:lineRule="auto"/>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D89788B">
            <w:pPr>
              <w:snapToGrid w:val="0"/>
              <w:spacing w:line="360" w:lineRule="auto"/>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85E583A">
            <w:pPr>
              <w:snapToGrid w:val="0"/>
              <w:spacing w:line="360" w:lineRule="auto"/>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5474FCF">
            <w:pPr>
              <w:snapToGrid w:val="0"/>
              <w:spacing w:line="360" w:lineRule="auto"/>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0B366B88">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C844E20">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408AB0D">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5950307">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2AB12B5">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19F3CD2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6BA1C2E">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31AC4F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0071A99F">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5B51DE1F">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0EF104B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D5227EF">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5802618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6CECAA1">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63A830C6">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5E4C927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3D529BC0">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FAB849C">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2434C22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7127BCD0">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288038EB">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4DB3BC99">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12" w:space="0"/>
              <w:right w:val="single" w:color="auto" w:sz="4" w:space="0"/>
            </w:tcBorders>
            <w:vAlign w:val="center"/>
          </w:tcPr>
          <w:p w14:paraId="30CE3CB6">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D23AEBE">
            <w:pPr>
              <w:snapToGrid w:val="0"/>
              <w:spacing w:line="360" w:lineRule="auto"/>
              <w:ind w:firstLine="522"/>
              <w:jc w:val="center"/>
              <w:rPr>
                <w:rFonts w:ascii="宋体" w:hAnsi="宋体" w:cs="仿宋"/>
                <w:color w:val="auto"/>
                <w:sz w:val="24"/>
                <w:highlight w:val="none"/>
              </w:rPr>
            </w:pPr>
          </w:p>
        </w:tc>
        <w:tc>
          <w:tcPr>
            <w:tcW w:w="290" w:type="dxa"/>
            <w:tcBorders>
              <w:top w:val="single" w:color="auto" w:sz="4" w:space="0"/>
              <w:left w:val="single" w:color="auto" w:sz="4" w:space="0"/>
              <w:bottom w:val="single" w:color="auto" w:sz="12" w:space="0"/>
              <w:right w:val="single" w:color="auto" w:sz="4" w:space="0"/>
            </w:tcBorders>
            <w:vAlign w:val="center"/>
          </w:tcPr>
          <w:p w14:paraId="168F675D">
            <w:pPr>
              <w:snapToGrid w:val="0"/>
              <w:spacing w:line="360" w:lineRule="auto"/>
              <w:ind w:firstLine="522"/>
              <w:jc w:val="center"/>
              <w:rPr>
                <w:rFonts w:ascii="宋体" w:hAnsi="宋体" w:cs="仿宋"/>
                <w:color w:val="auto"/>
                <w:sz w:val="24"/>
                <w:highlight w:val="none"/>
              </w:rPr>
            </w:pPr>
          </w:p>
        </w:tc>
      </w:tr>
      <w:tr w14:paraId="5726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exact"/>
        </w:trPr>
        <w:tc>
          <w:tcPr>
            <w:tcW w:w="1143" w:type="dxa"/>
            <w:tcBorders>
              <w:top w:val="single" w:color="auto" w:sz="4" w:space="0"/>
              <w:left w:val="single" w:color="auto" w:sz="4" w:space="0"/>
              <w:bottom w:val="single" w:color="auto" w:sz="4" w:space="0"/>
              <w:right w:val="single" w:color="auto" w:sz="4" w:space="0"/>
            </w:tcBorders>
            <w:vAlign w:val="center"/>
          </w:tcPr>
          <w:p w14:paraId="14B79A12">
            <w:pPr>
              <w:widowControl/>
              <w:snapToGrid w:val="0"/>
              <w:spacing w:line="360" w:lineRule="auto"/>
              <w:jc w:val="center"/>
              <w:rPr>
                <w:rFonts w:hint="eastAsia"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巡查</w:t>
            </w:r>
          </w:p>
        </w:tc>
        <w:tc>
          <w:tcPr>
            <w:tcW w:w="289" w:type="dxa"/>
            <w:tcBorders>
              <w:left w:val="single" w:color="auto" w:sz="4" w:space="0"/>
              <w:bottom w:val="single" w:color="auto" w:sz="4" w:space="0"/>
              <w:right w:val="single" w:color="auto" w:sz="4" w:space="0"/>
            </w:tcBorders>
            <w:vAlign w:val="center"/>
          </w:tcPr>
          <w:p w14:paraId="388460AF">
            <w:pPr>
              <w:widowControl/>
              <w:spacing w:line="360" w:lineRule="auto"/>
              <w:jc w:val="left"/>
              <w:rPr>
                <w:rFonts w:ascii="宋体" w:hAnsi="宋体" w:cs="仿宋"/>
                <w:color w:val="auto"/>
                <w:sz w:val="24"/>
                <w:highlight w:val="none"/>
              </w:rPr>
            </w:pPr>
          </w:p>
        </w:tc>
        <w:tc>
          <w:tcPr>
            <w:tcW w:w="290" w:type="dxa"/>
            <w:tcBorders>
              <w:left w:val="single" w:color="auto" w:sz="4" w:space="0"/>
              <w:bottom w:val="single" w:color="auto" w:sz="4" w:space="0"/>
              <w:right w:val="single" w:color="auto" w:sz="4" w:space="0"/>
            </w:tcBorders>
            <w:vAlign w:val="center"/>
          </w:tcPr>
          <w:p w14:paraId="31F6E69F">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149D200D">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771DAB96">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71611B2E">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6C482EBD">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6D03C5A9">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24AFC63F">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0C033A23">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76506317">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1B1D130B">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53156011">
            <w:pPr>
              <w:widowControl/>
              <w:spacing w:line="360" w:lineRule="auto"/>
              <w:jc w:val="left"/>
              <w:rPr>
                <w:rFonts w:ascii="宋体" w:hAnsi="宋体" w:cs="仿宋"/>
                <w:color w:val="auto"/>
                <w:sz w:val="24"/>
                <w:highlight w:val="none"/>
              </w:rPr>
            </w:pPr>
          </w:p>
        </w:tc>
        <w:tc>
          <w:tcPr>
            <w:tcW w:w="289" w:type="dxa"/>
            <w:tcBorders>
              <w:left w:val="single" w:color="auto" w:sz="4" w:space="0"/>
              <w:bottom w:val="single" w:color="auto" w:sz="4" w:space="0"/>
              <w:right w:val="single" w:color="auto" w:sz="4" w:space="0"/>
            </w:tcBorders>
            <w:vAlign w:val="center"/>
          </w:tcPr>
          <w:p w14:paraId="703EFE41">
            <w:pPr>
              <w:snapToGrid w:val="0"/>
              <w:spacing w:line="360" w:lineRule="auto"/>
              <w:ind w:firstLine="522"/>
              <w:jc w:val="center"/>
              <w:rPr>
                <w:rFonts w:ascii="宋体" w:hAnsi="宋体" w:cs="仿宋"/>
                <w:color w:val="auto"/>
                <w:sz w:val="24"/>
                <w:highlight w:val="none"/>
              </w:rPr>
            </w:pPr>
          </w:p>
        </w:tc>
        <w:tc>
          <w:tcPr>
            <w:tcW w:w="290" w:type="dxa"/>
            <w:tcBorders>
              <w:left w:val="single" w:color="auto" w:sz="4" w:space="0"/>
              <w:bottom w:val="single" w:color="auto" w:sz="4" w:space="0"/>
              <w:right w:val="single" w:color="auto" w:sz="4" w:space="0"/>
            </w:tcBorders>
            <w:vAlign w:val="center"/>
          </w:tcPr>
          <w:p w14:paraId="3B799F4C">
            <w:pPr>
              <w:snapToGrid w:val="0"/>
              <w:spacing w:line="360" w:lineRule="auto"/>
              <w:ind w:firstLine="522"/>
              <w:jc w:val="center"/>
              <w:rPr>
                <w:rFonts w:ascii="宋体" w:hAnsi="宋体" w:cs="仿宋"/>
                <w:color w:val="auto"/>
                <w:sz w:val="24"/>
                <w:highlight w:val="none"/>
              </w:rPr>
            </w:pPr>
          </w:p>
        </w:tc>
        <w:tc>
          <w:tcPr>
            <w:tcW w:w="290" w:type="dxa"/>
            <w:tcBorders>
              <w:left w:val="single" w:color="auto" w:sz="4" w:space="0"/>
              <w:bottom w:val="single" w:color="auto" w:sz="4" w:space="0"/>
              <w:right w:val="single" w:color="auto" w:sz="4" w:space="0"/>
            </w:tcBorders>
            <w:vAlign w:val="center"/>
          </w:tcPr>
          <w:p w14:paraId="6C153876">
            <w:pPr>
              <w:snapToGrid w:val="0"/>
              <w:spacing w:line="360" w:lineRule="auto"/>
              <w:ind w:firstLine="522"/>
              <w:jc w:val="center"/>
              <w:rPr>
                <w:rFonts w:ascii="宋体" w:hAnsi="宋体" w:cs="仿宋"/>
                <w:color w:val="auto"/>
                <w:sz w:val="24"/>
                <w:highlight w:val="none"/>
              </w:rPr>
            </w:pPr>
          </w:p>
        </w:tc>
        <w:tc>
          <w:tcPr>
            <w:tcW w:w="289" w:type="dxa"/>
            <w:tcBorders>
              <w:left w:val="single" w:color="auto" w:sz="4" w:space="0"/>
              <w:bottom w:val="single" w:color="auto" w:sz="4" w:space="0"/>
              <w:right w:val="single" w:color="auto" w:sz="4" w:space="0"/>
            </w:tcBorders>
            <w:vAlign w:val="center"/>
          </w:tcPr>
          <w:p w14:paraId="064C36F9">
            <w:pPr>
              <w:snapToGrid w:val="0"/>
              <w:spacing w:line="360" w:lineRule="auto"/>
              <w:ind w:firstLine="522"/>
              <w:jc w:val="center"/>
              <w:rPr>
                <w:rFonts w:ascii="宋体" w:hAnsi="宋体" w:cs="仿宋"/>
                <w:color w:val="auto"/>
                <w:sz w:val="24"/>
                <w:highlight w:val="none"/>
              </w:rPr>
            </w:pPr>
          </w:p>
        </w:tc>
        <w:tc>
          <w:tcPr>
            <w:tcW w:w="579" w:type="dxa"/>
            <w:gridSpan w:val="2"/>
            <w:tcBorders>
              <w:top w:val="nil"/>
              <w:left w:val="single" w:color="auto" w:sz="4" w:space="0"/>
              <w:bottom w:val="single" w:color="auto" w:sz="4" w:space="0"/>
              <w:right w:val="single" w:color="auto" w:sz="4" w:space="0"/>
            </w:tcBorders>
            <w:vAlign w:val="center"/>
          </w:tcPr>
          <w:p w14:paraId="1CF08CE4">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7E7B9ED4">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19D381A8">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01FF7461">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5B5637A8">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3B3C84D8">
            <w:pPr>
              <w:widowControl/>
              <w:spacing w:line="360" w:lineRule="auto"/>
              <w:jc w:val="left"/>
              <w:rPr>
                <w:rFonts w:ascii="宋体" w:hAnsi="宋体" w:cs="仿宋"/>
                <w:color w:val="auto"/>
                <w:sz w:val="24"/>
                <w:highlight w:val="none"/>
              </w:rPr>
            </w:pPr>
          </w:p>
        </w:tc>
        <w:tc>
          <w:tcPr>
            <w:tcW w:w="290" w:type="dxa"/>
            <w:tcBorders>
              <w:top w:val="single" w:color="auto" w:sz="12" w:space="0"/>
              <w:left w:val="single" w:color="auto" w:sz="4" w:space="0"/>
              <w:bottom w:val="single" w:color="auto" w:sz="4" w:space="0"/>
              <w:right w:val="single" w:color="auto" w:sz="4" w:space="0"/>
            </w:tcBorders>
            <w:vAlign w:val="center"/>
          </w:tcPr>
          <w:p w14:paraId="2045BF22">
            <w:pPr>
              <w:snapToGrid w:val="0"/>
              <w:spacing w:line="360" w:lineRule="auto"/>
              <w:ind w:firstLine="522"/>
              <w:jc w:val="center"/>
              <w:rPr>
                <w:rFonts w:ascii="宋体" w:hAnsi="宋体" w:cs="仿宋"/>
                <w:color w:val="auto"/>
                <w:sz w:val="24"/>
                <w:highlight w:val="none"/>
              </w:rPr>
            </w:pPr>
          </w:p>
        </w:tc>
        <w:tc>
          <w:tcPr>
            <w:tcW w:w="290" w:type="dxa"/>
            <w:tcBorders>
              <w:top w:val="single" w:color="auto" w:sz="12" w:space="0"/>
              <w:left w:val="single" w:color="auto" w:sz="4" w:space="0"/>
              <w:bottom w:val="single" w:color="auto" w:sz="4" w:space="0"/>
              <w:right w:val="single" w:color="auto" w:sz="4" w:space="0"/>
            </w:tcBorders>
            <w:vAlign w:val="center"/>
          </w:tcPr>
          <w:p w14:paraId="64DF7750">
            <w:pPr>
              <w:snapToGrid w:val="0"/>
              <w:spacing w:line="360" w:lineRule="auto"/>
              <w:ind w:firstLine="522"/>
              <w:jc w:val="center"/>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21AF31E6">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4644A26C">
            <w:pPr>
              <w:widowControl/>
              <w:spacing w:line="360" w:lineRule="auto"/>
              <w:jc w:val="left"/>
              <w:rPr>
                <w:rFonts w:ascii="宋体" w:hAnsi="宋体" w:cs="仿宋"/>
                <w:color w:val="auto"/>
                <w:sz w:val="24"/>
                <w:highlight w:val="none"/>
              </w:rPr>
            </w:pPr>
          </w:p>
        </w:tc>
        <w:tc>
          <w:tcPr>
            <w:tcW w:w="289" w:type="dxa"/>
            <w:tcBorders>
              <w:top w:val="single" w:color="auto" w:sz="4" w:space="0"/>
              <w:left w:val="single" w:color="auto" w:sz="4" w:space="0"/>
              <w:bottom w:val="single" w:color="auto" w:sz="4" w:space="0"/>
              <w:right w:val="single" w:color="auto" w:sz="4" w:space="0"/>
            </w:tcBorders>
            <w:vAlign w:val="center"/>
          </w:tcPr>
          <w:p w14:paraId="3FAC3540">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4F8CD579">
            <w:pPr>
              <w:widowControl/>
              <w:spacing w:line="360" w:lineRule="auto"/>
              <w:jc w:val="left"/>
              <w:rPr>
                <w:rFonts w:ascii="宋体" w:hAnsi="宋体" w:cs="仿宋"/>
                <w:color w:val="auto"/>
                <w:sz w:val="24"/>
                <w:highlight w:val="none"/>
              </w:rPr>
            </w:pPr>
          </w:p>
        </w:tc>
        <w:tc>
          <w:tcPr>
            <w:tcW w:w="290" w:type="dxa"/>
            <w:tcBorders>
              <w:top w:val="single" w:color="auto" w:sz="4" w:space="0"/>
              <w:left w:val="single" w:color="auto" w:sz="4" w:space="0"/>
              <w:bottom w:val="single" w:color="auto" w:sz="4" w:space="0"/>
              <w:right w:val="single" w:color="auto" w:sz="4" w:space="0"/>
            </w:tcBorders>
            <w:vAlign w:val="center"/>
          </w:tcPr>
          <w:p w14:paraId="0F310ED1">
            <w:pPr>
              <w:widowControl/>
              <w:spacing w:line="360" w:lineRule="auto"/>
              <w:jc w:val="left"/>
              <w:rPr>
                <w:rFonts w:ascii="宋体" w:hAnsi="宋体" w:cs="仿宋"/>
                <w:color w:val="auto"/>
                <w:sz w:val="24"/>
                <w:highlight w:val="none"/>
              </w:rPr>
            </w:pPr>
          </w:p>
        </w:tc>
      </w:tr>
    </w:tbl>
    <w:p w14:paraId="46E29977">
      <w:pPr>
        <w:pStyle w:val="59"/>
        <w:spacing w:line="360" w:lineRule="auto"/>
        <w:jc w:val="center"/>
        <w:rPr>
          <w:rFonts w:hint="eastAsia" w:hAnsi="宋体" w:eastAsia="宋体" w:cs="仿宋"/>
          <w:b/>
          <w:color w:val="auto"/>
          <w:sz w:val="24"/>
          <w:szCs w:val="24"/>
          <w:highlight w:val="none"/>
        </w:rPr>
      </w:pPr>
    </w:p>
    <w:p w14:paraId="06CE64A7">
      <w:pPr>
        <w:pStyle w:val="59"/>
        <w:spacing w:line="360" w:lineRule="auto"/>
        <w:jc w:val="center"/>
        <w:rPr>
          <w:rFonts w:hint="eastAsia" w:hAnsi="宋体" w:eastAsia="宋体" w:cs="仿宋"/>
          <w:b/>
          <w:color w:val="auto"/>
          <w:sz w:val="24"/>
          <w:szCs w:val="24"/>
          <w:highlight w:val="none"/>
        </w:rPr>
      </w:pPr>
    </w:p>
    <w:p w14:paraId="24643F5A">
      <w:pPr>
        <w:pStyle w:val="59"/>
        <w:spacing w:line="360" w:lineRule="auto"/>
        <w:jc w:val="center"/>
        <w:rPr>
          <w:rFonts w:hAnsi="宋体" w:eastAsia="宋体" w:cs="仿宋"/>
          <w:b/>
          <w:color w:val="auto"/>
          <w:sz w:val="24"/>
          <w:szCs w:val="24"/>
          <w:highlight w:val="none"/>
        </w:rPr>
      </w:pPr>
      <w:r>
        <w:rPr>
          <w:rFonts w:hint="eastAsia" w:hAnsi="宋体" w:eastAsia="宋体" w:cs="仿宋"/>
          <w:b/>
          <w:color w:val="auto"/>
          <w:sz w:val="24"/>
          <w:szCs w:val="24"/>
          <w:highlight w:val="none"/>
        </w:rPr>
        <w:t>劳动力安排计划表</w:t>
      </w:r>
    </w:p>
    <w:tbl>
      <w:tblPr>
        <w:tblStyle w:val="20"/>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4"/>
        <w:gridCol w:w="2924"/>
      </w:tblGrid>
      <w:tr w14:paraId="69ED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trPr>
        <w:tc>
          <w:tcPr>
            <w:tcW w:w="6204" w:type="dxa"/>
            <w:tcBorders>
              <w:top w:val="single" w:color="auto" w:sz="4" w:space="0"/>
              <w:left w:val="single" w:color="auto" w:sz="4" w:space="0"/>
              <w:bottom w:val="single" w:color="auto" w:sz="4" w:space="0"/>
              <w:right w:val="single" w:color="auto" w:sz="4" w:space="0"/>
            </w:tcBorders>
            <w:vAlign w:val="center"/>
          </w:tcPr>
          <w:p w14:paraId="1654B5B3">
            <w:pPr>
              <w:snapToGrid w:val="0"/>
              <w:spacing w:line="360" w:lineRule="auto"/>
              <w:jc w:val="center"/>
              <w:rPr>
                <w:rFonts w:ascii="宋体" w:hAnsi="宋体" w:cs="仿宋"/>
                <w:color w:val="auto"/>
                <w:sz w:val="24"/>
                <w:highlight w:val="none"/>
              </w:rPr>
            </w:pPr>
            <w:r>
              <w:rPr>
                <w:rFonts w:hint="eastAsia" w:ascii="宋体" w:hAnsi="宋体" w:cs="仿宋"/>
                <w:color w:val="auto"/>
                <w:sz w:val="24"/>
                <w:highlight w:val="none"/>
              </w:rPr>
              <w:t>项目</w:t>
            </w:r>
          </w:p>
        </w:tc>
        <w:tc>
          <w:tcPr>
            <w:tcW w:w="2924" w:type="dxa"/>
            <w:tcBorders>
              <w:top w:val="single" w:color="auto" w:sz="4" w:space="0"/>
              <w:left w:val="single" w:color="auto" w:sz="4" w:space="0"/>
              <w:bottom w:val="single" w:color="auto" w:sz="4" w:space="0"/>
              <w:right w:val="single" w:color="auto" w:sz="4" w:space="0"/>
            </w:tcBorders>
            <w:vAlign w:val="center"/>
          </w:tcPr>
          <w:p w14:paraId="5B72313A">
            <w:pPr>
              <w:snapToGrid w:val="0"/>
              <w:spacing w:line="360" w:lineRule="auto"/>
              <w:jc w:val="center"/>
              <w:rPr>
                <w:rFonts w:ascii="宋体" w:hAnsi="宋体" w:cs="仿宋"/>
                <w:color w:val="auto"/>
                <w:sz w:val="24"/>
                <w:highlight w:val="none"/>
              </w:rPr>
            </w:pPr>
            <w:r>
              <w:rPr>
                <w:rFonts w:hint="eastAsia" w:ascii="宋体" w:hAnsi="宋体" w:cs="仿宋"/>
                <w:color w:val="auto"/>
                <w:sz w:val="24"/>
                <w:highlight w:val="none"/>
              </w:rPr>
              <w:t>人数</w:t>
            </w:r>
          </w:p>
        </w:tc>
      </w:tr>
      <w:tr w14:paraId="6132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exact"/>
        </w:trPr>
        <w:tc>
          <w:tcPr>
            <w:tcW w:w="6204" w:type="dxa"/>
            <w:tcBorders>
              <w:top w:val="single" w:color="auto" w:sz="4" w:space="0"/>
              <w:left w:val="single" w:color="auto" w:sz="4" w:space="0"/>
              <w:bottom w:val="single" w:color="auto" w:sz="4" w:space="0"/>
              <w:right w:val="single" w:color="auto" w:sz="4" w:space="0"/>
            </w:tcBorders>
            <w:vAlign w:val="center"/>
          </w:tcPr>
          <w:p w14:paraId="7F260DD6">
            <w:pPr>
              <w:snapToGrid w:val="0"/>
              <w:spacing w:line="360" w:lineRule="auto"/>
              <w:jc w:val="center"/>
              <w:rPr>
                <w:rFonts w:ascii="宋体" w:hAnsi="宋体" w:cs="仿宋"/>
                <w:color w:val="auto"/>
                <w:sz w:val="24"/>
                <w:highlight w:val="none"/>
              </w:rPr>
            </w:pPr>
          </w:p>
        </w:tc>
        <w:tc>
          <w:tcPr>
            <w:tcW w:w="2924" w:type="dxa"/>
            <w:tcBorders>
              <w:top w:val="single" w:color="auto" w:sz="4" w:space="0"/>
              <w:left w:val="single" w:color="auto" w:sz="4" w:space="0"/>
              <w:bottom w:val="single" w:color="auto" w:sz="4" w:space="0"/>
              <w:right w:val="single" w:color="auto" w:sz="4" w:space="0"/>
            </w:tcBorders>
            <w:vAlign w:val="center"/>
          </w:tcPr>
          <w:p w14:paraId="2CE2FC0A">
            <w:pPr>
              <w:snapToGrid w:val="0"/>
              <w:spacing w:line="360" w:lineRule="auto"/>
              <w:jc w:val="center"/>
              <w:rPr>
                <w:rFonts w:ascii="宋体" w:hAnsi="宋体" w:cs="仿宋"/>
                <w:color w:val="auto"/>
                <w:sz w:val="24"/>
                <w:highlight w:val="none"/>
              </w:rPr>
            </w:pPr>
          </w:p>
        </w:tc>
      </w:tr>
      <w:tr w14:paraId="5AC9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exact"/>
        </w:trPr>
        <w:tc>
          <w:tcPr>
            <w:tcW w:w="6204" w:type="dxa"/>
            <w:tcBorders>
              <w:top w:val="single" w:color="auto" w:sz="4" w:space="0"/>
              <w:left w:val="single" w:color="auto" w:sz="4" w:space="0"/>
              <w:bottom w:val="single" w:color="auto" w:sz="4" w:space="0"/>
              <w:right w:val="single" w:color="auto" w:sz="4" w:space="0"/>
            </w:tcBorders>
            <w:vAlign w:val="center"/>
          </w:tcPr>
          <w:p w14:paraId="627344EE">
            <w:pPr>
              <w:snapToGrid w:val="0"/>
              <w:spacing w:line="360" w:lineRule="auto"/>
              <w:jc w:val="center"/>
              <w:rPr>
                <w:rFonts w:ascii="宋体" w:hAnsi="宋体" w:cs="仿宋"/>
                <w:color w:val="auto"/>
                <w:sz w:val="24"/>
                <w:highlight w:val="none"/>
              </w:rPr>
            </w:pPr>
          </w:p>
        </w:tc>
        <w:tc>
          <w:tcPr>
            <w:tcW w:w="2924" w:type="dxa"/>
            <w:tcBorders>
              <w:top w:val="single" w:color="auto" w:sz="4" w:space="0"/>
              <w:left w:val="single" w:color="auto" w:sz="4" w:space="0"/>
              <w:bottom w:val="single" w:color="auto" w:sz="4" w:space="0"/>
              <w:right w:val="single" w:color="auto" w:sz="4" w:space="0"/>
            </w:tcBorders>
            <w:vAlign w:val="center"/>
          </w:tcPr>
          <w:p w14:paraId="327A990E">
            <w:pPr>
              <w:snapToGrid w:val="0"/>
              <w:spacing w:line="360" w:lineRule="auto"/>
              <w:jc w:val="center"/>
              <w:rPr>
                <w:rFonts w:ascii="宋体" w:hAnsi="宋体" w:cs="仿宋"/>
                <w:color w:val="auto"/>
                <w:sz w:val="24"/>
                <w:highlight w:val="none"/>
              </w:rPr>
            </w:pPr>
          </w:p>
        </w:tc>
      </w:tr>
      <w:tr w14:paraId="6E07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exact"/>
        </w:trPr>
        <w:tc>
          <w:tcPr>
            <w:tcW w:w="6204" w:type="dxa"/>
            <w:tcBorders>
              <w:top w:val="single" w:color="auto" w:sz="4" w:space="0"/>
              <w:left w:val="single" w:color="auto" w:sz="4" w:space="0"/>
              <w:bottom w:val="single" w:color="auto" w:sz="4" w:space="0"/>
              <w:right w:val="single" w:color="auto" w:sz="4" w:space="0"/>
            </w:tcBorders>
            <w:vAlign w:val="center"/>
          </w:tcPr>
          <w:p w14:paraId="479C17A1">
            <w:pPr>
              <w:snapToGrid w:val="0"/>
              <w:spacing w:line="360" w:lineRule="auto"/>
              <w:jc w:val="center"/>
              <w:rPr>
                <w:rFonts w:ascii="宋体" w:hAnsi="宋体" w:cs="仿宋"/>
                <w:color w:val="auto"/>
                <w:sz w:val="24"/>
                <w:highlight w:val="none"/>
              </w:rPr>
            </w:pPr>
          </w:p>
        </w:tc>
        <w:tc>
          <w:tcPr>
            <w:tcW w:w="2924" w:type="dxa"/>
            <w:tcBorders>
              <w:top w:val="single" w:color="auto" w:sz="4" w:space="0"/>
              <w:left w:val="single" w:color="auto" w:sz="4" w:space="0"/>
              <w:bottom w:val="single" w:color="auto" w:sz="4" w:space="0"/>
              <w:right w:val="single" w:color="auto" w:sz="4" w:space="0"/>
            </w:tcBorders>
            <w:vAlign w:val="center"/>
          </w:tcPr>
          <w:p w14:paraId="2EC5E17B">
            <w:pPr>
              <w:snapToGrid w:val="0"/>
              <w:spacing w:line="360" w:lineRule="auto"/>
              <w:jc w:val="center"/>
              <w:rPr>
                <w:rFonts w:ascii="宋体" w:hAnsi="宋体" w:cs="仿宋"/>
                <w:color w:val="auto"/>
                <w:sz w:val="24"/>
                <w:highlight w:val="none"/>
              </w:rPr>
            </w:pPr>
          </w:p>
        </w:tc>
      </w:tr>
      <w:tr w14:paraId="3544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exact"/>
        </w:trPr>
        <w:tc>
          <w:tcPr>
            <w:tcW w:w="6204" w:type="dxa"/>
            <w:tcBorders>
              <w:top w:val="single" w:color="auto" w:sz="4" w:space="0"/>
              <w:left w:val="single" w:color="auto" w:sz="4" w:space="0"/>
              <w:bottom w:val="single" w:color="auto" w:sz="4" w:space="0"/>
              <w:right w:val="single" w:color="auto" w:sz="4" w:space="0"/>
            </w:tcBorders>
            <w:vAlign w:val="center"/>
          </w:tcPr>
          <w:p w14:paraId="1A450822">
            <w:pPr>
              <w:snapToGrid w:val="0"/>
              <w:spacing w:line="360" w:lineRule="auto"/>
              <w:jc w:val="center"/>
              <w:rPr>
                <w:rFonts w:ascii="宋体" w:hAnsi="宋体" w:cs="仿宋"/>
                <w:color w:val="auto"/>
                <w:sz w:val="24"/>
                <w:highlight w:val="none"/>
              </w:rPr>
            </w:pPr>
          </w:p>
        </w:tc>
        <w:tc>
          <w:tcPr>
            <w:tcW w:w="2924" w:type="dxa"/>
            <w:tcBorders>
              <w:top w:val="single" w:color="auto" w:sz="4" w:space="0"/>
              <w:left w:val="single" w:color="auto" w:sz="4" w:space="0"/>
              <w:bottom w:val="single" w:color="auto" w:sz="4" w:space="0"/>
              <w:right w:val="single" w:color="auto" w:sz="4" w:space="0"/>
            </w:tcBorders>
            <w:vAlign w:val="center"/>
          </w:tcPr>
          <w:p w14:paraId="565B8153">
            <w:pPr>
              <w:snapToGrid w:val="0"/>
              <w:spacing w:line="360" w:lineRule="auto"/>
              <w:jc w:val="center"/>
              <w:rPr>
                <w:rFonts w:ascii="宋体" w:hAnsi="宋体" w:cs="仿宋"/>
                <w:color w:val="auto"/>
                <w:sz w:val="24"/>
                <w:highlight w:val="none"/>
              </w:rPr>
            </w:pPr>
          </w:p>
        </w:tc>
      </w:tr>
    </w:tbl>
    <w:p w14:paraId="41247906">
      <w:pPr>
        <w:pStyle w:val="19"/>
        <w:rPr>
          <w:rFonts w:hint="eastAsia"/>
          <w:color w:val="auto"/>
          <w:highlight w:val="none"/>
        </w:rPr>
      </w:pPr>
    </w:p>
    <w:p w14:paraId="1FCB3D66">
      <w:pPr>
        <w:pStyle w:val="12"/>
        <w:snapToGrid w:val="0"/>
        <w:spacing w:line="360" w:lineRule="auto"/>
        <w:ind w:firstLine="482" w:firstLineChars="200"/>
        <w:rPr>
          <w:rFonts w:hint="eastAsia" w:hAnsi="宋体" w:cs="宋体"/>
          <w:b/>
          <w:color w:val="auto"/>
          <w:spacing w:val="2"/>
          <w:sz w:val="24"/>
          <w:szCs w:val="24"/>
          <w:highlight w:val="none"/>
        </w:rPr>
      </w:pPr>
      <w:r>
        <w:rPr>
          <w:rFonts w:hint="eastAsia" w:hAnsi="宋体" w:cs="宋体"/>
          <w:b/>
          <w:bCs/>
          <w:color w:val="auto"/>
          <w:sz w:val="24"/>
          <w:szCs w:val="24"/>
          <w:highlight w:val="none"/>
        </w:rPr>
        <w:t>②机械设备配置要求</w:t>
      </w:r>
    </w:p>
    <w:p w14:paraId="571D7808">
      <w:pPr>
        <w:snapToGrid w:val="0"/>
        <w:spacing w:line="360" w:lineRule="auto"/>
        <w:jc w:val="center"/>
        <w:rPr>
          <w:rFonts w:hint="eastAsia" w:ascii="宋体" w:hAnsi="宋体" w:cs="宋体"/>
          <w:b/>
          <w:color w:val="auto"/>
          <w:spacing w:val="2"/>
          <w:sz w:val="24"/>
          <w:szCs w:val="24"/>
          <w:highlight w:val="none"/>
        </w:rPr>
      </w:pPr>
      <w:r>
        <w:rPr>
          <w:rFonts w:hint="eastAsia" w:ascii="宋体" w:hAnsi="宋体" w:cs="宋体"/>
          <w:b/>
          <w:color w:val="auto"/>
          <w:spacing w:val="2"/>
          <w:sz w:val="24"/>
          <w:szCs w:val="24"/>
          <w:highlight w:val="none"/>
        </w:rPr>
        <w:t>主要设备配置类型</w:t>
      </w:r>
    </w:p>
    <w:tbl>
      <w:tblPr>
        <w:tblStyle w:val="20"/>
        <w:tblW w:w="8865" w:type="dxa"/>
        <w:tblInd w:w="231" w:type="dxa"/>
        <w:tblLayout w:type="fixed"/>
        <w:tblCellMar>
          <w:top w:w="0" w:type="dxa"/>
          <w:left w:w="108" w:type="dxa"/>
          <w:bottom w:w="0" w:type="dxa"/>
          <w:right w:w="108" w:type="dxa"/>
        </w:tblCellMar>
      </w:tblPr>
      <w:tblGrid>
        <w:gridCol w:w="1635"/>
        <w:gridCol w:w="4005"/>
        <w:gridCol w:w="3225"/>
      </w:tblGrid>
      <w:tr w14:paraId="76A0D921">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0F8F7E3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4005" w:type="dxa"/>
            <w:tcBorders>
              <w:top w:val="single" w:color="auto" w:sz="4" w:space="0"/>
              <w:left w:val="single" w:color="auto" w:sz="4" w:space="0"/>
              <w:bottom w:val="single" w:color="auto" w:sz="4" w:space="0"/>
              <w:right w:val="single" w:color="auto" w:sz="4" w:space="0"/>
            </w:tcBorders>
            <w:noWrap/>
          </w:tcPr>
          <w:p w14:paraId="078ED7D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绿化机械名称</w:t>
            </w:r>
          </w:p>
        </w:tc>
        <w:tc>
          <w:tcPr>
            <w:tcW w:w="3225" w:type="dxa"/>
            <w:tcBorders>
              <w:top w:val="single" w:color="auto" w:sz="4" w:space="0"/>
              <w:left w:val="single" w:color="auto" w:sz="4" w:space="0"/>
              <w:bottom w:val="single" w:color="auto" w:sz="4" w:space="0"/>
              <w:right w:val="single" w:color="auto" w:sz="4" w:space="0"/>
            </w:tcBorders>
            <w:noWrap/>
          </w:tcPr>
          <w:p w14:paraId="3E66E8C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用途</w:t>
            </w:r>
          </w:p>
        </w:tc>
      </w:tr>
      <w:tr w14:paraId="6F2253CB">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4A2A16B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4005" w:type="dxa"/>
            <w:tcBorders>
              <w:top w:val="single" w:color="auto" w:sz="4" w:space="0"/>
              <w:left w:val="single" w:color="auto" w:sz="4" w:space="0"/>
              <w:bottom w:val="single" w:color="auto" w:sz="4" w:space="0"/>
              <w:right w:val="single" w:color="auto" w:sz="4" w:space="0"/>
            </w:tcBorders>
            <w:noWrap/>
          </w:tcPr>
          <w:p w14:paraId="53DC4A0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剪草机</w:t>
            </w:r>
          </w:p>
        </w:tc>
        <w:tc>
          <w:tcPr>
            <w:tcW w:w="3225" w:type="dxa"/>
            <w:tcBorders>
              <w:top w:val="single" w:color="auto" w:sz="4" w:space="0"/>
              <w:left w:val="single" w:color="auto" w:sz="4" w:space="0"/>
              <w:bottom w:val="single" w:color="auto" w:sz="4" w:space="0"/>
              <w:right w:val="single" w:color="auto" w:sz="4" w:space="0"/>
            </w:tcBorders>
            <w:noWrap/>
          </w:tcPr>
          <w:p w14:paraId="088727D8">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除草</w:t>
            </w:r>
          </w:p>
        </w:tc>
      </w:tr>
      <w:tr w14:paraId="4C3857DD">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5591DF2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4005" w:type="dxa"/>
            <w:tcBorders>
              <w:top w:val="single" w:color="auto" w:sz="4" w:space="0"/>
              <w:left w:val="single" w:color="auto" w:sz="4" w:space="0"/>
              <w:bottom w:val="single" w:color="auto" w:sz="4" w:space="0"/>
              <w:right w:val="single" w:color="auto" w:sz="4" w:space="0"/>
            </w:tcBorders>
            <w:noWrap/>
          </w:tcPr>
          <w:p w14:paraId="21B0070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绿篱机</w:t>
            </w:r>
          </w:p>
        </w:tc>
        <w:tc>
          <w:tcPr>
            <w:tcW w:w="3225" w:type="dxa"/>
            <w:tcBorders>
              <w:top w:val="single" w:color="auto" w:sz="4" w:space="0"/>
              <w:left w:val="single" w:color="auto" w:sz="4" w:space="0"/>
              <w:bottom w:val="single" w:color="auto" w:sz="4" w:space="0"/>
              <w:right w:val="single" w:color="auto" w:sz="4" w:space="0"/>
            </w:tcBorders>
            <w:noWrap/>
          </w:tcPr>
          <w:p w14:paraId="5D003D1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修剪灌木</w:t>
            </w:r>
          </w:p>
        </w:tc>
      </w:tr>
      <w:tr w14:paraId="442BB048">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7668C28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4005" w:type="dxa"/>
            <w:tcBorders>
              <w:top w:val="single" w:color="auto" w:sz="4" w:space="0"/>
              <w:left w:val="single" w:color="auto" w:sz="4" w:space="0"/>
              <w:bottom w:val="single" w:color="auto" w:sz="4" w:space="0"/>
              <w:right w:val="single" w:color="auto" w:sz="4" w:space="0"/>
            </w:tcBorders>
            <w:noWrap/>
          </w:tcPr>
          <w:p w14:paraId="4E4EC6D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打药机</w:t>
            </w:r>
          </w:p>
        </w:tc>
        <w:tc>
          <w:tcPr>
            <w:tcW w:w="3225" w:type="dxa"/>
            <w:tcBorders>
              <w:top w:val="single" w:color="auto" w:sz="4" w:space="0"/>
              <w:left w:val="single" w:color="auto" w:sz="4" w:space="0"/>
              <w:bottom w:val="single" w:color="auto" w:sz="4" w:space="0"/>
              <w:right w:val="single" w:color="auto" w:sz="4" w:space="0"/>
            </w:tcBorders>
            <w:noWrap/>
          </w:tcPr>
          <w:p w14:paraId="2347EF2A">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防虫</w:t>
            </w:r>
          </w:p>
        </w:tc>
      </w:tr>
      <w:tr w14:paraId="5BE90B9D">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7D6559A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w:t>
            </w:r>
          </w:p>
        </w:tc>
        <w:tc>
          <w:tcPr>
            <w:tcW w:w="4005" w:type="dxa"/>
            <w:tcBorders>
              <w:top w:val="single" w:color="auto" w:sz="4" w:space="0"/>
              <w:left w:val="single" w:color="auto" w:sz="4" w:space="0"/>
              <w:bottom w:val="single" w:color="auto" w:sz="4" w:space="0"/>
              <w:right w:val="single" w:color="auto" w:sz="4" w:space="0"/>
            </w:tcBorders>
            <w:noWrap/>
          </w:tcPr>
          <w:p w14:paraId="3A96045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电动助力车</w:t>
            </w:r>
          </w:p>
        </w:tc>
        <w:tc>
          <w:tcPr>
            <w:tcW w:w="3225" w:type="dxa"/>
            <w:tcBorders>
              <w:top w:val="single" w:color="auto" w:sz="4" w:space="0"/>
              <w:left w:val="single" w:color="auto" w:sz="4" w:space="0"/>
              <w:bottom w:val="single" w:color="auto" w:sz="4" w:space="0"/>
              <w:right w:val="single" w:color="auto" w:sz="4" w:space="0"/>
            </w:tcBorders>
            <w:noWrap/>
          </w:tcPr>
          <w:p w14:paraId="42BB4B7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巡视</w:t>
            </w:r>
          </w:p>
        </w:tc>
      </w:tr>
      <w:tr w14:paraId="1E8F2F69">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1FDF12F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w:t>
            </w:r>
          </w:p>
        </w:tc>
        <w:tc>
          <w:tcPr>
            <w:tcW w:w="4005" w:type="dxa"/>
            <w:tcBorders>
              <w:top w:val="single" w:color="auto" w:sz="4" w:space="0"/>
              <w:left w:val="single" w:color="auto" w:sz="4" w:space="0"/>
              <w:bottom w:val="single" w:color="auto" w:sz="4" w:space="0"/>
              <w:right w:val="single" w:color="auto" w:sz="4" w:space="0"/>
            </w:tcBorders>
            <w:noWrap/>
          </w:tcPr>
          <w:p w14:paraId="64489E2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手推车</w:t>
            </w:r>
          </w:p>
        </w:tc>
        <w:tc>
          <w:tcPr>
            <w:tcW w:w="3225" w:type="dxa"/>
            <w:tcBorders>
              <w:top w:val="single" w:color="auto" w:sz="4" w:space="0"/>
              <w:left w:val="single" w:color="auto" w:sz="4" w:space="0"/>
              <w:bottom w:val="single" w:color="auto" w:sz="4" w:space="0"/>
              <w:right w:val="single" w:color="auto" w:sz="4" w:space="0"/>
            </w:tcBorders>
            <w:noWrap/>
          </w:tcPr>
          <w:p w14:paraId="7DDE71C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拉杂物</w:t>
            </w:r>
          </w:p>
        </w:tc>
      </w:tr>
      <w:tr w14:paraId="3DDBC285">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44499CB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w:t>
            </w:r>
          </w:p>
        </w:tc>
        <w:tc>
          <w:tcPr>
            <w:tcW w:w="4005" w:type="dxa"/>
            <w:tcBorders>
              <w:top w:val="single" w:color="auto" w:sz="4" w:space="0"/>
              <w:left w:val="single" w:color="auto" w:sz="4" w:space="0"/>
              <w:bottom w:val="single" w:color="auto" w:sz="4" w:space="0"/>
              <w:right w:val="single" w:color="auto" w:sz="4" w:space="0"/>
            </w:tcBorders>
            <w:noWrap/>
          </w:tcPr>
          <w:p w14:paraId="7E1A0F2A">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塑料水管</w:t>
            </w:r>
          </w:p>
        </w:tc>
        <w:tc>
          <w:tcPr>
            <w:tcW w:w="3225" w:type="dxa"/>
            <w:tcBorders>
              <w:top w:val="single" w:color="auto" w:sz="4" w:space="0"/>
              <w:left w:val="single" w:color="auto" w:sz="4" w:space="0"/>
              <w:bottom w:val="single" w:color="auto" w:sz="4" w:space="0"/>
              <w:right w:val="single" w:color="auto" w:sz="4" w:space="0"/>
            </w:tcBorders>
            <w:noWrap/>
          </w:tcPr>
          <w:p w14:paraId="3B24AE9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浇水</w:t>
            </w:r>
          </w:p>
        </w:tc>
      </w:tr>
      <w:tr w14:paraId="0C191E64">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4108FDC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7</w:t>
            </w:r>
          </w:p>
        </w:tc>
        <w:tc>
          <w:tcPr>
            <w:tcW w:w="4005" w:type="dxa"/>
            <w:tcBorders>
              <w:top w:val="single" w:color="auto" w:sz="4" w:space="0"/>
              <w:left w:val="single" w:color="auto" w:sz="4" w:space="0"/>
              <w:bottom w:val="single" w:color="auto" w:sz="4" w:space="0"/>
              <w:right w:val="single" w:color="auto" w:sz="4" w:space="0"/>
            </w:tcBorders>
            <w:noWrap/>
          </w:tcPr>
          <w:p w14:paraId="1A9B791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绿篱剪</w:t>
            </w:r>
          </w:p>
        </w:tc>
        <w:tc>
          <w:tcPr>
            <w:tcW w:w="3225" w:type="dxa"/>
            <w:tcBorders>
              <w:top w:val="single" w:color="auto" w:sz="4" w:space="0"/>
              <w:left w:val="single" w:color="auto" w:sz="4" w:space="0"/>
              <w:bottom w:val="single" w:color="auto" w:sz="4" w:space="0"/>
              <w:right w:val="single" w:color="auto" w:sz="4" w:space="0"/>
            </w:tcBorders>
            <w:noWrap/>
          </w:tcPr>
          <w:p w14:paraId="0397ACA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修剪灌木</w:t>
            </w:r>
          </w:p>
        </w:tc>
      </w:tr>
      <w:tr w14:paraId="0D4C6DC5">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373C0E4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8</w:t>
            </w:r>
          </w:p>
        </w:tc>
        <w:tc>
          <w:tcPr>
            <w:tcW w:w="4005" w:type="dxa"/>
            <w:tcBorders>
              <w:top w:val="single" w:color="auto" w:sz="4" w:space="0"/>
              <w:left w:val="single" w:color="auto" w:sz="4" w:space="0"/>
              <w:bottom w:val="single" w:color="auto" w:sz="4" w:space="0"/>
              <w:right w:val="single" w:color="auto" w:sz="4" w:space="0"/>
            </w:tcBorders>
            <w:noWrap/>
          </w:tcPr>
          <w:p w14:paraId="088BDE7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修枝剪</w:t>
            </w:r>
          </w:p>
        </w:tc>
        <w:tc>
          <w:tcPr>
            <w:tcW w:w="3225" w:type="dxa"/>
            <w:tcBorders>
              <w:top w:val="single" w:color="auto" w:sz="4" w:space="0"/>
              <w:left w:val="single" w:color="auto" w:sz="4" w:space="0"/>
              <w:bottom w:val="single" w:color="auto" w:sz="4" w:space="0"/>
              <w:right w:val="single" w:color="auto" w:sz="4" w:space="0"/>
            </w:tcBorders>
            <w:noWrap/>
          </w:tcPr>
          <w:p w14:paraId="5E7AE92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修剪乔木</w:t>
            </w:r>
          </w:p>
        </w:tc>
      </w:tr>
      <w:tr w14:paraId="25E2F791">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7FF664A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9</w:t>
            </w:r>
          </w:p>
        </w:tc>
        <w:tc>
          <w:tcPr>
            <w:tcW w:w="4005" w:type="dxa"/>
            <w:tcBorders>
              <w:top w:val="single" w:color="auto" w:sz="4" w:space="0"/>
              <w:left w:val="single" w:color="auto" w:sz="4" w:space="0"/>
              <w:bottom w:val="single" w:color="auto" w:sz="4" w:space="0"/>
              <w:right w:val="single" w:color="auto" w:sz="4" w:space="0"/>
            </w:tcBorders>
            <w:noWrap/>
          </w:tcPr>
          <w:p w14:paraId="7754BC0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高枝剪</w:t>
            </w:r>
          </w:p>
        </w:tc>
        <w:tc>
          <w:tcPr>
            <w:tcW w:w="3225" w:type="dxa"/>
            <w:tcBorders>
              <w:top w:val="single" w:color="auto" w:sz="4" w:space="0"/>
              <w:left w:val="single" w:color="auto" w:sz="4" w:space="0"/>
              <w:bottom w:val="single" w:color="auto" w:sz="4" w:space="0"/>
              <w:right w:val="single" w:color="auto" w:sz="4" w:space="0"/>
            </w:tcBorders>
            <w:noWrap/>
          </w:tcPr>
          <w:p w14:paraId="62124F1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修剪</w:t>
            </w:r>
          </w:p>
        </w:tc>
      </w:tr>
      <w:tr w14:paraId="6DD56B53">
        <w:tblPrEx>
          <w:tblCellMar>
            <w:top w:w="0" w:type="dxa"/>
            <w:left w:w="108" w:type="dxa"/>
            <w:bottom w:w="0" w:type="dxa"/>
            <w:right w:w="108" w:type="dxa"/>
          </w:tblCellMar>
        </w:tblPrEx>
        <w:tc>
          <w:tcPr>
            <w:tcW w:w="1635" w:type="dxa"/>
            <w:tcBorders>
              <w:top w:val="single" w:color="auto" w:sz="4" w:space="0"/>
              <w:left w:val="single" w:color="auto" w:sz="4" w:space="0"/>
              <w:bottom w:val="single" w:color="auto" w:sz="4" w:space="0"/>
              <w:right w:val="single" w:color="auto" w:sz="4" w:space="0"/>
            </w:tcBorders>
            <w:noWrap/>
          </w:tcPr>
          <w:p w14:paraId="0442880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w:t>
            </w:r>
          </w:p>
        </w:tc>
        <w:tc>
          <w:tcPr>
            <w:tcW w:w="4005" w:type="dxa"/>
            <w:tcBorders>
              <w:top w:val="single" w:color="auto" w:sz="4" w:space="0"/>
              <w:left w:val="single" w:color="auto" w:sz="4" w:space="0"/>
              <w:bottom w:val="single" w:color="auto" w:sz="4" w:space="0"/>
              <w:right w:val="single" w:color="auto" w:sz="4" w:space="0"/>
            </w:tcBorders>
            <w:noWrap/>
          </w:tcPr>
          <w:p w14:paraId="669BA50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花铲</w:t>
            </w:r>
          </w:p>
        </w:tc>
        <w:tc>
          <w:tcPr>
            <w:tcW w:w="3225" w:type="dxa"/>
            <w:tcBorders>
              <w:top w:val="single" w:color="auto" w:sz="4" w:space="0"/>
              <w:left w:val="single" w:color="auto" w:sz="4" w:space="0"/>
              <w:bottom w:val="single" w:color="auto" w:sz="4" w:space="0"/>
              <w:right w:val="single" w:color="auto" w:sz="4" w:space="0"/>
            </w:tcBorders>
            <w:noWrap/>
          </w:tcPr>
          <w:p w14:paraId="3CEBF27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栽植物</w:t>
            </w:r>
          </w:p>
        </w:tc>
      </w:tr>
    </w:tbl>
    <w:p w14:paraId="51558DAA">
      <w:pPr>
        <w:pStyle w:val="12"/>
        <w:snapToGrid w:val="0"/>
        <w:spacing w:line="360" w:lineRule="auto"/>
        <w:ind w:firstLine="482" w:firstLineChars="200"/>
        <w:rPr>
          <w:rFonts w:hint="eastAsia" w:hAnsi="宋体" w:cs="宋体"/>
          <w:b/>
          <w:bCs/>
          <w:color w:val="auto"/>
          <w:sz w:val="24"/>
          <w:szCs w:val="24"/>
          <w:highlight w:val="none"/>
        </w:rPr>
      </w:pPr>
    </w:p>
    <w:p w14:paraId="4F2D371D">
      <w:pPr>
        <w:pStyle w:val="12"/>
        <w:snapToGrid w:val="0"/>
        <w:spacing w:line="360" w:lineRule="auto"/>
        <w:ind w:firstLine="482" w:firstLineChars="200"/>
        <w:rPr>
          <w:rFonts w:hint="eastAsia" w:hAnsi="宋体" w:cs="宋体"/>
          <w:bCs/>
          <w:color w:val="auto"/>
          <w:sz w:val="24"/>
          <w:szCs w:val="24"/>
          <w:highlight w:val="none"/>
        </w:rPr>
      </w:pPr>
      <w:r>
        <w:rPr>
          <w:rFonts w:hint="eastAsia" w:hAnsi="宋体" w:cs="宋体"/>
          <w:b/>
          <w:bCs/>
          <w:color w:val="auto"/>
          <w:sz w:val="24"/>
          <w:szCs w:val="24"/>
          <w:highlight w:val="none"/>
        </w:rPr>
        <w:t>③主要药品配置</w:t>
      </w:r>
    </w:p>
    <w:p w14:paraId="208BDEB9">
      <w:pPr>
        <w:snapToGrid w:val="0"/>
        <w:spacing w:line="360" w:lineRule="auto"/>
        <w:jc w:val="center"/>
        <w:rPr>
          <w:rFonts w:hint="eastAsia" w:ascii="宋体" w:hAnsi="宋体" w:cs="宋体"/>
          <w:bCs/>
          <w:color w:val="auto"/>
          <w:sz w:val="24"/>
          <w:szCs w:val="24"/>
          <w:highlight w:val="none"/>
        </w:rPr>
      </w:pPr>
      <w:r>
        <w:rPr>
          <w:rFonts w:hint="eastAsia" w:ascii="宋体" w:hAnsi="宋体" w:cs="宋体"/>
          <w:b/>
          <w:color w:val="auto"/>
          <w:sz w:val="24"/>
          <w:szCs w:val="24"/>
          <w:highlight w:val="none"/>
        </w:rPr>
        <w:t>主要药品清单</w:t>
      </w:r>
    </w:p>
    <w:tbl>
      <w:tblPr>
        <w:tblStyle w:val="20"/>
        <w:tblW w:w="9189" w:type="dxa"/>
        <w:tblInd w:w="0" w:type="dxa"/>
        <w:tblLayout w:type="fixed"/>
        <w:tblCellMar>
          <w:top w:w="0" w:type="dxa"/>
          <w:left w:w="108" w:type="dxa"/>
          <w:bottom w:w="0" w:type="dxa"/>
          <w:right w:w="108" w:type="dxa"/>
        </w:tblCellMar>
      </w:tblPr>
      <w:tblGrid>
        <w:gridCol w:w="804"/>
        <w:gridCol w:w="1410"/>
        <w:gridCol w:w="2025"/>
        <w:gridCol w:w="4950"/>
      </w:tblGrid>
      <w:tr w14:paraId="07DD6B0B">
        <w:tblPrEx>
          <w:tblCellMar>
            <w:top w:w="0" w:type="dxa"/>
            <w:left w:w="108" w:type="dxa"/>
            <w:bottom w:w="0" w:type="dxa"/>
            <w:right w:w="108" w:type="dxa"/>
          </w:tblCellMar>
        </w:tblPrEx>
        <w:tc>
          <w:tcPr>
            <w:tcW w:w="804" w:type="dxa"/>
            <w:tcBorders>
              <w:top w:val="single" w:color="auto" w:sz="4" w:space="0"/>
              <w:left w:val="single" w:color="auto" w:sz="4" w:space="0"/>
              <w:bottom w:val="single" w:color="auto" w:sz="4" w:space="0"/>
              <w:right w:val="single" w:color="auto" w:sz="4" w:space="0"/>
            </w:tcBorders>
            <w:noWrap/>
          </w:tcPr>
          <w:p w14:paraId="5999156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410" w:type="dxa"/>
            <w:tcBorders>
              <w:top w:val="single" w:color="auto" w:sz="4" w:space="0"/>
              <w:left w:val="single" w:color="auto" w:sz="4" w:space="0"/>
              <w:bottom w:val="single" w:color="auto" w:sz="4" w:space="0"/>
              <w:right w:val="single" w:color="auto" w:sz="4" w:space="0"/>
            </w:tcBorders>
            <w:noWrap/>
          </w:tcPr>
          <w:p w14:paraId="040CD4C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适用类别</w:t>
            </w:r>
          </w:p>
        </w:tc>
        <w:tc>
          <w:tcPr>
            <w:tcW w:w="2025" w:type="dxa"/>
            <w:tcBorders>
              <w:top w:val="single" w:color="auto" w:sz="4" w:space="0"/>
              <w:left w:val="single" w:color="auto" w:sz="4" w:space="0"/>
              <w:bottom w:val="single" w:color="auto" w:sz="4" w:space="0"/>
              <w:right w:val="single" w:color="auto" w:sz="4" w:space="0"/>
            </w:tcBorders>
            <w:noWrap/>
          </w:tcPr>
          <w:p w14:paraId="285ED46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产品名称</w:t>
            </w:r>
          </w:p>
        </w:tc>
        <w:tc>
          <w:tcPr>
            <w:tcW w:w="4950" w:type="dxa"/>
            <w:tcBorders>
              <w:top w:val="single" w:color="auto" w:sz="4" w:space="0"/>
              <w:left w:val="single" w:color="auto" w:sz="4" w:space="0"/>
              <w:bottom w:val="single" w:color="auto" w:sz="4" w:space="0"/>
              <w:right w:val="single" w:color="auto" w:sz="4" w:space="0"/>
            </w:tcBorders>
            <w:noWrap/>
          </w:tcPr>
          <w:p w14:paraId="332D970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主要用途</w:t>
            </w:r>
          </w:p>
        </w:tc>
      </w:tr>
      <w:tr w14:paraId="3B6EF427">
        <w:tblPrEx>
          <w:tblCellMar>
            <w:top w:w="0" w:type="dxa"/>
            <w:left w:w="108" w:type="dxa"/>
            <w:bottom w:w="0" w:type="dxa"/>
            <w:right w:w="108" w:type="dxa"/>
          </w:tblCellMar>
        </w:tblPrEx>
        <w:tc>
          <w:tcPr>
            <w:tcW w:w="804" w:type="dxa"/>
            <w:vMerge w:val="restart"/>
            <w:tcBorders>
              <w:top w:val="single" w:color="auto" w:sz="4" w:space="0"/>
              <w:left w:val="single" w:color="auto" w:sz="4" w:space="0"/>
              <w:right w:val="single" w:color="auto" w:sz="4" w:space="0"/>
            </w:tcBorders>
            <w:noWrap/>
          </w:tcPr>
          <w:p w14:paraId="43EFB911">
            <w:pPr>
              <w:snapToGrid w:val="0"/>
              <w:jc w:val="center"/>
              <w:rPr>
                <w:rFonts w:hint="eastAsia" w:ascii="宋体" w:hAnsi="宋体" w:cs="宋体"/>
                <w:color w:val="auto"/>
                <w:sz w:val="24"/>
                <w:szCs w:val="24"/>
                <w:highlight w:val="none"/>
              </w:rPr>
            </w:pPr>
          </w:p>
          <w:p w14:paraId="70C245F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1410" w:type="dxa"/>
            <w:vMerge w:val="restart"/>
            <w:tcBorders>
              <w:top w:val="single" w:color="auto" w:sz="4" w:space="0"/>
              <w:left w:val="single" w:color="auto" w:sz="4" w:space="0"/>
              <w:right w:val="single" w:color="auto" w:sz="4" w:space="0"/>
            </w:tcBorders>
            <w:noWrap/>
          </w:tcPr>
          <w:p w14:paraId="6C816CBF">
            <w:pPr>
              <w:snapToGrid w:val="0"/>
              <w:jc w:val="center"/>
              <w:rPr>
                <w:rFonts w:hint="eastAsia" w:ascii="宋体" w:hAnsi="宋体" w:cs="宋体"/>
                <w:color w:val="auto"/>
                <w:sz w:val="24"/>
                <w:szCs w:val="24"/>
                <w:highlight w:val="none"/>
              </w:rPr>
            </w:pPr>
          </w:p>
          <w:p w14:paraId="4239C379">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大树移栽</w:t>
            </w:r>
          </w:p>
        </w:tc>
        <w:tc>
          <w:tcPr>
            <w:tcW w:w="2025" w:type="dxa"/>
            <w:tcBorders>
              <w:top w:val="single" w:color="auto" w:sz="4" w:space="0"/>
              <w:left w:val="single" w:color="auto" w:sz="4" w:space="0"/>
              <w:bottom w:val="single" w:color="auto" w:sz="4" w:space="0"/>
              <w:right w:val="single" w:color="auto" w:sz="4" w:space="0"/>
            </w:tcBorders>
            <w:noWrap/>
          </w:tcPr>
          <w:p w14:paraId="2FB2B33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撒根生</w:t>
            </w:r>
          </w:p>
        </w:tc>
        <w:tc>
          <w:tcPr>
            <w:tcW w:w="4950" w:type="dxa"/>
            <w:tcBorders>
              <w:top w:val="single" w:color="auto" w:sz="4" w:space="0"/>
              <w:left w:val="single" w:color="auto" w:sz="4" w:space="0"/>
              <w:bottom w:val="single" w:color="auto" w:sz="4" w:space="0"/>
              <w:right w:val="single" w:color="auto" w:sz="4" w:space="0"/>
            </w:tcBorders>
            <w:noWrap/>
          </w:tcPr>
          <w:p w14:paraId="1038A805">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撒施型促植株生长健壮，根系发达</w:t>
            </w:r>
          </w:p>
        </w:tc>
      </w:tr>
      <w:tr w14:paraId="27B4579F">
        <w:tblPrEx>
          <w:tblCellMar>
            <w:top w:w="0" w:type="dxa"/>
            <w:left w:w="108" w:type="dxa"/>
            <w:bottom w:w="0" w:type="dxa"/>
            <w:right w:w="108" w:type="dxa"/>
          </w:tblCellMar>
        </w:tblPrEx>
        <w:tc>
          <w:tcPr>
            <w:tcW w:w="804" w:type="dxa"/>
            <w:vMerge w:val="continue"/>
            <w:tcBorders>
              <w:left w:val="single" w:color="auto" w:sz="4" w:space="0"/>
              <w:right w:val="single" w:color="auto" w:sz="4" w:space="0"/>
            </w:tcBorders>
            <w:noWrap/>
          </w:tcPr>
          <w:p w14:paraId="1CC0EBAC">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right w:val="single" w:color="auto" w:sz="4" w:space="0"/>
            </w:tcBorders>
            <w:noWrap/>
          </w:tcPr>
          <w:p w14:paraId="3BE7936B">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371A7FF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抑制蒸发剂</w:t>
            </w:r>
          </w:p>
        </w:tc>
        <w:tc>
          <w:tcPr>
            <w:tcW w:w="4950" w:type="dxa"/>
            <w:tcBorders>
              <w:top w:val="single" w:color="auto" w:sz="4" w:space="0"/>
              <w:left w:val="single" w:color="auto" w:sz="4" w:space="0"/>
              <w:bottom w:val="single" w:color="auto" w:sz="4" w:space="0"/>
              <w:right w:val="single" w:color="auto" w:sz="4" w:space="0"/>
            </w:tcBorders>
            <w:noWrap/>
          </w:tcPr>
          <w:p w14:paraId="263BC944">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降低植株蒸腾作用，减少水分散失</w:t>
            </w:r>
          </w:p>
        </w:tc>
      </w:tr>
      <w:tr w14:paraId="26A72104">
        <w:tblPrEx>
          <w:tblCellMar>
            <w:top w:w="0" w:type="dxa"/>
            <w:left w:w="108" w:type="dxa"/>
            <w:bottom w:w="0" w:type="dxa"/>
            <w:right w:w="108" w:type="dxa"/>
          </w:tblCellMar>
        </w:tblPrEx>
        <w:tc>
          <w:tcPr>
            <w:tcW w:w="804" w:type="dxa"/>
            <w:vMerge w:val="continue"/>
            <w:tcBorders>
              <w:left w:val="single" w:color="auto" w:sz="4" w:space="0"/>
              <w:bottom w:val="single" w:color="auto" w:sz="4" w:space="0"/>
              <w:right w:val="single" w:color="auto" w:sz="4" w:space="0"/>
            </w:tcBorders>
            <w:noWrap/>
          </w:tcPr>
          <w:p w14:paraId="0F32263C">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bottom w:val="single" w:color="auto" w:sz="4" w:space="0"/>
              <w:right w:val="single" w:color="auto" w:sz="4" w:space="0"/>
            </w:tcBorders>
            <w:noWrap/>
          </w:tcPr>
          <w:p w14:paraId="50C03E3C">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06BD6CA6">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地爱（根腐灵）</w:t>
            </w:r>
          </w:p>
        </w:tc>
        <w:tc>
          <w:tcPr>
            <w:tcW w:w="4950" w:type="dxa"/>
            <w:tcBorders>
              <w:top w:val="single" w:color="auto" w:sz="4" w:space="0"/>
              <w:left w:val="single" w:color="auto" w:sz="4" w:space="0"/>
              <w:bottom w:val="single" w:color="auto" w:sz="4" w:space="0"/>
              <w:right w:val="single" w:color="auto" w:sz="4" w:space="0"/>
            </w:tcBorders>
            <w:noWrap/>
          </w:tcPr>
          <w:p w14:paraId="2EBC2B9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专治枯萎病等土传病害</w:t>
            </w:r>
          </w:p>
        </w:tc>
      </w:tr>
      <w:tr w14:paraId="19D8C13C">
        <w:tblPrEx>
          <w:tblCellMar>
            <w:top w:w="0" w:type="dxa"/>
            <w:left w:w="108" w:type="dxa"/>
            <w:bottom w:w="0" w:type="dxa"/>
            <w:right w:w="108" w:type="dxa"/>
          </w:tblCellMar>
        </w:tblPrEx>
        <w:tc>
          <w:tcPr>
            <w:tcW w:w="804" w:type="dxa"/>
            <w:vMerge w:val="restart"/>
            <w:tcBorders>
              <w:top w:val="single" w:color="auto" w:sz="4" w:space="0"/>
              <w:left w:val="single" w:color="auto" w:sz="4" w:space="0"/>
              <w:right w:val="single" w:color="auto" w:sz="4" w:space="0"/>
            </w:tcBorders>
            <w:noWrap/>
          </w:tcPr>
          <w:p w14:paraId="7C545AD4">
            <w:pPr>
              <w:snapToGrid w:val="0"/>
              <w:jc w:val="center"/>
              <w:rPr>
                <w:rFonts w:hint="eastAsia" w:ascii="宋体" w:hAnsi="宋体" w:cs="宋体"/>
                <w:color w:val="auto"/>
                <w:sz w:val="24"/>
                <w:szCs w:val="24"/>
                <w:highlight w:val="none"/>
              </w:rPr>
            </w:pPr>
          </w:p>
          <w:p w14:paraId="50114F4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2</w:t>
            </w:r>
          </w:p>
        </w:tc>
        <w:tc>
          <w:tcPr>
            <w:tcW w:w="1410" w:type="dxa"/>
            <w:vMerge w:val="restart"/>
            <w:tcBorders>
              <w:top w:val="single" w:color="auto" w:sz="4" w:space="0"/>
              <w:left w:val="single" w:color="auto" w:sz="4" w:space="0"/>
              <w:right w:val="single" w:color="auto" w:sz="4" w:space="0"/>
            </w:tcBorders>
            <w:noWrap/>
          </w:tcPr>
          <w:p w14:paraId="6FB6E1D4">
            <w:pPr>
              <w:snapToGrid w:val="0"/>
              <w:jc w:val="center"/>
              <w:rPr>
                <w:rFonts w:hint="eastAsia" w:ascii="宋体" w:hAnsi="宋体" w:cs="宋体"/>
                <w:color w:val="auto"/>
                <w:sz w:val="24"/>
                <w:szCs w:val="24"/>
                <w:highlight w:val="none"/>
              </w:rPr>
            </w:pPr>
          </w:p>
          <w:p w14:paraId="7FEB74B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园林绿化</w:t>
            </w:r>
          </w:p>
        </w:tc>
        <w:tc>
          <w:tcPr>
            <w:tcW w:w="2025" w:type="dxa"/>
            <w:tcBorders>
              <w:top w:val="single" w:color="auto" w:sz="4" w:space="0"/>
              <w:left w:val="single" w:color="auto" w:sz="4" w:space="0"/>
              <w:bottom w:val="single" w:color="auto" w:sz="4" w:space="0"/>
              <w:right w:val="single" w:color="auto" w:sz="4" w:space="0"/>
            </w:tcBorders>
            <w:noWrap/>
          </w:tcPr>
          <w:p w14:paraId="5EFE0A9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依它（毒枪）</w:t>
            </w:r>
          </w:p>
        </w:tc>
        <w:tc>
          <w:tcPr>
            <w:tcW w:w="4950" w:type="dxa"/>
            <w:tcBorders>
              <w:top w:val="single" w:color="auto" w:sz="4" w:space="0"/>
              <w:left w:val="single" w:color="auto" w:sz="4" w:space="0"/>
              <w:bottom w:val="single" w:color="auto" w:sz="4" w:space="0"/>
              <w:right w:val="single" w:color="auto" w:sz="4" w:space="0"/>
            </w:tcBorders>
            <w:noWrap/>
          </w:tcPr>
          <w:p w14:paraId="4419376F">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防治常见食叶害虫</w:t>
            </w:r>
          </w:p>
        </w:tc>
      </w:tr>
      <w:tr w14:paraId="5AE0CD70">
        <w:tblPrEx>
          <w:tblCellMar>
            <w:top w:w="0" w:type="dxa"/>
            <w:left w:w="108" w:type="dxa"/>
            <w:bottom w:w="0" w:type="dxa"/>
            <w:right w:w="108" w:type="dxa"/>
          </w:tblCellMar>
        </w:tblPrEx>
        <w:tc>
          <w:tcPr>
            <w:tcW w:w="804" w:type="dxa"/>
            <w:vMerge w:val="continue"/>
            <w:tcBorders>
              <w:left w:val="single" w:color="auto" w:sz="4" w:space="0"/>
              <w:right w:val="single" w:color="auto" w:sz="4" w:space="0"/>
            </w:tcBorders>
            <w:noWrap/>
          </w:tcPr>
          <w:p w14:paraId="57F0C33A">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right w:val="single" w:color="auto" w:sz="4" w:space="0"/>
            </w:tcBorders>
            <w:noWrap/>
          </w:tcPr>
          <w:p w14:paraId="7A5E137C">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4FA4B064">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乙刻（毒箭）</w:t>
            </w:r>
          </w:p>
        </w:tc>
        <w:tc>
          <w:tcPr>
            <w:tcW w:w="4950" w:type="dxa"/>
            <w:tcBorders>
              <w:top w:val="single" w:color="auto" w:sz="4" w:space="0"/>
              <w:left w:val="single" w:color="auto" w:sz="4" w:space="0"/>
              <w:bottom w:val="single" w:color="auto" w:sz="4" w:space="0"/>
              <w:right w:val="single" w:color="auto" w:sz="4" w:space="0"/>
            </w:tcBorders>
            <w:noWrap/>
          </w:tcPr>
          <w:p w14:paraId="5B3327B4">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广谱杀虫剂，防治多种食叶害虫</w:t>
            </w:r>
          </w:p>
        </w:tc>
      </w:tr>
      <w:tr w14:paraId="1DE236BD">
        <w:tblPrEx>
          <w:tblCellMar>
            <w:top w:w="0" w:type="dxa"/>
            <w:left w:w="108" w:type="dxa"/>
            <w:bottom w:w="0" w:type="dxa"/>
            <w:right w:w="108" w:type="dxa"/>
          </w:tblCellMar>
        </w:tblPrEx>
        <w:tc>
          <w:tcPr>
            <w:tcW w:w="804" w:type="dxa"/>
            <w:vMerge w:val="continue"/>
            <w:tcBorders>
              <w:left w:val="single" w:color="auto" w:sz="4" w:space="0"/>
              <w:right w:val="single" w:color="auto" w:sz="4" w:space="0"/>
            </w:tcBorders>
            <w:noWrap/>
          </w:tcPr>
          <w:p w14:paraId="3F7414EE">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right w:val="single" w:color="auto" w:sz="4" w:space="0"/>
            </w:tcBorders>
            <w:noWrap/>
          </w:tcPr>
          <w:p w14:paraId="00DFD141">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2BB7B244">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英纳</w:t>
            </w:r>
          </w:p>
        </w:tc>
        <w:tc>
          <w:tcPr>
            <w:tcW w:w="4950" w:type="dxa"/>
            <w:tcBorders>
              <w:top w:val="single" w:color="auto" w:sz="4" w:space="0"/>
              <w:left w:val="single" w:color="auto" w:sz="4" w:space="0"/>
              <w:bottom w:val="single" w:color="auto" w:sz="4" w:space="0"/>
              <w:right w:val="single" w:color="auto" w:sz="4" w:space="0"/>
            </w:tcBorders>
            <w:noWrap/>
          </w:tcPr>
          <w:p w14:paraId="15671D3C">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保护治疗双重作用，防治斑点落叶病等</w:t>
            </w:r>
          </w:p>
        </w:tc>
      </w:tr>
      <w:tr w14:paraId="53DAC0B1">
        <w:tblPrEx>
          <w:tblCellMar>
            <w:top w:w="0" w:type="dxa"/>
            <w:left w:w="108" w:type="dxa"/>
            <w:bottom w:w="0" w:type="dxa"/>
            <w:right w:w="108" w:type="dxa"/>
          </w:tblCellMar>
        </w:tblPrEx>
        <w:trPr>
          <w:trHeight w:val="256" w:hRule="atLeast"/>
        </w:trPr>
        <w:tc>
          <w:tcPr>
            <w:tcW w:w="804" w:type="dxa"/>
            <w:vMerge w:val="continue"/>
            <w:tcBorders>
              <w:left w:val="single" w:color="auto" w:sz="4" w:space="0"/>
              <w:bottom w:val="single" w:color="auto" w:sz="4" w:space="0"/>
              <w:right w:val="single" w:color="auto" w:sz="4" w:space="0"/>
            </w:tcBorders>
            <w:noWrap/>
          </w:tcPr>
          <w:p w14:paraId="06AD5B08">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bottom w:val="single" w:color="auto" w:sz="4" w:space="0"/>
              <w:right w:val="single" w:color="auto" w:sz="4" w:space="0"/>
            </w:tcBorders>
            <w:noWrap/>
          </w:tcPr>
          <w:p w14:paraId="0388F842">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6B7557F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三唑酮</w:t>
            </w:r>
          </w:p>
        </w:tc>
        <w:tc>
          <w:tcPr>
            <w:tcW w:w="4950" w:type="dxa"/>
            <w:tcBorders>
              <w:top w:val="single" w:color="auto" w:sz="4" w:space="0"/>
              <w:left w:val="single" w:color="auto" w:sz="4" w:space="0"/>
              <w:bottom w:val="single" w:color="auto" w:sz="4" w:space="0"/>
              <w:right w:val="single" w:color="auto" w:sz="4" w:space="0"/>
            </w:tcBorders>
            <w:noWrap/>
          </w:tcPr>
          <w:p w14:paraId="6F86AA54">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防治白粉病、锈病，不污染植株</w:t>
            </w:r>
          </w:p>
        </w:tc>
      </w:tr>
      <w:tr w14:paraId="45D197F2">
        <w:tblPrEx>
          <w:tblCellMar>
            <w:top w:w="0" w:type="dxa"/>
            <w:left w:w="108" w:type="dxa"/>
            <w:bottom w:w="0" w:type="dxa"/>
            <w:right w:w="108" w:type="dxa"/>
          </w:tblCellMar>
        </w:tblPrEx>
        <w:tc>
          <w:tcPr>
            <w:tcW w:w="804" w:type="dxa"/>
            <w:vMerge w:val="restart"/>
            <w:tcBorders>
              <w:top w:val="single" w:color="auto" w:sz="4" w:space="0"/>
              <w:left w:val="single" w:color="auto" w:sz="4" w:space="0"/>
              <w:right w:val="single" w:color="auto" w:sz="4" w:space="0"/>
            </w:tcBorders>
            <w:noWrap/>
          </w:tcPr>
          <w:p w14:paraId="673F784E">
            <w:pPr>
              <w:snapToGrid w:val="0"/>
              <w:jc w:val="center"/>
              <w:rPr>
                <w:rFonts w:hint="eastAsia" w:ascii="宋体" w:hAnsi="宋体" w:cs="宋体"/>
                <w:color w:val="auto"/>
                <w:sz w:val="24"/>
                <w:szCs w:val="24"/>
                <w:highlight w:val="none"/>
              </w:rPr>
            </w:pPr>
          </w:p>
          <w:p w14:paraId="2015369D">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1410" w:type="dxa"/>
            <w:vMerge w:val="restart"/>
            <w:tcBorders>
              <w:top w:val="single" w:color="auto" w:sz="4" w:space="0"/>
              <w:left w:val="single" w:color="auto" w:sz="4" w:space="0"/>
              <w:right w:val="single" w:color="auto" w:sz="4" w:space="0"/>
            </w:tcBorders>
            <w:noWrap/>
          </w:tcPr>
          <w:p w14:paraId="2B251A19">
            <w:pPr>
              <w:snapToGrid w:val="0"/>
              <w:jc w:val="center"/>
              <w:rPr>
                <w:rFonts w:hint="eastAsia" w:ascii="宋体" w:hAnsi="宋体" w:cs="宋体"/>
                <w:color w:val="auto"/>
                <w:sz w:val="24"/>
                <w:szCs w:val="24"/>
                <w:highlight w:val="none"/>
              </w:rPr>
            </w:pPr>
          </w:p>
          <w:p w14:paraId="2D775C59">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草坪养护</w:t>
            </w:r>
          </w:p>
        </w:tc>
        <w:tc>
          <w:tcPr>
            <w:tcW w:w="2025" w:type="dxa"/>
            <w:tcBorders>
              <w:top w:val="single" w:color="auto" w:sz="4" w:space="0"/>
              <w:left w:val="single" w:color="auto" w:sz="4" w:space="0"/>
              <w:bottom w:val="single" w:color="auto" w:sz="4" w:space="0"/>
              <w:right w:val="single" w:color="auto" w:sz="4" w:space="0"/>
            </w:tcBorders>
            <w:noWrap/>
          </w:tcPr>
          <w:p w14:paraId="529F265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三灭</w:t>
            </w:r>
          </w:p>
        </w:tc>
        <w:tc>
          <w:tcPr>
            <w:tcW w:w="4950" w:type="dxa"/>
            <w:tcBorders>
              <w:top w:val="single" w:color="auto" w:sz="4" w:space="0"/>
              <w:left w:val="single" w:color="auto" w:sz="4" w:space="0"/>
              <w:bottom w:val="single" w:color="auto" w:sz="4" w:space="0"/>
              <w:right w:val="single" w:color="auto" w:sz="4" w:space="0"/>
            </w:tcBorders>
            <w:noWrap/>
          </w:tcPr>
          <w:p w14:paraId="3C2E2AE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土壤消毒用，预防土传病害</w:t>
            </w:r>
          </w:p>
        </w:tc>
      </w:tr>
      <w:tr w14:paraId="2EA5DA8E">
        <w:tblPrEx>
          <w:tblCellMar>
            <w:top w:w="0" w:type="dxa"/>
            <w:left w:w="108" w:type="dxa"/>
            <w:bottom w:w="0" w:type="dxa"/>
            <w:right w:w="108" w:type="dxa"/>
          </w:tblCellMar>
        </w:tblPrEx>
        <w:tc>
          <w:tcPr>
            <w:tcW w:w="804" w:type="dxa"/>
            <w:vMerge w:val="continue"/>
            <w:tcBorders>
              <w:left w:val="single" w:color="auto" w:sz="4" w:space="0"/>
              <w:right w:val="single" w:color="auto" w:sz="4" w:space="0"/>
            </w:tcBorders>
            <w:noWrap/>
          </w:tcPr>
          <w:p w14:paraId="2281A1B1">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right w:val="single" w:color="auto" w:sz="4" w:space="0"/>
            </w:tcBorders>
            <w:noWrap/>
          </w:tcPr>
          <w:p w14:paraId="27232401">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337D281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土杀</w:t>
            </w:r>
          </w:p>
        </w:tc>
        <w:tc>
          <w:tcPr>
            <w:tcW w:w="4950" w:type="dxa"/>
            <w:tcBorders>
              <w:top w:val="single" w:color="auto" w:sz="4" w:space="0"/>
              <w:left w:val="single" w:color="auto" w:sz="4" w:space="0"/>
              <w:bottom w:val="single" w:color="auto" w:sz="4" w:space="0"/>
              <w:right w:val="single" w:color="auto" w:sz="4" w:space="0"/>
            </w:tcBorders>
            <w:noWrap/>
          </w:tcPr>
          <w:p w14:paraId="4B84DED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防治地下害虫，兼治叶食害虫</w:t>
            </w:r>
          </w:p>
        </w:tc>
      </w:tr>
      <w:tr w14:paraId="35CC0E0F">
        <w:tblPrEx>
          <w:tblCellMar>
            <w:top w:w="0" w:type="dxa"/>
            <w:left w:w="108" w:type="dxa"/>
            <w:bottom w:w="0" w:type="dxa"/>
            <w:right w:w="108" w:type="dxa"/>
          </w:tblCellMar>
        </w:tblPrEx>
        <w:tc>
          <w:tcPr>
            <w:tcW w:w="804" w:type="dxa"/>
            <w:vMerge w:val="continue"/>
            <w:tcBorders>
              <w:left w:val="single" w:color="auto" w:sz="4" w:space="0"/>
              <w:right w:val="single" w:color="auto" w:sz="4" w:space="0"/>
            </w:tcBorders>
            <w:noWrap/>
          </w:tcPr>
          <w:p w14:paraId="5F0AF535">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right w:val="single" w:color="auto" w:sz="4" w:space="0"/>
            </w:tcBorders>
            <w:noWrap/>
          </w:tcPr>
          <w:p w14:paraId="5AFEF3C9">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74162142">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卓尔</w:t>
            </w:r>
          </w:p>
        </w:tc>
        <w:tc>
          <w:tcPr>
            <w:tcW w:w="4950" w:type="dxa"/>
            <w:tcBorders>
              <w:top w:val="single" w:color="auto" w:sz="4" w:space="0"/>
              <w:left w:val="single" w:color="auto" w:sz="4" w:space="0"/>
              <w:bottom w:val="single" w:color="auto" w:sz="4" w:space="0"/>
              <w:right w:val="single" w:color="auto" w:sz="4" w:space="0"/>
            </w:tcBorders>
            <w:noWrap/>
          </w:tcPr>
          <w:p w14:paraId="7B8FEB33">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结缕草、狗牙根等草坪防除多种杂草</w:t>
            </w:r>
          </w:p>
        </w:tc>
      </w:tr>
      <w:tr w14:paraId="708FD8A4">
        <w:tblPrEx>
          <w:tblCellMar>
            <w:top w:w="0" w:type="dxa"/>
            <w:left w:w="108" w:type="dxa"/>
            <w:bottom w:w="0" w:type="dxa"/>
            <w:right w:w="108" w:type="dxa"/>
          </w:tblCellMar>
        </w:tblPrEx>
        <w:trPr>
          <w:trHeight w:val="312" w:hRule="atLeast"/>
        </w:trPr>
        <w:tc>
          <w:tcPr>
            <w:tcW w:w="804" w:type="dxa"/>
            <w:vMerge w:val="continue"/>
            <w:tcBorders>
              <w:left w:val="single" w:color="auto" w:sz="4" w:space="0"/>
              <w:bottom w:val="single" w:color="auto" w:sz="4" w:space="0"/>
              <w:right w:val="single" w:color="auto" w:sz="4" w:space="0"/>
            </w:tcBorders>
            <w:noWrap/>
          </w:tcPr>
          <w:p w14:paraId="4EF9EDB1">
            <w:pPr>
              <w:snapToGrid w:val="0"/>
              <w:jc w:val="center"/>
              <w:rPr>
                <w:rFonts w:hint="eastAsia" w:ascii="宋体" w:hAnsi="宋体" w:cs="宋体"/>
                <w:color w:val="auto"/>
                <w:sz w:val="24"/>
                <w:szCs w:val="24"/>
                <w:highlight w:val="none"/>
              </w:rPr>
            </w:pPr>
          </w:p>
        </w:tc>
        <w:tc>
          <w:tcPr>
            <w:tcW w:w="1410" w:type="dxa"/>
            <w:vMerge w:val="continue"/>
            <w:tcBorders>
              <w:left w:val="single" w:color="auto" w:sz="4" w:space="0"/>
              <w:bottom w:val="single" w:color="auto" w:sz="4" w:space="0"/>
              <w:right w:val="single" w:color="auto" w:sz="4" w:space="0"/>
            </w:tcBorders>
            <w:noWrap/>
          </w:tcPr>
          <w:p w14:paraId="321A5D25">
            <w:pPr>
              <w:snapToGrid w:val="0"/>
              <w:jc w:val="center"/>
              <w:rPr>
                <w:rFonts w:hint="eastAsia" w:ascii="宋体" w:hAnsi="宋体" w:cs="宋体"/>
                <w:color w:val="auto"/>
                <w:sz w:val="24"/>
                <w:szCs w:val="24"/>
                <w:highlight w:val="none"/>
              </w:rPr>
            </w:pPr>
          </w:p>
        </w:tc>
        <w:tc>
          <w:tcPr>
            <w:tcW w:w="2025" w:type="dxa"/>
            <w:tcBorders>
              <w:top w:val="single" w:color="auto" w:sz="4" w:space="0"/>
              <w:left w:val="single" w:color="auto" w:sz="4" w:space="0"/>
              <w:bottom w:val="single" w:color="auto" w:sz="4" w:space="0"/>
              <w:right w:val="single" w:color="auto" w:sz="4" w:space="0"/>
            </w:tcBorders>
            <w:noWrap/>
          </w:tcPr>
          <w:p w14:paraId="4B57F27B">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格尔</w:t>
            </w:r>
          </w:p>
        </w:tc>
        <w:tc>
          <w:tcPr>
            <w:tcW w:w="4950" w:type="dxa"/>
            <w:tcBorders>
              <w:top w:val="single" w:color="auto" w:sz="4" w:space="0"/>
              <w:left w:val="single" w:color="auto" w:sz="4" w:space="0"/>
              <w:bottom w:val="single" w:color="auto" w:sz="4" w:space="0"/>
              <w:right w:val="single" w:color="auto" w:sz="4" w:space="0"/>
            </w:tcBorders>
            <w:noWrap/>
          </w:tcPr>
          <w:p w14:paraId="205BD307">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除阔叶类杂草</w:t>
            </w:r>
          </w:p>
        </w:tc>
      </w:tr>
      <w:tr w14:paraId="55DFB3E4">
        <w:tblPrEx>
          <w:tblCellMar>
            <w:top w:w="0" w:type="dxa"/>
            <w:left w:w="108" w:type="dxa"/>
            <w:bottom w:w="0" w:type="dxa"/>
            <w:right w:w="108" w:type="dxa"/>
          </w:tblCellMar>
        </w:tblPrEx>
        <w:tc>
          <w:tcPr>
            <w:tcW w:w="804" w:type="dxa"/>
            <w:tcBorders>
              <w:top w:val="single" w:color="auto" w:sz="4" w:space="0"/>
              <w:left w:val="single" w:color="auto" w:sz="4" w:space="0"/>
              <w:bottom w:val="single" w:color="auto" w:sz="4" w:space="0"/>
              <w:right w:val="single" w:color="auto" w:sz="4" w:space="0"/>
            </w:tcBorders>
            <w:noWrap/>
          </w:tcPr>
          <w:p w14:paraId="23D4CD90">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w:t>
            </w:r>
          </w:p>
        </w:tc>
        <w:tc>
          <w:tcPr>
            <w:tcW w:w="1410" w:type="dxa"/>
            <w:tcBorders>
              <w:top w:val="single" w:color="auto" w:sz="4" w:space="0"/>
              <w:left w:val="single" w:color="auto" w:sz="4" w:space="0"/>
              <w:bottom w:val="single" w:color="auto" w:sz="4" w:space="0"/>
              <w:right w:val="single" w:color="auto" w:sz="4" w:space="0"/>
            </w:tcBorders>
            <w:noWrap/>
          </w:tcPr>
          <w:p w14:paraId="79D8B5D1">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园林肥料</w:t>
            </w:r>
          </w:p>
        </w:tc>
        <w:tc>
          <w:tcPr>
            <w:tcW w:w="2025" w:type="dxa"/>
            <w:tcBorders>
              <w:top w:val="single" w:color="auto" w:sz="4" w:space="0"/>
              <w:left w:val="single" w:color="auto" w:sz="4" w:space="0"/>
              <w:bottom w:val="single" w:color="auto" w:sz="4" w:space="0"/>
              <w:right w:val="single" w:color="auto" w:sz="4" w:space="0"/>
            </w:tcBorders>
            <w:noWrap/>
          </w:tcPr>
          <w:p w14:paraId="31E8328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45%雨阳复合肥</w:t>
            </w:r>
          </w:p>
        </w:tc>
        <w:tc>
          <w:tcPr>
            <w:tcW w:w="4950" w:type="dxa"/>
            <w:tcBorders>
              <w:top w:val="single" w:color="auto" w:sz="4" w:space="0"/>
              <w:left w:val="single" w:color="auto" w:sz="4" w:space="0"/>
              <w:bottom w:val="single" w:color="auto" w:sz="4" w:space="0"/>
              <w:right w:val="single" w:color="auto" w:sz="4" w:space="0"/>
            </w:tcBorders>
            <w:noWrap/>
          </w:tcPr>
          <w:p w14:paraId="0FE5F2BE">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补充植物生长所需养分、健壮植株</w:t>
            </w:r>
          </w:p>
        </w:tc>
      </w:tr>
    </w:tbl>
    <w:p w14:paraId="3DC404CC">
      <w:pPr>
        <w:pStyle w:val="18"/>
        <w:wordWrap w:val="0"/>
        <w:snapToGrid w:val="0"/>
        <w:spacing w:beforeAutospacing="0" w:afterAutospacing="0" w:line="360" w:lineRule="auto"/>
        <w:ind w:firstLine="482" w:firstLineChars="200"/>
        <w:rPr>
          <w:rStyle w:val="23"/>
          <w:rFonts w:hint="eastAsia" w:cs="宋体"/>
          <w:color w:val="auto"/>
          <w:szCs w:val="24"/>
          <w:highlight w:val="none"/>
        </w:rPr>
      </w:pPr>
    </w:p>
    <w:p w14:paraId="292D9B29">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2" w:firstLineChars="200"/>
        <w:textAlignment w:val="auto"/>
        <w:rPr>
          <w:rFonts w:hint="eastAsia" w:cs="宋体"/>
          <w:bCs/>
          <w:color w:val="auto"/>
          <w:szCs w:val="24"/>
          <w:highlight w:val="none"/>
        </w:rPr>
      </w:pPr>
      <w:r>
        <w:rPr>
          <w:rStyle w:val="23"/>
          <w:rFonts w:hint="eastAsia" w:cs="宋体"/>
          <w:color w:val="auto"/>
          <w:szCs w:val="24"/>
          <w:highlight w:val="none"/>
        </w:rPr>
        <w:t>④园林绿化树木养护技术要求</w:t>
      </w:r>
    </w:p>
    <w:p w14:paraId="435C16B4">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中耕除草 </w:t>
      </w:r>
    </w:p>
    <w:p w14:paraId="4F43F504">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 xml:space="preserve">中耕除草目的在于疏松土壤、通气、调节土温，促进土壤养分分解，便于树木根系生长，同时除去与树木争肥争水、有碍观瞻的杂草。 </w:t>
      </w:r>
      <w:r>
        <w:rPr>
          <w:rFonts w:hint="eastAsia" w:cs="宋体"/>
          <w:bCs/>
          <w:color w:val="auto"/>
          <w:szCs w:val="24"/>
          <w:highlight w:val="none"/>
        </w:rPr>
        <w:br w:type="textWrapping"/>
      </w:r>
      <w:r>
        <w:rPr>
          <w:rFonts w:hint="eastAsia" w:cs="宋体"/>
          <w:bCs/>
          <w:color w:val="auto"/>
          <w:szCs w:val="24"/>
          <w:highlight w:val="none"/>
        </w:rPr>
        <w:t xml:space="preserve">（1）中耕深度和范围应树而定，一般深5㎝左右，范围直径50~10㎝的区域，覆盖率达到95%以上，基本无杂草。 </w:t>
      </w:r>
      <w:r>
        <w:rPr>
          <w:rFonts w:hint="eastAsia" w:cs="宋体"/>
          <w:bCs/>
          <w:color w:val="auto"/>
          <w:szCs w:val="24"/>
          <w:highlight w:val="none"/>
        </w:rPr>
        <w:br w:type="textWrapping"/>
      </w:r>
      <w:r>
        <w:rPr>
          <w:rFonts w:hint="eastAsia" w:cs="宋体"/>
          <w:bCs/>
          <w:color w:val="auto"/>
          <w:szCs w:val="24"/>
          <w:highlight w:val="none"/>
        </w:rPr>
        <w:t xml:space="preserve">（2）中耕时间，应在天气晴朗，土壤含水适度（50~60%）时进行，不得在土壤泥泞状态下中耕，以免破坏土壤结构；连阴两天除草，只能采用拔除方式。 </w:t>
      </w:r>
      <w:r>
        <w:rPr>
          <w:rFonts w:hint="eastAsia" w:cs="宋体"/>
          <w:bCs/>
          <w:color w:val="auto"/>
          <w:szCs w:val="24"/>
          <w:highlight w:val="none"/>
        </w:rPr>
        <w:br w:type="textWrapping"/>
      </w:r>
      <w:r>
        <w:rPr>
          <w:rFonts w:hint="eastAsia" w:cs="宋体"/>
          <w:bCs/>
          <w:color w:val="auto"/>
          <w:szCs w:val="24"/>
          <w:highlight w:val="none"/>
        </w:rPr>
        <w:t xml:space="preserve">（3）除下的杂草及时处理，运走或就地掩埋入土作为基肥。掘出的瓦砾，拣拾运出现场。 </w:t>
      </w:r>
      <w:r>
        <w:rPr>
          <w:rFonts w:hint="eastAsia" w:cs="宋体"/>
          <w:bCs/>
          <w:color w:val="auto"/>
          <w:szCs w:val="24"/>
          <w:highlight w:val="none"/>
        </w:rPr>
        <w:br w:type="textWrapping"/>
      </w:r>
      <w:r>
        <w:rPr>
          <w:rFonts w:hint="eastAsia" w:cs="宋体"/>
          <w:bCs/>
          <w:color w:val="auto"/>
          <w:szCs w:val="24"/>
          <w:highlight w:val="none"/>
        </w:rPr>
        <w:t xml:space="preserve">（4）中耕时不可损伤树木根系、树皮和枝条。 </w:t>
      </w:r>
      <w:r>
        <w:rPr>
          <w:rFonts w:hint="eastAsia" w:cs="宋体"/>
          <w:bCs/>
          <w:color w:val="auto"/>
          <w:szCs w:val="24"/>
          <w:highlight w:val="none"/>
        </w:rPr>
        <w:br w:type="textWrapping"/>
      </w:r>
      <w:r>
        <w:rPr>
          <w:rFonts w:hint="eastAsia" w:cs="宋体"/>
          <w:bCs/>
          <w:color w:val="auto"/>
          <w:szCs w:val="24"/>
          <w:highlight w:val="none"/>
        </w:rPr>
        <w:t xml:space="preserve">（5）树下草皮、地被高度控制在10~15㎝以下，修剪要整齐。 </w:t>
      </w:r>
    </w:p>
    <w:p w14:paraId="5F6AAF1C">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防旱与灌溉 </w:t>
      </w:r>
    </w:p>
    <w:p w14:paraId="5B2C3EA5">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树木生长需要足够的水分，否则不能维持生命。</w:t>
      </w:r>
    </w:p>
    <w:p w14:paraId="369C16A0">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（1）新栽1~2年内树木，要做好复土工作，必要时盖土保墒。 </w:t>
      </w:r>
    </w:p>
    <w:p w14:paraId="7CC91A9F">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（2）灌溉之前，应先松土，做好土围。夏季灌溉应在早、晚进行；冬季则在中午前后进行，每次浇透浇足。 </w:t>
      </w:r>
      <w:r>
        <w:rPr>
          <w:rFonts w:hint="eastAsia" w:cs="宋体"/>
          <w:bCs/>
          <w:color w:val="auto"/>
          <w:szCs w:val="24"/>
          <w:highlight w:val="none"/>
        </w:rPr>
        <w:br w:type="textWrapping"/>
      </w:r>
      <w:r>
        <w:rPr>
          <w:rFonts w:hint="eastAsia" w:cs="宋体"/>
          <w:bCs/>
          <w:color w:val="auto"/>
          <w:szCs w:val="24"/>
          <w:highlight w:val="none"/>
        </w:rPr>
        <w:t xml:space="preserve">（3）灌溉可结合施肥，以提高耐旱力。 </w:t>
      </w:r>
    </w:p>
    <w:p w14:paraId="67B0C353">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lang w:eastAsia="zh-CN"/>
        </w:rPr>
        <w:t>（</w:t>
      </w:r>
      <w:r>
        <w:rPr>
          <w:rFonts w:hint="eastAsia" w:cs="宋体"/>
          <w:bCs/>
          <w:color w:val="auto"/>
          <w:szCs w:val="24"/>
          <w:highlight w:val="none"/>
          <w:lang w:val="en-US" w:eastAsia="zh-CN"/>
        </w:rPr>
        <w:t>4）做好月雅河片区绿化的灌排设施及绿化内人行通道的补充修建，满足实施绿植灌排需要。</w:t>
      </w:r>
      <w:r>
        <w:rPr>
          <w:rFonts w:hint="eastAsia" w:cs="宋体"/>
          <w:bCs/>
          <w:color w:val="auto"/>
          <w:szCs w:val="24"/>
          <w:highlight w:val="none"/>
        </w:rPr>
        <w:br w:type="textWrapping"/>
      </w:r>
      <w:r>
        <w:rPr>
          <w:rFonts w:hint="eastAsia" w:cs="宋体"/>
          <w:bCs/>
          <w:color w:val="auto"/>
          <w:szCs w:val="24"/>
          <w:highlight w:val="none"/>
        </w:rPr>
        <w:t>（</w:t>
      </w:r>
      <w:r>
        <w:rPr>
          <w:rFonts w:hint="eastAsia" w:cs="宋体"/>
          <w:bCs/>
          <w:color w:val="auto"/>
          <w:szCs w:val="24"/>
          <w:highlight w:val="none"/>
          <w:lang w:val="en-US" w:eastAsia="zh-CN"/>
        </w:rPr>
        <w:t>5</w:t>
      </w:r>
      <w:r>
        <w:rPr>
          <w:rFonts w:hint="eastAsia" w:cs="宋体"/>
          <w:bCs/>
          <w:color w:val="auto"/>
          <w:szCs w:val="24"/>
          <w:highlight w:val="none"/>
        </w:rPr>
        <w:t xml:space="preserve">）新栽1~2年的名贵树木，皮层较薄光滑的树木，旱季要卷干。必要时还应对树干、树冠进行喷雾，喷雾次数视天气而定，并可搭盖荫棚。 </w:t>
      </w:r>
    </w:p>
    <w:p w14:paraId="3BD9810D">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施肥 </w:t>
      </w:r>
    </w:p>
    <w:p w14:paraId="1EB505CA">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 xml:space="preserve">化肥是植物的粮食，为使树木茂盛生长，必须施肥。休眠期施的肥称基肥，生长期施肥称追肥，有机肥必须充分腐熟才能使用。 </w:t>
      </w:r>
      <w:r>
        <w:rPr>
          <w:rFonts w:hint="eastAsia" w:cs="宋体"/>
          <w:bCs/>
          <w:color w:val="auto"/>
          <w:szCs w:val="24"/>
          <w:highlight w:val="none"/>
        </w:rPr>
        <w:br w:type="textWrapping"/>
      </w:r>
      <w:r>
        <w:rPr>
          <w:rFonts w:hint="eastAsia" w:cs="宋体"/>
          <w:bCs/>
          <w:color w:val="auto"/>
          <w:szCs w:val="24"/>
          <w:highlight w:val="none"/>
        </w:rPr>
        <w:t xml:space="preserve">（1）观花观果树木，要求花前花后各施一次追肥，休眠期施一次基肥。 </w:t>
      </w:r>
      <w:r>
        <w:rPr>
          <w:rFonts w:hint="eastAsia" w:cs="宋体"/>
          <w:bCs/>
          <w:color w:val="auto"/>
          <w:szCs w:val="24"/>
          <w:highlight w:val="none"/>
        </w:rPr>
        <w:br w:type="textWrapping"/>
      </w:r>
      <w:r>
        <w:rPr>
          <w:rFonts w:hint="eastAsia" w:cs="宋体"/>
          <w:bCs/>
          <w:color w:val="auto"/>
          <w:szCs w:val="24"/>
          <w:highlight w:val="none"/>
        </w:rPr>
        <w:t xml:space="preserve">（2）乔木休眠期施一次基肥，休眠期后施追肥一次，灌木休眠期施一次基肥，休眠期后施二次追肥，基肥施用量应视树种、土壤及树木大小而定，一般胸径10㎝以下的施有机肥5斤，10㎝以上的施10斤。 </w:t>
      </w:r>
      <w:r>
        <w:rPr>
          <w:rFonts w:hint="eastAsia" w:cs="宋体"/>
          <w:bCs/>
          <w:color w:val="auto"/>
          <w:szCs w:val="24"/>
          <w:highlight w:val="none"/>
        </w:rPr>
        <w:br w:type="textWrapping"/>
      </w:r>
      <w:r>
        <w:rPr>
          <w:rFonts w:hint="eastAsia" w:cs="宋体"/>
          <w:bCs/>
          <w:color w:val="auto"/>
          <w:szCs w:val="24"/>
          <w:highlight w:val="none"/>
        </w:rPr>
        <w:t xml:space="preserve">（3）施肥要选择晴天，土壤干燥时进行。施肥时，肥料不能玷污枝叶，以免烧伤。施肥从效果与环境卫生考虑，应采用沟施或穴施，沟（穴）应开在树冠之冠缘线下，深度视根的深度而定，一般25㎝，肥料不能与粗根接触，施后将沟（穴）填平。 </w:t>
      </w:r>
      <w:r>
        <w:rPr>
          <w:rFonts w:hint="eastAsia" w:cs="宋体"/>
          <w:bCs/>
          <w:color w:val="auto"/>
          <w:szCs w:val="24"/>
          <w:highlight w:val="none"/>
        </w:rPr>
        <w:br w:type="textWrapping"/>
      </w:r>
      <w:r>
        <w:rPr>
          <w:rFonts w:hint="eastAsia" w:cs="宋体"/>
          <w:bCs/>
          <w:color w:val="auto"/>
          <w:szCs w:val="24"/>
          <w:highlight w:val="none"/>
        </w:rPr>
        <w:t xml:space="preserve">（4）化肥要与有机肥交替使用。名贵树木可适当采用微量元素。磷肥、尿素作根外喷施，根外喷施宜在清晨或黄昏进行，以叶面泾润为度。 </w:t>
      </w:r>
      <w:r>
        <w:rPr>
          <w:rFonts w:hint="eastAsia" w:cs="宋体"/>
          <w:bCs/>
          <w:color w:val="auto"/>
          <w:szCs w:val="24"/>
          <w:highlight w:val="none"/>
        </w:rPr>
        <w:br w:type="textWrapping"/>
      </w:r>
      <w:r>
        <w:rPr>
          <w:rFonts w:hint="eastAsia" w:cs="宋体"/>
          <w:bCs/>
          <w:color w:val="auto"/>
          <w:szCs w:val="24"/>
          <w:highlight w:val="none"/>
        </w:rPr>
        <w:t xml:space="preserve">（5）要根据树木特性选择合适的肥料，喜酸性花木如杜鹃等，不宜用碱性肥，常绿针叶幼龄小苗不宜使用化肥等。 </w:t>
      </w:r>
    </w:p>
    <w:p w14:paraId="5F714250">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整形与修剪 </w:t>
      </w:r>
    </w:p>
    <w:p w14:paraId="436CC9A8">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整形与修剪能使树木生长健壮，花艳叶茂，树冠整齐美观，提高观赏性，还能改善通风透光条件，减少病虫害，对新栽和病弱树木还可以减少养分、水分消耗，恢复树势。（1）树木整形要根据树木习性而定，主干生长强势的应保留其领导干，采取塔形、圆锥形整形。主干生长势不强而易于形成丛状树冠的，可修成圆球状、半球形或自然形树冠，喜光小乔木可采用自然开心形。</w:t>
      </w:r>
    </w:p>
    <w:p w14:paraId="11DDCA28">
      <w:pPr>
        <w:pStyle w:val="18"/>
        <w:keepNext w:val="0"/>
        <w:keepLines w:val="0"/>
        <w:pageBreakBefore w:val="0"/>
        <w:numPr>
          <w:ilvl w:val="-1"/>
          <w:numId w:val="0"/>
        </w:numPr>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lang w:val="en-US" w:eastAsia="zh-CN"/>
        </w:rPr>
      </w:pPr>
      <w:r>
        <w:rPr>
          <w:rFonts w:hint="eastAsia" w:cs="宋体"/>
          <w:bCs/>
          <w:color w:val="auto"/>
          <w:szCs w:val="24"/>
          <w:highlight w:val="none"/>
          <w:lang w:eastAsia="zh-CN"/>
        </w:rPr>
        <w:t>（</w:t>
      </w:r>
      <w:r>
        <w:rPr>
          <w:rFonts w:hint="eastAsia" w:cs="宋体"/>
          <w:bCs/>
          <w:color w:val="auto"/>
          <w:szCs w:val="24"/>
          <w:highlight w:val="none"/>
          <w:lang w:val="en-US" w:eastAsia="zh-CN"/>
        </w:rPr>
        <w:t>2</w:t>
      </w:r>
      <w:r>
        <w:rPr>
          <w:rFonts w:hint="eastAsia" w:cs="宋体"/>
          <w:bCs/>
          <w:color w:val="auto"/>
          <w:szCs w:val="24"/>
          <w:highlight w:val="none"/>
          <w:lang w:eastAsia="zh-CN"/>
        </w:rPr>
        <w:t>）</w:t>
      </w:r>
      <w:r>
        <w:rPr>
          <w:rFonts w:hint="eastAsia" w:cs="宋体"/>
          <w:bCs/>
          <w:color w:val="auto"/>
          <w:szCs w:val="24"/>
          <w:highlight w:val="none"/>
        </w:rPr>
        <w:t xml:space="preserve">为平衡树势，使各主枝、侧枝间均衡生长，应“强主枝强剪，弱主枝弱剪”与“强枝弱剪，弱枝强剪”，枯死枝、病虫枝、徒长枝、并生枝和损伤枝要及时剪去。 </w:t>
      </w:r>
      <w:r>
        <w:rPr>
          <w:rFonts w:hint="eastAsia" w:cs="宋体"/>
          <w:bCs/>
          <w:color w:val="auto"/>
          <w:szCs w:val="24"/>
          <w:highlight w:val="none"/>
          <w:lang w:val="en-US" w:eastAsia="zh-CN"/>
        </w:rPr>
        <w:t xml:space="preserve">  </w:t>
      </w:r>
    </w:p>
    <w:p w14:paraId="57733FA9">
      <w:pPr>
        <w:pStyle w:val="18"/>
        <w:keepNext w:val="0"/>
        <w:keepLines w:val="0"/>
        <w:pageBreakBefore w:val="0"/>
        <w:numPr>
          <w:ilvl w:val="-1"/>
          <w:numId w:val="0"/>
        </w:numPr>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（3）老衰树木可以强度修剪恢复树势，灌木丛或绿篱下部空枯时，应逐批短裁或疏剪老枝，培育新枝，恢复树势。 </w:t>
      </w:r>
      <w:r>
        <w:rPr>
          <w:rFonts w:hint="eastAsia" w:cs="宋体"/>
          <w:bCs/>
          <w:color w:val="auto"/>
          <w:szCs w:val="24"/>
          <w:highlight w:val="none"/>
        </w:rPr>
        <w:br w:type="textWrapping"/>
      </w:r>
      <w:r>
        <w:rPr>
          <w:rFonts w:hint="eastAsia" w:cs="宋体"/>
          <w:bCs/>
          <w:color w:val="auto"/>
          <w:szCs w:val="24"/>
          <w:highlight w:val="none"/>
        </w:rPr>
        <w:t xml:space="preserve">（4）修剪时期应视树木开花习性及耐寒力而定。头年生枝开花（结果）的，应在花后修剪，如迎春、连翘等；当年上枝开花（结果）的，应在落叶后至发芽前修剪。耐寒的树木休眠期修剪，阔叶绿篱早春发芽前修剪，针叶绿篱8~9月修剪。 </w:t>
      </w:r>
      <w:r>
        <w:rPr>
          <w:rFonts w:hint="eastAsia" w:cs="宋体"/>
          <w:bCs/>
          <w:color w:val="auto"/>
          <w:szCs w:val="24"/>
          <w:highlight w:val="none"/>
        </w:rPr>
        <w:br w:type="textWrapping"/>
      </w:r>
      <w:r>
        <w:rPr>
          <w:rFonts w:hint="eastAsia" w:cs="宋体"/>
          <w:bCs/>
          <w:color w:val="auto"/>
          <w:szCs w:val="24"/>
          <w:highlight w:val="none"/>
        </w:rPr>
        <w:t xml:space="preserve">（5）幼小花木及新栽花灌木，应及时去花、蕾、果实。根际易萌发的树木，可用萌条更新衰老枝。 </w:t>
      </w:r>
      <w:r>
        <w:rPr>
          <w:rFonts w:hint="eastAsia" w:cs="宋体"/>
          <w:bCs/>
          <w:color w:val="auto"/>
          <w:szCs w:val="24"/>
          <w:highlight w:val="none"/>
        </w:rPr>
        <w:br w:type="textWrapping"/>
      </w:r>
      <w:r>
        <w:rPr>
          <w:rFonts w:hint="eastAsia" w:cs="宋体"/>
          <w:bCs/>
          <w:color w:val="auto"/>
          <w:szCs w:val="24"/>
          <w:highlight w:val="none"/>
        </w:rPr>
        <w:t xml:space="preserve">（6）修剪方法：修剪时切口必须靠节，剪口应在剪口芽的反侧面，呈45°斜面，剪口要平滑，对过粗的枝条应分段截枝，防止撕裂树皮。修剪一棵树，应从树冠上方至下方，由内向外进行。先作示范，确定修剪方式，再全面展开。 </w:t>
      </w:r>
      <w:r>
        <w:rPr>
          <w:rFonts w:hint="eastAsia" w:cs="宋体"/>
          <w:bCs/>
          <w:color w:val="auto"/>
          <w:szCs w:val="24"/>
          <w:highlight w:val="none"/>
        </w:rPr>
        <w:br w:type="textWrapping"/>
      </w:r>
      <w:r>
        <w:rPr>
          <w:rFonts w:hint="eastAsia" w:cs="宋体"/>
          <w:bCs/>
          <w:color w:val="auto"/>
          <w:szCs w:val="24"/>
          <w:highlight w:val="none"/>
        </w:rPr>
        <w:t>（7）生长期萌发的不定芽，除应保留者外，都要在未木质化时清除，扰乱树形的根际萌蘖及时清除。</w:t>
      </w:r>
    </w:p>
    <w:p w14:paraId="36731EF6">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防寒与防风 </w:t>
      </w:r>
    </w:p>
    <w:p w14:paraId="66EB5B08">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（1）防寒工作应在11月上旬开始，按抗寒力强弱，先弱后强顺序安排，12月上旬结束。 </w:t>
      </w:r>
      <w:r>
        <w:rPr>
          <w:rFonts w:hint="eastAsia" w:cs="宋体"/>
          <w:bCs/>
          <w:color w:val="auto"/>
          <w:szCs w:val="24"/>
          <w:highlight w:val="none"/>
        </w:rPr>
        <w:br w:type="textWrapping"/>
      </w:r>
      <w:r>
        <w:rPr>
          <w:rFonts w:hint="eastAsia" w:cs="宋体"/>
          <w:bCs/>
          <w:color w:val="auto"/>
          <w:szCs w:val="24"/>
          <w:highlight w:val="none"/>
        </w:rPr>
        <w:t>（2）防寒措施有：培土、铺草、卷干（包草）、扫除枝叶等。新栽树木可在根茎处培土。不耐寒的大树可卷干或根颈处铺草、盖土。</w:t>
      </w:r>
      <w:r>
        <w:rPr>
          <w:rFonts w:hint="eastAsia" w:cs="宋体"/>
          <w:bCs/>
          <w:color w:val="auto"/>
          <w:szCs w:val="24"/>
          <w:highlight w:val="none"/>
        </w:rPr>
        <w:br w:type="textWrapping"/>
      </w:r>
      <w:r>
        <w:rPr>
          <w:rFonts w:hint="eastAsia" w:cs="宋体"/>
          <w:bCs/>
          <w:color w:val="auto"/>
          <w:szCs w:val="24"/>
          <w:highlight w:val="none"/>
        </w:rPr>
        <w:t>（3）防风措施有：立支柱，适当删去密枝等，吹斜的树要及时扶正、并修剪删枝，倒伏伤根的树要强度修剪，并扶正卷干加强养护。</w:t>
      </w:r>
    </w:p>
    <w:p w14:paraId="4C6C6B99">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病虫害防治 </w:t>
      </w:r>
    </w:p>
    <w:p w14:paraId="61BB59FB">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病虫害防治要贯彻“防重于治”的方针和“综合防治”的原则，控制病虫害的发生，不影响观瞻。 全范围喷药2次/年，有虫害区域4次/年，保证植物无虫害。</w:t>
      </w:r>
      <w:r>
        <w:rPr>
          <w:rFonts w:hint="eastAsia" w:cs="宋体"/>
          <w:bCs/>
          <w:color w:val="auto"/>
          <w:szCs w:val="24"/>
          <w:highlight w:val="none"/>
        </w:rPr>
        <w:br w:type="textWrapping"/>
      </w:r>
      <w:r>
        <w:rPr>
          <w:rFonts w:hint="eastAsia" w:cs="宋体"/>
          <w:bCs/>
          <w:color w:val="auto"/>
          <w:szCs w:val="24"/>
          <w:highlight w:val="none"/>
        </w:rPr>
        <w:t>（1）主要虫害有：</w:t>
      </w:r>
      <w:r>
        <w:rPr>
          <w:rFonts w:hint="eastAsia" w:cs="宋体"/>
          <w:bCs/>
          <w:color w:val="auto"/>
          <w:szCs w:val="24"/>
          <w:highlight w:val="none"/>
        </w:rPr>
        <w:br w:type="textWrapping"/>
      </w:r>
      <w:r>
        <w:rPr>
          <w:rFonts w:hint="eastAsia" w:cs="宋体"/>
          <w:bCs/>
          <w:color w:val="auto"/>
          <w:szCs w:val="24"/>
          <w:highlight w:val="none"/>
        </w:rPr>
        <w:t xml:space="preserve">一类为食叶害虫，如刺蛾、蓑蛾、灯蛾、毒蛾等； </w:t>
      </w:r>
      <w:r>
        <w:rPr>
          <w:rFonts w:hint="eastAsia" w:cs="宋体"/>
          <w:bCs/>
          <w:color w:val="auto"/>
          <w:szCs w:val="24"/>
          <w:highlight w:val="none"/>
        </w:rPr>
        <w:br w:type="textWrapping"/>
      </w:r>
      <w:r>
        <w:rPr>
          <w:rFonts w:hint="eastAsia" w:cs="宋体"/>
          <w:bCs/>
          <w:color w:val="auto"/>
          <w:szCs w:val="24"/>
          <w:highlight w:val="none"/>
        </w:rPr>
        <w:t xml:space="preserve">二类为刺吸害虫，如蚜虫、天牛、蓟马、粉虱、蚧壳虫、叶螨、蠹蛾等； </w:t>
      </w:r>
      <w:r>
        <w:rPr>
          <w:rFonts w:hint="eastAsia" w:cs="宋体"/>
          <w:bCs/>
          <w:color w:val="auto"/>
          <w:szCs w:val="24"/>
          <w:highlight w:val="none"/>
        </w:rPr>
        <w:br w:type="textWrapping"/>
      </w:r>
      <w:r>
        <w:rPr>
          <w:rFonts w:hint="eastAsia" w:cs="宋体"/>
          <w:bCs/>
          <w:color w:val="auto"/>
          <w:szCs w:val="24"/>
          <w:highlight w:val="none"/>
        </w:rPr>
        <w:t xml:space="preserve">三类为地下害虫，如地老虎等。 </w:t>
      </w:r>
      <w:r>
        <w:rPr>
          <w:rFonts w:hint="eastAsia" w:cs="宋体"/>
          <w:bCs/>
          <w:color w:val="auto"/>
          <w:szCs w:val="24"/>
          <w:highlight w:val="none"/>
        </w:rPr>
        <w:br w:type="textWrapping"/>
      </w:r>
      <w:r>
        <w:rPr>
          <w:rFonts w:hint="eastAsia" w:cs="宋体"/>
          <w:bCs/>
          <w:color w:val="auto"/>
          <w:szCs w:val="24"/>
          <w:highlight w:val="none"/>
        </w:rPr>
        <w:t xml:space="preserve">虫害防治： 食叶类害虫药物防治可用针对性药物防治。此外它可结合灯光诱杀、人工掘茧、保护和利用天敌、清洁园圃进行综合防治。 </w:t>
      </w:r>
      <w:r>
        <w:rPr>
          <w:rFonts w:hint="eastAsia" w:cs="宋体"/>
          <w:bCs/>
          <w:color w:val="auto"/>
          <w:szCs w:val="24"/>
          <w:highlight w:val="none"/>
        </w:rPr>
        <w:br w:type="textWrapping"/>
      </w:r>
      <w:r>
        <w:rPr>
          <w:rFonts w:hint="eastAsia" w:cs="宋体"/>
          <w:bCs/>
          <w:color w:val="auto"/>
          <w:szCs w:val="24"/>
          <w:highlight w:val="none"/>
        </w:rPr>
        <w:t xml:space="preserve">（2）主要病害：白锈病、炭疽病、腐烂病、叶斑病、白绢病、白粉病、煤污病。 </w:t>
      </w:r>
      <w:r>
        <w:rPr>
          <w:rFonts w:hint="eastAsia" w:cs="宋体"/>
          <w:bCs/>
          <w:color w:val="auto"/>
          <w:szCs w:val="24"/>
          <w:highlight w:val="none"/>
        </w:rPr>
        <w:br w:type="textWrapping"/>
      </w:r>
      <w:r>
        <w:rPr>
          <w:rFonts w:hint="eastAsia" w:cs="宋体"/>
          <w:bCs/>
          <w:color w:val="auto"/>
          <w:szCs w:val="24"/>
          <w:highlight w:val="none"/>
        </w:rPr>
        <w:t xml:space="preserve">病毒防治：梅雨季节和秋雨连绵期间，各种病菌容易滋生，可以药物防治为主，结合清洁园圃，减少病原，选育良种、加强养管进行综合防治。 </w:t>
      </w:r>
      <w:r>
        <w:rPr>
          <w:rFonts w:hint="eastAsia" w:cs="宋体"/>
          <w:bCs/>
          <w:color w:val="auto"/>
          <w:szCs w:val="24"/>
          <w:highlight w:val="none"/>
        </w:rPr>
        <w:br w:type="textWrapping"/>
      </w:r>
      <w:r>
        <w:rPr>
          <w:rFonts w:hint="eastAsia" w:cs="宋体"/>
          <w:bCs/>
          <w:color w:val="auto"/>
          <w:szCs w:val="24"/>
          <w:highlight w:val="none"/>
        </w:rPr>
        <w:t xml:space="preserve">药物防治：在多发病期之前可用针对性药物防治，对各种病害选择使用。 </w:t>
      </w:r>
    </w:p>
    <w:p w14:paraId="163A62F0">
      <w:pPr>
        <w:pStyle w:val="18"/>
        <w:keepNext w:val="0"/>
        <w:keepLines w:val="0"/>
        <w:pageBreakBefore w:val="0"/>
        <w:numPr>
          <w:ilvl w:val="0"/>
          <w:numId w:val="6"/>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补栽补种 </w:t>
      </w:r>
      <w:r>
        <w:rPr>
          <w:rFonts w:hint="eastAsia" w:cs="宋体"/>
          <w:bCs/>
          <w:color w:val="auto"/>
          <w:szCs w:val="24"/>
          <w:highlight w:val="none"/>
        </w:rPr>
        <w:br w:type="textWrapping"/>
      </w:r>
      <w:r>
        <w:rPr>
          <w:rFonts w:hint="eastAsia" w:cs="宋体"/>
          <w:bCs/>
          <w:color w:val="auto"/>
          <w:szCs w:val="24"/>
          <w:highlight w:val="none"/>
        </w:rPr>
        <w:t xml:space="preserve">其目的确保园区内绿化景观的完好。 </w:t>
      </w:r>
    </w:p>
    <w:p w14:paraId="0359DF4A">
      <w:pPr>
        <w:pStyle w:val="18"/>
        <w:keepNext w:val="0"/>
        <w:keepLines w:val="0"/>
        <w:pageBreakBefore w:val="0"/>
        <w:numPr>
          <w:ilvl w:val="-1"/>
          <w:numId w:val="0"/>
        </w:numPr>
        <w:kinsoku/>
        <w:wordWrap w:val="0"/>
        <w:overflowPunct/>
        <w:topLinePunct w:val="0"/>
        <w:autoSpaceDE/>
        <w:autoSpaceDN/>
        <w:bidi w:val="0"/>
        <w:adjustRightInd/>
        <w:snapToGrid w:val="0"/>
        <w:spacing w:before="0" w:beforeAutospacing="0" w:after="0" w:afterAutospacing="0" w:line="360" w:lineRule="auto"/>
        <w:ind w:left="0" w:leftChars="0"/>
        <w:textAlignment w:val="auto"/>
        <w:rPr>
          <w:rFonts w:hint="eastAsia" w:cs="宋体"/>
          <w:bCs/>
          <w:color w:val="auto"/>
          <w:szCs w:val="24"/>
          <w:highlight w:val="none"/>
        </w:rPr>
      </w:pPr>
      <w:r>
        <w:rPr>
          <w:rFonts w:hint="eastAsia" w:cs="宋体"/>
          <w:bCs/>
          <w:color w:val="auto"/>
          <w:szCs w:val="24"/>
          <w:highlight w:val="none"/>
          <w:lang w:eastAsia="zh-CN"/>
        </w:rPr>
        <w:t>（</w:t>
      </w:r>
      <w:r>
        <w:rPr>
          <w:rFonts w:hint="eastAsia" w:cs="宋体"/>
          <w:bCs/>
          <w:color w:val="auto"/>
          <w:szCs w:val="24"/>
          <w:highlight w:val="none"/>
          <w:lang w:val="en-US" w:eastAsia="zh-CN"/>
        </w:rPr>
        <w:t>1</w:t>
      </w:r>
      <w:r>
        <w:rPr>
          <w:rFonts w:hint="eastAsia" w:cs="宋体"/>
          <w:bCs/>
          <w:color w:val="auto"/>
          <w:szCs w:val="24"/>
          <w:highlight w:val="none"/>
          <w:lang w:eastAsia="zh-CN"/>
        </w:rPr>
        <w:t>）</w:t>
      </w:r>
      <w:r>
        <w:rPr>
          <w:rFonts w:hint="eastAsia" w:cs="宋体"/>
          <w:bCs/>
          <w:color w:val="auto"/>
          <w:szCs w:val="24"/>
          <w:highlight w:val="none"/>
        </w:rPr>
        <w:t xml:space="preserve">确定须补种的植物品名及地点。 </w:t>
      </w:r>
      <w:r>
        <w:rPr>
          <w:rFonts w:hint="eastAsia" w:cs="宋体"/>
          <w:bCs/>
          <w:color w:val="auto"/>
          <w:szCs w:val="24"/>
          <w:highlight w:val="none"/>
        </w:rPr>
        <w:br w:type="textWrapping"/>
      </w:r>
      <w:r>
        <w:rPr>
          <w:rFonts w:hint="eastAsia" w:cs="宋体"/>
          <w:bCs/>
          <w:color w:val="auto"/>
          <w:szCs w:val="24"/>
          <w:highlight w:val="none"/>
          <w:lang w:eastAsia="zh-CN"/>
        </w:rPr>
        <w:t>（</w:t>
      </w:r>
      <w:r>
        <w:rPr>
          <w:rFonts w:hint="eastAsia" w:cs="宋体"/>
          <w:bCs/>
          <w:color w:val="auto"/>
          <w:szCs w:val="24"/>
          <w:highlight w:val="none"/>
          <w:lang w:val="en-US" w:eastAsia="zh-CN"/>
        </w:rPr>
        <w:t>2</w:t>
      </w:r>
      <w:r>
        <w:rPr>
          <w:rFonts w:hint="eastAsia" w:cs="宋体"/>
          <w:bCs/>
          <w:color w:val="auto"/>
          <w:szCs w:val="24"/>
          <w:highlight w:val="none"/>
          <w:lang w:eastAsia="zh-CN"/>
        </w:rPr>
        <w:t>）</w:t>
      </w:r>
      <w:r>
        <w:rPr>
          <w:rFonts w:hint="eastAsia" w:cs="宋体"/>
          <w:bCs/>
          <w:color w:val="auto"/>
          <w:szCs w:val="24"/>
          <w:highlight w:val="none"/>
        </w:rPr>
        <w:t xml:space="preserve">对须补种地翻土或打洞，加施基肥。 </w:t>
      </w:r>
      <w:r>
        <w:rPr>
          <w:rFonts w:hint="eastAsia" w:cs="宋体"/>
          <w:bCs/>
          <w:color w:val="auto"/>
          <w:szCs w:val="24"/>
          <w:highlight w:val="none"/>
        </w:rPr>
        <w:br w:type="textWrapping"/>
      </w:r>
      <w:r>
        <w:rPr>
          <w:rFonts w:hint="eastAsia" w:cs="宋体"/>
          <w:bCs/>
          <w:color w:val="auto"/>
          <w:szCs w:val="24"/>
          <w:highlight w:val="none"/>
        </w:rPr>
        <w:t xml:space="preserve">（3）挖苗或购苗，剪去包装物以及部分枝或叶。 </w:t>
      </w:r>
    </w:p>
    <w:p w14:paraId="55937175">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（4）补栽复土时应将土敲细，新土高出地面3~5㎝。载植新草时，土高出接口处1~2㎝，栽上草后浇水，然后用锹拍打草皮，使新种草根部入泥。</w:t>
      </w:r>
      <w:r>
        <w:rPr>
          <w:rFonts w:hint="eastAsia" w:cs="宋体"/>
          <w:bCs/>
          <w:color w:val="auto"/>
          <w:szCs w:val="24"/>
          <w:highlight w:val="none"/>
        </w:rPr>
        <w:br w:type="textWrapping"/>
      </w:r>
      <w:r>
        <w:rPr>
          <w:rFonts w:hint="eastAsia" w:cs="宋体"/>
          <w:bCs/>
          <w:color w:val="auto"/>
          <w:szCs w:val="24"/>
          <w:highlight w:val="none"/>
        </w:rPr>
        <w:t xml:space="preserve">（5）对新种乔木用支撑保护。 </w:t>
      </w:r>
      <w:r>
        <w:rPr>
          <w:rFonts w:hint="eastAsia" w:cs="宋体"/>
          <w:bCs/>
          <w:color w:val="auto"/>
          <w:szCs w:val="24"/>
          <w:highlight w:val="none"/>
        </w:rPr>
        <w:br w:type="textWrapping"/>
      </w:r>
      <w:r>
        <w:rPr>
          <w:rFonts w:hint="eastAsia" w:cs="宋体"/>
          <w:bCs/>
          <w:color w:val="auto"/>
          <w:szCs w:val="24"/>
          <w:highlight w:val="none"/>
        </w:rPr>
        <w:t>（6）浇水定根时一次浇透，每天早晚各浇一次。高温季节可适当增加喷水次数。</w:t>
      </w:r>
    </w:p>
    <w:p w14:paraId="796991C5">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（7）除负责养护标准内的苗木补种外，需负责采购人提供的苗木补种。</w:t>
      </w:r>
    </w:p>
    <w:p w14:paraId="597EB21F">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2" w:firstLineChars="200"/>
        <w:textAlignment w:val="auto"/>
        <w:rPr>
          <w:rFonts w:hint="eastAsia" w:cs="宋体"/>
          <w:bCs/>
          <w:color w:val="auto"/>
          <w:szCs w:val="24"/>
          <w:highlight w:val="none"/>
        </w:rPr>
      </w:pPr>
      <w:r>
        <w:rPr>
          <w:rStyle w:val="23"/>
          <w:rFonts w:hint="eastAsia" w:cs="宋体"/>
          <w:color w:val="auto"/>
          <w:szCs w:val="24"/>
          <w:highlight w:val="none"/>
        </w:rPr>
        <w:t>⑤行道树养护技术要求</w:t>
      </w:r>
    </w:p>
    <w:p w14:paraId="3BC3043F">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1、行道树的松土除草、灌溉施肥参照园林室外环境养护的有关条款。</w:t>
      </w:r>
    </w:p>
    <w:p w14:paraId="3B9976DA">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left="239" w:leftChars="114" w:firstLine="240" w:firstLineChars="100"/>
        <w:textAlignment w:val="auto"/>
        <w:rPr>
          <w:rFonts w:hint="eastAsia" w:cs="宋体"/>
          <w:bCs/>
          <w:color w:val="auto"/>
          <w:szCs w:val="24"/>
          <w:highlight w:val="none"/>
        </w:rPr>
      </w:pPr>
      <w:r>
        <w:rPr>
          <w:rFonts w:hint="eastAsia" w:cs="宋体"/>
          <w:bCs/>
          <w:color w:val="auto"/>
          <w:szCs w:val="24"/>
          <w:highlight w:val="none"/>
        </w:rPr>
        <w:t xml:space="preserve">2、整形、修剪 </w:t>
      </w:r>
    </w:p>
    <w:p w14:paraId="74A26019">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（1）行道树修剪有两种方式，一是自然形树冠修剪，一是规则形树冠修剪，前者保留树冠的原有自然形态，后者则按人们的立意剪成杯状、圆柱状、球状等几何形。 </w:t>
      </w:r>
      <w:r>
        <w:rPr>
          <w:rFonts w:hint="eastAsia" w:cs="宋体"/>
          <w:bCs/>
          <w:color w:val="auto"/>
          <w:szCs w:val="24"/>
          <w:highlight w:val="none"/>
        </w:rPr>
        <w:br w:type="textWrapping"/>
      </w:r>
      <w:r>
        <w:rPr>
          <w:rFonts w:hint="eastAsia" w:cs="宋体"/>
          <w:bCs/>
          <w:color w:val="auto"/>
          <w:szCs w:val="24"/>
          <w:highlight w:val="none"/>
        </w:rPr>
        <w:t xml:space="preserve">（2）行道树生长季节如有上方枝条触及建筑物、路灯、线路时，要随时剪除，行道树枝条与电话线应保持0.5M距离，与高压线保持1M距离，下方枝条不应低于4M，保证车辆畅通。 </w:t>
      </w:r>
      <w:r>
        <w:rPr>
          <w:rFonts w:hint="eastAsia" w:cs="宋体"/>
          <w:bCs/>
          <w:color w:val="auto"/>
          <w:szCs w:val="24"/>
          <w:highlight w:val="none"/>
        </w:rPr>
        <w:br w:type="textWrapping"/>
      </w:r>
      <w:r>
        <w:rPr>
          <w:rFonts w:hint="eastAsia" w:cs="宋体"/>
          <w:bCs/>
          <w:color w:val="auto"/>
          <w:szCs w:val="24"/>
          <w:highlight w:val="none"/>
        </w:rPr>
        <w:t xml:space="preserve">（3）生长季节要经常抹芽、主干道一年不应少于4次，不定芽不应超过15㎝；次干道2~3次，抹芽时不要倒拉伤树皮，也不要留残枝。 </w:t>
      </w:r>
      <w:r>
        <w:rPr>
          <w:rFonts w:hint="eastAsia" w:cs="宋体"/>
          <w:bCs/>
          <w:color w:val="auto"/>
          <w:szCs w:val="24"/>
          <w:highlight w:val="none"/>
        </w:rPr>
        <w:br w:type="textWrapping"/>
      </w:r>
      <w:r>
        <w:rPr>
          <w:rFonts w:hint="eastAsia" w:cs="宋体"/>
          <w:bCs/>
          <w:color w:val="auto"/>
          <w:szCs w:val="24"/>
          <w:highlight w:val="none"/>
        </w:rPr>
        <w:t>（4）冬季修剪时，把交叉枝、并生枝、下垂枝、枯枝、病虫枝、损伤枝截除，截面要平整，不能留短桩，截面直径超过6㎝时，一定要涂防腐剂。</w:t>
      </w:r>
    </w:p>
    <w:p w14:paraId="2590EFED">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3、树干上腐烂空洞要及时填补，无法整修复壮的，要及时申报调换。</w:t>
      </w:r>
      <w:r>
        <w:rPr>
          <w:rFonts w:hint="eastAsia" w:cs="宋体"/>
          <w:bCs/>
          <w:color w:val="auto"/>
          <w:szCs w:val="24"/>
          <w:highlight w:val="none"/>
        </w:rPr>
        <w:br w:type="textWrapping"/>
      </w:r>
      <w:r>
        <w:rPr>
          <w:rFonts w:hint="eastAsia" w:cs="宋体"/>
          <w:bCs/>
          <w:color w:val="auto"/>
          <w:szCs w:val="24"/>
          <w:highlight w:val="none"/>
        </w:rPr>
        <w:t xml:space="preserve">4、行道树下地面应平整，无水洼或堆积物，树上不得钉钉子、缚绳索。 </w:t>
      </w:r>
    </w:p>
    <w:p w14:paraId="55BAFCEC">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0" w:firstLineChars="200"/>
        <w:textAlignment w:val="auto"/>
        <w:rPr>
          <w:rFonts w:hint="eastAsia" w:cs="宋体"/>
          <w:bCs/>
          <w:color w:val="auto"/>
          <w:szCs w:val="24"/>
          <w:highlight w:val="none"/>
        </w:rPr>
      </w:pPr>
      <w:r>
        <w:rPr>
          <w:rFonts w:hint="eastAsia" w:cs="宋体"/>
          <w:bCs/>
          <w:color w:val="auto"/>
          <w:szCs w:val="24"/>
          <w:highlight w:val="none"/>
        </w:rPr>
        <w:t>5、高空作业时，要注意安全，梯子要架牢固，系上安全带，注意行人车辆、建筑物、管线。</w:t>
      </w:r>
    </w:p>
    <w:p w14:paraId="20EB9243">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482" w:firstLineChars="200"/>
        <w:textAlignment w:val="auto"/>
        <w:rPr>
          <w:rFonts w:hint="eastAsia" w:cs="宋体"/>
          <w:bCs/>
          <w:color w:val="auto"/>
          <w:szCs w:val="24"/>
          <w:highlight w:val="none"/>
        </w:rPr>
      </w:pPr>
      <w:r>
        <w:rPr>
          <w:rStyle w:val="23"/>
          <w:rFonts w:hint="eastAsia" w:cs="宋体"/>
          <w:color w:val="auto"/>
          <w:szCs w:val="24"/>
          <w:highlight w:val="none"/>
        </w:rPr>
        <w:t>⑥花卉、地被、草坪养护技术要求</w:t>
      </w:r>
    </w:p>
    <w:p w14:paraId="0717E59F">
      <w:pPr>
        <w:pStyle w:val="18"/>
        <w:keepNext w:val="0"/>
        <w:keepLines w:val="0"/>
        <w:pageBreakBefore w:val="0"/>
        <w:numPr>
          <w:ilvl w:val="0"/>
          <w:numId w:val="7"/>
        </w:numPr>
        <w:kinsoku/>
        <w:wordWrap w:val="0"/>
        <w:overflowPunct/>
        <w:topLinePunct w:val="0"/>
        <w:autoSpaceDE/>
        <w:autoSpaceDN/>
        <w:bidi w:val="0"/>
        <w:adjustRightInd/>
        <w:snapToGrid w:val="0"/>
        <w:spacing w:before="0" w:beforeAutospacing="0" w:after="0" w:afterAutospacing="0" w:line="360" w:lineRule="auto"/>
        <w:ind w:left="479" w:leftChars="228"/>
        <w:textAlignment w:val="auto"/>
        <w:rPr>
          <w:rFonts w:hint="eastAsia" w:cs="宋体"/>
          <w:bCs/>
          <w:color w:val="auto"/>
          <w:szCs w:val="24"/>
          <w:highlight w:val="none"/>
        </w:rPr>
      </w:pPr>
      <w:r>
        <w:rPr>
          <w:rFonts w:hint="eastAsia" w:cs="宋体"/>
          <w:bCs/>
          <w:color w:val="auto"/>
          <w:szCs w:val="24"/>
          <w:highlight w:val="none"/>
        </w:rPr>
        <w:t xml:space="preserve">花卉养护 </w:t>
      </w:r>
    </w:p>
    <w:p w14:paraId="54D2B8C0">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（1）松土、除草、施肥、灌溉。生长季节，花坛10~15天松土除草一次，结合追施肥料，肥料不得玷污植株，如有玷污须用清水冲干净。有机肥与无机肥交替使用。 </w:t>
      </w:r>
      <w:r>
        <w:rPr>
          <w:rFonts w:hint="eastAsia" w:cs="宋体"/>
          <w:bCs/>
          <w:color w:val="auto"/>
          <w:szCs w:val="24"/>
          <w:highlight w:val="none"/>
        </w:rPr>
        <w:br w:type="textWrapping"/>
      </w:r>
      <w:r>
        <w:rPr>
          <w:rFonts w:hint="eastAsia" w:cs="宋体"/>
          <w:bCs/>
          <w:color w:val="auto"/>
          <w:szCs w:val="24"/>
          <w:highlight w:val="none"/>
        </w:rPr>
        <w:t xml:space="preserve">（2）整形与修剪。草质花卉为了多开花，凡可摘心的花卉要摘心，株高与花大的花卉要立支撑；木本花卉要及时整形修剪。败花、黄叶要及时摘除。花坛中过半数的花朵凋谢后要立即调换，一般花坛全年调换2~3次。 </w:t>
      </w:r>
    </w:p>
    <w:p w14:paraId="64BE5CF0">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left="239" w:leftChars="114" w:firstLine="240" w:firstLineChars="100"/>
        <w:textAlignment w:val="auto"/>
        <w:rPr>
          <w:rFonts w:hint="eastAsia" w:cs="宋体"/>
          <w:bCs/>
          <w:color w:val="auto"/>
          <w:szCs w:val="24"/>
          <w:highlight w:val="none"/>
        </w:rPr>
      </w:pPr>
      <w:r>
        <w:rPr>
          <w:rFonts w:hint="eastAsia" w:cs="宋体"/>
          <w:bCs/>
          <w:color w:val="auto"/>
          <w:szCs w:val="24"/>
          <w:highlight w:val="none"/>
        </w:rPr>
        <w:t xml:space="preserve">2、地被植物养护 </w:t>
      </w:r>
    </w:p>
    <w:p w14:paraId="3F582E22">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（1）施肥与浇水。地被每年施肥不应少于1次，可结合中耕进行。干旱季节要浇水，夏季浇水在早晚进行。 </w:t>
      </w:r>
      <w:r>
        <w:rPr>
          <w:rFonts w:hint="eastAsia" w:cs="宋体"/>
          <w:bCs/>
          <w:color w:val="auto"/>
          <w:szCs w:val="24"/>
          <w:highlight w:val="none"/>
        </w:rPr>
        <w:br w:type="textWrapping"/>
      </w:r>
      <w:r>
        <w:rPr>
          <w:rFonts w:hint="eastAsia" w:cs="宋体"/>
          <w:bCs/>
          <w:color w:val="auto"/>
          <w:szCs w:val="24"/>
          <w:highlight w:val="none"/>
        </w:rPr>
        <w:t xml:space="preserve">（2）残花枯叶要及时清除，缺株及时补齐。 </w:t>
      </w:r>
      <w:r>
        <w:rPr>
          <w:rFonts w:hint="eastAsia" w:cs="宋体"/>
          <w:bCs/>
          <w:color w:val="auto"/>
          <w:szCs w:val="24"/>
          <w:highlight w:val="none"/>
        </w:rPr>
        <w:br w:type="textWrapping"/>
      </w:r>
      <w:r>
        <w:rPr>
          <w:rFonts w:hint="eastAsia" w:cs="宋体"/>
          <w:bCs/>
          <w:color w:val="auto"/>
          <w:szCs w:val="24"/>
          <w:highlight w:val="none"/>
        </w:rPr>
        <w:t xml:space="preserve">（3）木本地被植物要保持低矮状态。注意修剪，使枝条扩展生长，扩大覆盖面。 </w:t>
      </w:r>
      <w:r>
        <w:rPr>
          <w:rFonts w:hint="eastAsia" w:cs="宋体"/>
          <w:bCs/>
          <w:color w:val="auto"/>
          <w:szCs w:val="24"/>
          <w:highlight w:val="none"/>
        </w:rPr>
        <w:br w:type="textWrapping"/>
      </w:r>
      <w:r>
        <w:rPr>
          <w:rFonts w:hint="eastAsia" w:cs="宋体"/>
          <w:bCs/>
          <w:color w:val="auto"/>
          <w:szCs w:val="24"/>
          <w:highlight w:val="none"/>
        </w:rPr>
        <w:t>（4）宿根、球根地被植物生长3~5年后根部拥挤，需于休眠期分株重栽。</w:t>
      </w:r>
    </w:p>
    <w:p w14:paraId="4A1E3D98">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left="239" w:leftChars="114" w:firstLine="240" w:firstLineChars="100"/>
        <w:textAlignment w:val="auto"/>
        <w:rPr>
          <w:rFonts w:hint="eastAsia" w:cs="宋体"/>
          <w:bCs/>
          <w:color w:val="auto"/>
          <w:szCs w:val="24"/>
          <w:highlight w:val="none"/>
        </w:rPr>
      </w:pPr>
      <w:r>
        <w:rPr>
          <w:rFonts w:hint="eastAsia" w:cs="宋体"/>
          <w:bCs/>
          <w:color w:val="auto"/>
          <w:szCs w:val="24"/>
          <w:highlight w:val="none"/>
        </w:rPr>
        <w:t xml:space="preserve">3、草坪养护。 </w:t>
      </w:r>
    </w:p>
    <w:p w14:paraId="4E60D9D7">
      <w:pPr>
        <w:pStyle w:val="18"/>
        <w:keepNext w:val="0"/>
        <w:keepLines w:val="0"/>
        <w:pageBreakBefore w:val="0"/>
        <w:kinsoku/>
        <w:wordWrap w:val="0"/>
        <w:overflowPunct/>
        <w:topLinePunct w:val="0"/>
        <w:autoSpaceDE/>
        <w:autoSpaceDN/>
        <w:bidi w:val="0"/>
        <w:adjustRightInd/>
        <w:snapToGrid w:val="0"/>
        <w:spacing w:before="0" w:beforeAutospacing="0" w:after="0" w:afterAutospacing="0" w:line="360" w:lineRule="auto"/>
        <w:ind w:firstLine="0" w:firstLineChars="0"/>
        <w:textAlignment w:val="auto"/>
        <w:rPr>
          <w:rFonts w:hint="eastAsia" w:cs="宋体"/>
          <w:bCs/>
          <w:color w:val="auto"/>
          <w:szCs w:val="24"/>
          <w:highlight w:val="none"/>
        </w:rPr>
      </w:pPr>
      <w:r>
        <w:rPr>
          <w:rFonts w:hint="eastAsia" w:cs="宋体"/>
          <w:bCs/>
          <w:color w:val="auto"/>
          <w:szCs w:val="24"/>
          <w:highlight w:val="none"/>
        </w:rPr>
        <w:t xml:space="preserve">（1）施肥与浇水。新铺草坪要及时浇水，直至成活。夏季浇水应早晚进行。生长不良的草坪，每年早春萌芽前要追肥。 </w:t>
      </w:r>
      <w:r>
        <w:rPr>
          <w:rFonts w:hint="eastAsia" w:cs="宋体"/>
          <w:bCs/>
          <w:color w:val="auto"/>
          <w:szCs w:val="24"/>
          <w:highlight w:val="none"/>
        </w:rPr>
        <w:br w:type="textWrapping"/>
      </w:r>
      <w:r>
        <w:rPr>
          <w:rFonts w:hint="eastAsia" w:cs="宋体"/>
          <w:bCs/>
          <w:color w:val="auto"/>
          <w:szCs w:val="24"/>
          <w:highlight w:val="none"/>
        </w:rPr>
        <w:t>（2）修剪。草坪应保持6~8㎝高度，超过此高度即要推剪，推剪前先拾除砖石等杂物。</w:t>
      </w:r>
      <w:r>
        <w:rPr>
          <w:rFonts w:hint="eastAsia" w:cs="宋体"/>
          <w:bCs/>
          <w:color w:val="auto"/>
          <w:szCs w:val="24"/>
          <w:highlight w:val="none"/>
          <w:lang w:eastAsia="zh-CN"/>
        </w:rPr>
        <w:t>（</w:t>
      </w:r>
      <w:r>
        <w:rPr>
          <w:rFonts w:hint="eastAsia" w:cs="宋体"/>
          <w:bCs/>
          <w:color w:val="auto"/>
          <w:szCs w:val="24"/>
          <w:highlight w:val="none"/>
          <w:lang w:val="en-US" w:eastAsia="zh-CN"/>
        </w:rPr>
        <w:t>3</w:t>
      </w:r>
      <w:r>
        <w:rPr>
          <w:rFonts w:hint="eastAsia" w:cs="宋体"/>
          <w:bCs/>
          <w:color w:val="auto"/>
          <w:szCs w:val="24"/>
          <w:highlight w:val="none"/>
          <w:lang w:eastAsia="zh-CN"/>
        </w:rPr>
        <w:t>）</w:t>
      </w:r>
      <w:r>
        <w:rPr>
          <w:rFonts w:hint="eastAsia" w:cs="宋体"/>
          <w:bCs/>
          <w:color w:val="auto"/>
          <w:szCs w:val="24"/>
          <w:highlight w:val="none"/>
        </w:rPr>
        <w:t xml:space="preserve">除杂草。草坪常会滋生杂草，故常须拔除，不使其开花结籽繁衍。 </w:t>
      </w:r>
      <w:r>
        <w:rPr>
          <w:rFonts w:hint="eastAsia" w:cs="宋体"/>
          <w:bCs/>
          <w:color w:val="auto"/>
          <w:szCs w:val="24"/>
          <w:highlight w:val="none"/>
        </w:rPr>
        <w:br w:type="textWrapping"/>
      </w:r>
      <w:r>
        <w:rPr>
          <w:rFonts w:hint="eastAsia" w:cs="宋体"/>
          <w:bCs/>
          <w:color w:val="auto"/>
          <w:szCs w:val="24"/>
          <w:highlight w:val="none"/>
        </w:rPr>
        <w:t xml:space="preserve">（4）补缺与填平。草坪如发生较大缺株，应及时补栽。可栽植草皮，也可补播草种，补植后应立即灌水，以利于迅速恢复生长。低洼积水之处，要以土填平重栽。 </w:t>
      </w:r>
      <w:r>
        <w:rPr>
          <w:rFonts w:hint="eastAsia" w:cs="宋体"/>
          <w:bCs/>
          <w:color w:val="auto"/>
          <w:szCs w:val="24"/>
          <w:highlight w:val="none"/>
        </w:rPr>
        <w:br w:type="textWrapping"/>
      </w:r>
      <w:r>
        <w:rPr>
          <w:rFonts w:hint="eastAsia" w:cs="宋体"/>
          <w:bCs/>
          <w:color w:val="auto"/>
          <w:szCs w:val="24"/>
          <w:highlight w:val="none"/>
        </w:rPr>
        <w:t xml:space="preserve">（5）疏松土壤。草坪草的浅层根系非常发达，尤其是具有根茎或匍匐茎的草坪，极易形成致密的根网，从而降低表层土壤通透性。可在春季土壤化冻后采用手提式土钻或打孔机松土。也可用刀横向、纵向划断根系，促使根系萌发。 </w:t>
      </w:r>
    </w:p>
    <w:p w14:paraId="50D417A9">
      <w:pPr>
        <w:keepNext w:val="0"/>
        <w:keepLines w:val="0"/>
        <w:pageBreakBefore w:val="0"/>
        <w:kinsoku/>
        <w:overflowPunct/>
        <w:topLinePunct w:val="0"/>
        <w:autoSpaceDE/>
        <w:autoSpaceDN/>
        <w:bidi w:val="0"/>
        <w:adjustRightInd/>
        <w:snapToGrid w:val="0"/>
        <w:spacing w:line="360" w:lineRule="auto"/>
        <w:ind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⑦养护人员的要求</w:t>
      </w:r>
    </w:p>
    <w:p w14:paraId="459E1771">
      <w:pPr>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1、派驻到</w:t>
      </w:r>
      <w:r>
        <w:rPr>
          <w:rFonts w:hint="eastAsia" w:ascii="宋体" w:hAnsi="宋体" w:cs="宋体"/>
          <w:color w:val="auto"/>
          <w:sz w:val="24"/>
          <w:szCs w:val="24"/>
          <w:highlight w:val="none"/>
          <w:u w:val="single"/>
        </w:rPr>
        <w:t xml:space="preserve">  杭州市南排工程建设管理服务中心 </w:t>
      </w:r>
      <w:r>
        <w:rPr>
          <w:rFonts w:hint="eastAsia" w:ascii="宋体" w:hAnsi="宋体" w:cs="宋体"/>
          <w:color w:val="auto"/>
          <w:sz w:val="24"/>
          <w:szCs w:val="24"/>
          <w:highlight w:val="none"/>
        </w:rPr>
        <w:t>的工人保证具有良好的绿化保养工作经验，队伍相对稳定，并遵守区内的各项管理规定，听从甲方的工作安排，配合作好工作。</w:t>
      </w:r>
    </w:p>
    <w:p w14:paraId="390E8BAB">
      <w:pPr>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2、每天的保养人员按合同的规定，由班长带班，穿统一的工作服，佩带工号牌，不得穿拖鞋上岗，做到文明工作，礼貌待人，规范工作。</w:t>
      </w:r>
    </w:p>
    <w:p w14:paraId="3EBD752F">
      <w:pPr>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3、保养人员要爱护区内的设施，节约用水。</w:t>
      </w:r>
    </w:p>
    <w:p w14:paraId="12F81FD4">
      <w:pPr>
        <w:keepNext w:val="0"/>
        <w:keepLines w:val="0"/>
        <w:pageBreakBefore w:val="0"/>
        <w:kinsoku/>
        <w:overflowPunct/>
        <w:topLinePunct w:val="0"/>
        <w:autoSpaceDE/>
        <w:autoSpaceDN/>
        <w:bidi w:val="0"/>
        <w:adjustRightInd/>
        <w:snapToGrid w:val="0"/>
        <w:spacing w:line="360" w:lineRule="auto"/>
        <w:ind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⑧养护工程质量保证措施</w:t>
      </w:r>
    </w:p>
    <w:p w14:paraId="010260AF">
      <w:pPr>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1、工程质量自检、自测监理体系</w:t>
      </w:r>
    </w:p>
    <w:p w14:paraId="0B854262">
      <w:pPr>
        <w:pStyle w:val="17"/>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eastAsia="宋体" w:cs="宋体"/>
          <w:b w:val="0"/>
          <w:color w:val="auto"/>
          <w:kern w:val="0"/>
          <w:sz w:val="24"/>
          <w:szCs w:val="24"/>
          <w:highlight w:val="none"/>
        </w:rPr>
        <w:t>在养护期间做好工程原始记录，严格执行养护工程的有关标准、规范和建设单位提出的要求，一切按程序办事，确保养护工程质量。尤其特别注意质量自检，自测，在每隔一定时间由技术负责人对养护地点进行巡察，对不合格项立刻进行整改。</w:t>
      </w:r>
    </w:p>
    <w:p w14:paraId="3B3DC188">
      <w:pPr>
        <w:pStyle w:val="17"/>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2、严格执行规范、建立技术体系，做好各项检查，验收每一工序。严格按质检标准评定养护工程质量。严格遵守合同，精心养技、精心管理。</w:t>
      </w:r>
    </w:p>
    <w:p w14:paraId="5BA94024">
      <w:pPr>
        <w:pStyle w:val="17"/>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3、推行全面质量管理，加强养护队伍的质量教育，提高整个养护队伍的质量意识，使每个工作人员都明白自己的岗位职责及要求达到质量标准。</w:t>
      </w:r>
    </w:p>
    <w:p w14:paraId="50BA2692">
      <w:pPr>
        <w:pStyle w:val="17"/>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4、对工艺不清楚的个别人员加以强化训练，届时不能达到要求者，坚决予以撤换。对责任心不强的技术人员也坚决予以撤换，以保证养护工程质量。技术负责人每星期都进行外勤检查，同时对由于各种客观原因造成的不合格项，坚决进行改正至合格为止。</w:t>
      </w:r>
    </w:p>
    <w:p w14:paraId="0422B956">
      <w:pPr>
        <w:pStyle w:val="17"/>
        <w:keepNext w:val="0"/>
        <w:keepLines w:val="0"/>
        <w:pageBreakBefore w:val="0"/>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5、所有养护人员服从甲方监督人员的监督和指导，严格遵守国家、省、市有关防火安全责任规定和采购单位规定的《督察管理方法》并承担由自身措施不力而造成的事故责任和经济责任。</w:t>
      </w:r>
    </w:p>
    <w:p w14:paraId="62810330">
      <w:pPr>
        <w:pStyle w:val="17"/>
        <w:keepNext w:val="0"/>
        <w:keepLines w:val="0"/>
        <w:pageBreakBefore w:val="0"/>
        <w:kinsoku/>
        <w:overflowPunct/>
        <w:topLinePunct w:val="0"/>
        <w:autoSpaceDE/>
        <w:autoSpaceDN/>
        <w:bidi w:val="0"/>
        <w:adjustRightInd/>
        <w:snapToGrid w:val="0"/>
        <w:spacing w:line="360" w:lineRule="auto"/>
        <w:textAlignment w:val="auto"/>
        <w:rPr>
          <w:rFonts w:hint="eastAsia" w:ascii="宋体" w:hAnsi="宋体" w:eastAsia="宋体" w:cs="宋体"/>
          <w:b w:val="0"/>
          <w:color w:val="auto"/>
          <w:kern w:val="0"/>
          <w:sz w:val="24"/>
          <w:szCs w:val="24"/>
          <w:highlight w:val="none"/>
        </w:rPr>
      </w:pPr>
    </w:p>
    <w:p w14:paraId="01E0772C">
      <w:pPr>
        <w:pStyle w:val="17"/>
        <w:keepNext w:val="0"/>
        <w:keepLines w:val="0"/>
        <w:pageBreakBefore w:val="0"/>
        <w:kinsoku/>
        <w:overflowPunct/>
        <w:topLinePunct w:val="0"/>
        <w:autoSpaceDE/>
        <w:autoSpaceDN/>
        <w:bidi w:val="0"/>
        <w:adjustRightInd/>
        <w:snapToGrid w:val="0"/>
        <w:spacing w:line="360" w:lineRule="auto"/>
        <w:textAlignment w:val="auto"/>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附《杭州市城区绿地养护质量标准》</w:t>
      </w:r>
    </w:p>
    <w:p w14:paraId="6B5A0EFE">
      <w:pPr>
        <w:pStyle w:val="18"/>
        <w:keepNext w:val="0"/>
        <w:keepLines w:val="0"/>
        <w:pageBreakBefore w:val="0"/>
        <w:kinsoku/>
        <w:overflowPunct/>
        <w:topLinePunct w:val="0"/>
        <w:autoSpaceDE/>
        <w:autoSpaceDN/>
        <w:bidi w:val="0"/>
        <w:adjustRightInd/>
        <w:snapToGrid w:val="0"/>
        <w:spacing w:before="0" w:beforeAutospacing="0" w:after="0" w:afterAutospacing="0" w:line="360" w:lineRule="auto"/>
        <w:jc w:val="center"/>
        <w:textAlignment w:val="auto"/>
        <w:rPr>
          <w:rFonts w:hint="eastAsia" w:cs="宋体"/>
          <w:color w:val="auto"/>
          <w:szCs w:val="24"/>
          <w:highlight w:val="none"/>
        </w:rPr>
      </w:pPr>
      <w:r>
        <w:rPr>
          <w:rStyle w:val="23"/>
          <w:rFonts w:hint="eastAsia" w:cs="宋体"/>
          <w:color w:val="auto"/>
          <w:szCs w:val="24"/>
          <w:highlight w:val="none"/>
        </w:rPr>
        <w:t>杭州市城区绿地养护质量标准</w:t>
      </w:r>
    </w:p>
    <w:p w14:paraId="72C82776">
      <w:pPr>
        <w:keepNext w:val="0"/>
        <w:keepLines w:val="0"/>
        <w:pageBreakBefore w:val="0"/>
        <w:kinsoku/>
        <w:overflowPunct/>
        <w:topLinePunct w:val="0"/>
        <w:autoSpaceDE/>
        <w:autoSpaceDN/>
        <w:bidi w:val="0"/>
        <w:adjustRightInd/>
        <w:snapToGrid w:val="0"/>
        <w:spacing w:line="360" w:lineRule="auto"/>
        <w:ind w:firstLine="3120" w:firstLineChars="13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杭园文&lt;2003&gt;42号</w:t>
      </w:r>
    </w:p>
    <w:p w14:paraId="7A44BB7E">
      <w:pPr>
        <w:keepNext w:val="0"/>
        <w:keepLines w:val="0"/>
        <w:pageBreakBefore w:val="0"/>
        <w:kinsoku/>
        <w:overflowPunct/>
        <w:topLinePunct w:val="0"/>
        <w:autoSpaceDE/>
        <w:autoSpaceDN/>
        <w:bidi w:val="0"/>
        <w:adjustRightInd/>
        <w:snapToGrid w:val="0"/>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 总则</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1.1  为加强杭州市绿地养护的管理，提高绿地养护质量，加强园林行业管理，根据国家和省、市有关法律、法规，结合本市实际情况，特制订本标准。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1.2  本标准适用于杭州市城区范围内的绿地养护。凡在城区范围内，由市、区财政核拨养护经费的绿地，必须按照本标准执行；非市、区财政核拨养护经费的城区其他绿地和西湖风景名胜区的绿地可参照本标准执行。</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1.3  各类绿地的养护管理，除应按本标准执行外，还应遵守国家、行业、地方有关标准规范的规定。</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  公园绿地养护标准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  总体标准：指公园绿地养护的整体质量，内容有植物养护、树木存活率、设施维护、土肥标准、病虫害防治标准、卫生标准及管理标准。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  植物养护标准：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2.1.1.1  根据设计意图，养护要重视和体现植物造景，对植物群落进行合理养护，使植物季相分明，色彩丰富，生长茂盛，营造优美植物景观。</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2.1.1.2  随着植物生长的各个阶段，应不断进行调整与充实，使植物群落完整，层次丰富，四季有花，黄土不裸露，保持叶面清洁，有整体观赏效果。</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2.1.1.3  花卉面积（含宿根花卉）不低于5%。</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2.1.1.4  树木及时修剪，无徒长枝、病虫枝、过密枝、枯枝、伤损枝；宿根植物及时翻种、断根、间删；植物无死株。</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2.1.1.5  草坪生长茂盛，无空秃，无明显杂草，草坪边缘线清晰（及时切边），草高不超过8厘米。</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2.1.1.6  棚架、假山及垂直绿化管护合理，达到正常生长量。</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2.1.2  树木成活率标准：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树木成活率98%以上；树木保存率100%。</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  设施维护标准：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2.1.3.1  绿地附属设施完好、分布合理、放置整齐、保持清洁。</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2.1.3.2  园路、铺装地坪平整，无大面积破损、无积水、无淤泥。</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2.1.3.3  亭、廊及其它园林建筑保持安全，及时修缮，维护良好。</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2.1.3.4  金属构件设施无明显锈斑、油漆剥落现象。</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2.1.3.5  供水、供电、排水、喷灌等管网设施维护良好。</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2.1.3.6  指示牌、禁令牌、宣传牌放置合理，醒目、完善、规范。</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2.1.4  土肥标准：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土壤疏松，无积水，根据植物生长特性及时施肥，充分利用有机肥，也可施复合肥，增强土壤肥力（要求一年施肥二次，每次用腐熟豆饼0.5kg／m2），改善土壤理化性状。</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2.1.5  病虫害防治标准：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提倡综合防治，以防为主。病虫害危害应控制在以不影响观赏效果的范围之内。其中食叶性害虫危害的叶片，每株不超过5%；刺吸性害虫危害的叶片，每株不超过10%；无蛀干性害虫的活虫、活卵。</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2.1.6  卫生标准：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2.1.6.1  绿地整洁，地面卫生，无垃圾杂物，墙面无涂刻、无招贴。</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2.1.6.2  绿地内水体整洁卫生、无漂浮杂物、无杂生水生植物。</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2.1.6.3  垃圾日产日清，无卫生死角，厕所无明显异味。</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2.1.7  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2.1.7.1  绿地管理制度全面落实，档案资料完整、详尽，工作人员统一着装，挂牌上岗。</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2.1.7.2  无违章占绿、无违法建设。</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2.1.7.3  秩序良好，无乱堆乱放、晾晒衣物现象。</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2.2  时花花坛的养护标准：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2.2.1  布置效果：</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按设计精心养护，有全年用花计划，做到四季有花，花期整齐，图案美观，布置效果良好。</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2.2.2  花卉生长：</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花卉植株生长健壮，花色艳丽，始花期方可上花坛种植，株行距适宜，不露底土。无缺株倒伏，无枯枝残花，无杂草垃圾。</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2.3  常绿草草坪的养护标准：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2.3.1  整体效果：</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草种基本纯正，生长茂盛，有一定厚度，草根不裸露；草坪无明显枯黄现象，草高不超过6cm；草坪边缘线清晰。</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2.3.2  养护要求：</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草坪基本无杂草、无空秃，护栏等防护设施完好美观；草坪保持整洁，不得有石块、果壳纸屑及其它垃圾。</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2.4   具体养护标准</w:t>
      </w:r>
    </w:p>
    <w:tbl>
      <w:tblPr>
        <w:tblStyle w:val="2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2365"/>
        <w:gridCol w:w="2624"/>
        <w:gridCol w:w="2671"/>
      </w:tblGrid>
      <w:tr w14:paraId="792C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4B776C4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分级标准</w:t>
            </w:r>
          </w:p>
        </w:tc>
        <w:tc>
          <w:tcPr>
            <w:tcW w:w="2365" w:type="dxa"/>
            <w:noWrap/>
            <w:vAlign w:val="center"/>
          </w:tcPr>
          <w:p w14:paraId="3102B36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一级标准</w:t>
            </w:r>
          </w:p>
        </w:tc>
        <w:tc>
          <w:tcPr>
            <w:tcW w:w="2624" w:type="dxa"/>
            <w:noWrap/>
            <w:vAlign w:val="center"/>
          </w:tcPr>
          <w:p w14:paraId="7EAAE02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二级标准</w:t>
            </w:r>
          </w:p>
        </w:tc>
        <w:tc>
          <w:tcPr>
            <w:tcW w:w="2671" w:type="dxa"/>
            <w:noWrap/>
            <w:vAlign w:val="center"/>
          </w:tcPr>
          <w:p w14:paraId="1AD71B1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三级标准</w:t>
            </w:r>
          </w:p>
        </w:tc>
      </w:tr>
      <w:tr w14:paraId="6597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6CD834C4">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生长势</w:t>
            </w:r>
          </w:p>
        </w:tc>
        <w:tc>
          <w:tcPr>
            <w:tcW w:w="2365" w:type="dxa"/>
            <w:noWrap/>
            <w:vAlign w:val="center"/>
          </w:tcPr>
          <w:p w14:paraId="5F6408D8">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好</w:t>
            </w:r>
          </w:p>
        </w:tc>
        <w:tc>
          <w:tcPr>
            <w:tcW w:w="2624" w:type="dxa"/>
            <w:noWrap/>
            <w:vAlign w:val="center"/>
          </w:tcPr>
          <w:p w14:paraId="343F7C4A">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w:t>
            </w:r>
          </w:p>
        </w:tc>
        <w:tc>
          <w:tcPr>
            <w:tcW w:w="2671" w:type="dxa"/>
            <w:noWrap/>
            <w:vAlign w:val="center"/>
          </w:tcPr>
          <w:p w14:paraId="44B73BC1">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w:t>
            </w:r>
          </w:p>
        </w:tc>
      </w:tr>
      <w:tr w14:paraId="1063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39EC40ED">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叶片</w:t>
            </w:r>
          </w:p>
        </w:tc>
        <w:tc>
          <w:tcPr>
            <w:tcW w:w="2365" w:type="dxa"/>
            <w:noWrap/>
            <w:vAlign w:val="center"/>
          </w:tcPr>
          <w:p w14:paraId="50CBB28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健壮，在正常条件下不黄叶，不焦叶，不卷叶，不落叶。</w:t>
            </w:r>
          </w:p>
        </w:tc>
        <w:tc>
          <w:tcPr>
            <w:tcW w:w="2624" w:type="dxa"/>
            <w:noWrap/>
            <w:vAlign w:val="center"/>
          </w:tcPr>
          <w:p w14:paraId="457890F3">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正常，较严重黄叶，焦叶，卷叶的株数在2%以下。</w:t>
            </w:r>
          </w:p>
        </w:tc>
        <w:tc>
          <w:tcPr>
            <w:tcW w:w="2671" w:type="dxa"/>
            <w:noWrap/>
            <w:vAlign w:val="center"/>
          </w:tcPr>
          <w:p w14:paraId="2131B089">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基本正常，较严重黄叶，焦叶，卷叶的株数在10%以下。</w:t>
            </w:r>
          </w:p>
        </w:tc>
      </w:tr>
      <w:tr w14:paraId="75A2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28B5D172">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枝干</w:t>
            </w:r>
          </w:p>
        </w:tc>
        <w:tc>
          <w:tcPr>
            <w:tcW w:w="2365" w:type="dxa"/>
            <w:noWrap/>
            <w:vAlign w:val="center"/>
          </w:tcPr>
          <w:p w14:paraId="5556DBF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健壮，无明显枯枝死杈。</w:t>
            </w:r>
          </w:p>
        </w:tc>
        <w:tc>
          <w:tcPr>
            <w:tcW w:w="2624" w:type="dxa"/>
            <w:noWrap/>
            <w:vAlign w:val="center"/>
          </w:tcPr>
          <w:p w14:paraId="5A997B5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正常，无明显枯枝死杈。</w:t>
            </w:r>
          </w:p>
        </w:tc>
        <w:tc>
          <w:tcPr>
            <w:tcW w:w="2671" w:type="dxa"/>
            <w:noWrap/>
            <w:vAlign w:val="center"/>
          </w:tcPr>
          <w:p w14:paraId="5C4428D7">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w:t>
            </w:r>
          </w:p>
        </w:tc>
      </w:tr>
      <w:tr w14:paraId="5F8D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675A732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树冠</w:t>
            </w:r>
          </w:p>
        </w:tc>
        <w:tc>
          <w:tcPr>
            <w:tcW w:w="2365" w:type="dxa"/>
            <w:noWrap/>
            <w:vAlign w:val="center"/>
          </w:tcPr>
          <w:p w14:paraId="52952F06">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完整美观，分枝点合适。内膛不乱，通风透光。</w:t>
            </w:r>
          </w:p>
        </w:tc>
        <w:tc>
          <w:tcPr>
            <w:tcW w:w="2624" w:type="dxa"/>
            <w:noWrap/>
            <w:vAlign w:val="center"/>
          </w:tcPr>
          <w:p w14:paraId="2306F2F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基本完整，主侧枝分布均匀，通风透光。</w:t>
            </w:r>
          </w:p>
        </w:tc>
        <w:tc>
          <w:tcPr>
            <w:tcW w:w="2671" w:type="dxa"/>
            <w:noWrap/>
            <w:vAlign w:val="center"/>
          </w:tcPr>
          <w:p w14:paraId="153E0358">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90%以上的树冠基本完整，有绿化效果。</w:t>
            </w:r>
          </w:p>
        </w:tc>
      </w:tr>
      <w:tr w14:paraId="593E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685D9477">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病虫害控制</w:t>
            </w:r>
          </w:p>
        </w:tc>
        <w:tc>
          <w:tcPr>
            <w:tcW w:w="2365" w:type="dxa"/>
            <w:noWrap/>
            <w:vAlign w:val="center"/>
          </w:tcPr>
          <w:p w14:paraId="22DE1702">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基本无病虫害危害。食叶害虫危害的叶片每株不超过5%，刺吸性害虫危害的叶片每株不超过10%，</w:t>
            </w:r>
          </w:p>
          <w:p w14:paraId="7CEF26B3">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无蛀干性害虫的活虫，活卵。</w:t>
            </w:r>
          </w:p>
        </w:tc>
        <w:tc>
          <w:tcPr>
            <w:tcW w:w="2624" w:type="dxa"/>
            <w:noWrap/>
            <w:vAlign w:val="center"/>
          </w:tcPr>
          <w:p w14:paraId="7C9897F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病虫害危害未达到明显程度。食叶害虫危害的叶片每株不超过10%，刺吸性害虫危害的叶片每株不超过15%，</w:t>
            </w:r>
          </w:p>
          <w:p w14:paraId="3EACE684">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蛀干性害虫危害的株数在2%以下。</w:t>
            </w:r>
          </w:p>
        </w:tc>
        <w:tc>
          <w:tcPr>
            <w:tcW w:w="2671" w:type="dxa"/>
            <w:noWrap/>
            <w:vAlign w:val="center"/>
          </w:tcPr>
          <w:p w14:paraId="056E010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有病虫害控制措施。食叶害虫危害的叶片每株不超过20%，刺吸性害虫危害的叶片每株不超过25%，蛀干性害虫危害的株数在5%以下。</w:t>
            </w:r>
          </w:p>
        </w:tc>
      </w:tr>
      <w:tr w14:paraId="35F8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74AC04E0">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树穴</w:t>
            </w:r>
          </w:p>
        </w:tc>
        <w:tc>
          <w:tcPr>
            <w:tcW w:w="2365" w:type="dxa"/>
            <w:noWrap/>
            <w:vAlign w:val="center"/>
          </w:tcPr>
          <w:p w14:paraId="307FC241">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有侧石，有平整盖板或种植地被植物，黄土不裸露。</w:t>
            </w:r>
          </w:p>
        </w:tc>
        <w:tc>
          <w:tcPr>
            <w:tcW w:w="2624" w:type="dxa"/>
            <w:noWrap/>
            <w:vAlign w:val="center"/>
          </w:tcPr>
          <w:p w14:paraId="5D420D7A">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有平整盖板或种植地被植物，黄土不裸露。</w:t>
            </w:r>
          </w:p>
        </w:tc>
        <w:tc>
          <w:tcPr>
            <w:tcW w:w="2671" w:type="dxa"/>
            <w:noWrap/>
            <w:vAlign w:val="center"/>
          </w:tcPr>
          <w:p w14:paraId="1A79B41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有较完整的覆盖。</w:t>
            </w:r>
          </w:p>
        </w:tc>
      </w:tr>
      <w:tr w14:paraId="1EB2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6337777E">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tc>
        <w:tc>
          <w:tcPr>
            <w:tcW w:w="2365" w:type="dxa"/>
            <w:noWrap/>
            <w:vAlign w:val="center"/>
          </w:tcPr>
          <w:p w14:paraId="43BA630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无断桩，坏桩，桩位扎缚规范。有防台措施。</w:t>
            </w:r>
          </w:p>
        </w:tc>
        <w:tc>
          <w:tcPr>
            <w:tcW w:w="2624" w:type="dxa"/>
            <w:noWrap/>
            <w:vAlign w:val="center"/>
          </w:tcPr>
          <w:p w14:paraId="07E8DF16">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基本无断桩，坏桩，桩位扎缚有效。有一定的防台措施。</w:t>
            </w:r>
          </w:p>
        </w:tc>
        <w:tc>
          <w:tcPr>
            <w:tcW w:w="2671" w:type="dxa"/>
            <w:noWrap/>
            <w:vAlign w:val="center"/>
          </w:tcPr>
          <w:p w14:paraId="50E637A9">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有一定的防台措施。</w:t>
            </w:r>
          </w:p>
        </w:tc>
      </w:tr>
    </w:tbl>
    <w:p w14:paraId="2C94F0BF">
      <w:pPr>
        <w:pStyle w:val="10"/>
        <w:rPr>
          <w:color w:val="auto"/>
          <w:szCs w:val="24"/>
          <w:highlight w:val="none"/>
        </w:rPr>
      </w:pPr>
    </w:p>
    <w:p w14:paraId="574AD42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2.5  一级绿地、二级绿地要求达到一级养护标准，三级绿地要求达到二级以上养护标准。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 行道树养护标准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  总体标准：指行道树养护的整体质量，内容有养护质量、树木存活率、设施维护、土肥标准、病虫害防治标准及管理标准。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3.1.1  养护质量：</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3.1.1.1  植株树冠丰满、完整、茂盛，骨架均匀、树干挺直，具有一定的遮荫及观赏效果。叶片正常，在正常条件下不黄叶，不焦叶，不卷叶，不落叶。</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3.1.1.2  植株无徒长枝、病虫枝、过密枝、并生枝、交叉枝、下垂枝、枯枝、伤损枝、碰线枝；及时抹芽，主干及一级枝不定芽不超过15cm；对倾斜老树要控制倾斜度，并逐渐扶正。</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3.1.1.3  行道树要有群体特色效果，选用的品种、规格相对统一，补植树品种、规格（树高一致，胸径误差≤20%）也应保持一致，树冠必须保留骨架（3--4根一级主枝）</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3.1.1.4  有防台措施，对危树及时采取修枝、加固或申报更换等措施，遇灾害性天气及时组织进行抢扶。</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3.1.2  树木存活率：</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新栽行道树存活率95%以上，行道树保存率100%。无死株、无缺株。</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3.1.3  设施维护：</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3.1.3.1  树穴有侧石，有平整盖板或种植地被植物，黄土不裸露。</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3.1.3.2  树木支撑规范、统一，无断桩、坏桩，桩位扎缚规范化。</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3.1.4  土肥标准：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栽培基质应具有一定的透水、透气、保肥能力；每年冬季施有机肥一次，每次用腐熟豆饼１公斤／株；石砾含量中，其粒径≤5cm,含量≤10%；PH值为6.0—7.8之间；有效土层(长、宽、深)≥100cm；有机质含量≥25g/kg。</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3.1.5  病虫害防治标准: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基本无病虫害危害迹象。</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3.1.6  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3.1.6.1  树穴无杂草、垃圾和其它杂物，树干无钉子、铁丝等破坏树木生长的东西。</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3.1.6.2  管理制度全面落实，档案资料完整、详尽，对行道树的基础资料、变更情况及时记录入档；工作人员统一着装，挂牌上岗。</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3.2   具体养护标准</w:t>
      </w:r>
    </w:p>
    <w:tbl>
      <w:tblPr>
        <w:tblStyle w:val="2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2365"/>
        <w:gridCol w:w="2624"/>
        <w:gridCol w:w="2671"/>
      </w:tblGrid>
      <w:tr w14:paraId="4378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15CE5DFA">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分级标准</w:t>
            </w:r>
          </w:p>
        </w:tc>
        <w:tc>
          <w:tcPr>
            <w:tcW w:w="2365" w:type="dxa"/>
            <w:noWrap/>
            <w:vAlign w:val="center"/>
          </w:tcPr>
          <w:p w14:paraId="7A282B54">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一级标准</w:t>
            </w:r>
          </w:p>
        </w:tc>
        <w:tc>
          <w:tcPr>
            <w:tcW w:w="2624" w:type="dxa"/>
            <w:noWrap/>
            <w:vAlign w:val="center"/>
          </w:tcPr>
          <w:p w14:paraId="445347BE">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二级标准</w:t>
            </w:r>
          </w:p>
        </w:tc>
        <w:tc>
          <w:tcPr>
            <w:tcW w:w="2671" w:type="dxa"/>
            <w:noWrap/>
            <w:vAlign w:val="center"/>
          </w:tcPr>
          <w:p w14:paraId="56FD1726">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三级标准</w:t>
            </w:r>
          </w:p>
        </w:tc>
      </w:tr>
      <w:tr w14:paraId="2867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58AEBBE9">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生长势</w:t>
            </w:r>
          </w:p>
        </w:tc>
        <w:tc>
          <w:tcPr>
            <w:tcW w:w="2365" w:type="dxa"/>
            <w:noWrap/>
            <w:vAlign w:val="center"/>
          </w:tcPr>
          <w:p w14:paraId="39C80309">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好</w:t>
            </w:r>
          </w:p>
        </w:tc>
        <w:tc>
          <w:tcPr>
            <w:tcW w:w="2624" w:type="dxa"/>
            <w:noWrap/>
            <w:vAlign w:val="center"/>
          </w:tcPr>
          <w:p w14:paraId="1AE7E60D">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w:t>
            </w:r>
          </w:p>
        </w:tc>
        <w:tc>
          <w:tcPr>
            <w:tcW w:w="2671" w:type="dxa"/>
            <w:noWrap/>
            <w:vAlign w:val="center"/>
          </w:tcPr>
          <w:p w14:paraId="364BAB2D">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w:t>
            </w:r>
          </w:p>
        </w:tc>
      </w:tr>
      <w:tr w14:paraId="40AE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4D22442D">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叶片</w:t>
            </w:r>
          </w:p>
        </w:tc>
        <w:tc>
          <w:tcPr>
            <w:tcW w:w="2365" w:type="dxa"/>
            <w:noWrap/>
            <w:vAlign w:val="center"/>
          </w:tcPr>
          <w:p w14:paraId="2E6B1974">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健壮，在正常条件下不黄叶，不焦叶，不卷叶，不落叶。</w:t>
            </w:r>
          </w:p>
        </w:tc>
        <w:tc>
          <w:tcPr>
            <w:tcW w:w="2624" w:type="dxa"/>
            <w:noWrap/>
            <w:vAlign w:val="center"/>
          </w:tcPr>
          <w:p w14:paraId="4ECF0915">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正常，较严重黄叶，焦叶，卷叶的株数在2%以下。</w:t>
            </w:r>
          </w:p>
        </w:tc>
        <w:tc>
          <w:tcPr>
            <w:tcW w:w="2671" w:type="dxa"/>
            <w:noWrap/>
            <w:vAlign w:val="center"/>
          </w:tcPr>
          <w:p w14:paraId="3835C51E">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基本正常，较严重黄叶，焦叶，卷叶的株数在10%以下。</w:t>
            </w:r>
          </w:p>
        </w:tc>
      </w:tr>
      <w:tr w14:paraId="286A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3A6E7964">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枝干</w:t>
            </w:r>
          </w:p>
        </w:tc>
        <w:tc>
          <w:tcPr>
            <w:tcW w:w="2365" w:type="dxa"/>
            <w:noWrap/>
            <w:vAlign w:val="center"/>
          </w:tcPr>
          <w:p w14:paraId="072405F0">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健壮，无明显枯枝死杈。</w:t>
            </w:r>
          </w:p>
        </w:tc>
        <w:tc>
          <w:tcPr>
            <w:tcW w:w="2624" w:type="dxa"/>
            <w:noWrap/>
            <w:vAlign w:val="center"/>
          </w:tcPr>
          <w:p w14:paraId="3109C08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正常，无明显枯枝死杈。</w:t>
            </w:r>
          </w:p>
        </w:tc>
        <w:tc>
          <w:tcPr>
            <w:tcW w:w="2671" w:type="dxa"/>
            <w:noWrap/>
            <w:vAlign w:val="center"/>
          </w:tcPr>
          <w:p w14:paraId="6AC81004">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基本正常。</w:t>
            </w:r>
          </w:p>
        </w:tc>
      </w:tr>
      <w:tr w14:paraId="6B81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6BBFF8DB">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树冠</w:t>
            </w:r>
          </w:p>
        </w:tc>
        <w:tc>
          <w:tcPr>
            <w:tcW w:w="2365" w:type="dxa"/>
            <w:noWrap/>
            <w:vAlign w:val="center"/>
          </w:tcPr>
          <w:p w14:paraId="6C5B0BE4">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完整美观，分枝点合适。内膛不乱，通风透光。</w:t>
            </w:r>
          </w:p>
        </w:tc>
        <w:tc>
          <w:tcPr>
            <w:tcW w:w="2624" w:type="dxa"/>
            <w:noWrap/>
            <w:vAlign w:val="center"/>
          </w:tcPr>
          <w:p w14:paraId="113281ED">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基本完整，主侧枝分布均匀，通风透光。</w:t>
            </w:r>
          </w:p>
        </w:tc>
        <w:tc>
          <w:tcPr>
            <w:tcW w:w="2671" w:type="dxa"/>
            <w:noWrap/>
            <w:vAlign w:val="center"/>
          </w:tcPr>
          <w:p w14:paraId="31D98CB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90%以上的树冠基本完整，有绿化效果。</w:t>
            </w:r>
          </w:p>
        </w:tc>
      </w:tr>
      <w:tr w14:paraId="2A84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1D102776">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病虫害控制</w:t>
            </w:r>
          </w:p>
        </w:tc>
        <w:tc>
          <w:tcPr>
            <w:tcW w:w="2365" w:type="dxa"/>
            <w:noWrap/>
            <w:vAlign w:val="center"/>
          </w:tcPr>
          <w:p w14:paraId="61393A7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基本无病虫害危害。食叶害虫危害的叶片每株不超过5%，刺吸性害虫危害的叶片每株不超过10%，</w:t>
            </w:r>
          </w:p>
          <w:p w14:paraId="1A0D95EB">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无蛀干性害虫的活虫，活卵。</w:t>
            </w:r>
          </w:p>
        </w:tc>
        <w:tc>
          <w:tcPr>
            <w:tcW w:w="2624" w:type="dxa"/>
            <w:noWrap/>
            <w:vAlign w:val="center"/>
          </w:tcPr>
          <w:p w14:paraId="4D8BEAC2">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病虫害危害未达到明显程度。食叶害虫危害的叶片每株不超过10%，刺吸性害虫危害的叶片每株不超过15%，</w:t>
            </w:r>
          </w:p>
          <w:p w14:paraId="247D2E98">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蛀干性害虫危害的株数在2%以下。</w:t>
            </w:r>
          </w:p>
        </w:tc>
        <w:tc>
          <w:tcPr>
            <w:tcW w:w="2671" w:type="dxa"/>
            <w:noWrap/>
            <w:vAlign w:val="center"/>
          </w:tcPr>
          <w:p w14:paraId="55325587">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有病虫害控制措施。食叶害虫危害的叶片每株不超过20%，刺吸性害虫危害的叶片每株不超过25%，蛀干性害虫危害的株数在5%以下。</w:t>
            </w:r>
          </w:p>
        </w:tc>
      </w:tr>
      <w:tr w14:paraId="52B1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1E515B44">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树穴</w:t>
            </w:r>
          </w:p>
        </w:tc>
        <w:tc>
          <w:tcPr>
            <w:tcW w:w="2365" w:type="dxa"/>
            <w:noWrap/>
            <w:vAlign w:val="center"/>
          </w:tcPr>
          <w:p w14:paraId="31E77767">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有侧石，有平整盖板或种植地被植物，黄土不裸露。</w:t>
            </w:r>
          </w:p>
        </w:tc>
        <w:tc>
          <w:tcPr>
            <w:tcW w:w="2624" w:type="dxa"/>
            <w:noWrap/>
            <w:vAlign w:val="center"/>
          </w:tcPr>
          <w:p w14:paraId="730445DE">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有平整盖板或种植地被植物，黄土不裸露。</w:t>
            </w:r>
          </w:p>
        </w:tc>
        <w:tc>
          <w:tcPr>
            <w:tcW w:w="2671" w:type="dxa"/>
            <w:noWrap/>
            <w:vAlign w:val="center"/>
          </w:tcPr>
          <w:p w14:paraId="144F20CC">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有较完整的覆盖。</w:t>
            </w:r>
          </w:p>
        </w:tc>
      </w:tr>
      <w:tr w14:paraId="21C0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ign w:val="center"/>
          </w:tcPr>
          <w:p w14:paraId="45557DCF">
            <w:pPr>
              <w:snapToGrid w:val="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tc>
        <w:tc>
          <w:tcPr>
            <w:tcW w:w="2365" w:type="dxa"/>
            <w:noWrap/>
            <w:vAlign w:val="center"/>
          </w:tcPr>
          <w:p w14:paraId="027790DD">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无断桩，坏桩，桩位扎缚规范。有防台措施。</w:t>
            </w:r>
          </w:p>
        </w:tc>
        <w:tc>
          <w:tcPr>
            <w:tcW w:w="2624" w:type="dxa"/>
            <w:noWrap/>
            <w:vAlign w:val="center"/>
          </w:tcPr>
          <w:p w14:paraId="6F5CA5AA">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基本无断桩，坏桩，桩位扎缚有效。有一定的防台措施。</w:t>
            </w:r>
          </w:p>
        </w:tc>
        <w:tc>
          <w:tcPr>
            <w:tcW w:w="2671" w:type="dxa"/>
            <w:noWrap/>
            <w:vAlign w:val="center"/>
          </w:tcPr>
          <w:p w14:paraId="6569FB06">
            <w:pPr>
              <w:snapToGrid w:val="0"/>
              <w:rPr>
                <w:rFonts w:hint="eastAsia" w:ascii="宋体" w:hAnsi="宋体" w:cs="宋体"/>
                <w:color w:val="auto"/>
                <w:sz w:val="24"/>
                <w:szCs w:val="24"/>
                <w:highlight w:val="none"/>
              </w:rPr>
            </w:pPr>
            <w:r>
              <w:rPr>
                <w:rFonts w:hint="eastAsia" w:ascii="宋体" w:hAnsi="宋体" w:cs="宋体"/>
                <w:color w:val="auto"/>
                <w:sz w:val="24"/>
                <w:szCs w:val="24"/>
                <w:highlight w:val="none"/>
              </w:rPr>
              <w:t>有一定的防台措施。</w:t>
            </w:r>
          </w:p>
        </w:tc>
      </w:tr>
    </w:tbl>
    <w:p w14:paraId="5BFA0F47">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3.3 胸径10CM以上的行道树要求达到一级养护标准，胸径10CM以下的行道树要求达到二级以上养护标准。</w:t>
      </w:r>
    </w:p>
    <w:p w14:paraId="588D7D45">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 道路绿化带（包括高架挂箱）养护标准</w:t>
      </w:r>
    </w:p>
    <w:p w14:paraId="694CAF50">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4.1  总体标准：指道路绿化带养护的整体质量，内容有养护质量、树木存活率、设施维护、土肥标准、病虫害防治标准及管理标准。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4.1.1  植物养护标准：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按道路绿化带的立地条件，对植物进行特殊养护、精心养护，使植物健康生长，具有良好的道路景观。</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4.1.2  树木种植成活率标准：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当年新栽植物成活率达95%以上，保存率98%以上，无缺株、死株。</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4.1.3  土肥标准：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土壤疏松，无积水，种植土低于容器（或侧石）上沿3cm；充分利用有机肥，也可用复合肥，增强土壤肥力（要求一年施肥二次，每次用腐熟豆饼0.5kg／m2），其理化性状应符合下列规定：PH值为6.7—7.5之间；石砾粒径≤5cm（高架挂箱石砾粒径≤2cm），含量≤8%（W/W）；有机质含量≥25g/kg。</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4.1.4  病虫害防治标准：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提倡综合防治，病虫害应控制在以不影响观赏效果的危害程度之内。</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  道路绿化带的具体养管标准。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  道路绿化带景观要求。</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4.2.1.1  采用修剪等特殊手法，控制植物高度，植物高度不得影响交通视线。</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4.2.1.2  特殊地段的景观应按设计精心养护，形成有特色的植物景观。整形植物必须及时修剪保持形态，悬垂植物生长健壮，整体效果好。</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4.2.1.3  花卉花期整齐，株行距适宜，无空秃、色彩效果好。</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4.2.1.4  绿带必须无裸地，可种植地被植物或草坪。</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4.2.1.5  绿带内无枯枝残叶、无杂草，整洁无垃圾；植物叶面无陈旧积尘。</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4.2.1.6  辅助设施（包括支撑物和悬挂容器）必须安全、完好、整洁、美观。</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4.2.1.7  道路绿化带冬季浇水应注意不要让水溢出，避免造成路面结冰。</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4.2.2  道路绿化带养护作业必须穿着有反光条的工作服，做到文明作业，尽量减少对行车的干扰。</w:t>
      </w:r>
    </w:p>
    <w:p w14:paraId="297E472A">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  借地室外环境养护标准</w:t>
      </w:r>
    </w:p>
    <w:p w14:paraId="12ABDF12">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5.1  总体标准：指借地室外环境养护的整体质量，内容有植物养护、树木存活率、病虫害防治标准及管理标准。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5.1.1  植物养护标准：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5.1.1.1  根据设计意图，按植物生态特性：喜阳、耐阴、耐旱、喜湿等分别养护，做到季相分明，群落完整。</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5.1.1.2  植物生长健壮正常，全年有绿化效果，无枯枝烂头、无死树。应有30%面积种植养管粗放的地被植物。没有地被植物的区域内杂草高度不超过30cm，绿地内藤类杂草应予清除。</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5.1.1.3  每年施冬肥（有机肥）一次，养管粗放的地段可用农家肥。</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5.1.2  树木存活率：</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当年新栽植物成活率达85%以上，保存率95%以上，无缺株、死株。</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5.1.3  病虫害防治标准：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提倡综合防治，病虫害应控制在以不影响观赏效果的危害程度之内。</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5.1.4  管理标准:</w:t>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rPr>
        <w:t>有必要设施，无沉积垃圾。</w:t>
      </w:r>
    </w:p>
    <w:p w14:paraId="2A41DB0F">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2.4其他工作内容</w:t>
      </w:r>
    </w:p>
    <w:p w14:paraId="168D6A93">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（1）供应商应负责管理范围内人员、设备等安全责任，与所有员工签订安全风险告知书，为其配备必要的安全防护用具。</w:t>
      </w:r>
    </w:p>
    <w:p w14:paraId="14235709">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（2）供应商应定期组织消防检查，组织开展应急演练，能够熟练使用消防器具，所有消防器具由专人管理，定点放置，定期保养，应委托有资质的单位进行检测和维保。</w:t>
      </w:r>
    </w:p>
    <w:p w14:paraId="286CA021">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（3）供应商负责工程运行维护管理范围内的安防及保洁工作。</w:t>
      </w:r>
    </w:p>
    <w:p w14:paraId="09B6ED48">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（4）协助做好甲方上级部门指导，外单位参观、调研等接待工作。</w:t>
      </w:r>
    </w:p>
    <w:p w14:paraId="32F6E928">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）做好月雅河闸、排水闸日常巡查，防潮监督工作。</w:t>
      </w:r>
    </w:p>
    <w:p w14:paraId="6668D066">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）做好35KV、10KV等电缆线路巡查工作。</w:t>
      </w:r>
    </w:p>
    <w:p w14:paraId="10F04933">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）采购人提供运行人员用餐场所，供应商负责营运，并满足采购单位及物业等相关工作人员搭伙就餐的条件。</w:t>
      </w:r>
    </w:p>
    <w:p w14:paraId="1065018B">
      <w:pPr>
        <w:keepLines w:val="0"/>
        <w:pageBreakBefore w:val="0"/>
        <w:kinsoku/>
        <w:wordWrap/>
        <w:overflowPunct/>
        <w:topLinePunct w:val="0"/>
        <w:bidi w:val="0"/>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w:t>
      </w:r>
      <w:r>
        <w:rPr>
          <w:rFonts w:hint="eastAsia" w:ascii="宋体" w:hAnsi="宋体" w:cs="宋体"/>
          <w:bCs/>
          <w:color w:val="auto"/>
          <w:sz w:val="24"/>
          <w:szCs w:val="24"/>
          <w:highlight w:val="none"/>
        </w:rPr>
        <w:t>供应商应主动配合，积极参与标准化创建等工作，配合八堡泵站参观秩序维持。</w:t>
      </w:r>
    </w:p>
    <w:p w14:paraId="06E4A6FC">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en-US" w:eastAsia="zh-CN"/>
        </w:rPr>
        <w:t>9</w:t>
      </w:r>
      <w:r>
        <w:rPr>
          <w:rFonts w:hint="eastAsia" w:ascii="宋体" w:hAnsi="宋体" w:cs="宋体"/>
          <w:bCs/>
          <w:color w:val="auto"/>
          <w:sz w:val="24"/>
          <w:szCs w:val="24"/>
          <w:highlight w:val="none"/>
        </w:rPr>
        <w:t>）汛后</w:t>
      </w:r>
      <w:r>
        <w:rPr>
          <w:rFonts w:hint="eastAsia" w:ascii="宋体" w:hAnsi="宋体" w:cs="宋体"/>
          <w:color w:val="auto"/>
          <w:sz w:val="24"/>
          <w:szCs w:val="24"/>
          <w:highlight w:val="none"/>
        </w:rPr>
        <w:t>对泵站机组段进、出水流道进行进人检查、抽水。</w:t>
      </w:r>
    </w:p>
    <w:p w14:paraId="6E07397F">
      <w:pPr>
        <w:keepLines w:val="0"/>
        <w:pageBreakBefore w:val="0"/>
        <w:kinsoku/>
        <w:wordWrap/>
        <w:overflowPunct/>
        <w:topLinePunct w:val="0"/>
        <w:bidi w:val="0"/>
        <w:snapToGrid w:val="0"/>
        <w:spacing w:line="360" w:lineRule="auto"/>
        <w:ind w:firstLine="480" w:firstLineChars="200"/>
        <w:rPr>
          <w:rFonts w:hint="eastAsia" w:ascii="宋体" w:hAnsi="宋体" w:cs="宋体"/>
          <w:bCs/>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w:t>
      </w:r>
      <w:r>
        <w:rPr>
          <w:rFonts w:hint="eastAsia" w:ascii="宋体" w:hAnsi="宋体" w:cs="宋体"/>
          <w:bCs/>
          <w:color w:val="auto"/>
          <w:sz w:val="24"/>
          <w:szCs w:val="24"/>
          <w:highlight w:val="none"/>
        </w:rPr>
        <w:t>主动配合，认真做好专项检查、特别检查、稽查以及各类检查工作，按时提交工作报告和相关的备查资料。</w:t>
      </w:r>
    </w:p>
    <w:p w14:paraId="6049C39B">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rPr>
        <w:t>）供应商负责工程保护范围内的日常监管，及时发现和处置违规违法行为。</w:t>
      </w:r>
    </w:p>
    <w:p w14:paraId="25D93875">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2.5项目管理目标</w:t>
      </w:r>
    </w:p>
    <w:p w14:paraId="57E3DF2F">
      <w:pPr>
        <w:keepLines w:val="0"/>
        <w:pageBreakBefore w:val="0"/>
        <w:kinsoku/>
        <w:wordWrap/>
        <w:overflowPunct/>
        <w:topLinePunct w:val="0"/>
        <w:bidi w:val="0"/>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泵站运行维护按照《泵站技术管理规程》（GB/T309489-2014 ）规范要求管理泵站，工程及设备完好率不低于98%，主要建筑物的工程评级不低于一类工程标准，设备评级不低于一类设备标准。安全运行率不应低于99%。</w:t>
      </w:r>
      <w:r>
        <w:rPr>
          <w:rFonts w:hint="eastAsia" w:ascii="宋体" w:hAnsi="宋体" w:cs="宋体"/>
          <w:bCs/>
          <w:color w:val="auto"/>
          <w:sz w:val="24"/>
          <w:szCs w:val="24"/>
          <w:highlight w:val="none"/>
        </w:rPr>
        <w:t>按标准化管理要求做好泵站运行维护工作。</w:t>
      </w:r>
    </w:p>
    <w:p w14:paraId="4F43E213">
      <w:pPr>
        <w:keepLines w:val="0"/>
        <w:pageBreakBefore w:val="0"/>
        <w:kinsoku/>
        <w:wordWrap/>
        <w:overflowPunct/>
        <w:topLinePunct w:val="0"/>
        <w:bidi w:val="0"/>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专项维护：符合规范和合同要求。</w:t>
      </w:r>
    </w:p>
    <w:p w14:paraId="1344EBCA">
      <w:pPr>
        <w:keepLines w:val="0"/>
        <w:pageBreakBefore w:val="0"/>
        <w:kinsoku/>
        <w:wordWrap/>
        <w:overflowPunct/>
        <w:topLinePunct w:val="0"/>
        <w:bidi w:val="0"/>
        <w:snapToGrid w:val="0"/>
        <w:spacing w:line="360" w:lineRule="auto"/>
        <w:ind w:firstLine="480" w:firstLineChars="200"/>
        <w:rPr>
          <w:rFonts w:hint="eastAsia" w:ascii="宋体" w:hAnsi="宋体" w:cs="宋体"/>
          <w:snapToGrid w:val="0"/>
          <w:color w:val="auto"/>
          <w:sz w:val="24"/>
          <w:szCs w:val="24"/>
          <w:highlight w:val="none"/>
        </w:rPr>
      </w:pPr>
      <w:r>
        <w:rPr>
          <w:rFonts w:hint="eastAsia" w:ascii="宋体" w:hAnsi="宋体" w:cs="宋体"/>
          <w:snapToGrid w:val="0"/>
          <w:color w:val="auto"/>
          <w:sz w:val="24"/>
          <w:szCs w:val="24"/>
          <w:highlight w:val="none"/>
        </w:rPr>
        <w:t>室外环境养护：符合规范和合同要求。</w:t>
      </w:r>
    </w:p>
    <w:p w14:paraId="78144D66">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2.6报价费用组成</w:t>
      </w:r>
    </w:p>
    <w:p w14:paraId="6706FD07">
      <w:pPr>
        <w:pStyle w:val="27"/>
        <w:keepLines w:val="0"/>
        <w:pageBreakBefore w:val="0"/>
        <w:kinsoku/>
        <w:wordWrap/>
        <w:overflowPunct/>
        <w:topLinePunct w:val="0"/>
        <w:bidi w:val="0"/>
        <w:snapToGrid w:val="0"/>
        <w:ind w:firstLine="480" w:firstLineChars="200"/>
        <w:rPr>
          <w:rFonts w:hint="eastAsia" w:hAnsi="宋体" w:cs="宋体"/>
          <w:bCs/>
          <w:color w:val="auto"/>
          <w:szCs w:val="24"/>
          <w:highlight w:val="none"/>
          <w:lang w:val="en-US"/>
        </w:rPr>
      </w:pPr>
      <w:r>
        <w:rPr>
          <w:rFonts w:hint="eastAsia" w:hAnsi="宋体" w:cs="宋体"/>
          <w:bCs/>
          <w:color w:val="auto"/>
          <w:szCs w:val="24"/>
          <w:highlight w:val="none"/>
          <w:lang w:val="en-US"/>
        </w:rPr>
        <w:t>本项目服务内容范围内的泵站运行维护、专项维护、室外环境养护，所需（不含水电费、办公室费用）税金和利润等</w:t>
      </w:r>
      <w:r>
        <w:rPr>
          <w:rFonts w:hint="eastAsia" w:hAnsi="宋体" w:cs="宋体"/>
          <w:bCs/>
          <w:color w:val="auto"/>
          <w:szCs w:val="24"/>
          <w:highlight w:val="none"/>
          <w:lang w:val="en-US" w:eastAsia="zh-CN"/>
        </w:rPr>
        <w:t>其他</w:t>
      </w:r>
      <w:r>
        <w:rPr>
          <w:rFonts w:hint="eastAsia" w:hAnsi="宋体" w:cs="宋体"/>
          <w:bCs/>
          <w:color w:val="auto"/>
          <w:szCs w:val="24"/>
          <w:highlight w:val="none"/>
          <w:lang w:val="en-US"/>
        </w:rPr>
        <w:t>费用均应计入报价。招标文件未列明，而供应商认为必需的费用也需列入报价。本项目采用总价承包方式，执行期间不调整合同总价。</w:t>
      </w:r>
    </w:p>
    <w:p w14:paraId="51CEBFC9">
      <w:pPr>
        <w:pStyle w:val="27"/>
        <w:keepLines w:val="0"/>
        <w:pageBreakBefore w:val="0"/>
        <w:kinsoku/>
        <w:wordWrap/>
        <w:overflowPunct/>
        <w:topLinePunct w:val="0"/>
        <w:bidi w:val="0"/>
        <w:snapToGrid w:val="0"/>
        <w:ind w:firstLine="480" w:firstLineChars="200"/>
        <w:rPr>
          <w:rFonts w:hint="eastAsia" w:hAnsi="宋体" w:cs="宋体"/>
          <w:bCs/>
          <w:color w:val="auto"/>
          <w:szCs w:val="24"/>
          <w:highlight w:val="none"/>
          <w:lang w:val="en-US"/>
        </w:rPr>
      </w:pPr>
      <w:r>
        <w:rPr>
          <w:rFonts w:hint="eastAsia" w:hAnsi="宋体" w:cs="宋体"/>
          <w:bCs/>
          <w:color w:val="auto"/>
          <w:szCs w:val="24"/>
          <w:highlight w:val="none"/>
          <w:lang w:val="en-US"/>
        </w:rPr>
        <w:t>各潜在供应商请自行前往现场踏勘，对养护范围进行踏勘，并充分考虑养护难度，若项目描述不充分的，请结合现场踏勘情况及养护条件自行补充，对项目特征不清晰的有疑问的，可书面询问采购人。</w:t>
      </w:r>
    </w:p>
    <w:p w14:paraId="79A85DDF">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变更</w:t>
      </w:r>
    </w:p>
    <w:p w14:paraId="5D00F4F3">
      <w:pPr>
        <w:pStyle w:val="27"/>
        <w:keepLines w:val="0"/>
        <w:pageBreakBefore w:val="0"/>
        <w:kinsoku/>
        <w:wordWrap/>
        <w:overflowPunct/>
        <w:topLinePunct w:val="0"/>
        <w:bidi w:val="0"/>
        <w:snapToGrid w:val="0"/>
        <w:ind w:firstLine="480" w:firstLineChars="200"/>
        <w:rPr>
          <w:rFonts w:hint="eastAsia" w:hAnsi="宋体" w:cs="宋体"/>
          <w:bCs/>
          <w:color w:val="auto"/>
          <w:szCs w:val="24"/>
          <w:highlight w:val="none"/>
          <w:lang w:val="en-US"/>
        </w:rPr>
      </w:pPr>
      <w:r>
        <w:rPr>
          <w:rFonts w:hint="eastAsia" w:hAnsi="宋体" w:cs="宋体"/>
          <w:bCs/>
          <w:color w:val="auto"/>
          <w:szCs w:val="24"/>
          <w:highlight w:val="none"/>
          <w:lang w:val="en-US"/>
        </w:rPr>
        <w:t>项目原则上不得变更。物价波动的风险由乙方自负，在合同执行期内均不作调整。</w:t>
      </w:r>
    </w:p>
    <w:p w14:paraId="0753BB3F">
      <w:pPr>
        <w:pStyle w:val="28"/>
        <w:keepLines w:val="0"/>
        <w:pageBreakBefore w:val="0"/>
        <w:kinsoku/>
        <w:wordWrap/>
        <w:overflowPunct/>
        <w:topLinePunct w:val="0"/>
        <w:bidi w:val="0"/>
        <w:snapToGrid w:val="0"/>
        <w:spacing w:line="360" w:lineRule="auto"/>
        <w:outlineLvl w:val="1"/>
        <w:rPr>
          <w:rFonts w:hint="eastAsia" w:ascii="宋体" w:hAnsi="宋体" w:cs="宋体"/>
          <w:b/>
          <w:bCs/>
          <w:color w:val="auto"/>
          <w:sz w:val="24"/>
          <w:highlight w:val="none"/>
        </w:rPr>
      </w:pPr>
      <w:r>
        <w:rPr>
          <w:rFonts w:hint="eastAsia" w:ascii="宋体" w:hAnsi="宋体" w:cs="宋体"/>
          <w:b/>
          <w:bCs/>
          <w:color w:val="auto"/>
          <w:sz w:val="24"/>
          <w:highlight w:val="none"/>
        </w:rPr>
        <w:t>三、商务要求</w:t>
      </w:r>
    </w:p>
    <w:p w14:paraId="1C6977A2">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3.1服务期</w:t>
      </w:r>
    </w:p>
    <w:p w14:paraId="75452DAF">
      <w:pPr>
        <w:pStyle w:val="27"/>
        <w:keepLines w:val="0"/>
        <w:pageBreakBefore w:val="0"/>
        <w:kinsoku/>
        <w:wordWrap/>
        <w:overflowPunct/>
        <w:topLinePunct w:val="0"/>
        <w:bidi w:val="0"/>
        <w:snapToGrid w:val="0"/>
        <w:ind w:firstLine="480" w:firstLineChars="200"/>
        <w:rPr>
          <w:rFonts w:hint="eastAsia" w:hAnsi="宋体" w:cs="宋体"/>
          <w:bCs/>
          <w:color w:val="auto"/>
          <w:szCs w:val="24"/>
          <w:highlight w:val="none"/>
          <w:lang w:val="en-US"/>
        </w:rPr>
      </w:pPr>
      <w:r>
        <w:rPr>
          <w:rFonts w:hint="eastAsia" w:hAnsi="宋体" w:cs="宋体"/>
          <w:bCs/>
          <w:color w:val="auto"/>
          <w:szCs w:val="24"/>
          <w:highlight w:val="none"/>
          <w:lang w:val="en-US"/>
        </w:rPr>
        <w:t>1.5年，2025年7月1日-2026年12月31日。</w:t>
      </w:r>
    </w:p>
    <w:p w14:paraId="4D8A033F">
      <w:pPr>
        <w:pStyle w:val="27"/>
        <w:keepLines w:val="0"/>
        <w:pageBreakBefore w:val="0"/>
        <w:kinsoku/>
        <w:wordWrap/>
        <w:overflowPunct/>
        <w:topLinePunct w:val="0"/>
        <w:bidi w:val="0"/>
        <w:snapToGrid w:val="0"/>
        <w:spacing w:line="360" w:lineRule="auto"/>
        <w:ind w:left="0" w:leftChars="0"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若本合同签订时间晚于7月1日，乙方应将7月1日至合同签订日期间的运维费用支付给原延续服务的运维单位，金额按本合同执行，其中运行</w:t>
      </w:r>
      <w:r>
        <w:rPr>
          <w:rFonts w:hint="eastAsia" w:ascii="宋体" w:hAnsi="宋体" w:eastAsia="宋体" w:cs="宋体"/>
          <w:b/>
          <w:bCs/>
          <w:color w:val="auto"/>
          <w:sz w:val="24"/>
          <w:szCs w:val="24"/>
          <w:highlight w:val="none"/>
          <w:lang w:val="en-US" w:eastAsia="zh-CN"/>
        </w:rPr>
        <w:t>维护</w:t>
      </w:r>
      <w:r>
        <w:rPr>
          <w:rFonts w:hint="eastAsia" w:ascii="宋体" w:hAnsi="宋体" w:eastAsia="宋体" w:cs="宋体"/>
          <w:b/>
          <w:bCs/>
          <w:color w:val="auto"/>
          <w:sz w:val="24"/>
          <w:szCs w:val="24"/>
          <w:highlight w:val="none"/>
        </w:rPr>
        <w:t>部分按日折算。乙方在收到预付款后15个工作日内</w:t>
      </w:r>
      <w:r>
        <w:rPr>
          <w:rFonts w:hint="eastAsia" w:ascii="宋体" w:hAnsi="宋体" w:eastAsia="宋体" w:cs="宋体"/>
          <w:b/>
          <w:bCs/>
          <w:color w:val="auto"/>
          <w:sz w:val="24"/>
          <w:szCs w:val="24"/>
          <w:highlight w:val="none"/>
          <w:lang w:val="en-US" w:eastAsia="zh-CN"/>
        </w:rPr>
        <w:t>支付。</w:t>
      </w:r>
    </w:p>
    <w:p w14:paraId="5F13A711">
      <w:pPr>
        <w:pStyle w:val="5"/>
        <w:keepLines w:val="0"/>
        <w:pageBreakBefore w:val="0"/>
        <w:kinsoku/>
        <w:wordWrap/>
        <w:overflowPunct/>
        <w:topLinePunct w:val="0"/>
        <w:bidi w:val="0"/>
        <w:snapToGrid w:val="0"/>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3.2知识产权及保密要求</w:t>
      </w:r>
    </w:p>
    <w:p w14:paraId="09914105">
      <w:pPr>
        <w:keepLines w:val="0"/>
        <w:pageBreakBefore w:val="0"/>
        <w:kinsoku/>
        <w:wordWrap/>
        <w:overflowPunct/>
        <w:topLinePunct w:val="0"/>
        <w:bidi w:val="0"/>
        <w:snapToGrid w:val="0"/>
        <w:spacing w:line="360" w:lineRule="auto"/>
        <w:ind w:firstLine="420" w:firstLineChars="175"/>
        <w:jc w:val="left"/>
        <w:rPr>
          <w:rFonts w:hint="eastAsia"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项目数据使用权归属采购人；中标供应商应对采集的数据做好保密工作，未经采购人允许不得对外发布</w:t>
      </w:r>
      <w:r>
        <w:rPr>
          <w:rFonts w:hint="default" w:ascii="宋体" w:hAnsi="宋体" w:cs="宋体"/>
          <w:bCs/>
          <w:snapToGrid w:val="0"/>
          <w:color w:val="auto"/>
          <w:sz w:val="24"/>
          <w:szCs w:val="24"/>
          <w:highlight w:val="none"/>
          <w:woUserID w:val="1"/>
        </w:rPr>
        <w:t>或</w:t>
      </w:r>
      <w:r>
        <w:rPr>
          <w:rFonts w:hint="eastAsia" w:ascii="宋体" w:hAnsi="宋体" w:cs="宋体"/>
          <w:bCs/>
          <w:snapToGrid w:val="0"/>
          <w:color w:val="auto"/>
          <w:sz w:val="24"/>
          <w:szCs w:val="24"/>
          <w:highlight w:val="none"/>
        </w:rPr>
        <w:t>另作其它任何商务用途。</w:t>
      </w:r>
    </w:p>
    <w:p w14:paraId="7D52FB58">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3.3合同支付条款：分期支付</w:t>
      </w:r>
    </w:p>
    <w:p w14:paraId="04B8F59C">
      <w:pPr>
        <w:keepLines w:val="0"/>
        <w:pageBreakBefore w:val="0"/>
        <w:kinsoku/>
        <w:wordWrap/>
        <w:overflowPunct/>
        <w:topLinePunct w:val="0"/>
        <w:bidi w:val="0"/>
        <w:snapToGrid w:val="0"/>
        <w:spacing w:line="360" w:lineRule="auto"/>
        <w:ind w:firstLine="480" w:firstLineChars="200"/>
        <w:jc w:val="left"/>
        <w:rPr>
          <w:rFonts w:hint="eastAsia" w:ascii="宋体" w:hAnsi="宋体" w:cs="宋体"/>
          <w:color w:val="auto"/>
          <w:sz w:val="24"/>
          <w:szCs w:val="28"/>
          <w:highlight w:val="none"/>
        </w:rPr>
      </w:pPr>
      <w:r>
        <w:rPr>
          <w:rFonts w:hint="eastAsia" w:ascii="宋体" w:hAnsi="宋体" w:cs="宋体"/>
          <w:color w:val="auto"/>
          <w:sz w:val="24"/>
          <w:szCs w:val="28"/>
          <w:highlight w:val="none"/>
        </w:rPr>
        <w:t>（1）合同签订生效具备实施条件5个工作日内支付签约合同价20%的项目预付款。</w:t>
      </w:r>
    </w:p>
    <w:p w14:paraId="162B50BF">
      <w:pPr>
        <w:keepLines w:val="0"/>
        <w:pageBreakBefore w:val="0"/>
        <w:kinsoku/>
        <w:wordWrap/>
        <w:overflowPunct/>
        <w:topLinePunct w:val="0"/>
        <w:bidi w:val="0"/>
        <w:snapToGrid w:val="0"/>
        <w:spacing w:line="360" w:lineRule="auto"/>
        <w:ind w:firstLine="480" w:firstLineChars="200"/>
        <w:jc w:val="left"/>
        <w:rPr>
          <w:rFonts w:hint="eastAsia" w:ascii="宋体" w:hAnsi="宋体" w:cs="宋体"/>
          <w:color w:val="auto"/>
          <w:sz w:val="24"/>
          <w:szCs w:val="28"/>
          <w:highlight w:val="none"/>
        </w:rPr>
      </w:pPr>
      <w:r>
        <w:rPr>
          <w:rFonts w:hint="eastAsia" w:ascii="宋体" w:hAnsi="宋体" w:cs="宋体"/>
          <w:color w:val="auto"/>
          <w:sz w:val="24"/>
          <w:szCs w:val="28"/>
          <w:highlight w:val="none"/>
        </w:rPr>
        <w:t>（2）泵站运行维护、室外环境养护费结合季度考核结果等次支付。第一次季度考核后支付相应合同价的16%，后每个季度考核后支付相应合同价的12%。泵站运行维护和室外环境养护的季度考核“优秀”等次的，相应合同价款100%支付；季度考核“良好”等次的，扣相应合同价款的1%；季度考核“合格”等次的，扣相应合同价款的2%；季度考核“不合格”等次的，扣相应合同价款的</w:t>
      </w:r>
      <w:r>
        <w:rPr>
          <w:rFonts w:hint="eastAsia" w:ascii="宋体" w:hAnsi="宋体" w:cs="宋体"/>
          <w:color w:val="auto"/>
          <w:sz w:val="24"/>
          <w:szCs w:val="28"/>
          <w:highlight w:val="none"/>
          <w:lang w:val="en-US" w:eastAsia="zh-CN"/>
        </w:rPr>
        <w:t>5</w:t>
      </w:r>
      <w:r>
        <w:rPr>
          <w:rFonts w:hint="eastAsia" w:ascii="宋体" w:hAnsi="宋体" w:cs="宋体"/>
          <w:color w:val="auto"/>
          <w:sz w:val="24"/>
          <w:szCs w:val="28"/>
          <w:highlight w:val="none"/>
        </w:rPr>
        <w:t>%。扣款在当期支付款中扣除。</w:t>
      </w:r>
    </w:p>
    <w:p w14:paraId="0332C409">
      <w:pPr>
        <w:keepLines w:val="0"/>
        <w:pageBreakBefore w:val="0"/>
        <w:kinsoku/>
        <w:wordWrap/>
        <w:overflowPunct/>
        <w:topLinePunct w:val="0"/>
        <w:bidi w:val="0"/>
        <w:snapToGrid w:val="0"/>
        <w:spacing w:line="360" w:lineRule="auto"/>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）专项维</w:t>
      </w:r>
      <w:r>
        <w:rPr>
          <w:rFonts w:hint="eastAsia" w:ascii="宋体" w:hAnsi="宋体" w:cs="宋体"/>
          <w:bCs/>
          <w:snapToGrid w:val="0"/>
          <w:color w:val="auto"/>
          <w:sz w:val="24"/>
          <w:szCs w:val="24"/>
          <w:highlight w:val="none"/>
          <w:lang w:val="en-US" w:eastAsia="zh-CN"/>
        </w:rPr>
        <w:t>护</w:t>
      </w:r>
      <w:r>
        <w:rPr>
          <w:rFonts w:hint="eastAsia" w:ascii="宋体" w:hAnsi="宋体" w:eastAsia="宋体" w:cs="宋体"/>
          <w:bCs/>
          <w:snapToGrid w:val="0"/>
          <w:color w:val="auto"/>
          <w:sz w:val="24"/>
          <w:szCs w:val="24"/>
          <w:highlight w:val="none"/>
          <w:lang w:val="en-US" w:eastAsia="zh-CN"/>
        </w:rPr>
        <w:t>项目</w:t>
      </w:r>
      <w:r>
        <w:rPr>
          <w:rFonts w:hint="eastAsia" w:ascii="宋体" w:hAnsi="宋体" w:eastAsia="宋体" w:cs="宋体"/>
          <w:bCs/>
          <w:snapToGrid w:val="0"/>
          <w:color w:val="auto"/>
          <w:sz w:val="24"/>
          <w:szCs w:val="24"/>
          <w:highlight w:val="none"/>
        </w:rPr>
        <w:t>完成</w:t>
      </w:r>
      <w:r>
        <w:rPr>
          <w:rFonts w:hint="eastAsia" w:ascii="宋体" w:hAnsi="宋体" w:cs="宋体"/>
          <w:bCs/>
          <w:snapToGrid w:val="0"/>
          <w:color w:val="auto"/>
          <w:sz w:val="24"/>
          <w:szCs w:val="24"/>
          <w:highlight w:val="none"/>
          <w:lang w:val="en-US" w:eastAsia="zh-CN"/>
        </w:rPr>
        <w:t>验收后</w:t>
      </w:r>
      <w:r>
        <w:rPr>
          <w:rFonts w:hint="eastAsia" w:ascii="宋体" w:hAnsi="宋体" w:eastAsia="宋体" w:cs="宋体"/>
          <w:color w:val="auto"/>
          <w:sz w:val="24"/>
          <w:szCs w:val="28"/>
          <w:highlight w:val="none"/>
        </w:rPr>
        <w:t>，支付</w:t>
      </w:r>
      <w:r>
        <w:rPr>
          <w:rFonts w:hint="eastAsia" w:ascii="宋体" w:hAnsi="宋体" w:eastAsia="宋体" w:cs="宋体"/>
          <w:color w:val="auto"/>
          <w:sz w:val="24"/>
          <w:szCs w:val="28"/>
          <w:highlight w:val="none"/>
          <w:lang w:val="en-US" w:eastAsia="zh-CN"/>
        </w:rPr>
        <w:t>相应合同</w:t>
      </w:r>
      <w:r>
        <w:rPr>
          <w:rFonts w:hint="eastAsia" w:ascii="宋体" w:hAnsi="宋体" w:cs="宋体"/>
          <w:color w:val="auto"/>
          <w:sz w:val="24"/>
          <w:szCs w:val="28"/>
          <w:highlight w:val="none"/>
          <w:lang w:val="en-US" w:eastAsia="zh-CN"/>
        </w:rPr>
        <w:t>款</w:t>
      </w:r>
      <w:r>
        <w:rPr>
          <w:rFonts w:hint="eastAsia" w:ascii="宋体" w:hAnsi="宋体" w:eastAsia="宋体" w:cs="宋体"/>
          <w:color w:val="auto"/>
          <w:sz w:val="24"/>
          <w:szCs w:val="28"/>
          <w:highlight w:val="none"/>
        </w:rPr>
        <w:t>。</w:t>
      </w:r>
    </w:p>
    <w:p w14:paraId="1E737B8A">
      <w:pPr>
        <w:keepLines w:val="0"/>
        <w:pageBreakBefore w:val="0"/>
        <w:kinsoku/>
        <w:wordWrap/>
        <w:overflowPunct/>
        <w:topLinePunct w:val="0"/>
        <w:bidi w:val="0"/>
        <w:snapToGrid w:val="0"/>
        <w:spacing w:line="360" w:lineRule="auto"/>
        <w:ind w:firstLine="480" w:firstLineChars="200"/>
        <w:jc w:val="left"/>
        <w:rPr>
          <w:rFonts w:hint="eastAsia" w:ascii="宋体" w:hAnsi="宋体" w:cs="宋体"/>
          <w:color w:val="auto"/>
          <w:sz w:val="24"/>
          <w:szCs w:val="28"/>
          <w:highlight w:val="none"/>
        </w:rPr>
      </w:pPr>
      <w:r>
        <w:rPr>
          <w:rFonts w:hint="eastAsia" w:ascii="宋体" w:hAnsi="宋体" w:cs="宋体"/>
          <w:color w:val="auto"/>
          <w:sz w:val="24"/>
          <w:szCs w:val="28"/>
          <w:highlight w:val="none"/>
        </w:rPr>
        <w:t>（</w:t>
      </w:r>
      <w:r>
        <w:rPr>
          <w:rFonts w:hint="eastAsia" w:ascii="宋体" w:hAnsi="宋体" w:cs="宋体"/>
          <w:color w:val="auto"/>
          <w:sz w:val="24"/>
          <w:szCs w:val="28"/>
          <w:highlight w:val="none"/>
          <w:lang w:val="en-US" w:eastAsia="zh-CN"/>
        </w:rPr>
        <w:t>4</w:t>
      </w:r>
      <w:r>
        <w:rPr>
          <w:rFonts w:hint="eastAsia" w:ascii="宋体" w:hAnsi="宋体" w:cs="宋体"/>
          <w:color w:val="auto"/>
          <w:sz w:val="24"/>
          <w:szCs w:val="28"/>
          <w:highlight w:val="none"/>
        </w:rPr>
        <w:t>）待项目合同完工验收合格后支付剩余合同款。</w:t>
      </w:r>
      <w:r>
        <w:rPr>
          <w:rFonts w:hint="eastAsia" w:ascii="宋体" w:hAnsi="宋体" w:cs="宋体"/>
          <w:color w:val="auto"/>
          <w:sz w:val="24"/>
          <w:szCs w:val="28"/>
          <w:highlight w:val="none"/>
        </w:rPr>
        <w:cr/>
      </w:r>
      <w:r>
        <w:rPr>
          <w:rFonts w:hint="eastAsia" w:ascii="宋体" w:hAnsi="宋体" w:cs="宋体"/>
          <w:color w:val="auto"/>
          <w:sz w:val="24"/>
          <w:szCs w:val="28"/>
          <w:highlight w:val="none"/>
        </w:rPr>
        <w:t xml:space="preserve">  注：</w:t>
      </w:r>
      <w:bookmarkStart w:id="82" w:name="_Hlk167282746"/>
      <w:r>
        <w:rPr>
          <w:rFonts w:hint="eastAsia" w:ascii="宋体" w:hAnsi="宋体" w:cs="宋体"/>
          <w:color w:val="auto"/>
          <w:sz w:val="24"/>
          <w:szCs w:val="28"/>
          <w:highlight w:val="none"/>
        </w:rPr>
        <w:t>当年支付金额以财政批准年度资金金额为准，上述约定费用的支付时间如因政府相关部门原因延期支付，</w:t>
      </w:r>
      <w:r>
        <w:rPr>
          <w:rFonts w:hint="eastAsia" w:ascii="宋体" w:hAnsi="宋体" w:cs="宋体"/>
          <w:color w:val="auto"/>
          <w:sz w:val="24"/>
          <w:szCs w:val="28"/>
          <w:highlight w:val="none"/>
          <w:lang w:val="en-US" w:eastAsia="zh-CN"/>
        </w:rPr>
        <w:t>采购人</w:t>
      </w:r>
      <w:r>
        <w:rPr>
          <w:rFonts w:hint="eastAsia" w:ascii="宋体" w:hAnsi="宋体" w:cs="宋体"/>
          <w:color w:val="auto"/>
          <w:sz w:val="24"/>
          <w:szCs w:val="28"/>
          <w:highlight w:val="none"/>
        </w:rPr>
        <w:t>不承担付款及付款违约责任。</w:t>
      </w:r>
      <w:bookmarkEnd w:id="82"/>
    </w:p>
    <w:p w14:paraId="26FFFDD9">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3.4成本补偿、风险分担约定：/</w:t>
      </w:r>
    </w:p>
    <w:p w14:paraId="6F5AF5E3">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3.5项目考核</w:t>
      </w:r>
    </w:p>
    <w:p w14:paraId="4F6A9B1F">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 考核周期</w:t>
      </w:r>
    </w:p>
    <w:p w14:paraId="46B602EA">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运行维修期为18个月，具体服务时间为2025年7月1日至2026年12月31日。</w:t>
      </w:r>
    </w:p>
    <w:p w14:paraId="3A063B6F">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3.5.2考核</w:t>
      </w:r>
    </w:p>
    <w:p w14:paraId="437F0629">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采购人制定具体的考核办法，对中标人进行季度考核。 </w:t>
      </w:r>
    </w:p>
    <w:p w14:paraId="73C3C65C">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考核时间：（1）定期考核。每月末由运行科组织考核，每季度末由南排中心组织考核。年度合同完工验收由南排中心组织，适时邀请专家考核。（2）不定期考核。遇有特殊情况可随时进行考核，采购人应提前1～2天通知管理人。</w:t>
      </w:r>
    </w:p>
    <w:p w14:paraId="63E638C6">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考核工作组：采购人成立由3～5名水利工程管理人员组成的考核工作组，具体负责对供应商的考核工作。</w:t>
      </w:r>
    </w:p>
    <w:p w14:paraId="79FDF08B">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考核程序：（1）听取汇报。详细听取管理人自检情况汇报。（2）考核工作组查看工程。对照考核标准内容，分别查看主体工程（机电设备，水闸、泵站工程等）；附属工程（变电所等）；其他辅助设备；管理范围（界桩、标牌）。（3）查阅有关资料。管理人应提前准备以下资料供查阅：采购人对管理人进行检查、抽查的结果；（4）考核资料。采购人要求整改情况；相关单位要求整改的整改情况；有关工程运行资料、养护资料，管理范围确权划界等资料，有关文件、规章制度、重大事故处理文件等。（5）考核全体成员在考核表打分签名。</w:t>
      </w:r>
    </w:p>
    <w:p w14:paraId="2D551DBA">
      <w:pPr>
        <w:pStyle w:val="5"/>
        <w:keepLines w:val="0"/>
        <w:pageBreakBefore w:val="0"/>
        <w:kinsoku/>
        <w:wordWrap/>
        <w:overflowPunct/>
        <w:topLinePunct w:val="0"/>
        <w:bidi w:val="0"/>
        <w:snapToGrid w:val="0"/>
        <w:spacing w:before="0" w:after="0" w:line="360" w:lineRule="auto"/>
        <w:ind w:firstLine="482"/>
        <w:rPr>
          <w:rFonts w:hint="eastAsia" w:ascii="宋体" w:hAnsi="宋体" w:eastAsia="宋体" w:cs="宋体"/>
          <w:color w:val="auto"/>
          <w:sz w:val="24"/>
          <w:szCs w:val="24"/>
          <w:highlight w:val="none"/>
        </w:rPr>
      </w:pPr>
      <w:bookmarkStart w:id="83" w:name="_Toc55362469"/>
      <w:bookmarkStart w:id="84" w:name="_Toc77750184"/>
      <w:bookmarkStart w:id="85" w:name="_Toc51259900"/>
      <w:bookmarkStart w:id="86" w:name="_Toc524766108"/>
      <w:bookmarkStart w:id="87" w:name="_Toc347334907"/>
      <w:bookmarkStart w:id="88" w:name="_Toc139879306"/>
      <w:r>
        <w:rPr>
          <w:rFonts w:hint="eastAsia" w:ascii="宋体" w:hAnsi="宋体" w:eastAsia="宋体" w:cs="宋体"/>
          <w:color w:val="auto"/>
          <w:sz w:val="24"/>
          <w:szCs w:val="24"/>
          <w:highlight w:val="none"/>
        </w:rPr>
        <w:t>3.5.3考核办法</w:t>
      </w:r>
    </w:p>
    <w:p w14:paraId="6AA840F7">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为提高八堡排水泵站管理水平，科学评价运行管理与维修养护物业化服务质量，明确责任，加强监管，保障工程安全，发挥工程效益，巩固水利工程标准化管理创建成果，根据《浙江省水利工程管理办法》及行业相关规定，结合工程实际，特制定本办法，该办法每年根据运行情况和招投标情况进行适当修改（根据合同内容进行修订）。</w:t>
      </w:r>
    </w:p>
    <w:p w14:paraId="0692D8C5">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一、适用范围</w:t>
      </w:r>
    </w:p>
    <w:p w14:paraId="12A64DA8">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本办法适用杭州市南排工程建设管理服务中心工程运行管理考核工作。</w:t>
      </w:r>
    </w:p>
    <w:p w14:paraId="3A69E8EA">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二、考核原则</w:t>
      </w:r>
    </w:p>
    <w:p w14:paraId="3AD7F3DD">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1、坚持公开、公平、公正的原则。</w:t>
      </w:r>
    </w:p>
    <w:p w14:paraId="3FD46E84">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2、坚持全面考核、突出重点、注重实效、科学管理的原则。</w:t>
      </w:r>
    </w:p>
    <w:p w14:paraId="112FDC8A">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3、坚持定性和定量相结合的原则。</w:t>
      </w:r>
    </w:p>
    <w:p w14:paraId="35E333F3">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三、考核内容</w:t>
      </w:r>
    </w:p>
    <w:p w14:paraId="299575BE">
      <w:pPr>
        <w:keepLines w:val="0"/>
        <w:pageBreakBefore w:val="0"/>
        <w:widowControl/>
        <w:kinsoku/>
        <w:wordWrap/>
        <w:overflowPunct/>
        <w:topLinePunct w:val="0"/>
        <w:bidi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实行综合考核，考核主要内容有组织管理、管理基础、运行管理、设备日常维护、安全与文明、</w:t>
      </w:r>
      <w:r>
        <w:rPr>
          <w:rFonts w:hint="eastAsia" w:ascii="宋体" w:hAnsi="宋体" w:cs="宋体"/>
          <w:color w:val="auto"/>
          <w:sz w:val="24"/>
          <w:szCs w:val="24"/>
          <w:highlight w:val="none"/>
          <w:lang w:val="en-US" w:eastAsia="zh-CN"/>
        </w:rPr>
        <w:t>室外环境养护</w:t>
      </w:r>
      <w:r>
        <w:rPr>
          <w:rFonts w:hint="eastAsia" w:ascii="宋体" w:hAnsi="宋体" w:cs="宋体"/>
          <w:color w:val="auto"/>
          <w:sz w:val="24"/>
          <w:szCs w:val="24"/>
          <w:highlight w:val="none"/>
        </w:rPr>
        <w:t>、日常监督管理七个方面；其中组织管理首次考核前，运行单位提供全体人员的学历证书及上岗证复印件（原件备查）。</w:t>
      </w:r>
    </w:p>
    <w:p w14:paraId="17C30A8A">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四、考核方式</w:t>
      </w:r>
    </w:p>
    <w:p w14:paraId="675EC040">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1、考核分季度考核和合同完工验收，季度考核采用百分制，由南排中心组织考核小组进行考核。</w:t>
      </w:r>
    </w:p>
    <w:p w14:paraId="2A1C5EC3">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2、合同完工验收由南排中心邀请专家进行。</w:t>
      </w:r>
    </w:p>
    <w:p w14:paraId="1664F267">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五、考核等次</w:t>
      </w:r>
    </w:p>
    <w:p w14:paraId="1347A844">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1、考核（评定）结果分为优秀、良好、合格、不合格四个等次。得分在90（含）分以上为“优秀”；得分在90分以下，80分（含）以上为“良好”；得分在80分以下，70分（含）以上为“合格”； 70分以下为“不合格”。</w:t>
      </w:r>
    </w:p>
    <w:p w14:paraId="1EE3C28D">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2、因供应商原因对采购人不良社会影响的，考核不能评定为“优秀”等级。</w:t>
      </w:r>
    </w:p>
    <w:p w14:paraId="714A946E">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3、因供应商原因对采购人造成严重社会影响、经济损失超过20万元的，考核只能评定为“合格”等级（等级分按70分计）。 </w:t>
      </w:r>
    </w:p>
    <w:p w14:paraId="06C88E3E">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4、因供应商原因有下列情形之一，考核只能评定为“不合格”等级，造成的损失，运维单位必须按合同条款相关规定予以赔偿。 </w:t>
      </w:r>
    </w:p>
    <w:p w14:paraId="7AA0E10D">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（1）因管理不善，在委托管理范围内发生人员触电、跌落、工伤、溺水等等级安全事故；</w:t>
      </w:r>
    </w:p>
    <w:p w14:paraId="737D166D">
      <w:pPr>
        <w:keepLines w:val="0"/>
        <w:pageBreakBefore w:val="0"/>
        <w:kinsoku/>
        <w:wordWrap/>
        <w:overflowPunct/>
        <w:topLinePunct w:val="0"/>
        <w:bidi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（2）因保养或操作不当造成工程设施、设备损毁、损坏，损失金额达50万元以上。</w:t>
      </w:r>
    </w:p>
    <w:p w14:paraId="321A812F">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六、本办法由杭州市南排工程建设管理服务中心负责解释。</w:t>
      </w:r>
    </w:p>
    <w:p w14:paraId="024665D0">
      <w:pPr>
        <w:keepLines w:val="0"/>
        <w:pageBreakBefore w:val="0"/>
        <w:kinsoku/>
        <w:wordWrap/>
        <w:overflowPunct/>
        <w:topLinePunct w:val="0"/>
        <w:bidi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七、本办法于2025年7月1日起执行。</w:t>
      </w:r>
    </w:p>
    <w:p w14:paraId="12B5A74B">
      <w:pPr>
        <w:keepLines w:val="0"/>
        <w:pageBreakBefore w:val="0"/>
        <w:kinsoku/>
        <w:wordWrap/>
        <w:overflowPunct/>
        <w:topLinePunct w:val="0"/>
        <w:bidi w:val="0"/>
        <w:snapToGrid w:val="0"/>
        <w:spacing w:line="360" w:lineRule="auto"/>
        <w:rPr>
          <w:rFonts w:hint="eastAsia" w:ascii="宋体" w:hAnsi="宋体" w:cs="宋体"/>
          <w:b/>
          <w:color w:val="auto"/>
          <w:szCs w:val="24"/>
          <w:highlight w:val="none"/>
        </w:rPr>
      </w:pPr>
      <w:r>
        <w:rPr>
          <w:rFonts w:hint="eastAsia" w:ascii="宋体" w:hAnsi="宋体" w:cs="宋体"/>
          <w:color w:val="auto"/>
          <w:sz w:val="24"/>
          <w:szCs w:val="24"/>
          <w:highlight w:val="none"/>
        </w:rPr>
        <w:t>附件：《八堡排水泵站运行管理考评表》</w:t>
      </w:r>
      <w:bookmarkEnd w:id="83"/>
      <w:bookmarkEnd w:id="84"/>
      <w:bookmarkEnd w:id="85"/>
      <w:bookmarkEnd w:id="86"/>
      <w:bookmarkEnd w:id="87"/>
      <w:bookmarkEnd w:id="88"/>
      <w:r>
        <w:rPr>
          <w:rFonts w:hint="eastAsia" w:ascii="宋体" w:hAnsi="宋体" w:cs="宋体"/>
          <w:b/>
          <w:color w:val="auto"/>
          <w:szCs w:val="24"/>
          <w:highlight w:val="none"/>
        </w:rPr>
        <w:br w:type="page"/>
      </w:r>
    </w:p>
    <w:p w14:paraId="5D22ECCA">
      <w:pPr>
        <w:snapToGrid w:val="0"/>
        <w:spacing w:line="460" w:lineRule="exact"/>
        <w:jc w:val="center"/>
        <w:rPr>
          <w:rFonts w:hint="eastAsia" w:ascii="宋体" w:hAnsi="宋体" w:cs="宋体"/>
          <w:b/>
          <w:color w:val="auto"/>
          <w:sz w:val="28"/>
          <w:highlight w:val="none"/>
        </w:rPr>
      </w:pPr>
      <w:r>
        <w:rPr>
          <w:rFonts w:hint="eastAsia" w:ascii="宋体" w:hAnsi="宋体" w:cs="宋体"/>
          <w:b/>
          <w:color w:val="auto"/>
          <w:szCs w:val="24"/>
          <w:highlight w:val="none"/>
        </w:rPr>
        <w:t>八堡排水泵站运行管理考评表</w:t>
      </w:r>
    </w:p>
    <w:tbl>
      <w:tblPr>
        <w:tblStyle w:val="20"/>
        <w:tblW w:w="968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19"/>
        <w:gridCol w:w="1002"/>
        <w:gridCol w:w="5812"/>
        <w:gridCol w:w="655"/>
        <w:gridCol w:w="480"/>
        <w:gridCol w:w="585"/>
      </w:tblGrid>
      <w:tr w14:paraId="6CD0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27" w:type="dxa"/>
            <w:vAlign w:val="center"/>
          </w:tcPr>
          <w:p w14:paraId="7BF6E9ED">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序号</w:t>
            </w:r>
          </w:p>
        </w:tc>
        <w:tc>
          <w:tcPr>
            <w:tcW w:w="1721" w:type="dxa"/>
            <w:gridSpan w:val="2"/>
            <w:vAlign w:val="center"/>
          </w:tcPr>
          <w:p w14:paraId="4CF9AC1E">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考评内容</w:t>
            </w:r>
          </w:p>
        </w:tc>
        <w:tc>
          <w:tcPr>
            <w:tcW w:w="5812" w:type="dxa"/>
            <w:vAlign w:val="center"/>
          </w:tcPr>
          <w:p w14:paraId="015FABDA">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评分标准</w:t>
            </w:r>
          </w:p>
        </w:tc>
        <w:tc>
          <w:tcPr>
            <w:tcW w:w="655" w:type="dxa"/>
            <w:vAlign w:val="center"/>
          </w:tcPr>
          <w:p w14:paraId="1041FDFA">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应得分</w:t>
            </w:r>
          </w:p>
        </w:tc>
        <w:tc>
          <w:tcPr>
            <w:tcW w:w="480" w:type="dxa"/>
            <w:vAlign w:val="center"/>
          </w:tcPr>
          <w:p w14:paraId="1ED13C0F">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扣分</w:t>
            </w:r>
          </w:p>
        </w:tc>
        <w:tc>
          <w:tcPr>
            <w:tcW w:w="585" w:type="dxa"/>
            <w:vAlign w:val="center"/>
          </w:tcPr>
          <w:p w14:paraId="4105E162">
            <w:pPr>
              <w:widowControl/>
              <w:snapToGrid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扣分  原因</w:t>
            </w:r>
          </w:p>
        </w:tc>
      </w:tr>
      <w:tr w14:paraId="3AAB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427" w:type="dxa"/>
            <w:vAlign w:val="center"/>
          </w:tcPr>
          <w:p w14:paraId="5AFE0A16">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w:t>
            </w:r>
          </w:p>
        </w:tc>
        <w:tc>
          <w:tcPr>
            <w:tcW w:w="719" w:type="dxa"/>
            <w:vAlign w:val="center"/>
          </w:tcPr>
          <w:p w14:paraId="34BB6B6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总则</w:t>
            </w:r>
          </w:p>
        </w:tc>
        <w:tc>
          <w:tcPr>
            <w:tcW w:w="6814" w:type="dxa"/>
            <w:gridSpan w:val="2"/>
            <w:vAlign w:val="center"/>
          </w:tcPr>
          <w:p w14:paraId="3452C656">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1、考核结果分别为优秀、良好、合格、不合格四个等次。得分在90（含）分以上为“优秀”；得分在90分以下，80分（含）以上为“良好”；得分在80分以下，70分（含）以上为“合格”；70分以下为“不合格”。</w:t>
            </w:r>
          </w:p>
          <w:p w14:paraId="1072AB27">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2、所有单项扣分扣完为止。</w:t>
            </w:r>
          </w:p>
          <w:p w14:paraId="3D5DC4B6">
            <w:pPr>
              <w:pStyle w:val="10"/>
              <w:rPr>
                <w:rFonts w:hint="eastAsia" w:eastAsia="宋体"/>
                <w:color w:val="auto"/>
                <w:highlight w:val="none"/>
                <w:lang w:val="en-US" w:eastAsia="zh-CN"/>
              </w:rPr>
            </w:pPr>
            <w:r>
              <w:rPr>
                <w:rFonts w:hint="eastAsia" w:hAnsi="宋体" w:cs="宋体"/>
                <w:color w:val="auto"/>
                <w:sz w:val="18"/>
                <w:szCs w:val="18"/>
                <w:highlight w:val="none"/>
                <w:lang w:val="en-US" w:eastAsia="zh-CN"/>
              </w:rPr>
              <w:t>3、</w:t>
            </w:r>
            <w:r>
              <w:rPr>
                <w:rFonts w:hint="eastAsia" w:hAnsi="宋体" w:cs="宋体"/>
                <w:color w:val="auto"/>
                <w:sz w:val="18"/>
                <w:szCs w:val="18"/>
                <w:highlight w:val="none"/>
                <w:lang w:val="en-US"/>
              </w:rPr>
              <w:t>每年交叉检查考核（外聘专家）不少于1次。</w:t>
            </w:r>
          </w:p>
        </w:tc>
        <w:tc>
          <w:tcPr>
            <w:tcW w:w="655" w:type="dxa"/>
            <w:vAlign w:val="center"/>
          </w:tcPr>
          <w:p w14:paraId="6B310FC9">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100</w:t>
            </w:r>
          </w:p>
        </w:tc>
        <w:tc>
          <w:tcPr>
            <w:tcW w:w="480" w:type="dxa"/>
            <w:vAlign w:val="center"/>
          </w:tcPr>
          <w:p w14:paraId="10305A39">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0B8272F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7F67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restart"/>
            <w:vAlign w:val="center"/>
          </w:tcPr>
          <w:p w14:paraId="30AC7044">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w:t>
            </w:r>
          </w:p>
        </w:tc>
        <w:tc>
          <w:tcPr>
            <w:tcW w:w="719" w:type="dxa"/>
            <w:vMerge w:val="restart"/>
            <w:vAlign w:val="center"/>
          </w:tcPr>
          <w:p w14:paraId="088D355E">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组织 管理  (10分)</w:t>
            </w:r>
          </w:p>
        </w:tc>
        <w:tc>
          <w:tcPr>
            <w:tcW w:w="1002" w:type="dxa"/>
            <w:vAlign w:val="center"/>
          </w:tcPr>
          <w:p w14:paraId="3620AF4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项目经理、技术负责人</w:t>
            </w:r>
          </w:p>
        </w:tc>
        <w:tc>
          <w:tcPr>
            <w:tcW w:w="5812" w:type="dxa"/>
            <w:vAlign w:val="center"/>
          </w:tcPr>
          <w:p w14:paraId="2A1155CC">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每人每月出勤22天以上，得3分。出勤每少一天扣1分。</w:t>
            </w:r>
          </w:p>
        </w:tc>
        <w:tc>
          <w:tcPr>
            <w:tcW w:w="655" w:type="dxa"/>
            <w:vAlign w:val="center"/>
          </w:tcPr>
          <w:p w14:paraId="35F4500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3</w:t>
            </w:r>
          </w:p>
        </w:tc>
        <w:tc>
          <w:tcPr>
            <w:tcW w:w="480" w:type="dxa"/>
            <w:vAlign w:val="center"/>
          </w:tcPr>
          <w:p w14:paraId="7DC0894D">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5ADC66F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6A46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vAlign w:val="center"/>
          </w:tcPr>
          <w:p w14:paraId="200E6A3D">
            <w:pPr>
              <w:widowControl/>
              <w:snapToGrid w:val="0"/>
              <w:jc w:val="center"/>
              <w:rPr>
                <w:rFonts w:hint="eastAsia" w:ascii="宋体" w:hAnsi="宋体" w:cs="宋体"/>
                <w:color w:val="auto"/>
                <w:sz w:val="18"/>
                <w:szCs w:val="18"/>
                <w:highlight w:val="none"/>
              </w:rPr>
            </w:pPr>
          </w:p>
        </w:tc>
        <w:tc>
          <w:tcPr>
            <w:tcW w:w="719" w:type="dxa"/>
            <w:vMerge w:val="continue"/>
            <w:vAlign w:val="center"/>
          </w:tcPr>
          <w:p w14:paraId="5E7E2E0F">
            <w:pPr>
              <w:widowControl/>
              <w:snapToGrid w:val="0"/>
              <w:jc w:val="center"/>
              <w:rPr>
                <w:rFonts w:hint="eastAsia" w:ascii="宋体" w:hAnsi="宋体" w:cs="宋体"/>
                <w:color w:val="auto"/>
                <w:sz w:val="18"/>
                <w:szCs w:val="18"/>
                <w:highlight w:val="none"/>
              </w:rPr>
            </w:pPr>
          </w:p>
        </w:tc>
        <w:tc>
          <w:tcPr>
            <w:tcW w:w="1002" w:type="dxa"/>
            <w:shd w:val="clear" w:color="auto" w:fill="auto"/>
            <w:vAlign w:val="center"/>
          </w:tcPr>
          <w:p w14:paraId="01BFD5B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安全运行及检修管理人员、运行技术人员</w:t>
            </w:r>
          </w:p>
        </w:tc>
        <w:tc>
          <w:tcPr>
            <w:tcW w:w="5812" w:type="dxa"/>
            <w:shd w:val="clear" w:color="auto" w:fill="auto"/>
            <w:vAlign w:val="center"/>
          </w:tcPr>
          <w:p w14:paraId="179F8DEF">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每人每月出勤15天以上，得3分。出勤每少一天扣1分。</w:t>
            </w:r>
          </w:p>
        </w:tc>
        <w:tc>
          <w:tcPr>
            <w:tcW w:w="655" w:type="dxa"/>
            <w:shd w:val="clear" w:color="auto" w:fill="auto"/>
            <w:vAlign w:val="center"/>
          </w:tcPr>
          <w:p w14:paraId="327CFCB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3</w:t>
            </w:r>
          </w:p>
        </w:tc>
        <w:tc>
          <w:tcPr>
            <w:tcW w:w="480" w:type="dxa"/>
            <w:shd w:val="clear" w:color="auto" w:fill="auto"/>
            <w:vAlign w:val="center"/>
          </w:tcPr>
          <w:p w14:paraId="7961BEA3">
            <w:pPr>
              <w:widowControl/>
              <w:snapToGrid w:val="0"/>
              <w:jc w:val="center"/>
              <w:rPr>
                <w:rFonts w:hint="eastAsia" w:ascii="宋体" w:hAnsi="宋体" w:cs="宋体"/>
                <w:color w:val="auto"/>
                <w:sz w:val="18"/>
                <w:szCs w:val="18"/>
                <w:highlight w:val="none"/>
              </w:rPr>
            </w:pPr>
          </w:p>
        </w:tc>
        <w:tc>
          <w:tcPr>
            <w:tcW w:w="585" w:type="dxa"/>
            <w:shd w:val="clear" w:color="auto" w:fill="auto"/>
            <w:vAlign w:val="center"/>
          </w:tcPr>
          <w:p w14:paraId="5D7812EF">
            <w:pPr>
              <w:widowControl/>
              <w:snapToGrid w:val="0"/>
              <w:jc w:val="center"/>
              <w:rPr>
                <w:rFonts w:hint="eastAsia" w:ascii="宋体" w:hAnsi="宋体" w:cs="宋体"/>
                <w:color w:val="auto"/>
                <w:sz w:val="18"/>
                <w:szCs w:val="18"/>
                <w:highlight w:val="none"/>
              </w:rPr>
            </w:pPr>
          </w:p>
        </w:tc>
      </w:tr>
      <w:tr w14:paraId="39A7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27" w:type="dxa"/>
            <w:vMerge w:val="continue"/>
            <w:vAlign w:val="center"/>
          </w:tcPr>
          <w:p w14:paraId="578AB836">
            <w:pPr>
              <w:widowControl/>
              <w:snapToGrid w:val="0"/>
              <w:jc w:val="left"/>
              <w:rPr>
                <w:rFonts w:hint="eastAsia" w:ascii="宋体" w:hAnsi="宋体" w:cs="宋体"/>
                <w:color w:val="auto"/>
                <w:sz w:val="18"/>
                <w:szCs w:val="18"/>
                <w:highlight w:val="none"/>
              </w:rPr>
            </w:pPr>
          </w:p>
        </w:tc>
        <w:tc>
          <w:tcPr>
            <w:tcW w:w="719" w:type="dxa"/>
            <w:vMerge w:val="continue"/>
            <w:vAlign w:val="center"/>
          </w:tcPr>
          <w:p w14:paraId="58A2349C">
            <w:pPr>
              <w:widowControl/>
              <w:snapToGrid w:val="0"/>
              <w:jc w:val="left"/>
              <w:rPr>
                <w:rFonts w:hint="eastAsia" w:ascii="宋体" w:hAnsi="宋体" w:cs="宋体"/>
                <w:color w:val="auto"/>
                <w:sz w:val="18"/>
                <w:szCs w:val="18"/>
                <w:highlight w:val="none"/>
              </w:rPr>
            </w:pPr>
          </w:p>
        </w:tc>
        <w:tc>
          <w:tcPr>
            <w:tcW w:w="1002" w:type="dxa"/>
            <w:vAlign w:val="center"/>
          </w:tcPr>
          <w:p w14:paraId="12A6851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班    组</w:t>
            </w:r>
          </w:p>
        </w:tc>
        <w:tc>
          <w:tcPr>
            <w:tcW w:w="5812" w:type="dxa"/>
            <w:vAlign w:val="center"/>
          </w:tcPr>
          <w:p w14:paraId="4C5218BC">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每班必须有一个值班长，发现值班长不在岗，每次扣0.5分。</w:t>
            </w:r>
          </w:p>
        </w:tc>
        <w:tc>
          <w:tcPr>
            <w:tcW w:w="655" w:type="dxa"/>
            <w:vAlign w:val="center"/>
          </w:tcPr>
          <w:p w14:paraId="52AC446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480" w:type="dxa"/>
            <w:vAlign w:val="center"/>
          </w:tcPr>
          <w:p w14:paraId="20F3464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552F388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268A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427" w:type="dxa"/>
            <w:vMerge w:val="continue"/>
            <w:vAlign w:val="center"/>
          </w:tcPr>
          <w:p w14:paraId="73EFD66A">
            <w:pPr>
              <w:widowControl/>
              <w:snapToGrid w:val="0"/>
              <w:jc w:val="left"/>
              <w:rPr>
                <w:rFonts w:hint="eastAsia" w:ascii="宋体" w:hAnsi="宋体" w:cs="宋体"/>
                <w:color w:val="auto"/>
                <w:sz w:val="18"/>
                <w:szCs w:val="18"/>
                <w:highlight w:val="none"/>
              </w:rPr>
            </w:pPr>
          </w:p>
        </w:tc>
        <w:tc>
          <w:tcPr>
            <w:tcW w:w="719" w:type="dxa"/>
            <w:vMerge w:val="continue"/>
            <w:vAlign w:val="center"/>
          </w:tcPr>
          <w:p w14:paraId="48BD08BE">
            <w:pPr>
              <w:widowControl/>
              <w:snapToGrid w:val="0"/>
              <w:jc w:val="left"/>
              <w:rPr>
                <w:rFonts w:hint="eastAsia" w:ascii="宋体" w:hAnsi="宋体" w:cs="宋体"/>
                <w:color w:val="auto"/>
                <w:sz w:val="18"/>
                <w:szCs w:val="18"/>
                <w:highlight w:val="none"/>
              </w:rPr>
            </w:pPr>
          </w:p>
        </w:tc>
        <w:tc>
          <w:tcPr>
            <w:tcW w:w="1002" w:type="dxa"/>
            <w:vAlign w:val="center"/>
          </w:tcPr>
          <w:p w14:paraId="5C4285C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操作人员</w:t>
            </w:r>
          </w:p>
        </w:tc>
        <w:tc>
          <w:tcPr>
            <w:tcW w:w="5812" w:type="dxa"/>
            <w:vAlign w:val="center"/>
          </w:tcPr>
          <w:p w14:paraId="5162F0E7">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1、运行值班操作人员（项目经理和管理人员除外），专业工龄1年以上。每少一人扣0.5分，专业工龄每一人不符合扣0.5分。</w:t>
            </w:r>
          </w:p>
          <w:p w14:paraId="5C04FCF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2、至少6人具有大学专科（机电、自动化、计算机专业）及以上学历，其余有中专或同等学历。不具备同等学历，每少一人扣0.5分，专业不对口每人扣0.5分。</w:t>
            </w:r>
          </w:p>
          <w:p w14:paraId="3E754B6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3、当月流动（变更）不超过2人次，当月每值人员变动不得多于1人次，每超过1人次扣0.5分。                                                          </w:t>
            </w:r>
          </w:p>
        </w:tc>
        <w:tc>
          <w:tcPr>
            <w:tcW w:w="655" w:type="dxa"/>
            <w:vAlign w:val="center"/>
          </w:tcPr>
          <w:p w14:paraId="742CF2F9">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3</w:t>
            </w:r>
          </w:p>
        </w:tc>
        <w:tc>
          <w:tcPr>
            <w:tcW w:w="480" w:type="dxa"/>
            <w:vAlign w:val="center"/>
          </w:tcPr>
          <w:p w14:paraId="6278A16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1A399C4D">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6DDC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427" w:type="dxa"/>
            <w:vMerge w:val="continue"/>
            <w:vAlign w:val="center"/>
          </w:tcPr>
          <w:p w14:paraId="496C1B29">
            <w:pPr>
              <w:widowControl/>
              <w:snapToGrid w:val="0"/>
              <w:jc w:val="left"/>
              <w:rPr>
                <w:rFonts w:hint="eastAsia" w:ascii="宋体" w:hAnsi="宋体" w:cs="宋体"/>
                <w:color w:val="auto"/>
                <w:sz w:val="18"/>
                <w:szCs w:val="18"/>
                <w:highlight w:val="none"/>
              </w:rPr>
            </w:pPr>
          </w:p>
        </w:tc>
        <w:tc>
          <w:tcPr>
            <w:tcW w:w="719" w:type="dxa"/>
            <w:vMerge w:val="continue"/>
            <w:vAlign w:val="center"/>
          </w:tcPr>
          <w:p w14:paraId="64FB207C">
            <w:pPr>
              <w:widowControl/>
              <w:snapToGrid w:val="0"/>
              <w:jc w:val="left"/>
              <w:rPr>
                <w:rFonts w:hint="eastAsia" w:ascii="宋体" w:hAnsi="宋体" w:cs="宋体"/>
                <w:color w:val="auto"/>
                <w:sz w:val="18"/>
                <w:szCs w:val="18"/>
                <w:highlight w:val="none"/>
              </w:rPr>
            </w:pPr>
          </w:p>
        </w:tc>
        <w:tc>
          <w:tcPr>
            <w:tcW w:w="1002" w:type="dxa"/>
            <w:vAlign w:val="center"/>
          </w:tcPr>
          <w:p w14:paraId="4B3ABE2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持证上岗</w:t>
            </w:r>
          </w:p>
        </w:tc>
        <w:tc>
          <w:tcPr>
            <w:tcW w:w="5812" w:type="dxa"/>
            <w:vAlign w:val="center"/>
          </w:tcPr>
          <w:p w14:paraId="7C5B3F0B">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1、持电工证的运行人员不少于4人，每少一人扣0.5分。</w:t>
            </w:r>
          </w:p>
          <w:p w14:paraId="5E33F495">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2、持泵站或闸门运行工操作证的运行人员不少于4人,每少一人扣0.5分。</w:t>
            </w:r>
          </w:p>
          <w:p w14:paraId="374F77CD">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3、每值应配备持电工证的人员1人，持闸门运行工操作证或泵站运行工操作证的运行人员1人,达不到此配备要求扣1分。</w:t>
            </w:r>
          </w:p>
        </w:tc>
        <w:tc>
          <w:tcPr>
            <w:tcW w:w="655" w:type="dxa"/>
            <w:vAlign w:val="center"/>
          </w:tcPr>
          <w:p w14:paraId="73960E5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480" w:type="dxa"/>
            <w:vAlign w:val="center"/>
          </w:tcPr>
          <w:p w14:paraId="5635DA3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0B5E73CE">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3E15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27" w:type="dxa"/>
            <w:vMerge w:val="restart"/>
            <w:vAlign w:val="center"/>
          </w:tcPr>
          <w:p w14:paraId="6D66D40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w:t>
            </w:r>
          </w:p>
        </w:tc>
        <w:tc>
          <w:tcPr>
            <w:tcW w:w="719" w:type="dxa"/>
            <w:vMerge w:val="restart"/>
            <w:vAlign w:val="center"/>
          </w:tcPr>
          <w:p w14:paraId="2083ED4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管理 基础(10分)</w:t>
            </w:r>
          </w:p>
        </w:tc>
        <w:tc>
          <w:tcPr>
            <w:tcW w:w="1002" w:type="dxa"/>
            <w:vAlign w:val="center"/>
          </w:tcPr>
          <w:p w14:paraId="3AD1A67A">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管理制度操作规程</w:t>
            </w:r>
          </w:p>
        </w:tc>
        <w:tc>
          <w:tcPr>
            <w:tcW w:w="5812" w:type="dxa"/>
            <w:vAlign w:val="center"/>
          </w:tcPr>
          <w:p w14:paraId="0DC68892">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1、根据《八堡排水泵站标准化管理制度手册》，严格遵守各项制度，包括调度管理制度、运行值班制度、交接班制度、设备巡视检查制度、设备定期切换与试验制度、操作票制度、工作票制度、设备检修制度、设备缺陷管理制度、工程检查制度、安全保卫制度、汛期工作制度、备品备件管理制度等，每违反一次扣1分。                                                                 2、根据《八堡排水泵站标准化管理操作手册》，操作规程应发到相关班组、岗位，加强考核，严格按操作手册进行操作，每违反一次扣1分。                                                                        </w:t>
            </w:r>
          </w:p>
        </w:tc>
        <w:tc>
          <w:tcPr>
            <w:tcW w:w="655" w:type="dxa"/>
            <w:vAlign w:val="center"/>
          </w:tcPr>
          <w:p w14:paraId="09EDEF58">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480" w:type="dxa"/>
            <w:vAlign w:val="center"/>
          </w:tcPr>
          <w:p w14:paraId="10C0DF76">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2FDF1AC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0BC1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27" w:type="dxa"/>
            <w:vMerge w:val="continue"/>
            <w:vAlign w:val="center"/>
          </w:tcPr>
          <w:p w14:paraId="3D6B2395">
            <w:pPr>
              <w:widowControl/>
              <w:snapToGrid w:val="0"/>
              <w:jc w:val="left"/>
              <w:rPr>
                <w:rFonts w:hint="eastAsia" w:ascii="宋体" w:hAnsi="宋体" w:cs="宋体"/>
                <w:color w:val="auto"/>
                <w:sz w:val="18"/>
                <w:szCs w:val="18"/>
                <w:highlight w:val="none"/>
              </w:rPr>
            </w:pPr>
          </w:p>
        </w:tc>
        <w:tc>
          <w:tcPr>
            <w:tcW w:w="719" w:type="dxa"/>
            <w:vMerge w:val="continue"/>
            <w:vAlign w:val="center"/>
          </w:tcPr>
          <w:p w14:paraId="109CCADC">
            <w:pPr>
              <w:widowControl/>
              <w:snapToGrid w:val="0"/>
              <w:jc w:val="left"/>
              <w:rPr>
                <w:rFonts w:hint="eastAsia" w:ascii="宋体" w:hAnsi="宋体" w:cs="宋体"/>
                <w:color w:val="auto"/>
                <w:sz w:val="18"/>
                <w:szCs w:val="18"/>
                <w:highlight w:val="none"/>
              </w:rPr>
            </w:pPr>
          </w:p>
        </w:tc>
        <w:tc>
          <w:tcPr>
            <w:tcW w:w="1002" w:type="dxa"/>
            <w:vAlign w:val="center"/>
          </w:tcPr>
          <w:p w14:paraId="7C696C2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专业工器具</w:t>
            </w:r>
          </w:p>
        </w:tc>
        <w:tc>
          <w:tcPr>
            <w:tcW w:w="5812" w:type="dxa"/>
            <w:vAlign w:val="center"/>
          </w:tcPr>
          <w:p w14:paraId="34880A4E">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1、运维单位应配备运行养护设备，其中500V/1000V/2500V电压等级的绝缘检查表不少于2只，电压表、电流检查表各不少于2只，每缺少一只扣1分。                                                                  2、测振表、百分表、测温表不少于2只，每缺少一只扣1分。</w:t>
            </w:r>
          </w:p>
        </w:tc>
        <w:tc>
          <w:tcPr>
            <w:tcW w:w="655" w:type="dxa"/>
            <w:vAlign w:val="center"/>
          </w:tcPr>
          <w:p w14:paraId="48F69EC3">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480" w:type="dxa"/>
            <w:vAlign w:val="center"/>
          </w:tcPr>
          <w:p w14:paraId="2EC658A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6A3AA3D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63D5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27" w:type="dxa"/>
            <w:vMerge w:val="continue"/>
            <w:vAlign w:val="center"/>
          </w:tcPr>
          <w:p w14:paraId="01EA6DF7">
            <w:pPr>
              <w:widowControl/>
              <w:snapToGrid w:val="0"/>
              <w:jc w:val="left"/>
              <w:rPr>
                <w:rFonts w:hint="eastAsia" w:ascii="宋体" w:hAnsi="宋体" w:cs="宋体"/>
                <w:color w:val="auto"/>
                <w:sz w:val="18"/>
                <w:szCs w:val="18"/>
                <w:highlight w:val="none"/>
              </w:rPr>
            </w:pPr>
          </w:p>
        </w:tc>
        <w:tc>
          <w:tcPr>
            <w:tcW w:w="719" w:type="dxa"/>
            <w:vMerge w:val="continue"/>
            <w:vAlign w:val="center"/>
          </w:tcPr>
          <w:p w14:paraId="67D24750">
            <w:pPr>
              <w:widowControl/>
              <w:snapToGrid w:val="0"/>
              <w:jc w:val="left"/>
              <w:rPr>
                <w:rFonts w:hint="eastAsia" w:ascii="宋体" w:hAnsi="宋体" w:cs="宋体"/>
                <w:color w:val="auto"/>
                <w:sz w:val="18"/>
                <w:szCs w:val="18"/>
                <w:highlight w:val="none"/>
              </w:rPr>
            </w:pPr>
          </w:p>
        </w:tc>
        <w:tc>
          <w:tcPr>
            <w:tcW w:w="1002" w:type="dxa"/>
            <w:vAlign w:val="center"/>
          </w:tcPr>
          <w:p w14:paraId="27BE777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办公设施</w:t>
            </w:r>
          </w:p>
        </w:tc>
        <w:tc>
          <w:tcPr>
            <w:tcW w:w="5812" w:type="dxa"/>
            <w:vAlign w:val="center"/>
          </w:tcPr>
          <w:p w14:paraId="7D9F2112">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1、运维单位办公区域设施配备齐全，缺少必备的办公设备每发现一处扣1分。</w:t>
            </w:r>
          </w:p>
          <w:p w14:paraId="6C0C4948">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2、办公环境干净整洁，设备摆放整齐，发现有杂物堆放、卫生欠佳的，每发现一处扣1分。</w:t>
            </w:r>
          </w:p>
        </w:tc>
        <w:tc>
          <w:tcPr>
            <w:tcW w:w="655" w:type="dxa"/>
            <w:vAlign w:val="center"/>
          </w:tcPr>
          <w:p w14:paraId="37A0839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480" w:type="dxa"/>
            <w:vAlign w:val="center"/>
          </w:tcPr>
          <w:p w14:paraId="2B7B3A6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1AA4F1A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5FC4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continue"/>
            <w:vAlign w:val="center"/>
          </w:tcPr>
          <w:p w14:paraId="774E627D">
            <w:pPr>
              <w:widowControl/>
              <w:snapToGrid w:val="0"/>
              <w:jc w:val="left"/>
              <w:rPr>
                <w:rFonts w:hint="eastAsia" w:ascii="宋体" w:hAnsi="宋体" w:cs="宋体"/>
                <w:color w:val="auto"/>
                <w:sz w:val="18"/>
                <w:szCs w:val="18"/>
                <w:highlight w:val="none"/>
              </w:rPr>
            </w:pPr>
          </w:p>
        </w:tc>
        <w:tc>
          <w:tcPr>
            <w:tcW w:w="719" w:type="dxa"/>
            <w:vMerge w:val="continue"/>
            <w:vAlign w:val="center"/>
          </w:tcPr>
          <w:p w14:paraId="2A8CA491">
            <w:pPr>
              <w:widowControl/>
              <w:snapToGrid w:val="0"/>
              <w:jc w:val="left"/>
              <w:rPr>
                <w:rFonts w:hint="eastAsia" w:ascii="宋体" w:hAnsi="宋体" w:cs="宋体"/>
                <w:color w:val="auto"/>
                <w:sz w:val="18"/>
                <w:szCs w:val="18"/>
                <w:highlight w:val="none"/>
              </w:rPr>
            </w:pPr>
          </w:p>
        </w:tc>
        <w:tc>
          <w:tcPr>
            <w:tcW w:w="1002" w:type="dxa"/>
            <w:vAlign w:val="center"/>
          </w:tcPr>
          <w:p w14:paraId="385F8643">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培训、档案管理</w:t>
            </w:r>
          </w:p>
        </w:tc>
        <w:tc>
          <w:tcPr>
            <w:tcW w:w="5812" w:type="dxa"/>
            <w:vAlign w:val="center"/>
          </w:tcPr>
          <w:p w14:paraId="5D7E60A2">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1、制定年度培训教育计划，每月不少于1次技能培训，对操作人员按计划进行教育培训，对培训效果进行评估和改进，做好培训记录，并建立培训档案，培训计划、培训台账每少一项扣1分。                                          </w:t>
            </w:r>
          </w:p>
          <w:p w14:paraId="395FD1BB">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2、未设置档案存放点的扣1分；运行管理资料不齐全的，每发现一处扣1分。</w:t>
            </w:r>
          </w:p>
        </w:tc>
        <w:tc>
          <w:tcPr>
            <w:tcW w:w="655" w:type="dxa"/>
            <w:vAlign w:val="center"/>
          </w:tcPr>
          <w:p w14:paraId="532D195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480" w:type="dxa"/>
            <w:vAlign w:val="center"/>
          </w:tcPr>
          <w:p w14:paraId="27BF350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428A992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41EA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7" w:type="dxa"/>
            <w:vMerge w:val="restart"/>
            <w:vAlign w:val="center"/>
          </w:tcPr>
          <w:p w14:paraId="7503309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四</w:t>
            </w:r>
          </w:p>
        </w:tc>
        <w:tc>
          <w:tcPr>
            <w:tcW w:w="719" w:type="dxa"/>
            <w:vMerge w:val="restart"/>
            <w:vAlign w:val="center"/>
          </w:tcPr>
          <w:p w14:paraId="7D767B28">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运行 管理   (25分)</w:t>
            </w:r>
          </w:p>
        </w:tc>
        <w:tc>
          <w:tcPr>
            <w:tcW w:w="1002" w:type="dxa"/>
            <w:vAlign w:val="center"/>
          </w:tcPr>
          <w:p w14:paraId="02D2D98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运行操作</w:t>
            </w:r>
          </w:p>
        </w:tc>
        <w:tc>
          <w:tcPr>
            <w:tcW w:w="5812" w:type="dxa"/>
            <w:vAlign w:val="center"/>
          </w:tcPr>
          <w:p w14:paraId="33E9AA81">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1、运行期间密切关注泵站管理范围内人员的动向，按规定运行前与</w:t>
            </w:r>
            <w:r>
              <w:rPr>
                <w:rFonts w:hint="eastAsia" w:ascii="宋体" w:hAnsi="宋体" w:cs="宋体"/>
                <w:color w:val="auto"/>
                <w:sz w:val="18"/>
                <w:szCs w:val="18"/>
                <w:highlight w:val="none"/>
                <w:lang w:val="en-US" w:eastAsia="zh-CN"/>
              </w:rPr>
              <w:t>八</w:t>
            </w:r>
            <w:r>
              <w:rPr>
                <w:rFonts w:hint="eastAsia" w:ascii="宋体" w:hAnsi="宋体" w:cs="宋体"/>
                <w:color w:val="auto"/>
                <w:sz w:val="18"/>
                <w:szCs w:val="18"/>
                <w:highlight w:val="none"/>
              </w:rPr>
              <w:t xml:space="preserve">堡船闸等相关单位通报，并用高音喇叭警示，如未及时通报、警示造成影响的，扣2分。                                                                2、严格执行调度指令，规范调度流程。未按通知要求执行运行指令的，每发现一次扣2分。                                                            </w:t>
            </w:r>
          </w:p>
          <w:p w14:paraId="4BCDB7A9">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3、未按规定实行双人上岗操作的，每发现一次扣2分。                      </w:t>
            </w:r>
          </w:p>
          <w:p w14:paraId="2A15078B">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4、运行操作前，未按规定进行检查的，每发现一次扣1分。                 </w:t>
            </w:r>
          </w:p>
          <w:p w14:paraId="4E312DA2">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5、未及时反馈调度执行情况的，每发现一次扣1分。                     </w:t>
            </w:r>
          </w:p>
          <w:p w14:paraId="6908C663">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6、运行期间运行范围内照明设备没按规定关闭开启，扣1分。 </w:t>
            </w:r>
          </w:p>
        </w:tc>
        <w:tc>
          <w:tcPr>
            <w:tcW w:w="655" w:type="dxa"/>
            <w:vAlign w:val="center"/>
          </w:tcPr>
          <w:p w14:paraId="6791C57D">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9</w:t>
            </w:r>
          </w:p>
        </w:tc>
        <w:tc>
          <w:tcPr>
            <w:tcW w:w="480" w:type="dxa"/>
            <w:vAlign w:val="center"/>
          </w:tcPr>
          <w:p w14:paraId="02542A9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31771BE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02F8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427" w:type="dxa"/>
            <w:vMerge w:val="continue"/>
            <w:vAlign w:val="center"/>
          </w:tcPr>
          <w:p w14:paraId="3EAD1B04">
            <w:pPr>
              <w:widowControl/>
              <w:snapToGrid w:val="0"/>
              <w:jc w:val="left"/>
              <w:rPr>
                <w:rFonts w:hint="eastAsia" w:ascii="宋体" w:hAnsi="宋体" w:cs="宋体"/>
                <w:color w:val="auto"/>
                <w:sz w:val="18"/>
                <w:szCs w:val="18"/>
                <w:highlight w:val="none"/>
              </w:rPr>
            </w:pPr>
          </w:p>
        </w:tc>
        <w:tc>
          <w:tcPr>
            <w:tcW w:w="719" w:type="dxa"/>
            <w:vMerge w:val="continue"/>
            <w:vAlign w:val="center"/>
          </w:tcPr>
          <w:p w14:paraId="6E6A915C">
            <w:pPr>
              <w:widowControl/>
              <w:snapToGrid w:val="0"/>
              <w:jc w:val="left"/>
              <w:rPr>
                <w:rFonts w:hint="eastAsia" w:ascii="宋体" w:hAnsi="宋体" w:cs="宋体"/>
                <w:color w:val="auto"/>
                <w:sz w:val="18"/>
                <w:szCs w:val="18"/>
                <w:highlight w:val="none"/>
              </w:rPr>
            </w:pPr>
          </w:p>
        </w:tc>
        <w:tc>
          <w:tcPr>
            <w:tcW w:w="1002" w:type="dxa"/>
            <w:vAlign w:val="center"/>
          </w:tcPr>
          <w:p w14:paraId="7CC9661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运行台账</w:t>
            </w:r>
          </w:p>
        </w:tc>
        <w:tc>
          <w:tcPr>
            <w:tcW w:w="5812" w:type="dxa"/>
            <w:vAlign w:val="center"/>
          </w:tcPr>
          <w:p w14:paraId="7DAEBE8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1、运行台账凌乱无序扣1分。</w:t>
            </w:r>
          </w:p>
          <w:p w14:paraId="5E7DA526">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2、没有按时归档扣1分。</w:t>
            </w:r>
          </w:p>
          <w:p w14:paraId="2278D031">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3、有两处（含）以上涂改，每发现一处扣1分。</w:t>
            </w:r>
          </w:p>
          <w:p w14:paraId="279A61C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4、记录不及时扣1分，不准确扣1分，不规范扣1分，不整洁扣1分。</w:t>
            </w:r>
          </w:p>
          <w:p w14:paraId="2683A238">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5、存在虚假数据，每发现一次扣2分。</w:t>
            </w:r>
          </w:p>
        </w:tc>
        <w:tc>
          <w:tcPr>
            <w:tcW w:w="655" w:type="dxa"/>
            <w:vAlign w:val="center"/>
          </w:tcPr>
          <w:p w14:paraId="13B7793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480" w:type="dxa"/>
            <w:vAlign w:val="center"/>
          </w:tcPr>
          <w:p w14:paraId="174DC12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2C01C3B8">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4741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27" w:type="dxa"/>
            <w:vMerge w:val="continue"/>
            <w:vAlign w:val="center"/>
          </w:tcPr>
          <w:p w14:paraId="3698C77A">
            <w:pPr>
              <w:widowControl/>
              <w:snapToGrid w:val="0"/>
              <w:jc w:val="left"/>
              <w:rPr>
                <w:rFonts w:hint="eastAsia" w:ascii="宋体" w:hAnsi="宋体" w:cs="宋体"/>
                <w:color w:val="auto"/>
                <w:sz w:val="18"/>
                <w:szCs w:val="18"/>
                <w:highlight w:val="none"/>
              </w:rPr>
            </w:pPr>
          </w:p>
        </w:tc>
        <w:tc>
          <w:tcPr>
            <w:tcW w:w="719" w:type="dxa"/>
            <w:vMerge w:val="continue"/>
            <w:vAlign w:val="center"/>
          </w:tcPr>
          <w:p w14:paraId="32E775AB">
            <w:pPr>
              <w:widowControl/>
              <w:snapToGrid w:val="0"/>
              <w:jc w:val="left"/>
              <w:rPr>
                <w:rFonts w:hint="eastAsia" w:ascii="宋体" w:hAnsi="宋体" w:cs="宋体"/>
                <w:color w:val="auto"/>
                <w:sz w:val="18"/>
                <w:szCs w:val="18"/>
                <w:highlight w:val="none"/>
              </w:rPr>
            </w:pPr>
          </w:p>
        </w:tc>
        <w:tc>
          <w:tcPr>
            <w:tcW w:w="1002" w:type="dxa"/>
            <w:vAlign w:val="center"/>
          </w:tcPr>
          <w:p w14:paraId="2E6A758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问题处理及整改</w:t>
            </w:r>
          </w:p>
        </w:tc>
        <w:tc>
          <w:tcPr>
            <w:tcW w:w="5812" w:type="dxa"/>
            <w:vAlign w:val="center"/>
          </w:tcPr>
          <w:p w14:paraId="11579F95">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1、上季度考核后的扣分点未及时整改的，每发现一处扣2分。</w:t>
            </w:r>
          </w:p>
          <w:p w14:paraId="6241F62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2、运行中出现的故障因未及时处置造成事故的每发现一处扣2分，未及时报告水情、工情及运行中问题处理情况的，每发现一处扣1分。</w:t>
            </w:r>
          </w:p>
        </w:tc>
        <w:tc>
          <w:tcPr>
            <w:tcW w:w="655" w:type="dxa"/>
            <w:vAlign w:val="center"/>
          </w:tcPr>
          <w:p w14:paraId="694C5CBA">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5</w:t>
            </w:r>
          </w:p>
        </w:tc>
        <w:tc>
          <w:tcPr>
            <w:tcW w:w="480" w:type="dxa"/>
            <w:vAlign w:val="center"/>
          </w:tcPr>
          <w:p w14:paraId="2D03D2F5">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46B2CA5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62A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27" w:type="dxa"/>
            <w:vMerge w:val="continue"/>
            <w:vAlign w:val="center"/>
          </w:tcPr>
          <w:p w14:paraId="107BAF50">
            <w:pPr>
              <w:widowControl/>
              <w:snapToGrid w:val="0"/>
              <w:jc w:val="left"/>
              <w:rPr>
                <w:rFonts w:hint="eastAsia" w:ascii="宋体" w:hAnsi="宋体" w:cs="宋体"/>
                <w:color w:val="auto"/>
                <w:sz w:val="18"/>
                <w:szCs w:val="18"/>
                <w:highlight w:val="none"/>
              </w:rPr>
            </w:pPr>
          </w:p>
        </w:tc>
        <w:tc>
          <w:tcPr>
            <w:tcW w:w="719" w:type="dxa"/>
            <w:vMerge w:val="continue"/>
            <w:vAlign w:val="center"/>
          </w:tcPr>
          <w:p w14:paraId="2C1FA171">
            <w:pPr>
              <w:widowControl/>
              <w:snapToGrid w:val="0"/>
              <w:jc w:val="left"/>
              <w:rPr>
                <w:rFonts w:hint="eastAsia" w:ascii="宋体" w:hAnsi="宋体" w:cs="宋体"/>
                <w:color w:val="auto"/>
                <w:sz w:val="18"/>
                <w:szCs w:val="18"/>
                <w:highlight w:val="none"/>
              </w:rPr>
            </w:pPr>
          </w:p>
        </w:tc>
        <w:tc>
          <w:tcPr>
            <w:tcW w:w="1002" w:type="dxa"/>
            <w:vAlign w:val="center"/>
          </w:tcPr>
          <w:p w14:paraId="0DF71EE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月度、   季度运行  总结</w:t>
            </w:r>
          </w:p>
        </w:tc>
        <w:tc>
          <w:tcPr>
            <w:tcW w:w="5812" w:type="dxa"/>
            <w:vAlign w:val="center"/>
          </w:tcPr>
          <w:p w14:paraId="0EAFFD49">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1、每月</w:t>
            </w:r>
            <w:r>
              <w:rPr>
                <w:rFonts w:hint="eastAsia" w:ascii="宋体" w:hAnsi="宋体" w:cs="宋体"/>
                <w:color w:val="auto"/>
                <w:sz w:val="18"/>
                <w:szCs w:val="18"/>
                <w:highlight w:val="none"/>
                <w:lang w:val="en-US" w:eastAsia="zh-CN"/>
              </w:rPr>
              <w:t>5</w:t>
            </w:r>
            <w:r>
              <w:rPr>
                <w:rFonts w:hint="eastAsia" w:ascii="宋体" w:hAnsi="宋体" w:cs="宋体"/>
                <w:color w:val="auto"/>
                <w:sz w:val="18"/>
                <w:szCs w:val="18"/>
                <w:highlight w:val="none"/>
              </w:rPr>
              <w:t xml:space="preserve">号前向管理处提交运行工作总结，不提交月度总结的扣2分，不按时提交扣1分。                                                              </w:t>
            </w:r>
          </w:p>
          <w:p w14:paraId="08AAB197">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2、每季提交考核自评材料。不提交季度总结的扣2分，因不按时提交影响季度考评的扣1分。</w:t>
            </w:r>
          </w:p>
        </w:tc>
        <w:tc>
          <w:tcPr>
            <w:tcW w:w="655" w:type="dxa"/>
            <w:vAlign w:val="center"/>
          </w:tcPr>
          <w:p w14:paraId="7A6F5C86">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480" w:type="dxa"/>
            <w:vAlign w:val="center"/>
          </w:tcPr>
          <w:p w14:paraId="54DCBE20">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445933F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45CA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427" w:type="dxa"/>
            <w:vMerge w:val="restart"/>
            <w:vAlign w:val="center"/>
          </w:tcPr>
          <w:p w14:paraId="446F50A4">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五</w:t>
            </w:r>
          </w:p>
        </w:tc>
        <w:tc>
          <w:tcPr>
            <w:tcW w:w="719" w:type="dxa"/>
            <w:vMerge w:val="restart"/>
            <w:vAlign w:val="center"/>
          </w:tcPr>
          <w:p w14:paraId="2D0F44D8">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设备日常维护   (30分)</w:t>
            </w:r>
          </w:p>
        </w:tc>
        <w:tc>
          <w:tcPr>
            <w:tcW w:w="1002" w:type="dxa"/>
            <w:vAlign w:val="center"/>
          </w:tcPr>
          <w:p w14:paraId="67B1CA5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设备机房日常巡查</w:t>
            </w:r>
          </w:p>
        </w:tc>
        <w:tc>
          <w:tcPr>
            <w:tcW w:w="5812" w:type="dxa"/>
            <w:vAlign w:val="center"/>
          </w:tcPr>
          <w:p w14:paraId="5BC3E55C">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1、无巡查台账，本项不得分。</w:t>
            </w:r>
          </w:p>
          <w:p w14:paraId="7CC9FD8C">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2、检查频次未达到要求的，每发现一次扣2分。</w:t>
            </w:r>
          </w:p>
          <w:p w14:paraId="60EA332B">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3、检查内容或记录不齐全的，每发现一处扣1分；应当记录的问题未记录的，每发现一处扣1分；检查负责人未及时核实相关问题的，每发现一处扣1分；检查人员未签名或代签名的，每发现一处扣1分。</w:t>
            </w:r>
          </w:p>
          <w:p w14:paraId="3F9D11A5">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4、发现缺陷、异常未及时报告的，每发现一处扣2分。</w:t>
            </w:r>
          </w:p>
          <w:p w14:paraId="5ADA7A16">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5、安全用具、劳保用品不齐全、摆放混乱扣1分。</w:t>
            </w:r>
          </w:p>
        </w:tc>
        <w:tc>
          <w:tcPr>
            <w:tcW w:w="655" w:type="dxa"/>
            <w:vAlign w:val="center"/>
          </w:tcPr>
          <w:p w14:paraId="1D22E718">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8</w:t>
            </w:r>
          </w:p>
        </w:tc>
        <w:tc>
          <w:tcPr>
            <w:tcW w:w="480" w:type="dxa"/>
            <w:vAlign w:val="center"/>
          </w:tcPr>
          <w:p w14:paraId="10E5CFCD">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721770BA">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2113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427" w:type="dxa"/>
            <w:vMerge w:val="continue"/>
            <w:vAlign w:val="center"/>
          </w:tcPr>
          <w:p w14:paraId="04027485">
            <w:pPr>
              <w:widowControl/>
              <w:snapToGrid w:val="0"/>
              <w:jc w:val="left"/>
              <w:rPr>
                <w:rFonts w:hint="eastAsia" w:ascii="宋体" w:hAnsi="宋体" w:cs="宋体"/>
                <w:color w:val="auto"/>
                <w:sz w:val="18"/>
                <w:szCs w:val="18"/>
                <w:highlight w:val="none"/>
              </w:rPr>
            </w:pPr>
          </w:p>
        </w:tc>
        <w:tc>
          <w:tcPr>
            <w:tcW w:w="719" w:type="dxa"/>
            <w:vMerge w:val="continue"/>
            <w:vAlign w:val="center"/>
          </w:tcPr>
          <w:p w14:paraId="6FD3E871">
            <w:pPr>
              <w:widowControl/>
              <w:snapToGrid w:val="0"/>
              <w:jc w:val="left"/>
              <w:rPr>
                <w:rFonts w:hint="eastAsia" w:ascii="宋体" w:hAnsi="宋体" w:cs="宋体"/>
                <w:color w:val="auto"/>
                <w:sz w:val="18"/>
                <w:szCs w:val="18"/>
                <w:highlight w:val="none"/>
              </w:rPr>
            </w:pPr>
          </w:p>
        </w:tc>
        <w:tc>
          <w:tcPr>
            <w:tcW w:w="1002" w:type="dxa"/>
            <w:vAlign w:val="center"/>
          </w:tcPr>
          <w:p w14:paraId="58E6F6C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设备日常维护</w:t>
            </w:r>
          </w:p>
        </w:tc>
        <w:tc>
          <w:tcPr>
            <w:tcW w:w="5812" w:type="dxa"/>
            <w:vAlign w:val="center"/>
          </w:tcPr>
          <w:p w14:paraId="658A082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1、未开展定期检修、检测的，每发现一次扣2分；无书面检修检测记录、报告的，每发现一处扣1分；检测结论不明确的，每发现一处扣1分。</w:t>
            </w:r>
          </w:p>
          <w:p w14:paraId="571FB30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2、未及时开展设备保养工作的，扣2分；无保养记录、报告的，每发现一处扣1分。</w:t>
            </w:r>
          </w:p>
          <w:p w14:paraId="23536F88">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3、机电设备、金属结构、电气设备及备用电源：存在一般缺陷没有处理措施的，每发现一处扣1分；存在较大缺陷没有处理措施的，每发现一处扣2分。</w:t>
            </w:r>
          </w:p>
          <w:p w14:paraId="2557AC40">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4、辅助、配套设施：存在一般缺陷没有处理措施的，每发现一处扣1分。存在较大缺陷没有处理措施的，每发现一处扣2分。                           </w:t>
            </w:r>
          </w:p>
          <w:p w14:paraId="53E6864F">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5、做好巡查船、检修登高车、</w:t>
            </w:r>
            <w:r>
              <w:rPr>
                <w:rFonts w:hint="eastAsia" w:ascii="宋体" w:hAnsi="宋体" w:cs="宋体"/>
                <w:color w:val="auto"/>
                <w:sz w:val="18"/>
                <w:szCs w:val="18"/>
                <w:highlight w:val="none"/>
                <w:lang w:val="en-US" w:eastAsia="zh-CN"/>
              </w:rPr>
              <w:t>巡查车</w:t>
            </w:r>
            <w:r>
              <w:rPr>
                <w:rFonts w:hint="eastAsia" w:ascii="宋体" w:hAnsi="宋体" w:cs="宋体"/>
                <w:color w:val="auto"/>
                <w:sz w:val="18"/>
                <w:szCs w:val="18"/>
                <w:highlight w:val="none"/>
              </w:rPr>
              <w:t>电池的充放电工作，每月不少于1次。发现未按规定保养每发现一次扣1分。</w:t>
            </w:r>
          </w:p>
        </w:tc>
        <w:tc>
          <w:tcPr>
            <w:tcW w:w="655" w:type="dxa"/>
            <w:vAlign w:val="center"/>
          </w:tcPr>
          <w:p w14:paraId="7F29459E">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10</w:t>
            </w:r>
          </w:p>
        </w:tc>
        <w:tc>
          <w:tcPr>
            <w:tcW w:w="480" w:type="dxa"/>
            <w:vAlign w:val="center"/>
          </w:tcPr>
          <w:p w14:paraId="57ABE16B">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47A4505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2981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27" w:type="dxa"/>
            <w:vMerge w:val="continue"/>
            <w:vAlign w:val="center"/>
          </w:tcPr>
          <w:p w14:paraId="58C4852F">
            <w:pPr>
              <w:widowControl/>
              <w:snapToGrid w:val="0"/>
              <w:jc w:val="left"/>
              <w:rPr>
                <w:rFonts w:hint="eastAsia" w:ascii="宋体" w:hAnsi="宋体" w:cs="宋体"/>
                <w:color w:val="auto"/>
                <w:sz w:val="18"/>
                <w:szCs w:val="18"/>
                <w:highlight w:val="none"/>
              </w:rPr>
            </w:pPr>
          </w:p>
        </w:tc>
        <w:tc>
          <w:tcPr>
            <w:tcW w:w="719" w:type="dxa"/>
            <w:vMerge w:val="continue"/>
            <w:vAlign w:val="center"/>
          </w:tcPr>
          <w:p w14:paraId="55BEC680">
            <w:pPr>
              <w:widowControl/>
              <w:snapToGrid w:val="0"/>
              <w:jc w:val="left"/>
              <w:rPr>
                <w:rFonts w:hint="eastAsia" w:ascii="宋体" w:hAnsi="宋体" w:cs="宋体"/>
                <w:color w:val="auto"/>
                <w:sz w:val="18"/>
                <w:szCs w:val="18"/>
                <w:highlight w:val="none"/>
              </w:rPr>
            </w:pPr>
          </w:p>
        </w:tc>
        <w:tc>
          <w:tcPr>
            <w:tcW w:w="1002" w:type="dxa"/>
            <w:vAlign w:val="center"/>
          </w:tcPr>
          <w:p w14:paraId="2F80710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工程日常巡查</w:t>
            </w:r>
          </w:p>
        </w:tc>
        <w:tc>
          <w:tcPr>
            <w:tcW w:w="5812" w:type="dxa"/>
            <w:vAlign w:val="center"/>
          </w:tcPr>
          <w:p w14:paraId="3CFEEA09">
            <w:pPr>
              <w:widowControl/>
              <w:numPr>
                <w:ilvl w:val="0"/>
                <w:numId w:val="8"/>
              </w:numPr>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每</w:t>
            </w:r>
            <w:r>
              <w:rPr>
                <w:rFonts w:hint="eastAsia" w:ascii="宋体" w:hAnsi="宋体" w:cs="宋体"/>
                <w:color w:val="auto"/>
                <w:sz w:val="18"/>
                <w:szCs w:val="18"/>
                <w:highlight w:val="none"/>
                <w:lang w:val="en-US" w:eastAsia="zh-CN"/>
              </w:rPr>
              <w:t>天</w:t>
            </w:r>
            <w:r>
              <w:rPr>
                <w:rFonts w:hint="eastAsia" w:ascii="宋体" w:hAnsi="宋体" w:cs="宋体"/>
                <w:color w:val="auto"/>
                <w:sz w:val="18"/>
                <w:szCs w:val="18"/>
                <w:highlight w:val="none"/>
              </w:rPr>
              <w:t>对35KV、10KV电缆线路巡查不得少于一次，并做好记录，未及时巡查每发现一次扣1分；电缆井盖丢失、电缆破损等影响安全的，未及时处理汇报每发现一次扣1分。</w:t>
            </w:r>
          </w:p>
          <w:p w14:paraId="7C7330C6">
            <w:pPr>
              <w:widowControl/>
              <w:numPr>
                <w:ilvl w:val="0"/>
                <w:numId w:val="8"/>
              </w:numPr>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运行期对泵站、进出水池、排水闸水工建筑进行巡查，并做好记录，未及时巡查每发现一次扣1分；发现隐患未及时汇报的每发现一次扣1分。       </w:t>
            </w:r>
          </w:p>
        </w:tc>
        <w:tc>
          <w:tcPr>
            <w:tcW w:w="655" w:type="dxa"/>
            <w:vAlign w:val="center"/>
          </w:tcPr>
          <w:p w14:paraId="0A14E9AD">
            <w:pPr>
              <w:widowControl/>
              <w:snapToGrid w:val="0"/>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rPr>
              <w:t>4</w:t>
            </w:r>
          </w:p>
        </w:tc>
        <w:tc>
          <w:tcPr>
            <w:tcW w:w="480" w:type="dxa"/>
            <w:vAlign w:val="center"/>
          </w:tcPr>
          <w:p w14:paraId="6ACE02FE">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1483C58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000D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27" w:type="dxa"/>
            <w:vMerge w:val="continue"/>
            <w:vAlign w:val="center"/>
          </w:tcPr>
          <w:p w14:paraId="27304E5F">
            <w:pPr>
              <w:widowControl/>
              <w:snapToGrid w:val="0"/>
              <w:jc w:val="left"/>
              <w:rPr>
                <w:rFonts w:hint="eastAsia" w:ascii="宋体" w:hAnsi="宋体" w:cs="宋体"/>
                <w:color w:val="auto"/>
                <w:sz w:val="18"/>
                <w:szCs w:val="18"/>
                <w:highlight w:val="none"/>
              </w:rPr>
            </w:pPr>
          </w:p>
        </w:tc>
        <w:tc>
          <w:tcPr>
            <w:tcW w:w="719" w:type="dxa"/>
            <w:vMerge w:val="continue"/>
            <w:vAlign w:val="center"/>
          </w:tcPr>
          <w:p w14:paraId="5B5A4FD5">
            <w:pPr>
              <w:widowControl/>
              <w:snapToGrid w:val="0"/>
              <w:jc w:val="left"/>
              <w:rPr>
                <w:rFonts w:hint="eastAsia" w:ascii="宋体" w:hAnsi="宋体" w:cs="宋体"/>
                <w:color w:val="auto"/>
                <w:sz w:val="18"/>
                <w:szCs w:val="18"/>
                <w:highlight w:val="none"/>
              </w:rPr>
            </w:pPr>
          </w:p>
        </w:tc>
        <w:tc>
          <w:tcPr>
            <w:tcW w:w="1002" w:type="dxa"/>
            <w:vAlign w:val="center"/>
          </w:tcPr>
          <w:p w14:paraId="5C787410">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自动化、信息化系统、应急设备日常维护</w:t>
            </w:r>
          </w:p>
        </w:tc>
        <w:tc>
          <w:tcPr>
            <w:tcW w:w="5812" w:type="dxa"/>
            <w:vAlign w:val="center"/>
          </w:tcPr>
          <w:p w14:paraId="11242D55">
            <w:pPr>
              <w:widowControl/>
              <w:snapToGrid w:val="0"/>
              <w:jc w:val="left"/>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r>
              <w:rPr>
                <w:rFonts w:hint="eastAsia" w:ascii="宋体" w:hAnsi="宋体" w:cs="宋体"/>
                <w:color w:val="auto"/>
                <w:sz w:val="18"/>
                <w:szCs w:val="18"/>
                <w:highlight w:val="none"/>
              </w:rPr>
              <w:t>计算机监控系统、信息化平台、水文监测系统、视频监控系统按照软件系统运维要求进行软件平台检查，形成运维记录</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有缺陷</w:t>
            </w:r>
            <w:r>
              <w:rPr>
                <w:rFonts w:hint="eastAsia" w:ascii="宋体" w:hAnsi="宋体" w:cs="宋体"/>
                <w:color w:val="auto"/>
                <w:sz w:val="18"/>
                <w:szCs w:val="18"/>
                <w:highlight w:val="none"/>
                <w:lang w:val="en-US" w:eastAsia="zh-CN"/>
              </w:rPr>
              <w:t>或错误</w:t>
            </w:r>
            <w:r>
              <w:rPr>
                <w:rFonts w:hint="eastAsia" w:ascii="宋体" w:hAnsi="宋体" w:cs="宋体"/>
                <w:color w:val="auto"/>
                <w:sz w:val="18"/>
                <w:szCs w:val="18"/>
                <w:highlight w:val="none"/>
              </w:rPr>
              <w:t>不及时报告的，每发现一次扣1分</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未能及时维护造成系统不可用的，每发生一次扣2分</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2、</w:t>
            </w:r>
            <w:r>
              <w:rPr>
                <w:rFonts w:hint="eastAsia" w:ascii="宋体" w:hAnsi="宋体" w:eastAsia="宋体" w:cs="宋体"/>
                <w:color w:val="auto"/>
                <w:sz w:val="18"/>
                <w:szCs w:val="18"/>
                <w:highlight w:val="none"/>
              </w:rPr>
              <w:t>非汛期故障排除时间12-36小时，汛期故障排除时间2-8小时</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故障处理超时未修复，扣罚</w:t>
            </w:r>
            <w:r>
              <w:rPr>
                <w:rFonts w:hint="eastAsia" w:ascii="宋体" w:hAnsi="宋体" w:eastAsia="宋体" w:cs="宋体"/>
                <w:color w:val="auto"/>
                <w:sz w:val="18"/>
                <w:szCs w:val="18"/>
                <w:highlight w:val="none"/>
                <w:lang w:eastAsia="zh-CN"/>
              </w:rPr>
              <w:t>2</w:t>
            </w:r>
            <w:r>
              <w:rPr>
                <w:rFonts w:hint="eastAsia" w:ascii="宋体" w:hAnsi="宋体" w:cs="宋体"/>
                <w:color w:val="auto"/>
                <w:sz w:val="18"/>
                <w:szCs w:val="18"/>
                <w:highlight w:val="none"/>
              </w:rPr>
              <w:t>分</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rPr>
              <w:t>系统平台各业务功能可用率达到99.9%，每个业务功能全年累计中断不超过525分钟</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超出的部分每超出10分钟，扣罚0.</w:t>
            </w:r>
            <w:r>
              <w:rPr>
                <w:rFonts w:hint="eastAsia" w:ascii="宋体" w:hAnsi="宋体" w:cs="宋体"/>
                <w:color w:val="auto"/>
                <w:sz w:val="18"/>
                <w:szCs w:val="18"/>
                <w:highlight w:val="none"/>
                <w:lang w:eastAsia="zh-CN"/>
              </w:rPr>
              <w:t>1</w:t>
            </w:r>
            <w:r>
              <w:rPr>
                <w:rFonts w:hint="eastAsia" w:ascii="宋体" w:hAnsi="宋体" w:cs="宋体"/>
                <w:color w:val="auto"/>
                <w:sz w:val="18"/>
                <w:szCs w:val="18"/>
                <w:highlight w:val="none"/>
              </w:rPr>
              <w:t>分</w:t>
            </w:r>
            <w:r>
              <w:rPr>
                <w:rFonts w:hint="eastAsia" w:ascii="宋体" w:hAnsi="宋体" w:eastAsia="宋体" w:cs="宋体"/>
                <w:color w:val="auto"/>
                <w:sz w:val="18"/>
                <w:szCs w:val="18"/>
                <w:highlight w:val="none"/>
              </w:rPr>
              <w:t>。</w:t>
            </w:r>
            <w:r>
              <w:rPr>
                <w:rFonts w:hint="eastAsia" w:ascii="宋体" w:hAnsi="宋体" w:cs="宋体"/>
                <w:color w:val="auto"/>
                <w:sz w:val="18"/>
                <w:szCs w:val="18"/>
                <w:highlight w:val="none"/>
                <w:lang w:val="en-US" w:eastAsia="zh-CN"/>
              </w:rPr>
              <w:t>4.</w:t>
            </w:r>
            <w:r>
              <w:rPr>
                <w:rFonts w:hint="eastAsia" w:ascii="宋体" w:hAnsi="宋体" w:cs="宋体"/>
                <w:color w:val="auto"/>
                <w:sz w:val="18"/>
                <w:szCs w:val="18"/>
                <w:highlight w:val="none"/>
              </w:rPr>
              <w:t>应急照明系统按规定进行切换试验，未切换并记录的，每发现一次扣1分。</w:t>
            </w:r>
          </w:p>
        </w:tc>
        <w:tc>
          <w:tcPr>
            <w:tcW w:w="655" w:type="dxa"/>
            <w:vAlign w:val="center"/>
          </w:tcPr>
          <w:p w14:paraId="2DEAFA8F">
            <w:pPr>
              <w:widowControl/>
              <w:snapToGrid w:val="0"/>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rPr>
              <w:t>8</w:t>
            </w:r>
          </w:p>
        </w:tc>
        <w:tc>
          <w:tcPr>
            <w:tcW w:w="480" w:type="dxa"/>
            <w:vAlign w:val="center"/>
          </w:tcPr>
          <w:p w14:paraId="627CC03C">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5D8F070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7E0D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427" w:type="dxa"/>
            <w:vMerge w:val="restart"/>
            <w:vAlign w:val="center"/>
          </w:tcPr>
          <w:p w14:paraId="7E486A6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六</w:t>
            </w:r>
          </w:p>
        </w:tc>
        <w:tc>
          <w:tcPr>
            <w:tcW w:w="719" w:type="dxa"/>
            <w:vMerge w:val="restart"/>
            <w:vAlign w:val="center"/>
          </w:tcPr>
          <w:p w14:paraId="1A316C7A">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安全与文明 (12分)</w:t>
            </w:r>
          </w:p>
        </w:tc>
        <w:tc>
          <w:tcPr>
            <w:tcW w:w="1002" w:type="dxa"/>
            <w:vAlign w:val="center"/>
          </w:tcPr>
          <w:p w14:paraId="055D127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安全运行</w:t>
            </w:r>
          </w:p>
        </w:tc>
        <w:tc>
          <w:tcPr>
            <w:tcW w:w="5812" w:type="dxa"/>
            <w:vAlign w:val="center"/>
          </w:tcPr>
          <w:p w14:paraId="46044C5B">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1、如发生非等级安全生产事故或轻微设备事故，扣2分。                          2、每季对在岗人员进行安全教育和培训，没有安全教育培训档案扣0.5分。</w:t>
            </w:r>
          </w:p>
          <w:p w14:paraId="6E407815">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3、发现异常或险情未及时采取措施的，每发现一次扣1分。</w:t>
            </w:r>
          </w:p>
          <w:p w14:paraId="01565FC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4、未按规定储备必要的安全设施的，每发现一次扣0.5分；安全生产管理经费投入不少于</w:t>
            </w:r>
            <w:r>
              <w:rPr>
                <w:rFonts w:hint="eastAsia" w:ascii="宋体" w:hAnsi="宋体" w:cs="宋体"/>
                <w:color w:val="auto"/>
                <w:sz w:val="18"/>
                <w:szCs w:val="18"/>
                <w:highlight w:val="none"/>
                <w:lang w:val="en-US" w:eastAsia="zh-CN"/>
              </w:rPr>
              <w:t>泵站运行维护</w:t>
            </w:r>
            <w:r>
              <w:rPr>
                <w:rFonts w:hint="eastAsia" w:ascii="宋体" w:hAnsi="宋体" w:cs="宋体"/>
                <w:color w:val="auto"/>
                <w:sz w:val="18"/>
                <w:szCs w:val="18"/>
                <w:highlight w:val="none"/>
              </w:rPr>
              <w:t>费用的</w:t>
            </w:r>
            <w:r>
              <w:rPr>
                <w:rFonts w:hint="eastAsia" w:ascii="宋体" w:hAnsi="宋体" w:cs="宋体"/>
                <w:color w:val="auto"/>
                <w:sz w:val="18"/>
                <w:szCs w:val="18"/>
                <w:highlight w:val="none"/>
                <w:lang w:val="en-US" w:eastAsia="zh-CN"/>
              </w:rPr>
              <w:t>1</w:t>
            </w:r>
            <w:r>
              <w:rPr>
                <w:rFonts w:hint="eastAsia" w:ascii="宋体" w:hAnsi="宋体" w:cs="宋体"/>
                <w:color w:val="auto"/>
                <w:sz w:val="18"/>
                <w:szCs w:val="18"/>
                <w:highlight w:val="none"/>
              </w:rPr>
              <w:t xml:space="preserve">%，投入不足扣1分。          </w:t>
            </w:r>
          </w:p>
          <w:p w14:paraId="7D2B0A70">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5、本项目投入人员必须投企业职工工伤保险，每发现一人次未投保的扣0.5分。</w:t>
            </w:r>
          </w:p>
        </w:tc>
        <w:tc>
          <w:tcPr>
            <w:tcW w:w="655" w:type="dxa"/>
            <w:vAlign w:val="center"/>
          </w:tcPr>
          <w:p w14:paraId="28F73EA9">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8</w:t>
            </w:r>
          </w:p>
        </w:tc>
        <w:tc>
          <w:tcPr>
            <w:tcW w:w="480" w:type="dxa"/>
            <w:vAlign w:val="center"/>
          </w:tcPr>
          <w:p w14:paraId="4E72757D">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715EA473">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1B67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427" w:type="dxa"/>
            <w:vMerge w:val="continue"/>
            <w:vAlign w:val="center"/>
          </w:tcPr>
          <w:p w14:paraId="30C57B15">
            <w:pPr>
              <w:widowControl/>
              <w:snapToGrid w:val="0"/>
              <w:jc w:val="left"/>
              <w:rPr>
                <w:rFonts w:hint="eastAsia" w:ascii="宋体" w:hAnsi="宋体" w:cs="宋体"/>
                <w:color w:val="auto"/>
                <w:sz w:val="18"/>
                <w:szCs w:val="18"/>
                <w:highlight w:val="none"/>
              </w:rPr>
            </w:pPr>
          </w:p>
        </w:tc>
        <w:tc>
          <w:tcPr>
            <w:tcW w:w="719" w:type="dxa"/>
            <w:vMerge w:val="continue"/>
            <w:vAlign w:val="center"/>
          </w:tcPr>
          <w:p w14:paraId="589645F1">
            <w:pPr>
              <w:widowControl/>
              <w:snapToGrid w:val="0"/>
              <w:jc w:val="left"/>
              <w:rPr>
                <w:rFonts w:hint="eastAsia" w:ascii="宋体" w:hAnsi="宋体" w:cs="宋体"/>
                <w:color w:val="auto"/>
                <w:sz w:val="18"/>
                <w:szCs w:val="18"/>
                <w:highlight w:val="none"/>
              </w:rPr>
            </w:pPr>
          </w:p>
        </w:tc>
        <w:tc>
          <w:tcPr>
            <w:tcW w:w="1002" w:type="dxa"/>
            <w:vAlign w:val="center"/>
          </w:tcPr>
          <w:p w14:paraId="6C9AE3C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站容站貌</w:t>
            </w:r>
          </w:p>
        </w:tc>
        <w:tc>
          <w:tcPr>
            <w:tcW w:w="5812" w:type="dxa"/>
            <w:vAlign w:val="center"/>
          </w:tcPr>
          <w:p w14:paraId="69DEB050">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1、值班期间有不统一着装情况每次扣0.5分，发现有穿短裤、背心、拖鞋、高跟鞋上班的，每发现一例扣0.5分。</w:t>
            </w:r>
          </w:p>
          <w:p w14:paraId="60E65E04">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2、值班期间有脱岗、睡觉、打游戏等情况，每发现一次扣1分。</w:t>
            </w:r>
          </w:p>
          <w:p w14:paraId="4BE13DB8">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3、中控室内有臭味、异味每查到一次扣0.5分。</w:t>
            </w:r>
          </w:p>
          <w:p w14:paraId="4BED239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4、管理区域内地面有烟头、纸屑、污渍等每发现一处扣1分。</w:t>
            </w:r>
          </w:p>
          <w:p w14:paraId="138AED55">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5、中控室内工具、安全帽、巡查仪器等摆放杂乱每发现一次扣0.5分。                    </w:t>
            </w:r>
          </w:p>
          <w:p w14:paraId="478233E2">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6、做好已设置的标识标牌的保护和维护，在运行管理中标识标牌破损掉落未及时维护的，每发现一次扣0.5分。                                                   </w:t>
            </w:r>
          </w:p>
        </w:tc>
        <w:tc>
          <w:tcPr>
            <w:tcW w:w="655" w:type="dxa"/>
            <w:vAlign w:val="center"/>
          </w:tcPr>
          <w:p w14:paraId="6CBD580A">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480" w:type="dxa"/>
            <w:vAlign w:val="center"/>
          </w:tcPr>
          <w:p w14:paraId="57FBAA72">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center"/>
          </w:tcPr>
          <w:p w14:paraId="363AD1F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6662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7" w:type="dxa"/>
            <w:vAlign w:val="center"/>
          </w:tcPr>
          <w:p w14:paraId="7FCFFD7D">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七</w:t>
            </w:r>
          </w:p>
        </w:tc>
        <w:tc>
          <w:tcPr>
            <w:tcW w:w="719" w:type="dxa"/>
            <w:vAlign w:val="center"/>
          </w:tcPr>
          <w:p w14:paraId="5950AA46">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室外环境养护(8分)</w:t>
            </w:r>
          </w:p>
        </w:tc>
        <w:tc>
          <w:tcPr>
            <w:tcW w:w="1002" w:type="dxa"/>
            <w:vAlign w:val="center"/>
          </w:tcPr>
          <w:p w14:paraId="55421EEF">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专业维护、</w:t>
            </w:r>
          </w:p>
          <w:p w14:paraId="6965F91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质量、</w:t>
            </w:r>
          </w:p>
          <w:p w14:paraId="0B1A3E0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器具</w:t>
            </w:r>
          </w:p>
        </w:tc>
        <w:tc>
          <w:tcPr>
            <w:tcW w:w="5812" w:type="dxa"/>
            <w:vAlign w:val="center"/>
          </w:tcPr>
          <w:p w14:paraId="137C65D9">
            <w:pPr>
              <w:widowControl/>
              <w:snapToGrid w:val="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r>
              <w:rPr>
                <w:rFonts w:hint="eastAsia" w:ascii="宋体" w:hAnsi="宋体" w:cs="宋体"/>
                <w:color w:val="auto"/>
                <w:sz w:val="18"/>
                <w:szCs w:val="18"/>
                <w:highlight w:val="none"/>
              </w:rPr>
              <w:t>对照《杭州市城区绿地养护质量标准》一级公共绿地要求和管理中心养护要求，投入人员少1人次扣1分，设备、器具配置不能满足养护需要少一类型扣1分，药品投入不足，而发生病虫害每发生一次扣2分。</w:t>
            </w:r>
            <w:r>
              <w:rPr>
                <w:rFonts w:hint="eastAsia" w:ascii="宋体" w:hAnsi="宋体" w:eastAsia="宋体" w:cs="宋体"/>
                <w:color w:val="auto"/>
                <w:sz w:val="18"/>
                <w:szCs w:val="18"/>
                <w:highlight w:val="none"/>
                <w:lang w:val="en-US" w:eastAsia="zh-CN"/>
              </w:rPr>
              <w:t>2.</w:t>
            </w:r>
            <w:r>
              <w:rPr>
                <w:rFonts w:hint="eastAsia" w:ascii="宋体" w:hAnsi="宋体" w:cs="宋体"/>
                <w:color w:val="auto"/>
                <w:sz w:val="18"/>
                <w:szCs w:val="18"/>
                <w:highlight w:val="none"/>
              </w:rPr>
              <w:t>编制详细养护计划，每月</w:t>
            </w:r>
            <w:r>
              <w:rPr>
                <w:rFonts w:hint="eastAsia" w:ascii="宋体" w:hAnsi="宋体" w:cs="宋体"/>
                <w:color w:val="auto"/>
                <w:sz w:val="18"/>
                <w:szCs w:val="18"/>
                <w:highlight w:val="none"/>
                <w:lang w:val="en-US" w:eastAsia="zh-CN"/>
              </w:rPr>
              <w:t>16</w:t>
            </w:r>
            <w:r>
              <w:rPr>
                <w:rFonts w:hint="eastAsia" w:ascii="宋体" w:hAnsi="宋体" w:cs="宋体"/>
                <w:color w:val="auto"/>
                <w:sz w:val="18"/>
                <w:szCs w:val="18"/>
                <w:highlight w:val="none"/>
              </w:rPr>
              <w:t>日前上报，做好工作情况记录，每</w:t>
            </w:r>
            <w:r>
              <w:rPr>
                <w:rFonts w:hint="eastAsia" w:ascii="宋体" w:hAnsi="宋体" w:cs="宋体"/>
                <w:color w:val="auto"/>
                <w:sz w:val="18"/>
                <w:szCs w:val="18"/>
                <w:highlight w:val="none"/>
                <w:lang w:val="en-US" w:eastAsia="zh-CN"/>
              </w:rPr>
              <w:t>季度考核</w:t>
            </w:r>
            <w:r>
              <w:rPr>
                <w:rFonts w:hint="eastAsia" w:ascii="宋体" w:hAnsi="宋体" w:cs="宋体"/>
                <w:color w:val="auto"/>
                <w:sz w:val="18"/>
                <w:szCs w:val="18"/>
                <w:highlight w:val="none"/>
              </w:rPr>
              <w:t>时上交月工作台帐</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延迟每天扣</w:t>
            </w:r>
            <w:r>
              <w:rPr>
                <w:rFonts w:hint="eastAsia" w:ascii="宋体" w:hAnsi="宋体" w:eastAsia="宋体" w:cs="宋体"/>
                <w:color w:val="auto"/>
                <w:sz w:val="18"/>
                <w:szCs w:val="18"/>
                <w:highlight w:val="none"/>
                <w:lang w:eastAsia="zh-CN"/>
              </w:rPr>
              <w:t>1</w:t>
            </w:r>
            <w:r>
              <w:rPr>
                <w:rFonts w:hint="eastAsia" w:ascii="宋体" w:hAnsi="宋体" w:cs="宋体"/>
                <w:color w:val="auto"/>
                <w:sz w:val="18"/>
                <w:szCs w:val="18"/>
                <w:highlight w:val="none"/>
              </w:rPr>
              <w:t>分，养护计划不合理及工作台帐不齐、不规范的酌情扣分</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3.</w:t>
            </w:r>
            <w:r>
              <w:rPr>
                <w:rFonts w:hint="eastAsia" w:ascii="宋体" w:hAnsi="宋体" w:cs="宋体"/>
                <w:color w:val="auto"/>
                <w:sz w:val="18"/>
                <w:szCs w:val="18"/>
                <w:highlight w:val="none"/>
              </w:rPr>
              <w:t>总体室外环境感观差，酌情扣分。</w:t>
            </w:r>
            <w:r>
              <w:rPr>
                <w:rFonts w:hint="eastAsia" w:ascii="宋体" w:hAnsi="宋体" w:eastAsia="宋体" w:cs="宋体"/>
                <w:color w:val="auto"/>
                <w:sz w:val="18"/>
                <w:szCs w:val="18"/>
                <w:highlight w:val="none"/>
                <w:lang w:val="en-US" w:eastAsia="zh-CN"/>
              </w:rPr>
              <w:t>4.外部</w:t>
            </w:r>
            <w:r>
              <w:rPr>
                <w:rFonts w:hint="eastAsia" w:ascii="宋体" w:hAnsi="宋体" w:cs="宋体"/>
                <w:color w:val="auto"/>
                <w:sz w:val="18"/>
                <w:szCs w:val="18"/>
                <w:highlight w:val="none"/>
              </w:rPr>
              <w:t>投诉</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通报</w:t>
            </w:r>
            <w:r>
              <w:rPr>
                <w:rFonts w:hint="eastAsia" w:ascii="宋体" w:hAnsi="宋体" w:cs="宋体"/>
                <w:color w:val="auto"/>
                <w:sz w:val="18"/>
                <w:szCs w:val="18"/>
                <w:highlight w:val="none"/>
              </w:rPr>
              <w:t>每次扣1分</w:t>
            </w:r>
            <w:r>
              <w:rPr>
                <w:rFonts w:hint="eastAsia" w:ascii="宋体" w:hAnsi="宋体" w:eastAsia="宋体" w:cs="宋体"/>
                <w:color w:val="auto"/>
                <w:sz w:val="18"/>
                <w:szCs w:val="18"/>
                <w:highlight w:val="none"/>
                <w:lang w:eastAsia="zh-CN"/>
              </w:rPr>
              <w:t>。</w:t>
            </w:r>
          </w:p>
        </w:tc>
        <w:tc>
          <w:tcPr>
            <w:tcW w:w="655" w:type="dxa"/>
            <w:vAlign w:val="center"/>
          </w:tcPr>
          <w:p w14:paraId="5CE3B751">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8</w:t>
            </w:r>
          </w:p>
        </w:tc>
        <w:tc>
          <w:tcPr>
            <w:tcW w:w="480" w:type="dxa"/>
            <w:vAlign w:val="center"/>
          </w:tcPr>
          <w:p w14:paraId="2EC9DF46">
            <w:pPr>
              <w:widowControl/>
              <w:snapToGrid w:val="0"/>
              <w:jc w:val="center"/>
              <w:rPr>
                <w:rFonts w:hint="eastAsia" w:ascii="宋体" w:hAnsi="宋体" w:cs="宋体"/>
                <w:color w:val="auto"/>
                <w:sz w:val="18"/>
                <w:szCs w:val="18"/>
                <w:highlight w:val="none"/>
              </w:rPr>
            </w:pPr>
          </w:p>
        </w:tc>
        <w:tc>
          <w:tcPr>
            <w:tcW w:w="585" w:type="dxa"/>
            <w:vAlign w:val="center"/>
          </w:tcPr>
          <w:p w14:paraId="789CF8C1">
            <w:pPr>
              <w:widowControl/>
              <w:snapToGrid w:val="0"/>
              <w:jc w:val="center"/>
              <w:rPr>
                <w:rFonts w:hint="eastAsia" w:ascii="宋体" w:hAnsi="宋体" w:cs="宋体"/>
                <w:color w:val="auto"/>
                <w:sz w:val="18"/>
                <w:szCs w:val="18"/>
                <w:highlight w:val="none"/>
              </w:rPr>
            </w:pPr>
          </w:p>
        </w:tc>
      </w:tr>
      <w:tr w14:paraId="3307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427" w:type="dxa"/>
            <w:vAlign w:val="center"/>
          </w:tcPr>
          <w:p w14:paraId="0425258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八</w:t>
            </w:r>
          </w:p>
        </w:tc>
        <w:tc>
          <w:tcPr>
            <w:tcW w:w="719" w:type="dxa"/>
            <w:vAlign w:val="center"/>
          </w:tcPr>
          <w:p w14:paraId="4B517137">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日常监督管理(5分)</w:t>
            </w:r>
          </w:p>
        </w:tc>
        <w:tc>
          <w:tcPr>
            <w:tcW w:w="1002" w:type="dxa"/>
            <w:vAlign w:val="center"/>
          </w:tcPr>
          <w:p w14:paraId="20BC20F0">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运行、维修、养护管理总体情况</w:t>
            </w:r>
          </w:p>
        </w:tc>
        <w:tc>
          <w:tcPr>
            <w:tcW w:w="5812" w:type="dxa"/>
            <w:vAlign w:val="center"/>
          </w:tcPr>
          <w:p w14:paraId="6F3FCFFC">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根据上述考核项目标准，运行科室日常巡查并进行扣分。季度汇总后总体评价“优”得5分，“良”得4分，“一般”得3分，“较差”得0分。</w:t>
            </w:r>
          </w:p>
        </w:tc>
        <w:tc>
          <w:tcPr>
            <w:tcW w:w="655" w:type="dxa"/>
            <w:vAlign w:val="center"/>
          </w:tcPr>
          <w:p w14:paraId="3F10397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5</w:t>
            </w:r>
          </w:p>
        </w:tc>
        <w:tc>
          <w:tcPr>
            <w:tcW w:w="480" w:type="dxa"/>
            <w:vAlign w:val="bottom"/>
          </w:tcPr>
          <w:p w14:paraId="1C22874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c>
          <w:tcPr>
            <w:tcW w:w="585" w:type="dxa"/>
            <w:vAlign w:val="bottom"/>
          </w:tcPr>
          <w:p w14:paraId="02B3136A">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w:t>
            </w:r>
          </w:p>
        </w:tc>
      </w:tr>
      <w:tr w14:paraId="0DC5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427" w:type="dxa"/>
            <w:vAlign w:val="center"/>
          </w:tcPr>
          <w:p w14:paraId="7C6C6BDF">
            <w:pPr>
              <w:widowControl/>
              <w:snapToGrid w:val="0"/>
              <w:jc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九</w:t>
            </w:r>
          </w:p>
        </w:tc>
        <w:tc>
          <w:tcPr>
            <w:tcW w:w="719" w:type="dxa"/>
            <w:vAlign w:val="center"/>
          </w:tcPr>
          <w:p w14:paraId="3277FC1F">
            <w:pPr>
              <w:widowControl/>
              <w:snapToGrid w:val="0"/>
              <w:jc w:val="left"/>
              <w:rPr>
                <w:rFonts w:hint="eastAsia" w:ascii="宋体" w:hAnsi="宋体" w:cs="宋体"/>
                <w:color w:val="auto"/>
                <w:sz w:val="18"/>
                <w:szCs w:val="18"/>
                <w:highlight w:val="none"/>
              </w:rPr>
            </w:pPr>
            <w:r>
              <w:rPr>
                <w:rFonts w:hint="eastAsia" w:ascii="宋体" w:hAnsi="宋体" w:cs="宋体"/>
                <w:color w:val="auto"/>
                <w:kern w:val="2"/>
                <w:sz w:val="18"/>
                <w:szCs w:val="18"/>
                <w:highlight w:val="none"/>
              </w:rPr>
              <w:t>附加分</w:t>
            </w:r>
          </w:p>
        </w:tc>
        <w:tc>
          <w:tcPr>
            <w:tcW w:w="1002" w:type="dxa"/>
            <w:vAlign w:val="center"/>
          </w:tcPr>
          <w:p w14:paraId="1278C6A7">
            <w:pPr>
              <w:widowControl/>
              <w:snapToGrid w:val="0"/>
              <w:jc w:val="center"/>
              <w:rPr>
                <w:rFonts w:hint="eastAsia" w:ascii="宋体" w:hAnsi="宋体" w:cs="宋体"/>
                <w:color w:val="auto"/>
                <w:sz w:val="18"/>
                <w:szCs w:val="18"/>
                <w:highlight w:val="none"/>
              </w:rPr>
            </w:pPr>
            <w:r>
              <w:rPr>
                <w:rFonts w:hint="eastAsia" w:ascii="宋体" w:hAnsi="宋体" w:eastAsia="宋体" w:cs="宋体"/>
                <w:color w:val="auto"/>
                <w:kern w:val="2"/>
                <w:sz w:val="18"/>
                <w:szCs w:val="18"/>
                <w:highlight w:val="none"/>
              </w:rPr>
              <w:t>加减分项</w:t>
            </w:r>
          </w:p>
        </w:tc>
        <w:tc>
          <w:tcPr>
            <w:tcW w:w="5812" w:type="dxa"/>
            <w:vAlign w:val="center"/>
          </w:tcPr>
          <w:p w14:paraId="4D0BBFEF">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1、受到表彰、奖励的（文件为准），每次得2分，受到通报批评的（文件为准），每次扣2分；</w:t>
            </w:r>
          </w:p>
          <w:p w14:paraId="4E6E8A3D">
            <w:pPr>
              <w:widowControl/>
              <w:snapToGrid w:val="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2、受到市级及以上新闻媒体正面报道或群众来信来电表扬经核实的，每次得1分，受到负面报道或举报经核实的，每次扣1分；</w:t>
            </w:r>
          </w:p>
          <w:p w14:paraId="71846218">
            <w:pPr>
              <w:widowControl/>
              <w:snapToGrid w:val="0"/>
              <w:jc w:val="left"/>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rPr>
              <w:t>3、在水利工程运行管理等方面积极探索、科技创新富有成果的（运维单位、管理单位或主管单位名义</w:t>
            </w:r>
            <w:r>
              <w:rPr>
                <w:rFonts w:hint="eastAsia" w:ascii="宋体" w:hAnsi="宋体" w:cs="宋体"/>
                <w:color w:val="auto"/>
                <w:sz w:val="18"/>
                <w:szCs w:val="18"/>
                <w:highlight w:val="none"/>
                <w:lang w:val="en-US" w:eastAsia="zh-CN"/>
              </w:rPr>
              <w:t>开展</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与本工程</w:t>
            </w:r>
            <w:r>
              <w:rPr>
                <w:rFonts w:hint="eastAsia" w:ascii="宋体" w:hAnsi="宋体" w:cs="宋体"/>
                <w:color w:val="auto"/>
                <w:sz w:val="18"/>
                <w:szCs w:val="18"/>
                <w:highlight w:val="none"/>
              </w:rPr>
              <w:t>相关的课题得奖</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标准颁布、专利获得</w:t>
            </w:r>
            <w:r>
              <w:rPr>
                <w:rFonts w:hint="eastAsia" w:ascii="宋体" w:hAnsi="宋体" w:cs="宋体"/>
                <w:color w:val="auto"/>
                <w:sz w:val="18"/>
                <w:szCs w:val="18"/>
                <w:highlight w:val="none"/>
              </w:rPr>
              <w:t>等，），每次得1分；</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附加总分不超过5分</w:t>
            </w:r>
            <w:r>
              <w:rPr>
                <w:rFonts w:hint="eastAsia" w:ascii="宋体" w:hAnsi="宋体" w:cs="宋体"/>
                <w:color w:val="auto"/>
                <w:sz w:val="18"/>
                <w:szCs w:val="18"/>
                <w:highlight w:val="none"/>
                <w:lang w:eastAsia="zh-CN"/>
              </w:rPr>
              <w:t>）</w:t>
            </w:r>
          </w:p>
        </w:tc>
        <w:tc>
          <w:tcPr>
            <w:tcW w:w="655" w:type="dxa"/>
            <w:vAlign w:val="center"/>
          </w:tcPr>
          <w:p w14:paraId="7598817F">
            <w:pPr>
              <w:widowControl/>
              <w:snapToGrid w:val="0"/>
              <w:jc w:val="center"/>
              <w:rPr>
                <w:rFonts w:hint="eastAsia" w:ascii="宋体" w:hAnsi="宋体" w:cs="宋体"/>
                <w:color w:val="auto"/>
                <w:sz w:val="18"/>
                <w:szCs w:val="18"/>
                <w:highlight w:val="none"/>
              </w:rPr>
            </w:pPr>
          </w:p>
        </w:tc>
        <w:tc>
          <w:tcPr>
            <w:tcW w:w="480" w:type="dxa"/>
            <w:vAlign w:val="bottom"/>
          </w:tcPr>
          <w:p w14:paraId="6A9FEBAE">
            <w:pPr>
              <w:widowControl/>
              <w:snapToGrid w:val="0"/>
              <w:jc w:val="left"/>
              <w:rPr>
                <w:rFonts w:hint="eastAsia" w:ascii="宋体" w:hAnsi="宋体" w:cs="宋体"/>
                <w:color w:val="auto"/>
                <w:sz w:val="18"/>
                <w:szCs w:val="18"/>
                <w:highlight w:val="none"/>
              </w:rPr>
            </w:pPr>
          </w:p>
        </w:tc>
        <w:tc>
          <w:tcPr>
            <w:tcW w:w="585" w:type="dxa"/>
            <w:vAlign w:val="bottom"/>
          </w:tcPr>
          <w:p w14:paraId="19E34800">
            <w:pPr>
              <w:widowControl/>
              <w:snapToGrid w:val="0"/>
              <w:jc w:val="left"/>
              <w:rPr>
                <w:rFonts w:hint="eastAsia" w:ascii="宋体" w:hAnsi="宋体" w:cs="宋体"/>
                <w:color w:val="auto"/>
                <w:sz w:val="18"/>
                <w:szCs w:val="18"/>
                <w:highlight w:val="none"/>
              </w:rPr>
            </w:pPr>
          </w:p>
        </w:tc>
      </w:tr>
      <w:tr w14:paraId="300A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0" w:type="dxa"/>
            <w:gridSpan w:val="7"/>
            <w:vAlign w:val="center"/>
          </w:tcPr>
          <w:p w14:paraId="46A61497">
            <w:pPr>
              <w:widowControl/>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                                                考评人员签名：</w:t>
            </w:r>
          </w:p>
        </w:tc>
      </w:tr>
    </w:tbl>
    <w:p w14:paraId="219DC0A5">
      <w:pPr>
        <w:rPr>
          <w:rFonts w:hint="eastAsia" w:ascii="宋体" w:hAnsi="宋体" w:cs="宋体"/>
          <w:color w:val="auto"/>
          <w:sz w:val="36"/>
          <w:szCs w:val="36"/>
          <w:highlight w:val="none"/>
        </w:rPr>
      </w:pPr>
      <w:r>
        <w:rPr>
          <w:rFonts w:hint="eastAsia" w:ascii="宋体" w:hAnsi="宋体" w:cs="宋体"/>
          <w:color w:val="auto"/>
          <w:sz w:val="36"/>
          <w:szCs w:val="36"/>
          <w:highlight w:val="none"/>
        </w:rPr>
        <w:br w:type="page"/>
      </w:r>
    </w:p>
    <w:p w14:paraId="33453010">
      <w:pPr>
        <w:pStyle w:val="3"/>
        <w:snapToGrid w:val="0"/>
        <w:spacing w:before="0" w:after="0" w:line="360" w:lineRule="auto"/>
        <w:ind w:left="851" w:hanging="431"/>
        <w:jc w:val="center"/>
        <w:rPr>
          <w:rFonts w:hint="eastAsia" w:ascii="宋体" w:hAnsi="宋体" w:cs="宋体"/>
          <w:b w:val="0"/>
          <w:color w:val="auto"/>
          <w:sz w:val="36"/>
          <w:szCs w:val="36"/>
          <w:highlight w:val="none"/>
        </w:rPr>
      </w:pPr>
      <w:r>
        <w:rPr>
          <w:rFonts w:hint="eastAsia" w:ascii="宋体" w:hAnsi="宋体" w:cs="宋体"/>
          <w:color w:val="auto"/>
          <w:sz w:val="36"/>
          <w:szCs w:val="36"/>
          <w:highlight w:val="none"/>
        </w:rPr>
        <w:t xml:space="preserve">第四部分   </w:t>
      </w:r>
      <w:bookmarkStart w:id="89" w:name="_Toc184313296"/>
      <w:bookmarkEnd w:id="89"/>
      <w:bookmarkStart w:id="90" w:name="_Toc184314449"/>
      <w:bookmarkEnd w:id="90"/>
      <w:bookmarkStart w:id="91" w:name="_Toc184313257"/>
      <w:bookmarkEnd w:id="91"/>
      <w:bookmarkStart w:id="92" w:name="_Toc184313293"/>
      <w:bookmarkEnd w:id="92"/>
      <w:bookmarkStart w:id="93" w:name="_Toc184308064"/>
      <w:bookmarkEnd w:id="93"/>
      <w:bookmarkStart w:id="94" w:name="_Toc184310279"/>
      <w:bookmarkEnd w:id="94"/>
      <w:bookmarkStart w:id="95" w:name="_Toc184314455"/>
      <w:bookmarkEnd w:id="95"/>
      <w:bookmarkStart w:id="96" w:name="_Toc184312100"/>
      <w:bookmarkEnd w:id="96"/>
      <w:bookmarkStart w:id="97" w:name="_Toc184314445"/>
      <w:bookmarkEnd w:id="97"/>
      <w:bookmarkStart w:id="98" w:name="_Toc184310341"/>
      <w:bookmarkEnd w:id="98"/>
      <w:bookmarkStart w:id="99" w:name="_Toc184312067"/>
      <w:bookmarkEnd w:id="99"/>
      <w:bookmarkStart w:id="100" w:name="_Toc184310344"/>
      <w:bookmarkEnd w:id="100"/>
      <w:bookmarkStart w:id="101" w:name="_Toc184313250"/>
      <w:bookmarkEnd w:id="101"/>
      <w:bookmarkStart w:id="102" w:name="_Toc184312135"/>
      <w:bookmarkEnd w:id="102"/>
      <w:bookmarkStart w:id="103" w:name="_Toc184308091"/>
      <w:bookmarkEnd w:id="103"/>
      <w:bookmarkStart w:id="104" w:name="_Toc184314438"/>
      <w:bookmarkEnd w:id="104"/>
      <w:bookmarkStart w:id="105" w:name="_Toc184314461"/>
      <w:bookmarkEnd w:id="105"/>
      <w:bookmarkStart w:id="106" w:name="_Toc184312119"/>
      <w:bookmarkEnd w:id="106"/>
      <w:bookmarkStart w:id="107" w:name="_Toc184313279"/>
      <w:bookmarkEnd w:id="107"/>
      <w:bookmarkStart w:id="108" w:name="_Toc184314454"/>
      <w:bookmarkEnd w:id="108"/>
      <w:bookmarkStart w:id="109" w:name="_Toc184314423"/>
      <w:bookmarkEnd w:id="109"/>
      <w:bookmarkStart w:id="110" w:name="_Toc184312079"/>
      <w:bookmarkEnd w:id="110"/>
      <w:bookmarkStart w:id="111" w:name="_Toc184310320"/>
      <w:bookmarkEnd w:id="111"/>
      <w:bookmarkStart w:id="112" w:name="_Toc184312109"/>
      <w:bookmarkEnd w:id="112"/>
      <w:bookmarkStart w:id="113" w:name="_Toc184314417"/>
      <w:bookmarkEnd w:id="113"/>
      <w:bookmarkStart w:id="114" w:name="_Toc184313253"/>
      <w:bookmarkEnd w:id="114"/>
      <w:bookmarkStart w:id="115" w:name="_Toc184314456"/>
      <w:bookmarkEnd w:id="115"/>
      <w:bookmarkStart w:id="116" w:name="_Toc184313256"/>
      <w:bookmarkEnd w:id="116"/>
      <w:bookmarkStart w:id="117" w:name="_Toc184313310"/>
      <w:bookmarkEnd w:id="117"/>
      <w:bookmarkStart w:id="118" w:name="_Toc184308053"/>
      <w:bookmarkEnd w:id="118"/>
      <w:bookmarkStart w:id="119" w:name="_Toc184313272"/>
      <w:bookmarkEnd w:id="119"/>
      <w:bookmarkStart w:id="120" w:name="_Toc184314450"/>
      <w:bookmarkEnd w:id="120"/>
      <w:bookmarkStart w:id="121" w:name="_Toc184310282"/>
      <w:bookmarkEnd w:id="121"/>
      <w:bookmarkStart w:id="122" w:name="_Toc184312133"/>
      <w:bookmarkEnd w:id="122"/>
      <w:bookmarkStart w:id="123" w:name="_Toc184314427"/>
      <w:bookmarkEnd w:id="123"/>
      <w:bookmarkStart w:id="124" w:name="_Toc184314434"/>
      <w:bookmarkEnd w:id="124"/>
      <w:bookmarkStart w:id="125" w:name="_Toc184312127"/>
      <w:bookmarkEnd w:id="125"/>
      <w:bookmarkStart w:id="126" w:name="_Toc184314479"/>
      <w:bookmarkEnd w:id="126"/>
      <w:bookmarkStart w:id="127" w:name="_Toc184313254"/>
      <w:bookmarkEnd w:id="127"/>
      <w:bookmarkStart w:id="128" w:name="_Toc184313271"/>
      <w:bookmarkEnd w:id="128"/>
      <w:bookmarkStart w:id="129" w:name="_Toc184310330"/>
      <w:bookmarkEnd w:id="129"/>
      <w:bookmarkStart w:id="130" w:name="_Toc184313284"/>
      <w:bookmarkEnd w:id="130"/>
      <w:bookmarkStart w:id="131" w:name="_Toc184314413"/>
      <w:bookmarkEnd w:id="131"/>
      <w:bookmarkStart w:id="132" w:name="_Toc184313238"/>
      <w:bookmarkEnd w:id="132"/>
      <w:bookmarkStart w:id="133" w:name="_Toc184312101"/>
      <w:bookmarkEnd w:id="133"/>
      <w:bookmarkStart w:id="134" w:name="_Toc184313299"/>
      <w:bookmarkEnd w:id="134"/>
      <w:bookmarkStart w:id="135" w:name="_Toc184310340"/>
      <w:bookmarkEnd w:id="135"/>
      <w:bookmarkStart w:id="136" w:name="_Toc184308039"/>
      <w:bookmarkEnd w:id="136"/>
      <w:bookmarkStart w:id="137" w:name="_Toc184313309"/>
      <w:bookmarkEnd w:id="137"/>
      <w:bookmarkStart w:id="138" w:name="_Toc184312077"/>
      <w:bookmarkEnd w:id="138"/>
      <w:bookmarkStart w:id="139" w:name="_Toc184308047"/>
      <w:bookmarkEnd w:id="139"/>
      <w:bookmarkStart w:id="140" w:name="_Toc184310276"/>
      <w:bookmarkEnd w:id="140"/>
      <w:bookmarkStart w:id="141" w:name="_Toc184308045"/>
      <w:bookmarkEnd w:id="141"/>
      <w:bookmarkStart w:id="142" w:name="_Toc184310316"/>
      <w:bookmarkEnd w:id="142"/>
      <w:bookmarkStart w:id="143" w:name="_Toc184312081"/>
      <w:bookmarkEnd w:id="143"/>
      <w:bookmarkStart w:id="144" w:name="_Toc184313307"/>
      <w:bookmarkEnd w:id="144"/>
      <w:bookmarkStart w:id="145" w:name="_Toc184310305"/>
      <w:bookmarkEnd w:id="145"/>
      <w:bookmarkStart w:id="146" w:name="_Toc184310308"/>
      <w:bookmarkEnd w:id="146"/>
      <w:bookmarkStart w:id="147" w:name="_Toc184314470"/>
      <w:bookmarkEnd w:id="147"/>
      <w:bookmarkStart w:id="148" w:name="_Toc184308073"/>
      <w:bookmarkEnd w:id="148"/>
      <w:bookmarkStart w:id="149" w:name="_Toc184312099"/>
      <w:bookmarkEnd w:id="149"/>
      <w:bookmarkStart w:id="150" w:name="_Toc184312134"/>
      <w:bookmarkEnd w:id="150"/>
      <w:bookmarkStart w:id="151" w:name="_Toc184310292"/>
      <w:bookmarkEnd w:id="151"/>
      <w:bookmarkStart w:id="152" w:name="_Toc184308083"/>
      <w:bookmarkEnd w:id="152"/>
      <w:bookmarkStart w:id="153" w:name="_Toc184312103"/>
      <w:bookmarkEnd w:id="153"/>
      <w:bookmarkStart w:id="154" w:name="_Toc184310333"/>
      <w:bookmarkEnd w:id="154"/>
      <w:bookmarkStart w:id="155" w:name="_Toc184310297"/>
      <w:bookmarkEnd w:id="155"/>
      <w:bookmarkStart w:id="156" w:name="_Toc184310338"/>
      <w:bookmarkEnd w:id="156"/>
      <w:bookmarkStart w:id="157" w:name="_Toc184308048"/>
      <w:bookmarkEnd w:id="157"/>
      <w:bookmarkStart w:id="158" w:name="_Toc184312113"/>
      <w:bookmarkEnd w:id="158"/>
      <w:bookmarkStart w:id="159" w:name="_Toc184314440"/>
      <w:bookmarkEnd w:id="159"/>
      <w:bookmarkStart w:id="160" w:name="_Toc184308088"/>
      <w:bookmarkEnd w:id="160"/>
      <w:bookmarkStart w:id="161" w:name="_Toc184314414"/>
      <w:bookmarkEnd w:id="161"/>
      <w:bookmarkStart w:id="162" w:name="_Toc184310285"/>
      <w:bookmarkEnd w:id="162"/>
      <w:bookmarkStart w:id="163" w:name="_Toc184308072"/>
      <w:bookmarkEnd w:id="163"/>
      <w:bookmarkStart w:id="164" w:name="_Toc184312076"/>
      <w:bookmarkEnd w:id="164"/>
      <w:bookmarkStart w:id="165" w:name="_Toc184308056"/>
      <w:bookmarkEnd w:id="165"/>
      <w:bookmarkStart w:id="166" w:name="_Toc184308077"/>
      <w:bookmarkEnd w:id="166"/>
      <w:bookmarkStart w:id="167" w:name="_Toc184314474"/>
      <w:bookmarkEnd w:id="167"/>
      <w:bookmarkStart w:id="168" w:name="_Toc184313302"/>
      <w:bookmarkEnd w:id="168"/>
      <w:bookmarkStart w:id="169" w:name="_Toc184312139"/>
      <w:bookmarkEnd w:id="169"/>
      <w:bookmarkStart w:id="170" w:name="_Toc184310281"/>
      <w:bookmarkEnd w:id="170"/>
      <w:bookmarkStart w:id="171" w:name="_Toc184313276"/>
      <w:bookmarkEnd w:id="171"/>
      <w:bookmarkStart w:id="172" w:name="_Toc184313303"/>
      <w:bookmarkEnd w:id="172"/>
      <w:bookmarkStart w:id="173" w:name="_Toc184313282"/>
      <w:bookmarkEnd w:id="173"/>
      <w:bookmarkStart w:id="174" w:name="_Toc184312130"/>
      <w:bookmarkEnd w:id="174"/>
      <w:bookmarkStart w:id="175" w:name="_Toc184312068"/>
      <w:bookmarkEnd w:id="175"/>
      <w:bookmarkStart w:id="176" w:name="_Toc184308042"/>
      <w:bookmarkEnd w:id="176"/>
      <w:bookmarkStart w:id="177" w:name="_Toc184312111"/>
      <w:bookmarkEnd w:id="177"/>
      <w:bookmarkStart w:id="178" w:name="_Toc184310287"/>
      <w:bookmarkEnd w:id="178"/>
      <w:bookmarkStart w:id="179" w:name="_Toc184312126"/>
      <w:bookmarkEnd w:id="179"/>
      <w:bookmarkStart w:id="180" w:name="_Toc184312121"/>
      <w:bookmarkEnd w:id="180"/>
      <w:bookmarkStart w:id="181" w:name="_Toc184308078"/>
      <w:bookmarkEnd w:id="181"/>
      <w:bookmarkStart w:id="182" w:name="_Toc184313249"/>
      <w:bookmarkEnd w:id="182"/>
      <w:bookmarkStart w:id="183" w:name="_Toc184312115"/>
      <w:bookmarkEnd w:id="183"/>
      <w:bookmarkStart w:id="184" w:name="_Toc184308106"/>
      <w:bookmarkEnd w:id="184"/>
      <w:bookmarkStart w:id="185" w:name="_Toc184308057"/>
      <w:bookmarkEnd w:id="185"/>
      <w:bookmarkStart w:id="186" w:name="_Toc184310311"/>
      <w:bookmarkEnd w:id="186"/>
      <w:bookmarkStart w:id="187" w:name="_Toc184310339"/>
      <w:bookmarkEnd w:id="187"/>
      <w:bookmarkStart w:id="188" w:name="_Toc184310324"/>
      <w:bookmarkEnd w:id="188"/>
      <w:bookmarkStart w:id="189" w:name="_Toc184312129"/>
      <w:bookmarkEnd w:id="189"/>
      <w:bookmarkStart w:id="190" w:name="_Toc184310277"/>
      <w:bookmarkEnd w:id="190"/>
      <w:bookmarkStart w:id="191" w:name="_Toc184312105"/>
      <w:bookmarkEnd w:id="191"/>
      <w:bookmarkStart w:id="192" w:name="_Toc184314462"/>
      <w:bookmarkEnd w:id="192"/>
      <w:bookmarkStart w:id="193" w:name="_Toc184312089"/>
      <w:bookmarkEnd w:id="193"/>
      <w:bookmarkStart w:id="194" w:name="_Toc184314477"/>
      <w:bookmarkEnd w:id="194"/>
      <w:bookmarkStart w:id="195" w:name="_Toc184314467"/>
      <w:bookmarkEnd w:id="195"/>
      <w:bookmarkStart w:id="196" w:name="_Toc184313244"/>
      <w:bookmarkEnd w:id="196"/>
      <w:bookmarkStart w:id="197" w:name="_Toc184314478"/>
      <w:bookmarkEnd w:id="197"/>
      <w:bookmarkStart w:id="198" w:name="_Toc184310274"/>
      <w:bookmarkEnd w:id="198"/>
      <w:bookmarkStart w:id="199" w:name="_Toc184312108"/>
      <w:bookmarkEnd w:id="199"/>
      <w:bookmarkStart w:id="200" w:name="_Toc184312118"/>
      <w:bookmarkEnd w:id="200"/>
      <w:bookmarkStart w:id="201" w:name="_Toc184313308"/>
      <w:bookmarkEnd w:id="201"/>
      <w:bookmarkStart w:id="202" w:name="_Toc184314464"/>
      <w:bookmarkEnd w:id="202"/>
      <w:bookmarkStart w:id="203" w:name="_Toc184313287"/>
      <w:bookmarkEnd w:id="203"/>
      <w:bookmarkStart w:id="204" w:name="_Toc184308041"/>
      <w:bookmarkEnd w:id="204"/>
      <w:bookmarkStart w:id="205" w:name="_Toc184313266"/>
      <w:bookmarkEnd w:id="205"/>
      <w:bookmarkStart w:id="206" w:name="_Toc184312131"/>
      <w:bookmarkEnd w:id="206"/>
      <w:bookmarkStart w:id="207" w:name="_Toc184314482"/>
      <w:bookmarkEnd w:id="207"/>
      <w:bookmarkStart w:id="208" w:name="_Toc184310302"/>
      <w:bookmarkEnd w:id="208"/>
      <w:bookmarkStart w:id="209" w:name="_Toc184313290"/>
      <w:bookmarkEnd w:id="209"/>
      <w:bookmarkStart w:id="210" w:name="_Toc184310300"/>
      <w:bookmarkEnd w:id="210"/>
      <w:bookmarkStart w:id="211" w:name="_Toc184313247"/>
      <w:bookmarkEnd w:id="211"/>
      <w:bookmarkStart w:id="212" w:name="_Toc184314452"/>
      <w:bookmarkEnd w:id="212"/>
      <w:bookmarkStart w:id="213" w:name="_Toc184314431"/>
      <w:bookmarkEnd w:id="213"/>
      <w:bookmarkStart w:id="214" w:name="_Toc184313242"/>
      <w:bookmarkEnd w:id="214"/>
      <w:bookmarkStart w:id="215" w:name="_Toc184312106"/>
      <w:bookmarkEnd w:id="215"/>
      <w:bookmarkStart w:id="216" w:name="_Toc184308082"/>
      <w:bookmarkEnd w:id="216"/>
      <w:bookmarkStart w:id="217" w:name="_Toc184313243"/>
      <w:bookmarkEnd w:id="217"/>
      <w:bookmarkStart w:id="218" w:name="_Toc184313260"/>
      <w:bookmarkEnd w:id="218"/>
      <w:bookmarkStart w:id="219" w:name="_Toc184314424"/>
      <w:bookmarkEnd w:id="219"/>
      <w:bookmarkStart w:id="220" w:name="_Toc184310284"/>
      <w:bookmarkEnd w:id="220"/>
      <w:bookmarkStart w:id="221" w:name="_Toc184314416"/>
      <w:bookmarkEnd w:id="221"/>
      <w:bookmarkStart w:id="222" w:name="_Toc184314418"/>
      <w:bookmarkEnd w:id="222"/>
      <w:bookmarkStart w:id="223" w:name="_Toc184313301"/>
      <w:bookmarkEnd w:id="223"/>
      <w:bookmarkStart w:id="224" w:name="_Toc184314468"/>
      <w:bookmarkEnd w:id="224"/>
      <w:bookmarkStart w:id="225" w:name="_Toc184310280"/>
      <w:bookmarkEnd w:id="225"/>
      <w:bookmarkStart w:id="226" w:name="_Toc184314446"/>
      <w:bookmarkEnd w:id="226"/>
      <w:bookmarkStart w:id="227" w:name="_Toc184308038"/>
      <w:bookmarkEnd w:id="227"/>
      <w:bookmarkStart w:id="228" w:name="_Toc184312114"/>
      <w:bookmarkEnd w:id="228"/>
      <w:bookmarkStart w:id="229" w:name="_Toc184314476"/>
      <w:bookmarkEnd w:id="229"/>
      <w:bookmarkStart w:id="230" w:name="_Toc184312093"/>
      <w:bookmarkEnd w:id="230"/>
      <w:bookmarkStart w:id="231" w:name="_Toc184313268"/>
      <w:bookmarkEnd w:id="231"/>
      <w:bookmarkStart w:id="232" w:name="_Toc184308095"/>
      <w:bookmarkEnd w:id="232"/>
      <w:bookmarkStart w:id="233" w:name="_Toc184313273"/>
      <w:bookmarkEnd w:id="233"/>
      <w:bookmarkStart w:id="234" w:name="_Toc184313292"/>
      <w:bookmarkEnd w:id="234"/>
      <w:bookmarkStart w:id="235" w:name="_Toc184310332"/>
      <w:bookmarkEnd w:id="235"/>
      <w:bookmarkStart w:id="236" w:name="_Toc184313265"/>
      <w:bookmarkEnd w:id="236"/>
      <w:bookmarkStart w:id="237" w:name="_Toc184313246"/>
      <w:bookmarkEnd w:id="237"/>
      <w:bookmarkStart w:id="238" w:name="_Toc184312110"/>
      <w:bookmarkEnd w:id="238"/>
      <w:bookmarkStart w:id="239" w:name="_Toc184310288"/>
      <w:bookmarkEnd w:id="239"/>
      <w:bookmarkStart w:id="240" w:name="_Toc184308070"/>
      <w:bookmarkEnd w:id="240"/>
      <w:bookmarkStart w:id="241" w:name="_Toc184310296"/>
      <w:bookmarkEnd w:id="241"/>
      <w:bookmarkStart w:id="242" w:name="_Toc184308089"/>
      <w:bookmarkEnd w:id="242"/>
      <w:bookmarkStart w:id="243" w:name="_Toc184312112"/>
      <w:bookmarkEnd w:id="243"/>
      <w:bookmarkStart w:id="244" w:name="_Toc184314430"/>
      <w:bookmarkEnd w:id="244"/>
      <w:bookmarkStart w:id="245" w:name="_Toc184310313"/>
      <w:bookmarkEnd w:id="245"/>
      <w:bookmarkStart w:id="246" w:name="_Toc184314469"/>
      <w:bookmarkEnd w:id="246"/>
      <w:bookmarkStart w:id="247" w:name="_Toc184314460"/>
      <w:bookmarkEnd w:id="247"/>
      <w:bookmarkStart w:id="248" w:name="_Toc184308063"/>
      <w:bookmarkEnd w:id="248"/>
      <w:bookmarkStart w:id="249" w:name="_Toc184314473"/>
      <w:bookmarkEnd w:id="249"/>
      <w:bookmarkStart w:id="250" w:name="_Toc184314411"/>
      <w:bookmarkEnd w:id="250"/>
      <w:bookmarkStart w:id="251" w:name="_Toc184310322"/>
      <w:bookmarkEnd w:id="251"/>
      <w:bookmarkStart w:id="252" w:name="_Toc184308068"/>
      <w:bookmarkEnd w:id="252"/>
      <w:bookmarkStart w:id="253" w:name="_Toc184312071"/>
      <w:bookmarkEnd w:id="253"/>
      <w:bookmarkStart w:id="254" w:name="_Toc184312075"/>
      <w:bookmarkEnd w:id="254"/>
      <w:bookmarkStart w:id="255" w:name="_Toc184312090"/>
      <w:bookmarkEnd w:id="255"/>
      <w:bookmarkStart w:id="256" w:name="_Toc184310298"/>
      <w:bookmarkEnd w:id="256"/>
      <w:bookmarkStart w:id="257" w:name="_Toc184308074"/>
      <w:bookmarkEnd w:id="257"/>
      <w:bookmarkStart w:id="258" w:name="_Toc184308096"/>
      <w:bookmarkEnd w:id="258"/>
      <w:bookmarkStart w:id="259" w:name="_Toc184310309"/>
      <w:bookmarkEnd w:id="259"/>
      <w:bookmarkStart w:id="260" w:name="_Toc184313288"/>
      <w:bookmarkEnd w:id="260"/>
      <w:bookmarkStart w:id="261" w:name="_Toc184312069"/>
      <w:bookmarkEnd w:id="261"/>
      <w:bookmarkStart w:id="262" w:name="_Toc184313255"/>
      <w:bookmarkEnd w:id="262"/>
      <w:bookmarkStart w:id="263" w:name="_Toc184314472"/>
      <w:bookmarkEnd w:id="263"/>
      <w:bookmarkStart w:id="264" w:name="_Toc184314458"/>
      <w:bookmarkEnd w:id="264"/>
      <w:bookmarkStart w:id="265" w:name="_Toc184308100"/>
      <w:bookmarkEnd w:id="265"/>
      <w:bookmarkStart w:id="266" w:name="_Toc184314433"/>
      <w:bookmarkEnd w:id="266"/>
      <w:bookmarkStart w:id="267" w:name="_Toc184313300"/>
      <w:bookmarkEnd w:id="267"/>
      <w:bookmarkStart w:id="268" w:name="_Toc184310272"/>
      <w:bookmarkEnd w:id="268"/>
      <w:bookmarkStart w:id="269" w:name="_Toc184308090"/>
      <w:bookmarkEnd w:id="269"/>
      <w:bookmarkStart w:id="270" w:name="_Toc184310336"/>
      <w:bookmarkEnd w:id="270"/>
      <w:bookmarkStart w:id="271" w:name="_Toc184314429"/>
      <w:bookmarkEnd w:id="271"/>
      <w:bookmarkStart w:id="272" w:name="_Toc184312137"/>
      <w:bookmarkEnd w:id="272"/>
      <w:bookmarkStart w:id="273" w:name="_Toc184310273"/>
      <w:bookmarkEnd w:id="273"/>
      <w:bookmarkStart w:id="274" w:name="_Toc184308069"/>
      <w:bookmarkEnd w:id="274"/>
      <w:bookmarkStart w:id="275" w:name="_Toc184308060"/>
      <w:bookmarkEnd w:id="275"/>
      <w:bookmarkStart w:id="276" w:name="_Toc184313264"/>
      <w:bookmarkEnd w:id="276"/>
      <w:bookmarkStart w:id="277" w:name="_Toc184312070"/>
      <w:bookmarkEnd w:id="277"/>
      <w:bookmarkStart w:id="278" w:name="_Toc184310278"/>
      <w:bookmarkEnd w:id="278"/>
      <w:bookmarkStart w:id="279" w:name="_Toc184314426"/>
      <w:bookmarkEnd w:id="279"/>
      <w:bookmarkStart w:id="280" w:name="_Toc184314451"/>
      <w:bookmarkEnd w:id="280"/>
      <w:bookmarkStart w:id="281" w:name="_Toc184308052"/>
      <w:bookmarkEnd w:id="281"/>
      <w:bookmarkStart w:id="282" w:name="_Toc184308081"/>
      <w:bookmarkEnd w:id="282"/>
      <w:bookmarkStart w:id="283" w:name="_Toc184314465"/>
      <w:bookmarkEnd w:id="283"/>
      <w:bookmarkStart w:id="284" w:name="_Toc184308087"/>
      <w:bookmarkEnd w:id="284"/>
      <w:bookmarkStart w:id="285" w:name="_Toc184310326"/>
      <w:bookmarkEnd w:id="285"/>
      <w:bookmarkStart w:id="286" w:name="_Toc184312102"/>
      <w:bookmarkEnd w:id="286"/>
      <w:bookmarkStart w:id="287" w:name="_Toc184308075"/>
      <w:bookmarkEnd w:id="287"/>
      <w:bookmarkStart w:id="288" w:name="_Toc184314412"/>
      <w:bookmarkEnd w:id="288"/>
      <w:bookmarkStart w:id="289" w:name="_Toc184308059"/>
      <w:bookmarkEnd w:id="289"/>
      <w:bookmarkStart w:id="290" w:name="_Toc184310293"/>
      <w:bookmarkEnd w:id="290"/>
      <w:bookmarkStart w:id="291" w:name="_Toc184312086"/>
      <w:bookmarkEnd w:id="291"/>
      <w:bookmarkStart w:id="292" w:name="_Toc184308071"/>
      <w:bookmarkEnd w:id="292"/>
      <w:bookmarkStart w:id="293" w:name="_Toc184313261"/>
      <w:bookmarkEnd w:id="293"/>
      <w:bookmarkStart w:id="294" w:name="_Toc184308051"/>
      <w:bookmarkEnd w:id="294"/>
      <w:bookmarkStart w:id="295" w:name="_Toc184312136"/>
      <w:bookmarkEnd w:id="295"/>
      <w:bookmarkStart w:id="296" w:name="_Toc184313259"/>
      <w:bookmarkEnd w:id="296"/>
      <w:bookmarkStart w:id="297" w:name="_Toc184314459"/>
      <w:bookmarkEnd w:id="297"/>
      <w:bookmarkStart w:id="298" w:name="_Toc184313269"/>
      <w:bookmarkEnd w:id="298"/>
      <w:bookmarkStart w:id="299" w:name="_Toc184308108"/>
      <w:bookmarkEnd w:id="299"/>
      <w:bookmarkStart w:id="300" w:name="_Toc184310323"/>
      <w:bookmarkEnd w:id="300"/>
      <w:bookmarkStart w:id="301" w:name="_Toc184308046"/>
      <w:bookmarkEnd w:id="301"/>
      <w:bookmarkStart w:id="302" w:name="_Toc184313248"/>
      <w:bookmarkEnd w:id="302"/>
      <w:bookmarkStart w:id="303" w:name="_Toc184313245"/>
      <w:bookmarkEnd w:id="303"/>
      <w:bookmarkStart w:id="304" w:name="_Toc184314475"/>
      <w:bookmarkEnd w:id="304"/>
      <w:bookmarkStart w:id="305" w:name="_Toc184314428"/>
      <w:bookmarkEnd w:id="305"/>
      <w:bookmarkStart w:id="306" w:name="_Toc184308066"/>
      <w:bookmarkEnd w:id="306"/>
      <w:bookmarkStart w:id="307" w:name="_Toc184312091"/>
      <w:bookmarkEnd w:id="307"/>
      <w:bookmarkStart w:id="308" w:name="_Toc184312074"/>
      <w:bookmarkEnd w:id="308"/>
      <w:bookmarkStart w:id="309" w:name="_Toc184312083"/>
      <w:bookmarkEnd w:id="309"/>
      <w:bookmarkStart w:id="310" w:name="_Toc184308092"/>
      <w:bookmarkEnd w:id="310"/>
      <w:bookmarkStart w:id="311" w:name="_Toc184310342"/>
      <w:bookmarkEnd w:id="311"/>
      <w:bookmarkStart w:id="312" w:name="_Toc184313241"/>
      <w:bookmarkEnd w:id="312"/>
      <w:bookmarkStart w:id="313" w:name="_Toc184314435"/>
      <w:bookmarkEnd w:id="313"/>
      <w:bookmarkStart w:id="314" w:name="_Toc184312104"/>
      <w:bookmarkEnd w:id="314"/>
      <w:bookmarkStart w:id="315" w:name="_Toc184312084"/>
      <w:bookmarkEnd w:id="315"/>
      <w:bookmarkStart w:id="316" w:name="_Toc184310327"/>
      <w:bookmarkEnd w:id="316"/>
      <w:bookmarkStart w:id="317" w:name="_Toc184308105"/>
      <w:bookmarkEnd w:id="317"/>
      <w:bookmarkStart w:id="318" w:name="_Toc184310290"/>
      <w:bookmarkEnd w:id="318"/>
      <w:bookmarkStart w:id="319" w:name="_Toc184310329"/>
      <w:bookmarkEnd w:id="319"/>
      <w:bookmarkStart w:id="320" w:name="_Toc184308036"/>
      <w:bookmarkEnd w:id="320"/>
      <w:bookmarkStart w:id="321" w:name="_Toc184310306"/>
      <w:bookmarkEnd w:id="321"/>
      <w:bookmarkStart w:id="322" w:name="_Toc184313251"/>
      <w:bookmarkEnd w:id="322"/>
      <w:bookmarkStart w:id="323" w:name="_Toc184312072"/>
      <w:bookmarkEnd w:id="323"/>
      <w:bookmarkStart w:id="324" w:name="_Toc184310286"/>
      <w:bookmarkEnd w:id="324"/>
      <w:bookmarkStart w:id="325" w:name="_Toc184312092"/>
      <w:bookmarkEnd w:id="325"/>
      <w:bookmarkStart w:id="326" w:name="_Toc184313277"/>
      <w:bookmarkEnd w:id="326"/>
      <w:bookmarkStart w:id="327" w:name="_Toc184314447"/>
      <w:bookmarkEnd w:id="327"/>
      <w:bookmarkStart w:id="328" w:name="_Toc184314425"/>
      <w:bookmarkEnd w:id="328"/>
      <w:bookmarkStart w:id="329" w:name="_Toc184314420"/>
      <w:bookmarkEnd w:id="329"/>
      <w:bookmarkStart w:id="330" w:name="_Toc184313281"/>
      <w:bookmarkEnd w:id="330"/>
      <w:bookmarkStart w:id="331" w:name="_Toc184310343"/>
      <w:bookmarkEnd w:id="331"/>
      <w:bookmarkStart w:id="332" w:name="_Toc184313306"/>
      <w:bookmarkEnd w:id="332"/>
      <w:bookmarkStart w:id="333" w:name="_Toc184312124"/>
      <w:bookmarkEnd w:id="333"/>
      <w:bookmarkStart w:id="334" w:name="_Toc184313262"/>
      <w:bookmarkEnd w:id="334"/>
      <w:bookmarkStart w:id="335" w:name="_Toc184310337"/>
      <w:bookmarkEnd w:id="335"/>
      <w:bookmarkStart w:id="336" w:name="_Toc184314441"/>
      <w:bookmarkEnd w:id="336"/>
      <w:bookmarkStart w:id="337" w:name="_Toc184308102"/>
      <w:bookmarkEnd w:id="337"/>
      <w:bookmarkStart w:id="338" w:name="_Toc184308061"/>
      <w:bookmarkEnd w:id="338"/>
      <w:bookmarkStart w:id="339" w:name="_Toc184308079"/>
      <w:bookmarkEnd w:id="339"/>
      <w:bookmarkStart w:id="340" w:name="_Toc184313289"/>
      <w:bookmarkEnd w:id="340"/>
      <w:bookmarkStart w:id="341" w:name="_Toc184308104"/>
      <w:bookmarkEnd w:id="341"/>
      <w:bookmarkStart w:id="342" w:name="_Toc184310299"/>
      <w:bookmarkEnd w:id="342"/>
      <w:bookmarkStart w:id="343" w:name="_Toc184314437"/>
      <w:bookmarkEnd w:id="343"/>
      <w:bookmarkStart w:id="344" w:name="_Toc184313294"/>
      <w:bookmarkEnd w:id="344"/>
      <w:bookmarkStart w:id="345" w:name="_Toc184312073"/>
      <w:bookmarkEnd w:id="345"/>
      <w:bookmarkStart w:id="346" w:name="_Toc184314439"/>
      <w:bookmarkEnd w:id="346"/>
      <w:bookmarkStart w:id="347" w:name="_Toc184314448"/>
      <w:bookmarkEnd w:id="347"/>
      <w:bookmarkStart w:id="348" w:name="_Toc184310303"/>
      <w:bookmarkEnd w:id="348"/>
      <w:bookmarkStart w:id="349" w:name="_Toc184310335"/>
      <w:bookmarkEnd w:id="349"/>
      <w:bookmarkStart w:id="350" w:name="_Toc184312095"/>
      <w:bookmarkEnd w:id="350"/>
      <w:bookmarkStart w:id="351" w:name="_Toc184314421"/>
      <w:bookmarkEnd w:id="351"/>
      <w:bookmarkStart w:id="352" w:name="_Toc184308103"/>
      <w:bookmarkEnd w:id="352"/>
      <w:bookmarkStart w:id="353" w:name="_Toc184312107"/>
      <w:bookmarkEnd w:id="353"/>
      <w:bookmarkStart w:id="354" w:name="_Toc184308086"/>
      <w:bookmarkEnd w:id="354"/>
      <w:bookmarkStart w:id="355" w:name="_Toc184310328"/>
      <w:bookmarkEnd w:id="355"/>
      <w:bookmarkStart w:id="356" w:name="_Toc184310318"/>
      <w:bookmarkEnd w:id="356"/>
      <w:bookmarkStart w:id="357" w:name="_Toc184308049"/>
      <w:bookmarkEnd w:id="357"/>
      <w:bookmarkStart w:id="358" w:name="_Toc184308085"/>
      <w:bookmarkEnd w:id="358"/>
      <w:bookmarkStart w:id="359" w:name="_Toc184310314"/>
      <w:bookmarkEnd w:id="359"/>
      <w:bookmarkStart w:id="360" w:name="_Toc184308097"/>
      <w:bookmarkEnd w:id="360"/>
      <w:bookmarkStart w:id="361" w:name="_Toc184312117"/>
      <w:bookmarkEnd w:id="361"/>
      <w:bookmarkStart w:id="362" w:name="_Toc184312128"/>
      <w:bookmarkEnd w:id="362"/>
      <w:bookmarkStart w:id="363" w:name="_Toc184310295"/>
      <w:bookmarkEnd w:id="363"/>
      <w:bookmarkStart w:id="364" w:name="_Toc184312116"/>
      <w:bookmarkEnd w:id="364"/>
      <w:bookmarkStart w:id="365" w:name="_Toc184310310"/>
      <w:bookmarkEnd w:id="365"/>
      <w:bookmarkStart w:id="366" w:name="_Toc184308044"/>
      <w:bookmarkEnd w:id="366"/>
      <w:bookmarkStart w:id="367" w:name="_Toc184313286"/>
      <w:bookmarkEnd w:id="367"/>
      <w:bookmarkStart w:id="368" w:name="_Toc184313298"/>
      <w:bookmarkEnd w:id="368"/>
      <w:bookmarkStart w:id="369" w:name="_Toc184310289"/>
      <w:bookmarkEnd w:id="369"/>
      <w:bookmarkStart w:id="370" w:name="_Toc184308058"/>
      <w:bookmarkEnd w:id="370"/>
      <w:bookmarkStart w:id="371" w:name="_Toc184308062"/>
      <w:bookmarkEnd w:id="371"/>
      <w:bookmarkStart w:id="372" w:name="_Toc184308084"/>
      <w:bookmarkEnd w:id="372"/>
      <w:bookmarkStart w:id="373" w:name="_Toc184314436"/>
      <w:bookmarkEnd w:id="373"/>
      <w:bookmarkStart w:id="374" w:name="_Toc184314444"/>
      <w:bookmarkEnd w:id="374"/>
      <w:bookmarkStart w:id="375" w:name="_Toc184310321"/>
      <w:bookmarkEnd w:id="375"/>
      <w:bookmarkStart w:id="376" w:name="_Toc184313274"/>
      <w:bookmarkEnd w:id="376"/>
      <w:bookmarkStart w:id="377" w:name="_Toc184310307"/>
      <w:bookmarkEnd w:id="377"/>
      <w:bookmarkStart w:id="378" w:name="_Toc184312087"/>
      <w:bookmarkEnd w:id="378"/>
      <w:bookmarkStart w:id="379" w:name="_Toc184313267"/>
      <w:bookmarkEnd w:id="379"/>
      <w:bookmarkStart w:id="380" w:name="_Toc184308055"/>
      <w:bookmarkEnd w:id="380"/>
      <w:bookmarkStart w:id="381" w:name="_Toc184313297"/>
      <w:bookmarkEnd w:id="381"/>
      <w:bookmarkStart w:id="382" w:name="_Toc184313239"/>
      <w:bookmarkEnd w:id="382"/>
      <w:bookmarkStart w:id="383" w:name="_Toc184310315"/>
      <w:bookmarkEnd w:id="383"/>
      <w:bookmarkStart w:id="384" w:name="_Toc184310317"/>
      <w:bookmarkEnd w:id="384"/>
      <w:bookmarkStart w:id="385" w:name="_Toc184310325"/>
      <w:bookmarkEnd w:id="385"/>
      <w:bookmarkStart w:id="386" w:name="_Toc184308054"/>
      <w:bookmarkEnd w:id="386"/>
      <w:bookmarkStart w:id="387" w:name="_Toc184313240"/>
      <w:bookmarkEnd w:id="387"/>
      <w:bookmarkStart w:id="388" w:name="_Toc184308101"/>
      <w:bookmarkEnd w:id="388"/>
      <w:bookmarkStart w:id="389" w:name="_Toc184314419"/>
      <w:bookmarkEnd w:id="389"/>
      <w:bookmarkStart w:id="390" w:name="_Toc184312096"/>
      <w:bookmarkEnd w:id="390"/>
      <w:bookmarkStart w:id="391" w:name="_Toc184310301"/>
      <w:bookmarkEnd w:id="391"/>
      <w:bookmarkStart w:id="392" w:name="_Toc184310283"/>
      <w:bookmarkEnd w:id="392"/>
      <w:bookmarkStart w:id="393" w:name="_Toc184308043"/>
      <w:bookmarkEnd w:id="393"/>
      <w:bookmarkStart w:id="394" w:name="_Toc184313305"/>
      <w:bookmarkEnd w:id="394"/>
      <w:bookmarkStart w:id="395" w:name="_Toc184314442"/>
      <w:bookmarkEnd w:id="395"/>
      <w:bookmarkStart w:id="396" w:name="_Toc184308050"/>
      <w:bookmarkEnd w:id="396"/>
      <w:bookmarkStart w:id="397" w:name="_Toc184310331"/>
      <w:bookmarkEnd w:id="397"/>
      <w:bookmarkStart w:id="398" w:name="_Toc184312122"/>
      <w:bookmarkEnd w:id="398"/>
      <w:bookmarkStart w:id="399" w:name="_Toc184314463"/>
      <w:bookmarkEnd w:id="399"/>
      <w:bookmarkStart w:id="400" w:name="_Toc184312078"/>
      <w:bookmarkEnd w:id="400"/>
      <w:bookmarkStart w:id="401" w:name="_Toc184310291"/>
      <w:bookmarkEnd w:id="401"/>
      <w:bookmarkStart w:id="402" w:name="_Toc184308040"/>
      <w:bookmarkEnd w:id="402"/>
      <w:bookmarkStart w:id="403" w:name="_Toc184313263"/>
      <w:bookmarkEnd w:id="403"/>
      <w:bookmarkStart w:id="404" w:name="_Toc184312125"/>
      <w:bookmarkEnd w:id="404"/>
      <w:bookmarkStart w:id="405" w:name="_Toc184308094"/>
      <w:bookmarkEnd w:id="405"/>
      <w:bookmarkStart w:id="406" w:name="_Toc184313285"/>
      <w:bookmarkEnd w:id="406"/>
      <w:bookmarkStart w:id="407" w:name="_Toc184312097"/>
      <w:bookmarkEnd w:id="407"/>
      <w:bookmarkStart w:id="408" w:name="_Toc184313283"/>
      <w:bookmarkEnd w:id="408"/>
      <w:bookmarkStart w:id="409" w:name="_Toc184308099"/>
      <w:bookmarkEnd w:id="409"/>
      <w:bookmarkStart w:id="410" w:name="_Toc184308076"/>
      <w:bookmarkEnd w:id="410"/>
      <w:bookmarkStart w:id="411" w:name="_Toc184313304"/>
      <w:bookmarkEnd w:id="411"/>
      <w:bookmarkStart w:id="412" w:name="_Toc184310312"/>
      <w:bookmarkEnd w:id="412"/>
      <w:bookmarkStart w:id="413" w:name="_Toc184310275"/>
      <w:bookmarkEnd w:id="413"/>
      <w:bookmarkStart w:id="414" w:name="_Toc184312138"/>
      <w:bookmarkEnd w:id="414"/>
      <w:bookmarkStart w:id="415" w:name="_Toc184312098"/>
      <w:bookmarkEnd w:id="415"/>
      <w:bookmarkStart w:id="416" w:name="_Toc184312120"/>
      <w:bookmarkEnd w:id="416"/>
      <w:bookmarkStart w:id="417" w:name="_Toc184314410"/>
      <w:bookmarkEnd w:id="417"/>
      <w:bookmarkStart w:id="418" w:name="_Toc184314453"/>
      <w:bookmarkEnd w:id="418"/>
      <w:bookmarkStart w:id="419" w:name="_Toc184313275"/>
      <w:bookmarkEnd w:id="419"/>
      <w:bookmarkStart w:id="420" w:name="_Toc184312082"/>
      <w:bookmarkEnd w:id="420"/>
      <w:bookmarkStart w:id="421" w:name="_Toc184313258"/>
      <w:bookmarkEnd w:id="421"/>
      <w:bookmarkStart w:id="422" w:name="_Toc184314457"/>
      <w:bookmarkEnd w:id="422"/>
      <w:bookmarkStart w:id="423" w:name="_Toc184310319"/>
      <w:bookmarkEnd w:id="423"/>
      <w:bookmarkStart w:id="424" w:name="_Toc184308080"/>
      <w:bookmarkEnd w:id="424"/>
      <w:bookmarkStart w:id="425" w:name="_Toc184314443"/>
      <w:bookmarkEnd w:id="425"/>
      <w:bookmarkStart w:id="426" w:name="_Toc184308098"/>
      <w:bookmarkEnd w:id="426"/>
      <w:bookmarkStart w:id="427" w:name="_Toc184312085"/>
      <w:bookmarkEnd w:id="427"/>
      <w:bookmarkStart w:id="428" w:name="_Toc184312088"/>
      <w:bookmarkEnd w:id="428"/>
      <w:bookmarkStart w:id="429" w:name="_Toc184308065"/>
      <w:bookmarkEnd w:id="429"/>
      <w:bookmarkStart w:id="430" w:name="_Toc184310334"/>
      <w:bookmarkEnd w:id="430"/>
      <w:bookmarkStart w:id="431" w:name="_Toc184310304"/>
      <w:bookmarkEnd w:id="431"/>
      <w:bookmarkStart w:id="432" w:name="_Toc184314471"/>
      <w:bookmarkEnd w:id="432"/>
      <w:bookmarkStart w:id="433" w:name="_Toc184312132"/>
      <w:bookmarkEnd w:id="433"/>
      <w:bookmarkStart w:id="434" w:name="_Toc184314481"/>
      <w:bookmarkEnd w:id="434"/>
      <w:bookmarkStart w:id="435" w:name="_Toc184313252"/>
      <w:bookmarkEnd w:id="435"/>
      <w:bookmarkStart w:id="436" w:name="_Toc184312094"/>
      <w:bookmarkEnd w:id="436"/>
      <w:bookmarkStart w:id="437" w:name="_Toc184313280"/>
      <w:bookmarkEnd w:id="437"/>
      <w:bookmarkStart w:id="438" w:name="_Toc184314432"/>
      <w:bookmarkEnd w:id="438"/>
      <w:bookmarkStart w:id="439" w:name="_Toc184314422"/>
      <w:bookmarkEnd w:id="439"/>
      <w:bookmarkStart w:id="440" w:name="_Toc184313278"/>
      <w:bookmarkEnd w:id="440"/>
      <w:bookmarkStart w:id="441" w:name="_Toc184308107"/>
      <w:bookmarkEnd w:id="441"/>
      <w:bookmarkStart w:id="442" w:name="_Toc184310294"/>
      <w:bookmarkEnd w:id="442"/>
      <w:bookmarkStart w:id="443" w:name="_Toc184313270"/>
      <w:bookmarkEnd w:id="443"/>
      <w:bookmarkStart w:id="444" w:name="_Toc184308037"/>
      <w:bookmarkEnd w:id="444"/>
      <w:bookmarkStart w:id="445" w:name="_Toc184314466"/>
      <w:bookmarkEnd w:id="445"/>
      <w:bookmarkStart w:id="446" w:name="_Toc184313295"/>
      <w:bookmarkEnd w:id="446"/>
      <w:bookmarkStart w:id="447" w:name="_Toc184308067"/>
      <w:bookmarkEnd w:id="447"/>
      <w:bookmarkStart w:id="448" w:name="_Toc184314480"/>
      <w:bookmarkEnd w:id="448"/>
      <w:bookmarkStart w:id="449" w:name="_Toc184313291"/>
      <w:bookmarkEnd w:id="449"/>
      <w:bookmarkStart w:id="450" w:name="_Toc184314415"/>
      <w:bookmarkEnd w:id="450"/>
      <w:bookmarkStart w:id="451" w:name="_Toc184312080"/>
      <w:bookmarkEnd w:id="451"/>
      <w:bookmarkStart w:id="452" w:name="_Toc184308093"/>
      <w:bookmarkEnd w:id="452"/>
      <w:bookmarkStart w:id="453" w:name="_Toc184312123"/>
      <w:bookmarkEnd w:id="453"/>
      <w:r>
        <w:rPr>
          <w:rFonts w:hint="eastAsia" w:ascii="宋体" w:hAnsi="宋体" w:cs="宋体"/>
          <w:color w:val="auto"/>
          <w:sz w:val="36"/>
          <w:szCs w:val="36"/>
          <w:highlight w:val="none"/>
        </w:rPr>
        <w:t>评标办法</w:t>
      </w:r>
    </w:p>
    <w:p w14:paraId="5BBDE499">
      <w:pPr>
        <w:pStyle w:val="4"/>
        <w:ind w:left="420"/>
        <w:jc w:val="center"/>
        <w:rPr>
          <w:rFonts w:hint="eastAsia" w:ascii="宋体" w:hAnsi="宋体" w:eastAsia="宋体"/>
          <w:b w:val="0"/>
          <w:color w:val="auto"/>
          <w:sz w:val="32"/>
          <w:szCs w:val="20"/>
          <w:highlight w:val="none"/>
        </w:rPr>
      </w:pPr>
      <w:r>
        <w:rPr>
          <w:rFonts w:hint="eastAsia" w:ascii="宋体" w:hAnsi="宋体" w:eastAsia="宋体"/>
          <w:color w:val="auto"/>
          <w:sz w:val="32"/>
          <w:szCs w:val="20"/>
          <w:highlight w:val="none"/>
        </w:rPr>
        <w:t>评标办法前附表</w:t>
      </w:r>
    </w:p>
    <w:tbl>
      <w:tblPr>
        <w:tblStyle w:val="20"/>
        <w:tblW w:w="9687" w:type="dxa"/>
        <w:tblInd w:w="0" w:type="dxa"/>
        <w:tblLayout w:type="fixed"/>
        <w:tblCellMar>
          <w:top w:w="15" w:type="dxa"/>
          <w:left w:w="15" w:type="dxa"/>
          <w:bottom w:w="15" w:type="dxa"/>
          <w:right w:w="15" w:type="dxa"/>
        </w:tblCellMar>
      </w:tblPr>
      <w:tblGrid>
        <w:gridCol w:w="926"/>
        <w:gridCol w:w="7984"/>
        <w:gridCol w:w="777"/>
      </w:tblGrid>
      <w:tr w14:paraId="7799D071">
        <w:tblPrEx>
          <w:tblCellMar>
            <w:top w:w="15" w:type="dxa"/>
            <w:left w:w="15" w:type="dxa"/>
            <w:bottom w:w="15" w:type="dxa"/>
            <w:right w:w="15" w:type="dxa"/>
          </w:tblCellMar>
        </w:tblPrEx>
        <w:trPr>
          <w:trHeight w:val="23" w:hRule="atLeast"/>
          <w:tblHeader/>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97595C3">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序号</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A6D4EEF">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评标标准</w:t>
            </w:r>
          </w:p>
        </w:tc>
        <w:tc>
          <w:tcPr>
            <w:tcW w:w="77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CD23944">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权重</w:t>
            </w:r>
          </w:p>
        </w:tc>
      </w:tr>
      <w:tr w14:paraId="33ADFD4B">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E091FBB">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A222431">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rPr>
              <w:t>有效投标报价的最低价作为评标基准价，其最低报价为满分；按［投标报价得分=（评标基准价/投标报价）*20］的计算公式计算。</w:t>
            </w:r>
          </w:p>
          <w:p w14:paraId="356E53DF">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rPr>
              <w:t>评标过程中，不得去掉报价中的最高报价和最低报价。</w:t>
            </w:r>
          </w:p>
          <w:p w14:paraId="580478E5">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rPr>
              <w:t>因落实政府采购政策需要进行价格调整的，以调整后的价格计算评标基准价和投标报价。</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2BD279B3">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20</w:t>
            </w:r>
          </w:p>
        </w:tc>
      </w:tr>
      <w:tr w14:paraId="4E467CD3">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59C43D">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1</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5FA979">
            <w:pPr>
              <w:pStyle w:val="18"/>
              <w:adjustRightInd w:val="0"/>
              <w:spacing w:before="0" w:beforeAutospacing="0" w:after="0" w:afterAutospacing="0" w:line="252" w:lineRule="auto"/>
              <w:jc w:val="both"/>
              <w:rPr>
                <w:rFonts w:hint="eastAsia" w:cs="宋体"/>
                <w:b/>
                <w:bCs/>
                <w:color w:val="auto"/>
                <w:szCs w:val="24"/>
                <w:highlight w:val="none"/>
              </w:rPr>
            </w:pPr>
            <w:r>
              <w:rPr>
                <w:rFonts w:hint="eastAsia" w:cs="宋体"/>
                <w:b/>
                <w:bCs/>
                <w:color w:val="auto"/>
                <w:szCs w:val="24"/>
                <w:highlight w:val="none"/>
              </w:rPr>
              <w:t>商务资信分</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1D2951F9">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color w:val="auto"/>
                <w:szCs w:val="24"/>
                <w:highlight w:val="none"/>
              </w:rPr>
              <w:t>/</w:t>
            </w:r>
          </w:p>
        </w:tc>
      </w:tr>
      <w:tr w14:paraId="0AA77228">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6E6C94A">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1.1</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C90D772">
            <w:pPr>
              <w:pStyle w:val="18"/>
              <w:adjustRightInd w:val="0"/>
              <w:spacing w:before="0" w:beforeAutospacing="0" w:after="0" w:afterAutospacing="0" w:line="252" w:lineRule="auto"/>
              <w:jc w:val="both"/>
              <w:rPr>
                <w:rFonts w:hint="eastAsia" w:cs="宋体"/>
                <w:color w:val="auto"/>
                <w:szCs w:val="24"/>
                <w:highlight w:val="none"/>
                <w:shd w:val="clear" w:color="auto" w:fill="auto"/>
              </w:rPr>
            </w:pPr>
            <w:r>
              <w:rPr>
                <w:rFonts w:hint="eastAsia" w:cs="宋体"/>
                <w:color w:val="auto"/>
                <w:szCs w:val="24"/>
                <w:highlight w:val="none"/>
                <w:shd w:val="clear" w:color="auto" w:fill="auto"/>
              </w:rPr>
              <w:t>【客观】202</w:t>
            </w:r>
            <w:r>
              <w:rPr>
                <w:rFonts w:hint="eastAsia" w:cs="宋体"/>
                <w:color w:val="auto"/>
                <w:szCs w:val="24"/>
                <w:highlight w:val="none"/>
                <w:shd w:val="clear" w:color="auto" w:fill="auto"/>
                <w:lang w:val="en-US" w:eastAsia="zh-CN"/>
              </w:rPr>
              <w:t>0</w:t>
            </w:r>
            <w:r>
              <w:rPr>
                <w:rFonts w:hint="eastAsia" w:cs="宋体"/>
                <w:color w:val="auto"/>
                <w:szCs w:val="24"/>
                <w:highlight w:val="none"/>
                <w:shd w:val="clear" w:color="auto" w:fill="auto"/>
              </w:rPr>
              <w:t>年1月1日（以合同签订时间为准）以来承揽过大型泵站工程运行维护管理项目</w:t>
            </w:r>
            <w:r>
              <w:rPr>
                <w:rFonts w:hint="eastAsia" w:cs="宋体"/>
                <w:color w:val="auto"/>
                <w:szCs w:val="24"/>
                <w:highlight w:val="none"/>
                <w:shd w:val="clear" w:color="auto" w:fill="auto"/>
                <w:lang w:val="en-US" w:eastAsia="zh-CN"/>
              </w:rPr>
              <w:t>或</w:t>
            </w:r>
            <w:r>
              <w:rPr>
                <w:rFonts w:hint="eastAsia" w:cs="宋体"/>
                <w:color w:val="auto"/>
                <w:szCs w:val="24"/>
                <w:highlight w:val="none"/>
                <w:shd w:val="clear" w:color="auto" w:fill="auto"/>
              </w:rPr>
              <w:t>大型泵站工程机电设备安装项目的业绩，</w:t>
            </w:r>
            <w:r>
              <w:rPr>
                <w:rFonts w:hint="eastAsia" w:cs="宋体"/>
                <w:color w:val="auto"/>
                <w:szCs w:val="24"/>
                <w:highlight w:val="none"/>
                <w:shd w:val="clear" w:color="auto" w:fill="auto"/>
                <w:lang w:val="en-US" w:eastAsia="zh-CN"/>
              </w:rPr>
              <w:t>每项业绩</w:t>
            </w:r>
            <w:r>
              <w:rPr>
                <w:rFonts w:hint="eastAsia" w:cs="宋体"/>
                <w:color w:val="auto"/>
                <w:szCs w:val="24"/>
                <w:highlight w:val="none"/>
                <w:shd w:val="clear" w:color="auto" w:fill="auto"/>
              </w:rPr>
              <w:t>得</w:t>
            </w:r>
            <w:r>
              <w:rPr>
                <w:rFonts w:hint="eastAsia" w:cs="宋体"/>
                <w:color w:val="auto"/>
                <w:szCs w:val="24"/>
                <w:highlight w:val="none"/>
                <w:shd w:val="clear" w:color="auto" w:fill="auto"/>
                <w:lang w:val="en-US" w:eastAsia="zh-CN"/>
              </w:rPr>
              <w:t>1.5</w:t>
            </w:r>
            <w:r>
              <w:rPr>
                <w:rFonts w:hint="eastAsia" w:cs="宋体"/>
                <w:color w:val="auto"/>
                <w:szCs w:val="24"/>
                <w:highlight w:val="none"/>
                <w:shd w:val="clear" w:color="auto" w:fill="auto"/>
              </w:rPr>
              <w:t>分；本项最多得</w:t>
            </w:r>
            <w:r>
              <w:rPr>
                <w:rFonts w:hint="eastAsia" w:cs="宋体"/>
                <w:color w:val="auto"/>
                <w:szCs w:val="24"/>
                <w:highlight w:val="none"/>
                <w:shd w:val="clear" w:color="auto" w:fill="auto"/>
                <w:lang w:val="en-US" w:eastAsia="zh-CN"/>
              </w:rPr>
              <w:t>1.5</w:t>
            </w:r>
            <w:r>
              <w:rPr>
                <w:rFonts w:hint="eastAsia" w:cs="宋体"/>
                <w:color w:val="auto"/>
                <w:szCs w:val="24"/>
                <w:highlight w:val="none"/>
                <w:shd w:val="clear" w:color="auto" w:fill="auto"/>
              </w:rPr>
              <w:t>分。类似业绩泵站规模按照GB50265规定。（证明材料：合同和完工验收材料</w:t>
            </w:r>
            <w:r>
              <w:rPr>
                <w:rFonts w:hint="eastAsia" w:cs="宋体"/>
                <w:color w:val="auto"/>
                <w:szCs w:val="24"/>
                <w:highlight w:val="none"/>
                <w:shd w:val="clear" w:color="auto" w:fill="auto"/>
                <w:lang w:val="en-US" w:eastAsia="zh-CN"/>
              </w:rPr>
              <w:t>加盖公章</w:t>
            </w:r>
            <w:r>
              <w:rPr>
                <w:rFonts w:hint="eastAsia" w:cs="宋体"/>
                <w:color w:val="auto"/>
                <w:szCs w:val="24"/>
                <w:highlight w:val="none"/>
                <w:shd w:val="clear" w:color="auto" w:fill="auto"/>
              </w:rPr>
              <w:t>）</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7ECD2612">
            <w:pPr>
              <w:pStyle w:val="18"/>
              <w:adjustRightInd w:val="0"/>
              <w:spacing w:before="0" w:beforeAutospacing="0" w:after="0" w:afterAutospacing="0" w:line="252" w:lineRule="auto"/>
              <w:jc w:val="center"/>
              <w:rPr>
                <w:rFonts w:hint="default" w:eastAsia="宋体" w:cs="宋体"/>
                <w:color w:val="auto"/>
                <w:szCs w:val="24"/>
                <w:highlight w:val="none"/>
                <w:shd w:val="clear" w:color="auto" w:fill="auto"/>
                <w:lang w:val="en-US" w:eastAsia="zh-CN"/>
              </w:rPr>
            </w:pPr>
            <w:r>
              <w:rPr>
                <w:rFonts w:hint="eastAsia" w:cs="宋体"/>
                <w:color w:val="auto"/>
                <w:szCs w:val="24"/>
                <w:highlight w:val="none"/>
                <w:shd w:val="clear" w:color="auto" w:fill="auto"/>
                <w:lang w:val="en-US" w:eastAsia="zh-CN"/>
              </w:rPr>
              <w:t>1.5</w:t>
            </w:r>
          </w:p>
        </w:tc>
      </w:tr>
      <w:tr w14:paraId="56FF5EA4">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E2892ED">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1.2</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3C446F7">
            <w:pPr>
              <w:pStyle w:val="18"/>
              <w:adjustRightInd w:val="0"/>
              <w:spacing w:before="0" w:beforeAutospacing="0" w:after="0" w:afterAutospacing="0" w:line="252" w:lineRule="auto"/>
              <w:jc w:val="both"/>
              <w:rPr>
                <w:rFonts w:hint="eastAsia" w:cs="宋体"/>
                <w:color w:val="auto"/>
                <w:szCs w:val="24"/>
                <w:highlight w:val="none"/>
                <w:shd w:val="clear" w:color="auto" w:fill="auto"/>
              </w:rPr>
            </w:pPr>
            <w:r>
              <w:rPr>
                <w:rFonts w:hint="eastAsia" w:cs="宋体"/>
                <w:color w:val="auto"/>
                <w:szCs w:val="24"/>
                <w:highlight w:val="none"/>
                <w:shd w:val="clear" w:color="auto" w:fill="auto"/>
              </w:rPr>
              <w:t>【客观】投标人具有有效的泵站工程运行服务管理类相关甲级证书的得2分，具有有效的泵站工程运行服务管理类相关乙级证书的得1分，最多得2分。（证明材料：证书</w:t>
            </w:r>
            <w:r>
              <w:rPr>
                <w:rFonts w:hint="eastAsia" w:cs="宋体"/>
                <w:color w:val="auto"/>
                <w:szCs w:val="24"/>
                <w:highlight w:val="none"/>
                <w:shd w:val="clear" w:color="auto" w:fill="auto"/>
                <w:lang w:val="en-US" w:eastAsia="zh-CN"/>
              </w:rPr>
              <w:t>加盖公章</w:t>
            </w:r>
            <w:r>
              <w:rPr>
                <w:rFonts w:hint="eastAsia" w:cs="宋体"/>
                <w:color w:val="auto"/>
                <w:szCs w:val="24"/>
                <w:highlight w:val="none"/>
                <w:shd w:val="clear" w:color="auto" w:fill="auto"/>
              </w:rPr>
              <w:t>）</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7EAEBB9B">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2</w:t>
            </w:r>
          </w:p>
        </w:tc>
      </w:tr>
      <w:tr w14:paraId="0CE3B077">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27B5FE">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1.3</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609A3FF">
            <w:pPr>
              <w:pStyle w:val="18"/>
              <w:adjustRightInd w:val="0"/>
              <w:spacing w:before="0" w:beforeAutospacing="0" w:after="0" w:afterAutospacing="0" w:line="252" w:lineRule="auto"/>
              <w:jc w:val="both"/>
              <w:rPr>
                <w:rFonts w:hint="eastAsia" w:cs="宋体"/>
                <w:color w:val="auto"/>
                <w:szCs w:val="24"/>
                <w:highlight w:val="none"/>
                <w:shd w:val="clear" w:color="auto" w:fill="auto"/>
              </w:rPr>
            </w:pPr>
            <w:r>
              <w:rPr>
                <w:rFonts w:hint="eastAsia" w:cs="宋体"/>
                <w:color w:val="auto"/>
                <w:szCs w:val="24"/>
                <w:highlight w:val="none"/>
                <w:shd w:val="clear" w:color="auto" w:fill="auto"/>
              </w:rPr>
              <w:t>【客观】投标人具有质量管理体系、环境管理体系、职业健康安全管理体系，每证得</w:t>
            </w:r>
            <w:r>
              <w:rPr>
                <w:rFonts w:hint="eastAsia" w:cs="宋体"/>
                <w:color w:val="auto"/>
                <w:szCs w:val="24"/>
                <w:highlight w:val="none"/>
                <w:shd w:val="clear" w:color="auto" w:fill="auto"/>
                <w:lang w:val="en-US" w:eastAsia="zh-CN"/>
              </w:rPr>
              <w:t>0.5</w:t>
            </w:r>
            <w:r>
              <w:rPr>
                <w:rFonts w:hint="eastAsia" w:cs="宋体"/>
                <w:color w:val="auto"/>
                <w:szCs w:val="24"/>
                <w:highlight w:val="none"/>
                <w:shd w:val="clear" w:color="auto" w:fill="auto"/>
              </w:rPr>
              <w:t>分，最高得</w:t>
            </w:r>
            <w:r>
              <w:rPr>
                <w:rFonts w:hint="eastAsia" w:cs="宋体"/>
                <w:color w:val="auto"/>
                <w:szCs w:val="24"/>
                <w:highlight w:val="none"/>
                <w:shd w:val="clear" w:color="auto" w:fill="auto"/>
                <w:lang w:val="en-US" w:eastAsia="zh-CN"/>
              </w:rPr>
              <w:t>1</w:t>
            </w:r>
            <w:r>
              <w:rPr>
                <w:rFonts w:hint="eastAsia" w:cs="宋体"/>
                <w:color w:val="auto"/>
                <w:szCs w:val="24"/>
                <w:highlight w:val="none"/>
                <w:shd w:val="clear" w:color="auto" w:fill="auto"/>
              </w:rPr>
              <w:t>分。</w:t>
            </w:r>
            <w:r>
              <w:rPr>
                <w:rFonts w:hint="eastAsia" w:cs="宋体"/>
                <w:color w:val="auto"/>
                <w:szCs w:val="24"/>
                <w:highlight w:val="none"/>
                <w:shd w:val="clear" w:color="auto" w:fill="auto"/>
                <w:lang w:eastAsia="zh-CN"/>
              </w:rPr>
              <w:t>（</w:t>
            </w:r>
            <w:r>
              <w:rPr>
                <w:rFonts w:hint="eastAsia" w:cs="宋体"/>
                <w:color w:val="auto"/>
                <w:szCs w:val="24"/>
                <w:highlight w:val="none"/>
                <w:shd w:val="clear" w:color="auto" w:fill="auto"/>
                <w:lang w:val="en-US" w:eastAsia="zh-CN"/>
              </w:rPr>
              <w:t>证明材料：</w:t>
            </w:r>
            <w:r>
              <w:rPr>
                <w:rFonts w:hint="eastAsia" w:cs="宋体"/>
                <w:color w:val="auto"/>
                <w:szCs w:val="24"/>
                <w:highlight w:val="none"/>
                <w:shd w:val="clear" w:color="auto" w:fill="auto"/>
              </w:rPr>
              <w:t>有效证书加盖公章</w:t>
            </w:r>
            <w:r>
              <w:rPr>
                <w:rFonts w:hint="eastAsia" w:cs="宋体"/>
                <w:color w:val="auto"/>
                <w:szCs w:val="24"/>
                <w:highlight w:val="none"/>
                <w:shd w:val="clear" w:color="auto" w:fill="auto"/>
                <w:lang w:eastAsia="zh-CN"/>
              </w:rPr>
              <w:t>）</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65CD001B">
            <w:pPr>
              <w:pStyle w:val="18"/>
              <w:adjustRightInd w:val="0"/>
              <w:spacing w:before="0" w:beforeAutospacing="0" w:after="0" w:afterAutospacing="0" w:line="252" w:lineRule="auto"/>
              <w:jc w:val="center"/>
              <w:rPr>
                <w:rFonts w:hint="eastAsia" w:eastAsia="宋体" w:cs="宋体"/>
                <w:color w:val="auto"/>
                <w:szCs w:val="24"/>
                <w:highlight w:val="none"/>
                <w:shd w:val="clear" w:color="auto" w:fill="auto"/>
                <w:lang w:eastAsia="zh-CN"/>
              </w:rPr>
            </w:pPr>
            <w:r>
              <w:rPr>
                <w:rFonts w:hint="eastAsia" w:cs="宋体"/>
                <w:color w:val="auto"/>
                <w:szCs w:val="24"/>
                <w:highlight w:val="none"/>
                <w:shd w:val="clear" w:color="auto" w:fill="auto"/>
                <w:lang w:val="en-US" w:eastAsia="zh-CN"/>
              </w:rPr>
              <w:t>1</w:t>
            </w:r>
          </w:p>
        </w:tc>
      </w:tr>
      <w:tr w14:paraId="20F889F3">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AA8E45">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1.4</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ECFC51">
            <w:pPr>
              <w:pStyle w:val="18"/>
              <w:adjustRightInd w:val="0"/>
              <w:spacing w:before="0" w:beforeAutospacing="0" w:after="0" w:afterAutospacing="0" w:line="252" w:lineRule="auto"/>
              <w:jc w:val="both"/>
              <w:rPr>
                <w:rFonts w:hint="eastAsia" w:cs="宋体"/>
                <w:color w:val="auto"/>
                <w:szCs w:val="24"/>
                <w:highlight w:val="none"/>
                <w:shd w:val="clear" w:color="auto" w:fill="auto"/>
              </w:rPr>
            </w:pPr>
            <w:r>
              <w:rPr>
                <w:rFonts w:hint="eastAsia" w:cs="宋体"/>
                <w:color w:val="auto"/>
                <w:szCs w:val="24"/>
                <w:highlight w:val="none"/>
                <w:shd w:val="clear" w:color="auto" w:fill="auto"/>
              </w:rPr>
              <w:t>【客观】投标人获得大型泵站运维相关荣誉</w:t>
            </w:r>
            <w:r>
              <w:rPr>
                <w:rFonts w:hint="eastAsia" w:cs="宋体"/>
                <w:color w:val="auto"/>
                <w:szCs w:val="24"/>
                <w:highlight w:val="none"/>
                <w:shd w:val="clear" w:color="auto" w:fill="auto"/>
                <w:lang w:val="en-US" w:eastAsia="zh-CN"/>
              </w:rPr>
              <w:t>（包含运维项目合同考核优秀等）</w:t>
            </w:r>
            <w:r>
              <w:rPr>
                <w:rFonts w:hint="eastAsia" w:cs="宋体"/>
                <w:color w:val="auto"/>
                <w:szCs w:val="24"/>
                <w:highlight w:val="none"/>
                <w:shd w:val="clear" w:color="auto" w:fill="auto"/>
              </w:rPr>
              <w:t>的得1分，最高得1分。</w:t>
            </w:r>
            <w:r>
              <w:rPr>
                <w:rFonts w:hint="eastAsia" w:cs="宋体"/>
                <w:color w:val="auto"/>
                <w:szCs w:val="24"/>
                <w:highlight w:val="none"/>
                <w:shd w:val="clear" w:color="auto" w:fill="auto"/>
                <w:lang w:eastAsia="zh-CN"/>
              </w:rPr>
              <w:t>（</w:t>
            </w:r>
            <w:r>
              <w:rPr>
                <w:rFonts w:hint="eastAsia" w:cs="宋体"/>
                <w:color w:val="auto"/>
                <w:szCs w:val="24"/>
                <w:highlight w:val="none"/>
                <w:shd w:val="clear" w:color="auto" w:fill="auto"/>
                <w:lang w:val="en-US" w:eastAsia="zh-CN"/>
              </w:rPr>
              <w:t>证明材料：</w:t>
            </w:r>
            <w:r>
              <w:rPr>
                <w:rFonts w:hint="eastAsia" w:cs="宋体"/>
                <w:color w:val="auto"/>
                <w:szCs w:val="24"/>
                <w:highlight w:val="none"/>
                <w:shd w:val="clear" w:color="auto" w:fill="auto"/>
              </w:rPr>
              <w:t>有效</w:t>
            </w:r>
            <w:r>
              <w:rPr>
                <w:rFonts w:hint="eastAsia" w:cs="宋体"/>
                <w:color w:val="auto"/>
                <w:szCs w:val="24"/>
                <w:highlight w:val="none"/>
                <w:shd w:val="clear" w:color="auto" w:fill="auto"/>
                <w:lang w:val="en-US" w:eastAsia="zh-CN"/>
              </w:rPr>
              <w:t>证明材料</w:t>
            </w:r>
            <w:r>
              <w:rPr>
                <w:rFonts w:hint="eastAsia" w:cs="宋体"/>
                <w:color w:val="auto"/>
                <w:szCs w:val="24"/>
                <w:highlight w:val="none"/>
                <w:shd w:val="clear" w:color="auto" w:fill="auto"/>
              </w:rPr>
              <w:t>加盖公章</w:t>
            </w:r>
            <w:r>
              <w:rPr>
                <w:rFonts w:hint="eastAsia" w:cs="宋体"/>
                <w:color w:val="auto"/>
                <w:szCs w:val="24"/>
                <w:highlight w:val="none"/>
                <w:shd w:val="clear" w:color="auto" w:fill="auto"/>
                <w:lang w:eastAsia="zh-CN"/>
              </w:rPr>
              <w:t>）</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32CEB5F2">
            <w:pPr>
              <w:pStyle w:val="18"/>
              <w:adjustRightInd w:val="0"/>
              <w:spacing w:before="0" w:beforeAutospacing="0" w:after="0" w:afterAutospacing="0" w:line="252" w:lineRule="auto"/>
              <w:jc w:val="center"/>
              <w:rPr>
                <w:rFonts w:hint="eastAsia" w:cs="宋体"/>
                <w:color w:val="auto"/>
                <w:szCs w:val="24"/>
                <w:highlight w:val="none"/>
                <w:shd w:val="clear" w:color="auto" w:fill="auto"/>
              </w:rPr>
            </w:pPr>
            <w:r>
              <w:rPr>
                <w:rFonts w:hint="eastAsia" w:cs="宋体"/>
                <w:color w:val="auto"/>
                <w:szCs w:val="24"/>
                <w:highlight w:val="none"/>
                <w:shd w:val="clear" w:color="auto" w:fill="auto"/>
              </w:rPr>
              <w:t>1</w:t>
            </w:r>
          </w:p>
        </w:tc>
      </w:tr>
      <w:tr w14:paraId="71BC4196">
        <w:tblPrEx>
          <w:tblCellMar>
            <w:top w:w="15" w:type="dxa"/>
            <w:left w:w="15" w:type="dxa"/>
            <w:bottom w:w="15" w:type="dxa"/>
            <w:right w:w="15" w:type="dxa"/>
          </w:tblCellMar>
        </w:tblPrEx>
        <w:trPr>
          <w:trHeight w:val="90"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5BFB2DC">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2</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E615920">
            <w:pPr>
              <w:pStyle w:val="18"/>
              <w:adjustRightInd w:val="0"/>
              <w:spacing w:before="0" w:beforeAutospacing="0" w:after="0" w:afterAutospacing="0" w:line="252" w:lineRule="auto"/>
              <w:jc w:val="both"/>
              <w:rPr>
                <w:rFonts w:hint="eastAsia" w:cs="宋体"/>
                <w:b/>
                <w:bCs/>
                <w:color w:val="auto"/>
                <w:szCs w:val="24"/>
                <w:highlight w:val="none"/>
              </w:rPr>
            </w:pPr>
            <w:r>
              <w:rPr>
                <w:rFonts w:hint="eastAsia" w:cs="宋体"/>
                <w:b/>
                <w:bCs/>
                <w:color w:val="auto"/>
                <w:szCs w:val="24"/>
                <w:highlight w:val="none"/>
              </w:rPr>
              <w:t>需求分析</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166B6B47">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w:t>
            </w:r>
          </w:p>
        </w:tc>
      </w:tr>
      <w:tr w14:paraId="038B599B">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1550C4">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2.1</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703E830">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rPr>
              <w:t>根据项目运维内容，结合自身经验，就项目需求进行分析阐述，</w:t>
            </w:r>
            <w:r>
              <w:rPr>
                <w:rFonts w:hint="eastAsia" w:cs="宋体"/>
                <w:bCs/>
                <w:color w:val="auto"/>
                <w:szCs w:val="24"/>
                <w:highlight w:val="none"/>
              </w:rPr>
              <w:t>需求理解分析详细全面准确得</w:t>
            </w:r>
            <w:r>
              <w:rPr>
                <w:rFonts w:hint="eastAsia" w:cs="宋体"/>
                <w:bCs/>
                <w:color w:val="auto"/>
                <w:szCs w:val="24"/>
                <w:highlight w:val="none"/>
                <w:lang w:val="en-US" w:eastAsia="zh-CN"/>
              </w:rPr>
              <w:t>4</w:t>
            </w:r>
            <w:r>
              <w:rPr>
                <w:rFonts w:hint="eastAsia" w:cs="宋体"/>
                <w:bCs/>
                <w:color w:val="auto"/>
                <w:szCs w:val="24"/>
                <w:highlight w:val="none"/>
              </w:rPr>
              <w:t>分，需求理解分析</w:t>
            </w:r>
            <w:r>
              <w:rPr>
                <w:rFonts w:hint="eastAsia" w:cs="宋体"/>
                <w:bCs/>
                <w:color w:val="auto"/>
                <w:szCs w:val="24"/>
                <w:highlight w:val="none"/>
                <w:lang w:val="en-US" w:eastAsia="zh-CN"/>
              </w:rPr>
              <w:t>全面</w:t>
            </w:r>
            <w:r>
              <w:rPr>
                <w:rFonts w:hint="eastAsia" w:cs="宋体"/>
                <w:bCs/>
                <w:color w:val="auto"/>
                <w:szCs w:val="24"/>
                <w:highlight w:val="none"/>
              </w:rPr>
              <w:t>准确</w:t>
            </w:r>
            <w:r>
              <w:rPr>
                <w:rFonts w:hint="eastAsia" w:cs="宋体"/>
                <w:bCs/>
                <w:color w:val="auto"/>
                <w:szCs w:val="24"/>
                <w:highlight w:val="none"/>
                <w:lang w:val="en-US" w:eastAsia="zh-CN"/>
              </w:rPr>
              <w:t>内容</w:t>
            </w:r>
            <w:r>
              <w:rPr>
                <w:rFonts w:hint="eastAsia" w:cs="宋体"/>
                <w:bCs/>
                <w:color w:val="auto"/>
                <w:szCs w:val="24"/>
                <w:highlight w:val="none"/>
              </w:rPr>
              <w:t>简略得</w:t>
            </w:r>
            <w:r>
              <w:rPr>
                <w:rFonts w:hint="eastAsia" w:cs="宋体"/>
                <w:bCs/>
                <w:color w:val="auto"/>
                <w:szCs w:val="24"/>
                <w:highlight w:val="none"/>
                <w:lang w:val="en-US" w:eastAsia="zh-CN"/>
              </w:rPr>
              <w:t>3</w:t>
            </w:r>
            <w:r>
              <w:rPr>
                <w:rFonts w:hint="eastAsia" w:cs="宋体"/>
                <w:bCs/>
                <w:color w:val="auto"/>
                <w:szCs w:val="24"/>
                <w:highlight w:val="none"/>
              </w:rPr>
              <w:t>分，需求理解分析</w:t>
            </w:r>
            <w:r>
              <w:rPr>
                <w:rFonts w:hint="eastAsia" w:cs="宋体"/>
                <w:bCs/>
                <w:color w:val="auto"/>
                <w:szCs w:val="24"/>
                <w:highlight w:val="none"/>
                <w:lang w:val="en-US" w:eastAsia="zh-CN"/>
              </w:rPr>
              <w:t>内容不全面得2分，</w:t>
            </w:r>
            <w:r>
              <w:rPr>
                <w:rFonts w:hint="eastAsia" w:cs="宋体"/>
                <w:bCs/>
                <w:color w:val="auto"/>
                <w:szCs w:val="24"/>
                <w:highlight w:val="none"/>
              </w:rPr>
              <w:t>需求理解分析有明显偏差得</w:t>
            </w:r>
            <w:r>
              <w:rPr>
                <w:rFonts w:hint="eastAsia" w:cs="宋体"/>
                <w:bCs/>
                <w:color w:val="auto"/>
                <w:szCs w:val="24"/>
                <w:highlight w:val="none"/>
                <w:lang w:val="en-US" w:eastAsia="zh-CN"/>
              </w:rPr>
              <w:t>1</w:t>
            </w:r>
            <w:r>
              <w:rPr>
                <w:rFonts w:hint="eastAsia" w:cs="宋体"/>
                <w:bCs/>
                <w:color w:val="auto"/>
                <w:szCs w:val="24"/>
                <w:highlight w:val="none"/>
              </w:rPr>
              <w:t>分，需求理解分析不准确不得分。</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6EE6DF07">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lang w:val="en-US" w:eastAsia="zh-CN"/>
              </w:rPr>
              <w:t>4</w:t>
            </w:r>
          </w:p>
        </w:tc>
      </w:tr>
      <w:tr w14:paraId="3B24C741">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2B33B74">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2.2</w:t>
            </w:r>
          </w:p>
        </w:tc>
        <w:tc>
          <w:tcPr>
            <w:tcW w:w="79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1CEBE10">
            <w:pPr>
              <w:adjustRightInd w:val="0"/>
              <w:snapToGrid w:val="0"/>
              <w:spacing w:line="288" w:lineRule="auto"/>
              <w:rPr>
                <w:rFonts w:hint="eastAsia" w:ascii="宋体" w:hAnsi="宋体" w:cs="宋体"/>
                <w:bCs/>
                <w:color w:val="auto"/>
                <w:sz w:val="24"/>
                <w:szCs w:val="24"/>
                <w:highlight w:val="none"/>
              </w:rPr>
            </w:pPr>
            <w:r>
              <w:rPr>
                <w:rFonts w:hint="eastAsia" w:ascii="宋体" w:hAnsi="宋体" w:cs="宋体"/>
                <w:color w:val="auto"/>
                <w:kern w:val="0"/>
                <w:sz w:val="24"/>
                <w:szCs w:val="24"/>
                <w:highlight w:val="none"/>
              </w:rPr>
              <w:t>重</w:t>
            </w:r>
            <w:r>
              <w:rPr>
                <w:rFonts w:hint="eastAsia" w:ascii="宋体" w:hAnsi="宋体" w:cs="宋体"/>
                <w:bCs/>
                <w:color w:val="auto"/>
                <w:sz w:val="24"/>
                <w:szCs w:val="24"/>
                <w:highlight w:val="none"/>
              </w:rPr>
              <w:t>难点及措施：</w:t>
            </w:r>
          </w:p>
          <w:p w14:paraId="2C4D6774">
            <w:pPr>
              <w:adjustRightInd w:val="0"/>
              <w:snapToGrid w:val="0"/>
              <w:spacing w:line="288" w:lineRule="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（1）根据投标人对本项目的理解，是否有对重点、难点技术环节进行描述和分析。重难点分析完整全面合理得</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分，重难点分析稍有偏差得</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rPr>
              <w:t>分，重难点分析不合理不得分。</w:t>
            </w:r>
          </w:p>
          <w:p w14:paraId="5A95D5EA">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bCs/>
                <w:color w:val="auto"/>
                <w:szCs w:val="24"/>
                <w:highlight w:val="none"/>
              </w:rPr>
              <w:t>（2）根据重难点分析提出合理化建议，每条有利于项目实施的建议得</w:t>
            </w:r>
            <w:r>
              <w:rPr>
                <w:rFonts w:hint="eastAsia" w:cs="宋体"/>
                <w:bCs/>
                <w:color w:val="auto"/>
                <w:szCs w:val="24"/>
                <w:highlight w:val="none"/>
                <w:lang w:val="en-US" w:eastAsia="zh-CN"/>
              </w:rPr>
              <w:t>1</w:t>
            </w:r>
            <w:r>
              <w:rPr>
                <w:rFonts w:hint="eastAsia" w:cs="宋体"/>
                <w:bCs/>
                <w:color w:val="auto"/>
                <w:szCs w:val="24"/>
                <w:highlight w:val="none"/>
              </w:rPr>
              <w:t>分，最高得</w:t>
            </w:r>
            <w:r>
              <w:rPr>
                <w:rFonts w:hint="eastAsia" w:cs="宋体"/>
                <w:bCs/>
                <w:color w:val="auto"/>
                <w:szCs w:val="24"/>
                <w:highlight w:val="none"/>
                <w:lang w:val="en-US" w:eastAsia="zh-CN"/>
              </w:rPr>
              <w:t>2</w:t>
            </w:r>
            <w:r>
              <w:rPr>
                <w:rFonts w:hint="eastAsia" w:cs="宋体"/>
                <w:bCs/>
                <w:color w:val="auto"/>
                <w:szCs w:val="24"/>
                <w:highlight w:val="none"/>
              </w:rPr>
              <w:t>分。</w:t>
            </w:r>
          </w:p>
        </w:tc>
        <w:tc>
          <w:tcPr>
            <w:tcW w:w="777" w:type="dxa"/>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14:paraId="238F9599">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lang w:val="en-US" w:eastAsia="zh-CN"/>
              </w:rPr>
              <w:t>4</w:t>
            </w:r>
          </w:p>
        </w:tc>
      </w:tr>
      <w:tr w14:paraId="44E6D2E0">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00B267E">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3</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8C5BD8B">
            <w:pPr>
              <w:pStyle w:val="18"/>
              <w:adjustRightInd w:val="0"/>
              <w:spacing w:before="0" w:beforeAutospacing="0" w:after="0" w:afterAutospacing="0" w:line="252" w:lineRule="auto"/>
              <w:jc w:val="both"/>
              <w:rPr>
                <w:rFonts w:hint="eastAsia" w:cs="宋体"/>
                <w:b/>
                <w:bCs/>
                <w:color w:val="auto"/>
                <w:szCs w:val="24"/>
                <w:highlight w:val="none"/>
              </w:rPr>
            </w:pPr>
            <w:r>
              <w:rPr>
                <w:rFonts w:hint="eastAsia" w:cs="宋体"/>
                <w:b/>
                <w:bCs/>
                <w:color w:val="auto"/>
                <w:szCs w:val="24"/>
                <w:highlight w:val="none"/>
              </w:rPr>
              <w:t>日常运维服务</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2DA7780">
            <w:pPr>
              <w:pStyle w:val="18"/>
              <w:adjustRightInd w:val="0"/>
              <w:spacing w:before="0" w:beforeAutospacing="0" w:after="0" w:afterAutospacing="0" w:line="252" w:lineRule="auto"/>
              <w:jc w:val="center"/>
              <w:rPr>
                <w:rFonts w:hint="eastAsia" w:cs="宋体"/>
                <w:b/>
                <w:bCs/>
                <w:color w:val="auto"/>
                <w:szCs w:val="24"/>
                <w:highlight w:val="none"/>
              </w:rPr>
            </w:pPr>
            <w:r>
              <w:rPr>
                <w:rFonts w:hint="eastAsia" w:cs="宋体"/>
                <w:b/>
                <w:bCs/>
                <w:color w:val="auto"/>
                <w:szCs w:val="24"/>
                <w:highlight w:val="none"/>
              </w:rPr>
              <w:t>/</w:t>
            </w:r>
          </w:p>
        </w:tc>
      </w:tr>
      <w:tr w14:paraId="314D6E19">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BAC5686">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3.1</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DD2CDB4">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投标人的运行维修养护管理理念、体系的科学、合理、可操作性，现场服务机构设置方案是否合理。内容齐全完善、描述详细可实施性强得</w:t>
            </w:r>
            <w:r>
              <w:rPr>
                <w:rFonts w:hint="eastAsia" w:cs="宋体"/>
                <w:color w:val="auto"/>
                <w:szCs w:val="24"/>
                <w:highlight w:val="none"/>
              </w:rPr>
              <w:t>4</w:t>
            </w:r>
            <w:r>
              <w:rPr>
                <w:rFonts w:hint="eastAsia" w:cs="宋体"/>
                <w:color w:val="auto"/>
                <w:szCs w:val="24"/>
                <w:highlight w:val="none"/>
                <w:lang w:val="zh-CN"/>
              </w:rPr>
              <w:t>分，内容基本齐全、描述</w:t>
            </w:r>
            <w:r>
              <w:rPr>
                <w:rFonts w:hint="eastAsia" w:cs="宋体"/>
                <w:color w:val="auto"/>
                <w:szCs w:val="24"/>
                <w:highlight w:val="none"/>
              </w:rPr>
              <w:t>较</w:t>
            </w:r>
            <w:r>
              <w:rPr>
                <w:rFonts w:hint="eastAsia" w:cs="宋体"/>
                <w:color w:val="auto"/>
                <w:szCs w:val="24"/>
                <w:highlight w:val="none"/>
                <w:lang w:val="zh-CN"/>
              </w:rPr>
              <w:t>详细可实施得</w:t>
            </w:r>
            <w:r>
              <w:rPr>
                <w:rFonts w:hint="eastAsia" w:cs="宋体"/>
                <w:color w:val="auto"/>
                <w:szCs w:val="24"/>
                <w:highlight w:val="none"/>
              </w:rPr>
              <w:t>3</w:t>
            </w:r>
            <w:r>
              <w:rPr>
                <w:rFonts w:hint="eastAsia" w:cs="宋体"/>
                <w:color w:val="auto"/>
                <w:szCs w:val="24"/>
                <w:highlight w:val="none"/>
                <w:lang w:val="zh-CN"/>
              </w:rPr>
              <w:t>分，内容基本齐全、描述简略可实施得</w:t>
            </w:r>
            <w:r>
              <w:rPr>
                <w:rFonts w:hint="eastAsia" w:cs="宋体"/>
                <w:color w:val="auto"/>
                <w:szCs w:val="24"/>
                <w:highlight w:val="none"/>
              </w:rPr>
              <w:t>2</w:t>
            </w:r>
            <w:r>
              <w:rPr>
                <w:rFonts w:hint="eastAsia" w:cs="宋体"/>
                <w:color w:val="auto"/>
                <w:szCs w:val="24"/>
                <w:highlight w:val="none"/>
                <w:lang w:val="zh-CN"/>
              </w:rPr>
              <w:t>分，内容有缺陷需补充完善后实施得1分，无相关内容不得分。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3C491E">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4</w:t>
            </w:r>
          </w:p>
        </w:tc>
      </w:tr>
      <w:tr w14:paraId="3FDFDA70">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7E00E68">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3.2</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9257B9F">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运行、维护、管理制度齐全，可操作性强，</w:t>
            </w:r>
            <w:r>
              <w:rPr>
                <w:rFonts w:hint="eastAsia" w:cs="宋体"/>
                <w:color w:val="auto"/>
                <w:szCs w:val="24"/>
                <w:highlight w:val="none"/>
                <w:lang w:val="en-US" w:eastAsia="zh-CN"/>
              </w:rPr>
              <w:t>信息化管理水平高，有一定信息化运维平台基础</w:t>
            </w:r>
            <w:r>
              <w:rPr>
                <w:rFonts w:hint="eastAsia" w:cs="宋体"/>
                <w:color w:val="auto"/>
                <w:szCs w:val="24"/>
                <w:highlight w:val="none"/>
                <w:lang w:val="zh-CN"/>
              </w:rPr>
              <w:t>。内容齐全完善、描述详细可实施性强、</w:t>
            </w:r>
            <w:r>
              <w:rPr>
                <w:rFonts w:hint="eastAsia" w:cs="宋体"/>
                <w:color w:val="auto"/>
                <w:szCs w:val="24"/>
                <w:highlight w:val="none"/>
                <w:lang w:val="en-US" w:eastAsia="zh-CN"/>
              </w:rPr>
              <w:t>信息化管理水平高</w:t>
            </w:r>
            <w:r>
              <w:rPr>
                <w:rFonts w:hint="eastAsia" w:cs="宋体"/>
                <w:color w:val="auto"/>
                <w:szCs w:val="24"/>
                <w:highlight w:val="none"/>
                <w:lang w:val="zh-CN"/>
              </w:rPr>
              <w:t>得</w:t>
            </w:r>
            <w:r>
              <w:rPr>
                <w:rFonts w:hint="eastAsia" w:cs="宋体"/>
                <w:color w:val="auto"/>
                <w:szCs w:val="24"/>
                <w:highlight w:val="none"/>
              </w:rPr>
              <w:t>4</w:t>
            </w:r>
            <w:r>
              <w:rPr>
                <w:rFonts w:hint="eastAsia" w:cs="宋体"/>
                <w:color w:val="auto"/>
                <w:szCs w:val="24"/>
                <w:highlight w:val="none"/>
                <w:lang w:val="zh-CN"/>
              </w:rPr>
              <w:t>分，内容基本齐全、描述</w:t>
            </w:r>
            <w:r>
              <w:rPr>
                <w:rFonts w:hint="eastAsia" w:cs="宋体"/>
                <w:color w:val="auto"/>
                <w:szCs w:val="24"/>
                <w:highlight w:val="none"/>
              </w:rPr>
              <w:t>较</w:t>
            </w:r>
            <w:r>
              <w:rPr>
                <w:rFonts w:hint="eastAsia" w:cs="宋体"/>
                <w:color w:val="auto"/>
                <w:szCs w:val="24"/>
                <w:highlight w:val="none"/>
                <w:lang w:val="zh-CN"/>
              </w:rPr>
              <w:t>详细可实施、</w:t>
            </w:r>
            <w:r>
              <w:rPr>
                <w:rFonts w:hint="eastAsia" w:cs="宋体"/>
                <w:color w:val="auto"/>
                <w:szCs w:val="24"/>
                <w:highlight w:val="none"/>
                <w:lang w:val="en-US" w:eastAsia="zh-CN"/>
              </w:rPr>
              <w:t>信息化管理水平较高</w:t>
            </w:r>
            <w:r>
              <w:rPr>
                <w:rFonts w:hint="eastAsia" w:cs="宋体"/>
                <w:color w:val="auto"/>
                <w:szCs w:val="24"/>
                <w:highlight w:val="none"/>
                <w:lang w:val="zh-CN"/>
              </w:rPr>
              <w:t>得</w:t>
            </w:r>
            <w:r>
              <w:rPr>
                <w:rFonts w:hint="eastAsia" w:cs="宋体"/>
                <w:color w:val="auto"/>
                <w:szCs w:val="24"/>
                <w:highlight w:val="none"/>
              </w:rPr>
              <w:t>3</w:t>
            </w:r>
            <w:r>
              <w:rPr>
                <w:rFonts w:hint="eastAsia" w:cs="宋体"/>
                <w:color w:val="auto"/>
                <w:szCs w:val="24"/>
                <w:highlight w:val="none"/>
                <w:lang w:val="zh-CN"/>
              </w:rPr>
              <w:t>分，内容基本齐全、描述简略可实施、</w:t>
            </w:r>
            <w:r>
              <w:rPr>
                <w:rFonts w:hint="eastAsia" w:cs="宋体"/>
                <w:color w:val="auto"/>
                <w:szCs w:val="24"/>
                <w:highlight w:val="none"/>
                <w:lang w:val="en-US" w:eastAsia="zh-CN"/>
              </w:rPr>
              <w:t>信息化管理水平一般</w:t>
            </w:r>
            <w:r>
              <w:rPr>
                <w:rFonts w:hint="eastAsia" w:cs="宋体"/>
                <w:color w:val="auto"/>
                <w:szCs w:val="24"/>
                <w:highlight w:val="none"/>
                <w:lang w:val="zh-CN"/>
              </w:rPr>
              <w:t>得</w:t>
            </w:r>
            <w:r>
              <w:rPr>
                <w:rFonts w:hint="eastAsia" w:cs="宋体"/>
                <w:color w:val="auto"/>
                <w:szCs w:val="24"/>
                <w:highlight w:val="none"/>
              </w:rPr>
              <w:t>2</w:t>
            </w:r>
            <w:r>
              <w:rPr>
                <w:rFonts w:hint="eastAsia" w:cs="宋体"/>
                <w:color w:val="auto"/>
                <w:szCs w:val="24"/>
                <w:highlight w:val="none"/>
                <w:lang w:val="zh-CN"/>
              </w:rPr>
              <w:t>分，内容有缺陷需补充完善后实施得1分，无相关内容不得分。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520B71">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4</w:t>
            </w:r>
          </w:p>
        </w:tc>
      </w:tr>
      <w:tr w14:paraId="40A89957">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5CE4C92">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3.3</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B18F084">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目标响应招标文件要求，可操作性强。省部级标准化管理创建的思路、措施、保障具有可操作性。内容齐全完善、描述详细可实施性强得</w:t>
            </w:r>
            <w:r>
              <w:rPr>
                <w:rFonts w:hint="eastAsia" w:cs="宋体"/>
                <w:color w:val="auto"/>
                <w:szCs w:val="24"/>
                <w:highlight w:val="none"/>
              </w:rPr>
              <w:t>3</w:t>
            </w:r>
            <w:r>
              <w:rPr>
                <w:rFonts w:hint="eastAsia" w:cs="宋体"/>
                <w:color w:val="auto"/>
                <w:szCs w:val="24"/>
                <w:highlight w:val="none"/>
                <w:lang w:val="zh-CN"/>
              </w:rPr>
              <w:t>分，内容基本齐全、描述</w:t>
            </w:r>
            <w:r>
              <w:rPr>
                <w:rFonts w:hint="eastAsia" w:cs="宋体"/>
                <w:color w:val="auto"/>
                <w:szCs w:val="24"/>
                <w:highlight w:val="none"/>
              </w:rPr>
              <w:t>较</w:t>
            </w:r>
            <w:r>
              <w:rPr>
                <w:rFonts w:hint="eastAsia" w:cs="宋体"/>
                <w:color w:val="auto"/>
                <w:szCs w:val="24"/>
                <w:highlight w:val="none"/>
                <w:lang w:val="zh-CN"/>
              </w:rPr>
              <w:t>详细可实施得</w:t>
            </w:r>
            <w:r>
              <w:rPr>
                <w:rFonts w:hint="eastAsia" w:cs="宋体"/>
                <w:color w:val="auto"/>
                <w:szCs w:val="24"/>
                <w:highlight w:val="none"/>
              </w:rPr>
              <w:t>2</w:t>
            </w:r>
            <w:r>
              <w:rPr>
                <w:rFonts w:hint="eastAsia" w:cs="宋体"/>
                <w:color w:val="auto"/>
                <w:szCs w:val="24"/>
                <w:highlight w:val="none"/>
                <w:lang w:val="zh-CN"/>
              </w:rPr>
              <w:t>分，内容有缺陷需补充完善后实施得1分，无相关内容不得分。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405CF0">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w:t>
            </w:r>
          </w:p>
        </w:tc>
      </w:tr>
      <w:tr w14:paraId="0A31044E">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44DB99E">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3.4</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EDC64E7">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安全生产六项机制和文明管理体系健全、管理措施得力、费用投入有保障。内容齐全完善、描述详细可实施性强得</w:t>
            </w:r>
            <w:r>
              <w:rPr>
                <w:rFonts w:hint="eastAsia" w:cs="宋体"/>
                <w:color w:val="auto"/>
                <w:szCs w:val="24"/>
                <w:highlight w:val="none"/>
                <w:lang w:val="en-US" w:eastAsia="zh-CN"/>
              </w:rPr>
              <w:t>3</w:t>
            </w:r>
            <w:r>
              <w:rPr>
                <w:rFonts w:hint="eastAsia" w:cs="宋体"/>
                <w:color w:val="auto"/>
                <w:szCs w:val="24"/>
                <w:highlight w:val="none"/>
                <w:lang w:val="zh-CN"/>
              </w:rPr>
              <w:t>分，内容基本齐全、描述</w:t>
            </w:r>
            <w:r>
              <w:rPr>
                <w:rFonts w:hint="eastAsia" w:cs="宋体"/>
                <w:color w:val="auto"/>
                <w:szCs w:val="24"/>
                <w:highlight w:val="none"/>
              </w:rPr>
              <w:t>较</w:t>
            </w:r>
            <w:r>
              <w:rPr>
                <w:rFonts w:hint="eastAsia" w:cs="宋体"/>
                <w:color w:val="auto"/>
                <w:szCs w:val="24"/>
                <w:highlight w:val="none"/>
                <w:lang w:val="zh-CN"/>
              </w:rPr>
              <w:t>详细可实施得</w:t>
            </w:r>
            <w:r>
              <w:rPr>
                <w:rFonts w:hint="eastAsia" w:cs="宋体"/>
                <w:color w:val="auto"/>
                <w:szCs w:val="24"/>
                <w:highlight w:val="none"/>
                <w:lang w:val="en-US" w:eastAsia="zh-CN"/>
              </w:rPr>
              <w:t>2</w:t>
            </w:r>
            <w:r>
              <w:rPr>
                <w:rFonts w:hint="eastAsia" w:cs="宋体"/>
                <w:color w:val="auto"/>
                <w:szCs w:val="24"/>
                <w:highlight w:val="none"/>
                <w:lang w:val="zh-CN"/>
              </w:rPr>
              <w:t>分，内容有缺陷需补充完善后实施得</w:t>
            </w:r>
            <w:r>
              <w:rPr>
                <w:rFonts w:hint="eastAsia" w:cs="宋体"/>
                <w:color w:val="auto"/>
                <w:szCs w:val="24"/>
                <w:highlight w:val="none"/>
                <w:lang w:val="en-US" w:eastAsia="zh-CN"/>
              </w:rPr>
              <w:t>1</w:t>
            </w:r>
            <w:r>
              <w:rPr>
                <w:rFonts w:hint="eastAsia" w:cs="宋体"/>
                <w:color w:val="auto"/>
                <w:szCs w:val="24"/>
                <w:highlight w:val="none"/>
                <w:lang w:val="zh-CN"/>
              </w:rPr>
              <w:t>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AA6638">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lang w:val="en-US" w:eastAsia="zh-CN"/>
              </w:rPr>
              <w:t>3</w:t>
            </w:r>
          </w:p>
        </w:tc>
      </w:tr>
      <w:tr w14:paraId="7E359636">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92E9D4F">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3.5</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3A7EC27">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投入的设备、仪表能满足日常运维的需要，应急预案可操作性强，投标人应对应急维修保障措施和方案可靠。内容齐全完善、描述详细可实施性强得</w:t>
            </w:r>
            <w:r>
              <w:rPr>
                <w:rFonts w:hint="eastAsia" w:cs="宋体"/>
                <w:color w:val="auto"/>
                <w:szCs w:val="24"/>
                <w:highlight w:val="none"/>
              </w:rPr>
              <w:t>3</w:t>
            </w:r>
            <w:r>
              <w:rPr>
                <w:rFonts w:hint="eastAsia" w:cs="宋体"/>
                <w:color w:val="auto"/>
                <w:szCs w:val="24"/>
                <w:highlight w:val="none"/>
                <w:lang w:val="zh-CN"/>
              </w:rPr>
              <w:t>分，内容基本齐全、描述</w:t>
            </w:r>
            <w:r>
              <w:rPr>
                <w:rFonts w:hint="eastAsia" w:cs="宋体"/>
                <w:color w:val="auto"/>
                <w:szCs w:val="24"/>
                <w:highlight w:val="none"/>
              </w:rPr>
              <w:t>较</w:t>
            </w:r>
            <w:r>
              <w:rPr>
                <w:rFonts w:hint="eastAsia" w:cs="宋体"/>
                <w:color w:val="auto"/>
                <w:szCs w:val="24"/>
                <w:highlight w:val="none"/>
                <w:lang w:val="zh-CN"/>
              </w:rPr>
              <w:t>详细可实施得</w:t>
            </w:r>
            <w:r>
              <w:rPr>
                <w:rFonts w:hint="eastAsia" w:cs="宋体"/>
                <w:color w:val="auto"/>
                <w:szCs w:val="24"/>
                <w:highlight w:val="none"/>
              </w:rPr>
              <w:t>2</w:t>
            </w:r>
            <w:r>
              <w:rPr>
                <w:rFonts w:hint="eastAsia" w:cs="宋体"/>
                <w:color w:val="auto"/>
                <w:szCs w:val="24"/>
                <w:highlight w:val="none"/>
                <w:lang w:val="zh-CN"/>
              </w:rPr>
              <w:t>分，内容有缺陷需补充完善后实施得1分，无相关内容不得分。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40E38E">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w:t>
            </w:r>
          </w:p>
        </w:tc>
      </w:tr>
      <w:tr w14:paraId="3D8465AA">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01AC00A">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rPr>
              <w:t>3.</w:t>
            </w:r>
            <w:r>
              <w:rPr>
                <w:rFonts w:hint="eastAsia" w:cs="宋体"/>
                <w:color w:val="auto"/>
                <w:szCs w:val="24"/>
                <w:highlight w:val="none"/>
                <w:lang w:val="en-US" w:eastAsia="zh-CN"/>
              </w:rPr>
              <w:t>6</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70A772F">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rPr>
              <w:t>日常运维服务团队</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95FE211">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w:t>
            </w:r>
          </w:p>
        </w:tc>
      </w:tr>
      <w:tr w14:paraId="3A35BB64">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6BE253E">
            <w:pPr>
              <w:pStyle w:val="18"/>
              <w:adjustRightInd w:val="0"/>
              <w:spacing w:before="0" w:beforeAutospacing="0" w:after="0" w:afterAutospacing="0" w:line="252" w:lineRule="auto"/>
              <w:jc w:val="center"/>
              <w:rPr>
                <w:rFonts w:hint="eastAsia" w:cs="宋体"/>
                <w:color w:val="auto"/>
                <w:sz w:val="24"/>
                <w:szCs w:val="24"/>
                <w:highlight w:val="none"/>
                <w:shd w:val="clear" w:color="auto" w:fill="auto"/>
              </w:rPr>
            </w:pPr>
            <w:r>
              <w:rPr>
                <w:rFonts w:hint="eastAsia" w:cs="宋体"/>
                <w:color w:val="auto"/>
                <w:sz w:val="24"/>
                <w:szCs w:val="24"/>
                <w:highlight w:val="none"/>
                <w:shd w:val="clear" w:color="auto" w:fill="auto"/>
              </w:rPr>
              <w:t>3.</w:t>
            </w:r>
            <w:r>
              <w:rPr>
                <w:rFonts w:hint="eastAsia" w:cs="宋体"/>
                <w:color w:val="auto"/>
                <w:sz w:val="24"/>
                <w:szCs w:val="24"/>
                <w:highlight w:val="none"/>
                <w:shd w:val="clear" w:color="auto" w:fill="auto"/>
                <w:lang w:val="en-US" w:eastAsia="zh-CN"/>
              </w:rPr>
              <w:t>6</w:t>
            </w:r>
            <w:r>
              <w:rPr>
                <w:rFonts w:hint="eastAsia" w:cs="宋体"/>
                <w:color w:val="auto"/>
                <w:sz w:val="24"/>
                <w:szCs w:val="24"/>
                <w:highlight w:val="none"/>
                <w:shd w:val="clear" w:color="auto" w:fill="auto"/>
              </w:rPr>
              <w:t>.1</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55DC0F5">
            <w:pPr>
              <w:widowControl/>
              <w:wordWrap w:val="0"/>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【客观】拟派项目经理：</w:t>
            </w:r>
          </w:p>
          <w:p w14:paraId="68B1D6D7">
            <w:pPr>
              <w:widowControl/>
              <w:numPr>
                <w:ilvl w:val="0"/>
                <w:numId w:val="9"/>
              </w:numPr>
              <w:wordWrap w:val="0"/>
              <w:rPr>
                <w:rFonts w:hint="eastAsia" w:ascii="宋体" w:hAnsi="宋体" w:cs="宋体"/>
                <w:color w:val="auto"/>
                <w:kern w:val="0"/>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rPr>
              <w:t>电力工程、电气及其自动化、</w:t>
            </w:r>
            <w:r>
              <w:rPr>
                <w:rFonts w:hint="eastAsia" w:ascii="宋体" w:hAnsi="宋体" w:cs="宋体"/>
                <w:color w:val="auto"/>
                <w:kern w:val="0"/>
                <w:sz w:val="24"/>
                <w:szCs w:val="24"/>
                <w:highlight w:val="none"/>
                <w:shd w:val="clear" w:color="auto" w:fill="auto"/>
                <w:lang w:val="en-US" w:eastAsia="zh-CN"/>
              </w:rPr>
              <w:t>机械</w:t>
            </w:r>
            <w:r>
              <w:rPr>
                <w:rFonts w:hint="eastAsia" w:ascii="宋体" w:hAnsi="宋体" w:cs="宋体"/>
                <w:color w:val="auto"/>
                <w:kern w:val="0"/>
                <w:sz w:val="24"/>
                <w:szCs w:val="24"/>
                <w:highlight w:val="none"/>
                <w:shd w:val="clear" w:color="auto" w:fill="auto"/>
              </w:rPr>
              <w:t>工程</w:t>
            </w:r>
            <w:r>
              <w:rPr>
                <w:rFonts w:hint="eastAsia" w:ascii="宋体" w:hAnsi="宋体" w:cs="宋体"/>
                <w:color w:val="auto"/>
                <w:kern w:val="0"/>
                <w:sz w:val="24"/>
                <w:szCs w:val="24"/>
                <w:highlight w:val="none"/>
                <w:shd w:val="clear" w:color="auto" w:fill="auto"/>
                <w:lang w:eastAsia="zh-CN"/>
              </w:rPr>
              <w:t>、</w:t>
            </w:r>
            <w:r>
              <w:rPr>
                <w:rFonts w:hint="eastAsia" w:ascii="宋体" w:hAnsi="宋体" w:cs="宋体"/>
                <w:color w:val="auto"/>
                <w:kern w:val="0"/>
                <w:sz w:val="24"/>
                <w:szCs w:val="24"/>
                <w:highlight w:val="none"/>
                <w:shd w:val="clear" w:color="auto" w:fill="auto"/>
                <w:lang w:val="en-US" w:eastAsia="zh-CN"/>
              </w:rPr>
              <w:t>水工</w:t>
            </w:r>
            <w:r>
              <w:rPr>
                <w:rFonts w:hint="eastAsia" w:ascii="宋体" w:hAnsi="宋体" w:cs="宋体"/>
                <w:color w:val="auto"/>
                <w:kern w:val="0"/>
                <w:sz w:val="24"/>
                <w:szCs w:val="24"/>
                <w:highlight w:val="none"/>
                <w:shd w:val="clear" w:color="auto" w:fill="auto"/>
              </w:rPr>
              <w:t>等</w:t>
            </w:r>
            <w:r>
              <w:rPr>
                <w:rFonts w:hint="eastAsia" w:ascii="宋体" w:hAnsi="宋体" w:cs="宋体"/>
                <w:color w:val="auto"/>
                <w:kern w:val="0"/>
                <w:sz w:val="24"/>
                <w:szCs w:val="24"/>
                <w:highlight w:val="none"/>
                <w:shd w:val="clear" w:color="auto" w:fill="auto"/>
                <w:lang w:val="en-US" w:eastAsia="zh-CN"/>
              </w:rPr>
              <w:t>相关专业</w:t>
            </w:r>
            <w:r>
              <w:rPr>
                <w:rFonts w:hint="eastAsia" w:ascii="宋体" w:hAnsi="宋体" w:eastAsia="宋体" w:cs="宋体"/>
                <w:color w:val="auto"/>
                <w:kern w:val="0"/>
                <w:sz w:val="24"/>
                <w:szCs w:val="24"/>
                <w:highlight w:val="none"/>
                <w:shd w:val="clear" w:color="auto" w:fill="auto"/>
                <w:lang w:val="en-US" w:eastAsia="zh-CN"/>
              </w:rPr>
              <w:t>本科及以上学历，并具有高级及以上职称得2分，</w:t>
            </w:r>
            <w:r>
              <w:rPr>
                <w:rFonts w:hint="eastAsia" w:ascii="宋体" w:hAnsi="宋体" w:eastAsia="宋体" w:cs="宋体"/>
                <w:color w:val="auto"/>
                <w:kern w:val="0"/>
                <w:sz w:val="24"/>
                <w:szCs w:val="24"/>
                <w:highlight w:val="none"/>
                <w:shd w:val="clear" w:color="auto" w:fill="auto"/>
              </w:rPr>
              <w:t>其余不得分</w:t>
            </w:r>
            <w:r>
              <w:rPr>
                <w:rFonts w:hint="eastAsia" w:ascii="宋体" w:hAnsi="宋体" w:cs="宋体"/>
                <w:color w:val="auto"/>
                <w:kern w:val="0"/>
                <w:sz w:val="24"/>
                <w:szCs w:val="24"/>
                <w:highlight w:val="none"/>
                <w:shd w:val="clear" w:color="auto" w:fill="auto"/>
                <w:lang w:eastAsia="zh-CN"/>
              </w:rPr>
              <w:t>，</w:t>
            </w:r>
            <w:r>
              <w:rPr>
                <w:rFonts w:hint="eastAsia" w:ascii="宋体" w:hAnsi="宋体" w:cs="宋体"/>
                <w:color w:val="auto"/>
                <w:kern w:val="0"/>
                <w:sz w:val="24"/>
                <w:szCs w:val="24"/>
                <w:highlight w:val="none"/>
                <w:shd w:val="clear" w:color="auto" w:fill="auto"/>
                <w:lang w:val="en-US" w:eastAsia="zh-CN"/>
              </w:rPr>
              <w:t>本项最高得2分</w:t>
            </w:r>
            <w:r>
              <w:rPr>
                <w:rFonts w:hint="eastAsia" w:ascii="宋体" w:hAnsi="宋体" w:eastAsia="宋体" w:cs="宋体"/>
                <w:color w:val="auto"/>
                <w:kern w:val="0"/>
                <w:sz w:val="24"/>
                <w:szCs w:val="24"/>
                <w:highlight w:val="none"/>
                <w:shd w:val="clear" w:color="auto" w:fill="auto"/>
                <w:lang w:val="en-US" w:eastAsia="zh-CN"/>
              </w:rPr>
              <w:t>。</w:t>
            </w:r>
            <w:r>
              <w:rPr>
                <w:rFonts w:hint="eastAsia" w:cs="宋体"/>
                <w:color w:val="auto"/>
                <w:sz w:val="24"/>
                <w:szCs w:val="24"/>
                <w:highlight w:val="none"/>
                <w:shd w:val="clear" w:color="auto" w:fill="auto"/>
              </w:rPr>
              <w:t>（证明材料：</w:t>
            </w:r>
            <w:r>
              <w:rPr>
                <w:rFonts w:hint="eastAsia" w:cs="宋体"/>
                <w:color w:val="auto"/>
                <w:sz w:val="24"/>
                <w:szCs w:val="24"/>
                <w:highlight w:val="none"/>
                <w:shd w:val="clear" w:color="auto" w:fill="auto"/>
                <w:lang w:val="en-US" w:eastAsia="zh-CN"/>
              </w:rPr>
              <w:t>提供履历、</w:t>
            </w:r>
            <w:r>
              <w:rPr>
                <w:rFonts w:hint="eastAsia" w:cs="宋体"/>
                <w:color w:val="auto"/>
                <w:sz w:val="24"/>
                <w:szCs w:val="24"/>
                <w:highlight w:val="none"/>
                <w:shd w:val="clear" w:color="auto" w:fill="auto"/>
              </w:rPr>
              <w:t>证书、近三个月内任一月份打印的社保证明材料）</w:t>
            </w:r>
          </w:p>
          <w:p w14:paraId="4B6BA9B5">
            <w:pPr>
              <w:widowControl/>
              <w:numPr>
                <w:ilvl w:val="0"/>
                <w:numId w:val="9"/>
              </w:numPr>
              <w:wordWrap w:val="0"/>
              <w:rPr>
                <w:rFonts w:hint="eastAsia" w:cs="宋体"/>
                <w:color w:val="auto"/>
                <w:sz w:val="24"/>
                <w:szCs w:val="24"/>
                <w:highlight w:val="none"/>
                <w:shd w:val="clear" w:color="auto" w:fill="auto"/>
              </w:rPr>
            </w:pPr>
            <w:r>
              <w:rPr>
                <w:rFonts w:hint="eastAsia" w:ascii="宋体" w:hAnsi="宋体" w:cs="宋体"/>
                <w:color w:val="auto"/>
                <w:kern w:val="0"/>
                <w:sz w:val="24"/>
                <w:szCs w:val="24"/>
                <w:highlight w:val="none"/>
                <w:shd w:val="clear" w:color="auto" w:fill="auto"/>
              </w:rPr>
              <w:t>202</w:t>
            </w:r>
            <w:r>
              <w:rPr>
                <w:rFonts w:hint="eastAsia" w:ascii="宋体" w:hAnsi="宋体" w:cs="宋体"/>
                <w:color w:val="auto"/>
                <w:kern w:val="0"/>
                <w:sz w:val="24"/>
                <w:szCs w:val="24"/>
                <w:highlight w:val="none"/>
                <w:shd w:val="clear" w:color="auto" w:fill="auto"/>
                <w:lang w:val="en-US" w:eastAsia="zh-CN"/>
              </w:rPr>
              <w:t>0</w:t>
            </w:r>
            <w:r>
              <w:rPr>
                <w:rFonts w:hint="eastAsia" w:ascii="宋体" w:hAnsi="宋体" w:cs="宋体"/>
                <w:color w:val="auto"/>
                <w:kern w:val="0"/>
                <w:sz w:val="24"/>
                <w:szCs w:val="24"/>
                <w:highlight w:val="none"/>
                <w:shd w:val="clear" w:color="auto" w:fill="auto"/>
              </w:rPr>
              <w:t>年1月1日（以合同签订时间为准）以来以项目经理身份承揽过大型泵站工程运行维护管理项目</w:t>
            </w:r>
            <w:r>
              <w:rPr>
                <w:rFonts w:hint="eastAsia" w:ascii="宋体" w:hAnsi="宋体" w:cs="宋体"/>
                <w:color w:val="auto"/>
                <w:kern w:val="0"/>
                <w:sz w:val="24"/>
                <w:szCs w:val="24"/>
                <w:highlight w:val="none"/>
                <w:shd w:val="clear" w:color="auto" w:fill="auto"/>
                <w:lang w:val="en-US" w:eastAsia="zh-CN"/>
              </w:rPr>
              <w:t>或</w:t>
            </w:r>
            <w:r>
              <w:rPr>
                <w:rFonts w:hint="eastAsia" w:ascii="宋体" w:hAnsi="宋体" w:cs="宋体"/>
                <w:color w:val="auto"/>
                <w:kern w:val="0"/>
                <w:sz w:val="24"/>
                <w:szCs w:val="24"/>
                <w:highlight w:val="none"/>
                <w:shd w:val="clear" w:color="auto" w:fill="auto"/>
              </w:rPr>
              <w:t>大型泵站工程机电设备安装项目业绩得1分</w:t>
            </w:r>
            <w:r>
              <w:rPr>
                <w:rFonts w:hint="eastAsia" w:ascii="宋体" w:hAnsi="宋体" w:cs="宋体"/>
                <w:color w:val="auto"/>
                <w:kern w:val="0"/>
                <w:sz w:val="24"/>
                <w:szCs w:val="24"/>
                <w:highlight w:val="none"/>
                <w:shd w:val="clear" w:color="auto" w:fill="auto"/>
                <w:lang w:eastAsia="zh-CN"/>
              </w:rPr>
              <w:t>，</w:t>
            </w:r>
            <w:r>
              <w:rPr>
                <w:rFonts w:hint="eastAsia" w:ascii="宋体" w:hAnsi="宋体" w:cs="宋体"/>
                <w:color w:val="auto"/>
                <w:kern w:val="0"/>
                <w:sz w:val="24"/>
                <w:szCs w:val="24"/>
                <w:highlight w:val="none"/>
                <w:shd w:val="clear" w:color="auto" w:fill="auto"/>
              </w:rPr>
              <w:t>本项最多得</w:t>
            </w:r>
            <w:r>
              <w:rPr>
                <w:rFonts w:hint="eastAsia" w:ascii="宋体" w:hAnsi="宋体" w:cs="宋体"/>
                <w:color w:val="auto"/>
                <w:kern w:val="0"/>
                <w:sz w:val="24"/>
                <w:szCs w:val="24"/>
                <w:highlight w:val="none"/>
                <w:shd w:val="clear" w:color="auto" w:fill="auto"/>
                <w:lang w:val="en-US" w:eastAsia="zh-CN"/>
              </w:rPr>
              <w:t>1</w:t>
            </w:r>
            <w:r>
              <w:rPr>
                <w:rFonts w:hint="eastAsia" w:ascii="宋体" w:hAnsi="宋体" w:cs="宋体"/>
                <w:color w:val="auto"/>
                <w:kern w:val="0"/>
                <w:sz w:val="24"/>
                <w:szCs w:val="24"/>
                <w:highlight w:val="none"/>
                <w:shd w:val="clear" w:color="auto" w:fill="auto"/>
              </w:rPr>
              <w:t>分。类似业绩泵站规模按照GB50265规定。（证明材料</w:t>
            </w:r>
            <w:r>
              <w:rPr>
                <w:rFonts w:hint="eastAsia" w:ascii="宋体" w:hAnsi="宋体" w:cs="宋体"/>
                <w:color w:val="auto"/>
                <w:kern w:val="0"/>
                <w:sz w:val="24"/>
                <w:szCs w:val="24"/>
                <w:highlight w:val="none"/>
                <w:shd w:val="clear" w:color="auto" w:fill="auto"/>
                <w:lang w:eastAsia="zh-CN"/>
              </w:rPr>
              <w:t>：</w:t>
            </w:r>
            <w:r>
              <w:rPr>
                <w:rFonts w:hint="eastAsia" w:ascii="宋体" w:hAnsi="宋体" w:cs="宋体"/>
                <w:color w:val="auto"/>
                <w:kern w:val="0"/>
                <w:sz w:val="24"/>
                <w:szCs w:val="24"/>
                <w:highlight w:val="none"/>
                <w:shd w:val="clear" w:color="auto" w:fill="auto"/>
              </w:rPr>
              <w:t>合</w:t>
            </w:r>
            <w:r>
              <w:rPr>
                <w:rFonts w:hint="eastAsia" w:ascii="宋体" w:hAnsi="宋体" w:eastAsia="宋体" w:cs="宋体"/>
                <w:color w:val="auto"/>
                <w:kern w:val="0"/>
                <w:sz w:val="24"/>
                <w:szCs w:val="24"/>
                <w:highlight w:val="none"/>
                <w:shd w:val="clear" w:color="auto" w:fill="auto"/>
              </w:rPr>
              <w:t>同</w:t>
            </w:r>
            <w:r>
              <w:rPr>
                <w:rFonts w:hint="eastAsia" w:ascii="宋体" w:hAnsi="宋体" w:eastAsia="宋体" w:cs="宋体"/>
                <w:color w:val="auto"/>
                <w:kern w:val="0"/>
                <w:sz w:val="24"/>
                <w:szCs w:val="24"/>
                <w:highlight w:val="none"/>
                <w:shd w:val="clear" w:color="auto" w:fill="auto"/>
                <w:lang w:val="en-US" w:eastAsia="zh-CN"/>
              </w:rPr>
              <w:t>或业主出具的业绩证明，</w:t>
            </w:r>
            <w:r>
              <w:rPr>
                <w:rFonts w:hint="eastAsia" w:ascii="宋体" w:hAnsi="宋体" w:eastAsia="宋体" w:cs="宋体"/>
                <w:color w:val="auto"/>
                <w:kern w:val="0"/>
                <w:sz w:val="24"/>
                <w:szCs w:val="24"/>
                <w:highlight w:val="none"/>
                <w:shd w:val="clear" w:color="auto" w:fill="auto"/>
              </w:rPr>
              <w:t>完工验收材料复</w:t>
            </w:r>
            <w:r>
              <w:rPr>
                <w:rFonts w:hint="eastAsia" w:ascii="宋体" w:hAnsi="宋体" w:cs="宋体"/>
                <w:color w:val="auto"/>
                <w:kern w:val="0"/>
                <w:sz w:val="24"/>
                <w:szCs w:val="24"/>
                <w:highlight w:val="none"/>
                <w:shd w:val="clear" w:color="auto" w:fill="auto"/>
              </w:rPr>
              <w:t>印件等相关材料）</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4C4D0A5">
            <w:pPr>
              <w:pStyle w:val="18"/>
              <w:adjustRightInd w:val="0"/>
              <w:spacing w:before="0" w:beforeAutospacing="0" w:after="0" w:afterAutospacing="0" w:line="252" w:lineRule="auto"/>
              <w:jc w:val="center"/>
              <w:rPr>
                <w:rFonts w:hint="default" w:eastAsia="宋体" w:cs="宋体"/>
                <w:color w:val="auto"/>
                <w:szCs w:val="24"/>
                <w:highlight w:val="none"/>
                <w:shd w:val="clear" w:color="FFFFFF" w:fill="D9D9D9"/>
                <w:lang w:val="en-US" w:eastAsia="zh-CN"/>
              </w:rPr>
            </w:pPr>
            <w:r>
              <w:rPr>
                <w:rFonts w:hint="eastAsia" w:cs="宋体"/>
                <w:color w:val="auto"/>
                <w:szCs w:val="24"/>
                <w:highlight w:val="none"/>
                <w:shd w:val="clear" w:color="auto" w:fill="auto"/>
                <w:lang w:val="en-US" w:eastAsia="zh-CN"/>
              </w:rPr>
              <w:t>3</w:t>
            </w:r>
          </w:p>
        </w:tc>
      </w:tr>
      <w:tr w14:paraId="3F9F2840">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54BE63B">
            <w:pPr>
              <w:pStyle w:val="18"/>
              <w:adjustRightInd w:val="0"/>
              <w:spacing w:before="0" w:beforeAutospacing="0" w:after="0" w:afterAutospacing="0" w:line="252" w:lineRule="auto"/>
              <w:jc w:val="center"/>
              <w:rPr>
                <w:rFonts w:hint="eastAsia" w:cs="宋体"/>
                <w:color w:val="auto"/>
                <w:sz w:val="24"/>
                <w:szCs w:val="24"/>
                <w:highlight w:val="none"/>
                <w:shd w:val="clear" w:color="auto" w:fill="auto"/>
              </w:rPr>
            </w:pPr>
            <w:r>
              <w:rPr>
                <w:rFonts w:hint="eastAsia" w:cs="宋体"/>
                <w:color w:val="auto"/>
                <w:sz w:val="24"/>
                <w:szCs w:val="24"/>
                <w:highlight w:val="none"/>
                <w:shd w:val="clear" w:color="auto" w:fill="auto"/>
              </w:rPr>
              <w:t>3.</w:t>
            </w:r>
            <w:r>
              <w:rPr>
                <w:rFonts w:hint="eastAsia" w:cs="宋体"/>
                <w:color w:val="auto"/>
                <w:sz w:val="24"/>
                <w:szCs w:val="24"/>
                <w:highlight w:val="none"/>
                <w:shd w:val="clear" w:color="auto" w:fill="auto"/>
                <w:lang w:val="en-US" w:eastAsia="zh-CN"/>
              </w:rPr>
              <w:t>6</w:t>
            </w:r>
            <w:r>
              <w:rPr>
                <w:rFonts w:hint="eastAsia" w:cs="宋体"/>
                <w:color w:val="auto"/>
                <w:sz w:val="24"/>
                <w:szCs w:val="24"/>
                <w:highlight w:val="none"/>
                <w:shd w:val="clear" w:color="auto" w:fill="auto"/>
              </w:rPr>
              <w:t>.2</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824BDE7">
            <w:pPr>
              <w:pStyle w:val="18"/>
              <w:adjustRightInd w:val="0"/>
              <w:spacing w:before="0" w:beforeAutospacing="0" w:after="0" w:afterAutospacing="0" w:line="252" w:lineRule="auto"/>
              <w:jc w:val="both"/>
              <w:rPr>
                <w:rFonts w:hint="default"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zh-CN"/>
              </w:rPr>
              <w:t>【</w:t>
            </w:r>
            <w:r>
              <w:rPr>
                <w:rFonts w:hint="eastAsia" w:cs="宋体"/>
                <w:color w:val="auto"/>
                <w:sz w:val="24"/>
                <w:szCs w:val="24"/>
                <w:highlight w:val="none"/>
                <w:shd w:val="clear" w:color="auto" w:fill="auto"/>
              </w:rPr>
              <w:t>客观</w:t>
            </w:r>
            <w:r>
              <w:rPr>
                <w:rFonts w:hint="eastAsia" w:cs="宋体"/>
                <w:color w:val="auto"/>
                <w:sz w:val="24"/>
                <w:szCs w:val="24"/>
                <w:highlight w:val="none"/>
                <w:shd w:val="clear" w:color="auto" w:fill="auto"/>
                <w:lang w:val="zh-CN"/>
              </w:rPr>
              <w:t>】</w:t>
            </w:r>
            <w:r>
              <w:rPr>
                <w:rFonts w:hint="eastAsia" w:cs="宋体"/>
                <w:color w:val="auto"/>
                <w:sz w:val="24"/>
                <w:szCs w:val="24"/>
                <w:highlight w:val="none"/>
                <w:shd w:val="clear" w:color="auto" w:fill="auto"/>
                <w:lang w:val="en-US" w:eastAsia="zh-CN"/>
              </w:rPr>
              <w:t>拟派技术负责人：</w:t>
            </w:r>
          </w:p>
          <w:p w14:paraId="51EFA1A8">
            <w:pPr>
              <w:pStyle w:val="18"/>
              <w:numPr>
                <w:ilvl w:val="0"/>
                <w:numId w:val="10"/>
              </w:numPr>
              <w:adjustRightInd w:val="0"/>
              <w:spacing w:before="0" w:beforeAutospacing="0" w:after="0" w:afterAutospacing="0" w:line="252" w:lineRule="auto"/>
              <w:jc w:val="both"/>
              <w:rPr>
                <w:rFonts w:hint="eastAsia" w:cs="宋体"/>
                <w:color w:val="auto"/>
                <w:sz w:val="24"/>
                <w:szCs w:val="24"/>
                <w:highlight w:val="none"/>
                <w:shd w:val="clear" w:color="auto" w:fill="auto"/>
                <w:lang w:val="zh-CN"/>
              </w:rPr>
            </w:pPr>
            <w:r>
              <w:rPr>
                <w:rFonts w:hint="eastAsia" w:cs="宋体"/>
                <w:color w:val="auto"/>
                <w:sz w:val="24"/>
                <w:szCs w:val="24"/>
                <w:highlight w:val="none"/>
                <w:shd w:val="clear" w:color="auto" w:fill="auto"/>
              </w:rPr>
              <w:t>电力工程、电气及其自动化、</w:t>
            </w:r>
            <w:r>
              <w:rPr>
                <w:rFonts w:hint="eastAsia" w:cs="宋体"/>
                <w:color w:val="auto"/>
                <w:sz w:val="24"/>
                <w:szCs w:val="24"/>
                <w:highlight w:val="none"/>
                <w:shd w:val="clear" w:color="auto" w:fill="auto"/>
                <w:lang w:val="en-US" w:eastAsia="zh-CN"/>
              </w:rPr>
              <w:t>机械</w:t>
            </w:r>
            <w:r>
              <w:rPr>
                <w:rFonts w:hint="eastAsia" w:cs="宋体"/>
                <w:color w:val="auto"/>
                <w:sz w:val="24"/>
                <w:szCs w:val="24"/>
                <w:highlight w:val="none"/>
                <w:shd w:val="clear" w:color="auto" w:fill="auto"/>
              </w:rPr>
              <w:t>工程</w:t>
            </w:r>
            <w:r>
              <w:rPr>
                <w:rFonts w:hint="eastAsia" w:cs="宋体"/>
                <w:color w:val="auto"/>
                <w:sz w:val="24"/>
                <w:szCs w:val="24"/>
                <w:highlight w:val="none"/>
                <w:shd w:val="clear" w:color="auto" w:fill="auto"/>
                <w:lang w:eastAsia="zh-CN"/>
              </w:rPr>
              <w:t>、</w:t>
            </w:r>
            <w:r>
              <w:rPr>
                <w:rFonts w:hint="eastAsia" w:cs="宋体"/>
                <w:color w:val="auto"/>
                <w:sz w:val="24"/>
                <w:szCs w:val="24"/>
                <w:highlight w:val="none"/>
                <w:shd w:val="clear" w:color="auto" w:fill="auto"/>
                <w:lang w:val="en-US" w:eastAsia="zh-CN"/>
              </w:rPr>
              <w:t>水工</w:t>
            </w:r>
            <w:r>
              <w:rPr>
                <w:rFonts w:hint="eastAsia" w:cs="宋体"/>
                <w:color w:val="auto"/>
                <w:sz w:val="24"/>
                <w:szCs w:val="24"/>
                <w:highlight w:val="none"/>
                <w:shd w:val="clear" w:color="auto" w:fill="auto"/>
              </w:rPr>
              <w:t>等</w:t>
            </w:r>
            <w:r>
              <w:rPr>
                <w:rFonts w:hint="eastAsia" w:cs="宋体"/>
                <w:color w:val="auto"/>
                <w:sz w:val="24"/>
                <w:szCs w:val="24"/>
                <w:highlight w:val="none"/>
                <w:shd w:val="clear" w:color="auto" w:fill="auto"/>
                <w:lang w:val="en-US" w:eastAsia="zh-CN"/>
              </w:rPr>
              <w:t>相关</w:t>
            </w:r>
            <w:r>
              <w:rPr>
                <w:rFonts w:hint="eastAsia" w:cs="宋体"/>
                <w:color w:val="auto"/>
                <w:sz w:val="24"/>
                <w:szCs w:val="24"/>
                <w:highlight w:val="none"/>
                <w:shd w:val="clear" w:color="auto" w:fill="auto"/>
              </w:rPr>
              <w:t>专业</w:t>
            </w:r>
            <w:r>
              <w:rPr>
                <w:rFonts w:hint="eastAsia" w:cs="宋体"/>
                <w:color w:val="auto"/>
                <w:sz w:val="24"/>
                <w:szCs w:val="24"/>
                <w:highlight w:val="none"/>
                <w:shd w:val="clear" w:color="auto" w:fill="auto"/>
                <w:lang w:val="en-US" w:eastAsia="zh-CN"/>
              </w:rPr>
              <w:t>本科及以上学历，并具有中级</w:t>
            </w:r>
            <w:r>
              <w:rPr>
                <w:rFonts w:hint="eastAsia" w:cs="宋体"/>
                <w:color w:val="auto"/>
                <w:sz w:val="24"/>
                <w:szCs w:val="24"/>
                <w:highlight w:val="none"/>
                <w:shd w:val="clear" w:color="auto" w:fill="auto"/>
                <w:lang w:val="zh-CN"/>
              </w:rPr>
              <w:t>及以上职称得</w:t>
            </w:r>
            <w:r>
              <w:rPr>
                <w:rFonts w:hint="eastAsia" w:cs="宋体"/>
                <w:color w:val="auto"/>
                <w:sz w:val="24"/>
                <w:szCs w:val="24"/>
                <w:highlight w:val="none"/>
                <w:shd w:val="clear" w:color="auto" w:fill="auto"/>
                <w:lang w:val="en-US" w:eastAsia="zh-CN"/>
              </w:rPr>
              <w:t>1</w:t>
            </w:r>
            <w:r>
              <w:rPr>
                <w:rFonts w:hint="eastAsia" w:cs="宋体"/>
                <w:color w:val="auto"/>
                <w:sz w:val="24"/>
                <w:szCs w:val="24"/>
                <w:highlight w:val="none"/>
                <w:shd w:val="clear" w:color="auto" w:fill="auto"/>
              </w:rPr>
              <w:t>分，其余不得分。（证明材料：</w:t>
            </w:r>
            <w:r>
              <w:rPr>
                <w:rFonts w:hint="eastAsia" w:cs="宋体"/>
                <w:color w:val="auto"/>
                <w:sz w:val="24"/>
                <w:szCs w:val="24"/>
                <w:highlight w:val="none"/>
                <w:shd w:val="clear" w:color="auto" w:fill="auto"/>
                <w:lang w:val="en-US" w:eastAsia="zh-CN"/>
              </w:rPr>
              <w:t>提供履历、</w:t>
            </w:r>
            <w:r>
              <w:rPr>
                <w:rFonts w:hint="eastAsia" w:cs="宋体"/>
                <w:color w:val="auto"/>
                <w:sz w:val="24"/>
                <w:szCs w:val="24"/>
                <w:highlight w:val="none"/>
                <w:shd w:val="clear" w:color="auto" w:fill="auto"/>
              </w:rPr>
              <w:t>证书、近三个月内任一月份打印的社保证明材料）</w:t>
            </w:r>
          </w:p>
          <w:p w14:paraId="79BFDCE6">
            <w:pPr>
              <w:pStyle w:val="18"/>
              <w:numPr>
                <w:ilvl w:val="0"/>
                <w:numId w:val="10"/>
              </w:numPr>
              <w:adjustRightInd w:val="0"/>
              <w:spacing w:before="0" w:beforeAutospacing="0" w:after="0" w:afterAutospacing="0" w:line="252" w:lineRule="auto"/>
              <w:jc w:val="both"/>
              <w:rPr>
                <w:rFonts w:hint="eastAsia" w:cs="宋体"/>
                <w:color w:val="auto"/>
                <w:sz w:val="24"/>
                <w:szCs w:val="24"/>
                <w:highlight w:val="none"/>
                <w:shd w:val="clear" w:color="auto" w:fill="auto"/>
                <w:lang w:val="zh-CN"/>
              </w:rPr>
            </w:pPr>
            <w:r>
              <w:rPr>
                <w:rFonts w:hint="eastAsia" w:cs="宋体"/>
                <w:strike w:val="0"/>
                <w:color w:val="auto"/>
                <w:sz w:val="24"/>
                <w:szCs w:val="24"/>
                <w:highlight w:val="none"/>
                <w:shd w:val="clear" w:color="auto" w:fill="auto"/>
                <w:lang w:val="zh-CN"/>
              </w:rPr>
              <w:t>20</w:t>
            </w:r>
            <w:r>
              <w:rPr>
                <w:rFonts w:hint="eastAsia" w:cs="宋体"/>
                <w:strike w:val="0"/>
                <w:color w:val="auto"/>
                <w:sz w:val="24"/>
                <w:szCs w:val="24"/>
                <w:highlight w:val="none"/>
                <w:shd w:val="clear" w:color="auto" w:fill="auto"/>
                <w:lang w:val="en-US" w:eastAsia="zh-CN"/>
              </w:rPr>
              <w:t>20</w:t>
            </w:r>
            <w:r>
              <w:rPr>
                <w:rFonts w:hint="eastAsia" w:cs="宋体"/>
                <w:strike w:val="0"/>
                <w:color w:val="auto"/>
                <w:sz w:val="24"/>
                <w:szCs w:val="24"/>
                <w:highlight w:val="none"/>
                <w:shd w:val="clear" w:color="auto" w:fill="auto"/>
                <w:lang w:val="zh-CN"/>
              </w:rPr>
              <w:t>年1月1日（以合同签订时间为准）以来</w:t>
            </w:r>
            <w:r>
              <w:rPr>
                <w:rFonts w:hint="eastAsia" w:cs="宋体"/>
                <w:strike w:val="0"/>
                <w:color w:val="auto"/>
                <w:sz w:val="24"/>
                <w:szCs w:val="24"/>
                <w:highlight w:val="none"/>
                <w:shd w:val="clear" w:color="auto" w:fill="auto"/>
                <w:lang w:val="en-US" w:eastAsia="zh-CN"/>
              </w:rPr>
              <w:t>具有</w:t>
            </w:r>
            <w:r>
              <w:rPr>
                <w:rFonts w:hint="eastAsia" w:cs="宋体"/>
                <w:strike w:val="0"/>
                <w:color w:val="auto"/>
                <w:sz w:val="24"/>
                <w:szCs w:val="24"/>
                <w:highlight w:val="none"/>
                <w:shd w:val="clear" w:color="auto" w:fill="auto"/>
                <w:lang w:val="zh-CN"/>
              </w:rPr>
              <w:t>大型泵站工程运行维护管理</w:t>
            </w:r>
            <w:r>
              <w:rPr>
                <w:rFonts w:hint="eastAsia" w:cs="宋体"/>
                <w:strike w:val="0"/>
                <w:color w:val="auto"/>
                <w:sz w:val="24"/>
                <w:szCs w:val="24"/>
                <w:highlight w:val="none"/>
                <w:shd w:val="clear" w:color="auto" w:fill="auto"/>
                <w:lang w:val="en-US" w:eastAsia="zh-CN"/>
              </w:rPr>
              <w:t>项目业绩或</w:t>
            </w:r>
            <w:r>
              <w:rPr>
                <w:rFonts w:hint="eastAsia" w:cs="宋体"/>
                <w:strike w:val="0"/>
                <w:color w:val="auto"/>
                <w:sz w:val="24"/>
                <w:szCs w:val="24"/>
                <w:highlight w:val="none"/>
                <w:shd w:val="clear" w:color="auto" w:fill="auto"/>
                <w:lang w:val="zh-CN"/>
              </w:rPr>
              <w:t>大型泵站工程机电设备安装项目</w:t>
            </w:r>
            <w:r>
              <w:rPr>
                <w:rFonts w:hint="eastAsia" w:cs="宋体"/>
                <w:strike w:val="0"/>
                <w:color w:val="auto"/>
                <w:sz w:val="24"/>
                <w:szCs w:val="24"/>
                <w:highlight w:val="none"/>
                <w:shd w:val="clear" w:color="auto" w:fill="auto"/>
                <w:lang w:val="en-US" w:eastAsia="zh-CN"/>
              </w:rPr>
              <w:t>业绩得1分，本项</w:t>
            </w:r>
            <w:r>
              <w:rPr>
                <w:rFonts w:hint="eastAsia" w:cs="宋体"/>
                <w:strike w:val="0"/>
                <w:color w:val="auto"/>
                <w:sz w:val="24"/>
                <w:szCs w:val="24"/>
                <w:highlight w:val="none"/>
                <w:shd w:val="clear" w:color="auto" w:fill="auto"/>
                <w:lang w:val="zh-CN"/>
              </w:rPr>
              <w:t>最多得</w:t>
            </w:r>
            <w:r>
              <w:rPr>
                <w:rFonts w:hint="eastAsia" w:cs="宋体"/>
                <w:strike w:val="0"/>
                <w:color w:val="auto"/>
                <w:sz w:val="24"/>
                <w:szCs w:val="24"/>
                <w:highlight w:val="none"/>
                <w:shd w:val="clear" w:color="auto" w:fill="auto"/>
                <w:lang w:val="en-US" w:eastAsia="zh-CN"/>
              </w:rPr>
              <w:t>1</w:t>
            </w:r>
            <w:r>
              <w:rPr>
                <w:rFonts w:hint="eastAsia" w:cs="宋体"/>
                <w:strike w:val="0"/>
                <w:color w:val="auto"/>
                <w:sz w:val="24"/>
                <w:szCs w:val="24"/>
                <w:highlight w:val="none"/>
                <w:shd w:val="clear" w:color="auto" w:fill="auto"/>
                <w:lang w:val="zh-CN"/>
              </w:rPr>
              <w:t>分。类似业绩泵站规模按照GB50265规定。（证明材料：合同</w:t>
            </w:r>
            <w:r>
              <w:rPr>
                <w:rFonts w:hint="eastAsia" w:ascii="宋体" w:hAnsi="宋体" w:eastAsia="宋体" w:cs="宋体"/>
                <w:color w:val="auto"/>
                <w:kern w:val="0"/>
                <w:sz w:val="24"/>
                <w:szCs w:val="24"/>
                <w:highlight w:val="none"/>
                <w:shd w:val="clear" w:color="auto" w:fill="auto"/>
                <w:lang w:val="en-US" w:eastAsia="zh-CN"/>
              </w:rPr>
              <w:t>或业主出具的业绩证明</w:t>
            </w:r>
            <w:r>
              <w:rPr>
                <w:rFonts w:hint="eastAsia" w:cs="宋体"/>
                <w:strike w:val="0"/>
                <w:color w:val="auto"/>
                <w:sz w:val="24"/>
                <w:szCs w:val="24"/>
                <w:highlight w:val="none"/>
                <w:shd w:val="clear" w:color="auto" w:fill="auto"/>
                <w:lang w:val="zh-CN"/>
              </w:rPr>
              <w:t>，完工验收材料复印件</w:t>
            </w:r>
            <w:r>
              <w:rPr>
                <w:rFonts w:hint="eastAsia" w:cs="宋体"/>
                <w:strike w:val="0"/>
                <w:color w:val="auto"/>
                <w:sz w:val="24"/>
                <w:szCs w:val="24"/>
                <w:highlight w:val="none"/>
                <w:shd w:val="clear" w:color="auto" w:fill="auto"/>
                <w:lang w:val="en-US" w:eastAsia="zh-CN"/>
              </w:rPr>
              <w:t>等相关材料</w:t>
            </w:r>
            <w:r>
              <w:rPr>
                <w:rFonts w:hint="eastAsia" w:cs="宋体"/>
                <w:strike w:val="0"/>
                <w:color w:val="auto"/>
                <w:sz w:val="24"/>
                <w:szCs w:val="24"/>
                <w:highlight w:val="none"/>
                <w:shd w:val="clear" w:color="auto" w:fill="auto"/>
                <w:lang w:val="zh-CN"/>
              </w:rPr>
              <w:t>）</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F41E45D">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lang w:val="en-US" w:eastAsia="zh-CN"/>
              </w:rPr>
              <w:t>2</w:t>
            </w:r>
          </w:p>
        </w:tc>
      </w:tr>
      <w:tr w14:paraId="1DFD0897">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DF2FFF0">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w:t>
            </w:r>
            <w:r>
              <w:rPr>
                <w:rFonts w:hint="eastAsia" w:cs="宋体"/>
                <w:color w:val="auto"/>
                <w:szCs w:val="24"/>
                <w:highlight w:val="none"/>
                <w:lang w:val="en-US" w:eastAsia="zh-CN"/>
              </w:rPr>
              <w:t>6</w:t>
            </w:r>
            <w:r>
              <w:rPr>
                <w:rFonts w:hint="eastAsia" w:cs="宋体"/>
                <w:color w:val="auto"/>
                <w:szCs w:val="24"/>
                <w:highlight w:val="none"/>
              </w:rPr>
              <w:t>.3</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CA5C037">
            <w:pPr>
              <w:numPr>
                <w:ilvl w:val="0"/>
                <w:numId w:val="0"/>
              </w:numPr>
              <w:adjustRightInd w:val="0"/>
              <w:spacing w:before="0" w:beforeAutospacing="0" w:after="0" w:afterAutospacing="0" w:line="252" w:lineRule="auto"/>
              <w:ind w:leftChars="0"/>
              <w:jc w:val="both"/>
              <w:rPr>
                <w:rFonts w:hint="eastAsia" w:cs="宋体"/>
                <w:color w:val="auto"/>
                <w:szCs w:val="24"/>
                <w:highlight w:val="none"/>
                <w:lang w:val="zh-CN"/>
              </w:rPr>
            </w:pPr>
            <w:r>
              <w:rPr>
                <w:rFonts w:hint="eastAsia" w:ascii="宋体" w:hAnsi="宋体" w:eastAsia="宋体" w:cs="宋体"/>
                <w:color w:val="auto"/>
                <w:kern w:val="0"/>
                <w:sz w:val="24"/>
                <w:szCs w:val="24"/>
                <w:highlight w:val="none"/>
                <w:shd w:val="clear" w:color="auto" w:fill="auto"/>
                <w:lang w:val="zh-CN" w:eastAsia="zh-CN" w:bidi="ar-SA"/>
              </w:rPr>
              <w:t>【</w:t>
            </w:r>
            <w:r>
              <w:rPr>
                <w:rFonts w:hint="eastAsia" w:ascii="宋体" w:hAnsi="宋体" w:eastAsia="宋体" w:cs="宋体"/>
                <w:color w:val="auto"/>
                <w:kern w:val="0"/>
                <w:sz w:val="24"/>
                <w:szCs w:val="24"/>
                <w:highlight w:val="none"/>
                <w:shd w:val="clear" w:color="auto" w:fill="auto"/>
                <w:lang w:val="en-US" w:eastAsia="zh-CN" w:bidi="ar-SA"/>
              </w:rPr>
              <w:t>客观</w:t>
            </w:r>
            <w:r>
              <w:rPr>
                <w:rFonts w:hint="eastAsia" w:ascii="宋体" w:hAnsi="宋体" w:eastAsia="宋体" w:cs="宋体"/>
                <w:color w:val="auto"/>
                <w:kern w:val="0"/>
                <w:sz w:val="24"/>
                <w:szCs w:val="24"/>
                <w:highlight w:val="none"/>
                <w:shd w:val="clear" w:color="auto" w:fill="auto"/>
                <w:lang w:val="zh-CN" w:eastAsia="zh-CN" w:bidi="ar-SA"/>
              </w:rPr>
              <w:t>】</w:t>
            </w:r>
            <w:r>
              <w:rPr>
                <w:rFonts w:hint="eastAsia" w:ascii="宋体" w:hAnsi="宋体" w:eastAsia="宋体" w:cs="宋体"/>
                <w:color w:val="auto"/>
                <w:kern w:val="0"/>
                <w:sz w:val="24"/>
                <w:szCs w:val="24"/>
                <w:highlight w:val="none"/>
                <w:shd w:val="clear" w:color="auto" w:fill="auto"/>
                <w:lang w:val="en-US" w:eastAsia="zh-CN" w:bidi="ar-SA"/>
              </w:rPr>
              <w:t>运维服务团队：</w:t>
            </w:r>
          </w:p>
          <w:p w14:paraId="23A9B9DC">
            <w:pPr>
              <w:numPr>
                <w:ilvl w:val="0"/>
                <w:numId w:val="11"/>
              </w:numPr>
              <w:adjustRightInd w:val="0"/>
              <w:spacing w:before="0" w:beforeAutospacing="0" w:after="0" w:afterAutospacing="0" w:line="252" w:lineRule="auto"/>
              <w:ind w:leftChars="0"/>
              <w:jc w:val="both"/>
              <w:rPr>
                <w:rFonts w:hint="eastAsia" w:ascii="宋体" w:hAnsi="宋体" w:eastAsia="宋体" w:cs="宋体"/>
                <w:color w:val="auto"/>
                <w:kern w:val="0"/>
                <w:sz w:val="24"/>
                <w:szCs w:val="24"/>
                <w:highlight w:val="none"/>
                <w:shd w:val="clear" w:color="auto" w:fill="auto"/>
                <w:lang w:val="zh-CN" w:eastAsia="zh-CN" w:bidi="ar-SA"/>
              </w:rPr>
            </w:pPr>
            <w:r>
              <w:rPr>
                <w:rFonts w:hint="eastAsia" w:ascii="宋体" w:hAnsi="宋体" w:eastAsia="宋体" w:cs="宋体"/>
                <w:color w:val="auto"/>
                <w:kern w:val="0"/>
                <w:sz w:val="24"/>
                <w:szCs w:val="24"/>
                <w:highlight w:val="none"/>
                <w:shd w:val="clear" w:color="auto" w:fill="auto"/>
                <w:lang w:val="en-US" w:eastAsia="zh-CN" w:bidi="ar-SA"/>
              </w:rPr>
              <w:t>除</w:t>
            </w:r>
            <w:r>
              <w:rPr>
                <w:rFonts w:hint="eastAsia" w:ascii="宋体" w:hAnsi="宋体" w:eastAsia="宋体" w:cs="宋体"/>
                <w:color w:val="auto"/>
                <w:kern w:val="0"/>
                <w:sz w:val="24"/>
                <w:szCs w:val="24"/>
                <w:highlight w:val="none"/>
                <w:shd w:val="clear" w:color="auto" w:fill="auto"/>
                <w:lang w:val="zh-CN" w:eastAsia="zh-CN" w:bidi="ar-SA"/>
              </w:rPr>
              <w:t>项目经理、技术负责人</w:t>
            </w:r>
            <w:r>
              <w:rPr>
                <w:rFonts w:hint="eastAsia" w:ascii="宋体" w:hAnsi="宋体" w:eastAsia="宋体" w:cs="宋体"/>
                <w:color w:val="auto"/>
                <w:kern w:val="0"/>
                <w:sz w:val="24"/>
                <w:szCs w:val="24"/>
                <w:highlight w:val="none"/>
                <w:shd w:val="clear" w:color="auto" w:fill="auto"/>
                <w:lang w:val="en-US" w:eastAsia="zh-CN" w:bidi="ar-SA"/>
              </w:rPr>
              <w:t>外其他人员</w:t>
            </w:r>
            <w:r>
              <w:rPr>
                <w:rFonts w:hint="eastAsia" w:ascii="宋体" w:hAnsi="宋体" w:eastAsia="宋体" w:cs="宋体"/>
                <w:color w:val="auto"/>
                <w:kern w:val="0"/>
                <w:sz w:val="24"/>
                <w:szCs w:val="24"/>
                <w:highlight w:val="none"/>
                <w:shd w:val="clear" w:color="auto" w:fill="auto"/>
                <w:lang w:val="zh-CN" w:eastAsia="zh-CN" w:bidi="ar-SA"/>
              </w:rPr>
              <w:t>具有</w:t>
            </w:r>
            <w:r>
              <w:rPr>
                <w:rFonts w:hint="eastAsia" w:ascii="宋体" w:hAnsi="宋体" w:cs="宋体"/>
                <w:color w:val="auto"/>
                <w:kern w:val="0"/>
                <w:sz w:val="24"/>
                <w:szCs w:val="24"/>
                <w:highlight w:val="none"/>
                <w:shd w:val="clear" w:color="auto" w:fill="auto"/>
                <w:lang w:val="en-US" w:eastAsia="zh-CN" w:bidi="ar-SA"/>
              </w:rPr>
              <w:t>水利工程类或机电类</w:t>
            </w:r>
            <w:r>
              <w:rPr>
                <w:rFonts w:hint="eastAsia" w:ascii="宋体" w:hAnsi="宋体" w:eastAsia="宋体" w:cs="宋体"/>
                <w:color w:val="auto"/>
                <w:kern w:val="0"/>
                <w:sz w:val="24"/>
                <w:szCs w:val="24"/>
                <w:highlight w:val="none"/>
                <w:shd w:val="clear" w:color="auto" w:fill="auto"/>
                <w:lang w:val="zh-CN" w:eastAsia="zh-CN" w:bidi="ar-SA"/>
              </w:rPr>
              <w:t>中级及以上职称</w:t>
            </w:r>
            <w:r>
              <w:rPr>
                <w:rFonts w:hint="eastAsia" w:ascii="宋体" w:hAnsi="宋体" w:eastAsia="宋体" w:cs="宋体"/>
                <w:color w:val="auto"/>
                <w:kern w:val="0"/>
                <w:sz w:val="24"/>
                <w:szCs w:val="24"/>
                <w:highlight w:val="none"/>
                <w:shd w:val="clear" w:color="auto" w:fill="auto"/>
                <w:lang w:val="en-US" w:eastAsia="zh-CN" w:bidi="ar-SA"/>
              </w:rPr>
              <w:t>每人得</w:t>
            </w:r>
            <w:r>
              <w:rPr>
                <w:rFonts w:hint="eastAsia" w:ascii="宋体" w:hAnsi="宋体" w:cs="宋体"/>
                <w:color w:val="auto"/>
                <w:kern w:val="0"/>
                <w:sz w:val="24"/>
                <w:szCs w:val="24"/>
                <w:highlight w:val="none"/>
                <w:shd w:val="clear" w:color="auto" w:fill="auto"/>
                <w:lang w:val="en-US" w:eastAsia="zh-CN" w:bidi="ar-SA"/>
              </w:rPr>
              <w:t>1</w:t>
            </w:r>
            <w:r>
              <w:rPr>
                <w:rFonts w:hint="eastAsia" w:ascii="宋体" w:hAnsi="宋体" w:eastAsia="宋体" w:cs="宋体"/>
                <w:color w:val="auto"/>
                <w:kern w:val="0"/>
                <w:sz w:val="24"/>
                <w:szCs w:val="24"/>
                <w:highlight w:val="none"/>
                <w:shd w:val="clear" w:color="auto" w:fill="auto"/>
                <w:lang w:val="zh-CN" w:eastAsia="zh-CN" w:bidi="ar-SA"/>
              </w:rPr>
              <w:t>分，</w:t>
            </w:r>
            <w:r>
              <w:rPr>
                <w:rFonts w:hint="eastAsia" w:ascii="宋体" w:hAnsi="宋体" w:eastAsia="宋体" w:cs="宋体"/>
                <w:color w:val="auto"/>
                <w:kern w:val="0"/>
                <w:sz w:val="24"/>
                <w:szCs w:val="24"/>
                <w:highlight w:val="none"/>
                <w:shd w:val="clear" w:color="auto" w:fill="auto"/>
                <w:lang w:val="en-US" w:eastAsia="zh-CN" w:bidi="ar-SA"/>
              </w:rPr>
              <w:t>最高得</w:t>
            </w:r>
            <w:r>
              <w:rPr>
                <w:rFonts w:hint="eastAsia" w:ascii="宋体" w:hAnsi="宋体" w:cs="宋体"/>
                <w:color w:val="auto"/>
                <w:kern w:val="0"/>
                <w:sz w:val="24"/>
                <w:szCs w:val="24"/>
                <w:highlight w:val="none"/>
                <w:shd w:val="clear" w:color="auto" w:fill="auto"/>
                <w:lang w:val="en-US" w:eastAsia="zh-CN" w:bidi="ar-SA"/>
              </w:rPr>
              <w:t>3</w:t>
            </w:r>
            <w:r>
              <w:rPr>
                <w:rFonts w:hint="eastAsia" w:ascii="宋体" w:hAnsi="宋体" w:eastAsia="宋体" w:cs="宋体"/>
                <w:color w:val="auto"/>
                <w:kern w:val="0"/>
                <w:sz w:val="24"/>
                <w:szCs w:val="24"/>
                <w:highlight w:val="none"/>
                <w:shd w:val="clear" w:color="auto" w:fill="auto"/>
                <w:lang w:val="en-US" w:eastAsia="zh-CN" w:bidi="ar-SA"/>
              </w:rPr>
              <w:t>分</w:t>
            </w:r>
            <w:r>
              <w:rPr>
                <w:rFonts w:hint="eastAsia" w:ascii="宋体" w:hAnsi="宋体" w:eastAsia="宋体" w:cs="宋体"/>
                <w:color w:val="auto"/>
                <w:kern w:val="0"/>
                <w:sz w:val="24"/>
                <w:szCs w:val="24"/>
                <w:highlight w:val="none"/>
                <w:shd w:val="clear" w:color="auto" w:fill="auto"/>
                <w:lang w:val="zh-CN" w:eastAsia="zh-CN" w:bidi="ar-SA"/>
              </w:rPr>
              <w:t>。</w:t>
            </w:r>
          </w:p>
          <w:p w14:paraId="694882DD">
            <w:pPr>
              <w:numPr>
                <w:ilvl w:val="0"/>
                <w:numId w:val="11"/>
              </w:numPr>
              <w:adjustRightInd w:val="0"/>
              <w:spacing w:before="0" w:beforeAutospacing="0" w:after="0" w:afterAutospacing="0" w:line="252" w:lineRule="auto"/>
              <w:ind w:leftChars="0"/>
              <w:jc w:val="both"/>
              <w:rPr>
                <w:rFonts w:hint="eastAsia" w:ascii="宋体" w:hAnsi="宋体" w:eastAsia="宋体" w:cs="宋体"/>
                <w:snapToGrid/>
                <w:color w:val="auto"/>
                <w:kern w:val="0"/>
                <w:sz w:val="24"/>
                <w:szCs w:val="24"/>
                <w:highlight w:val="none"/>
                <w:shd w:val="clear" w:color="auto" w:fill="auto"/>
                <w:lang w:val="zh-CN" w:eastAsia="zh-CN" w:bidi="ar-SA"/>
              </w:rPr>
            </w:pPr>
            <w:r>
              <w:rPr>
                <w:rFonts w:hint="eastAsia" w:ascii="宋体" w:hAnsi="宋体" w:eastAsia="宋体" w:cs="宋体"/>
                <w:snapToGrid/>
                <w:color w:val="auto"/>
                <w:kern w:val="0"/>
                <w:sz w:val="24"/>
                <w:szCs w:val="24"/>
                <w:highlight w:val="none"/>
                <w:shd w:val="clear" w:color="auto" w:fill="auto"/>
                <w:lang w:val="en-US" w:eastAsia="zh-CN" w:bidi="ar-SA"/>
              </w:rPr>
              <w:t>具有泵站运行工、闸门运行工、电工的一级技师证每人得1分，二级技师证每人得0.5分，其余不得分，最高得3分。</w:t>
            </w:r>
          </w:p>
          <w:p w14:paraId="4F4A8108">
            <w:pPr>
              <w:numPr>
                <w:ilvl w:val="0"/>
                <w:numId w:val="11"/>
              </w:numPr>
              <w:adjustRightInd w:val="0"/>
              <w:spacing w:before="0" w:beforeAutospacing="0" w:after="0" w:afterAutospacing="0" w:line="252" w:lineRule="auto"/>
              <w:ind w:leftChars="0"/>
              <w:jc w:val="both"/>
              <w:rPr>
                <w:rFonts w:hint="eastAsia" w:ascii="宋体" w:hAnsi="宋体" w:eastAsia="宋体" w:cs="宋体"/>
                <w:snapToGrid/>
                <w:color w:val="auto"/>
                <w:kern w:val="0"/>
                <w:sz w:val="24"/>
                <w:szCs w:val="24"/>
                <w:highlight w:val="none"/>
                <w:shd w:val="clear" w:color="auto" w:fill="auto"/>
                <w:lang w:val="zh-CN" w:eastAsia="zh-CN" w:bidi="ar-SA"/>
              </w:rPr>
            </w:pPr>
            <w:r>
              <w:rPr>
                <w:rFonts w:hint="eastAsia" w:ascii="宋体" w:hAnsi="宋体" w:eastAsia="宋体" w:cs="宋体"/>
                <w:snapToGrid/>
                <w:color w:val="auto"/>
                <w:kern w:val="0"/>
                <w:sz w:val="24"/>
                <w:szCs w:val="24"/>
                <w:highlight w:val="none"/>
                <w:shd w:val="clear" w:color="auto" w:fill="auto"/>
                <w:lang w:val="zh-CN" w:eastAsia="zh-CN" w:bidi="ar-SA"/>
              </w:rPr>
              <w:t>项目部管理岗位人员中项目经理、技术负责人、安全运行及检修管理人员</w:t>
            </w:r>
            <w:r>
              <w:rPr>
                <w:rFonts w:hint="eastAsia" w:ascii="宋体" w:hAnsi="宋体" w:eastAsia="宋体" w:cs="宋体"/>
                <w:snapToGrid/>
                <w:color w:val="auto"/>
                <w:kern w:val="0"/>
                <w:sz w:val="24"/>
                <w:szCs w:val="24"/>
                <w:highlight w:val="none"/>
                <w:shd w:val="clear" w:color="auto" w:fill="auto"/>
                <w:lang w:val="en-US" w:eastAsia="zh-CN" w:bidi="ar-SA"/>
              </w:rPr>
              <w:t>6人及</w:t>
            </w:r>
            <w:r>
              <w:rPr>
                <w:rFonts w:hint="eastAsia" w:ascii="宋体" w:hAnsi="宋体" w:eastAsia="宋体" w:cs="宋体"/>
                <w:snapToGrid/>
                <w:color w:val="auto"/>
                <w:kern w:val="0"/>
                <w:sz w:val="24"/>
                <w:szCs w:val="24"/>
                <w:highlight w:val="none"/>
                <w:shd w:val="clear" w:color="auto" w:fill="auto"/>
                <w:lang w:val="zh-CN" w:eastAsia="zh-CN" w:bidi="ar-SA"/>
              </w:rPr>
              <w:t>以上得</w:t>
            </w:r>
            <w:r>
              <w:rPr>
                <w:rFonts w:hint="eastAsia" w:ascii="宋体" w:hAnsi="宋体" w:eastAsia="宋体" w:cs="宋体"/>
                <w:snapToGrid/>
                <w:color w:val="auto"/>
                <w:kern w:val="0"/>
                <w:sz w:val="24"/>
                <w:szCs w:val="24"/>
                <w:highlight w:val="none"/>
                <w:shd w:val="clear" w:color="auto" w:fill="auto"/>
                <w:lang w:val="en-US" w:eastAsia="zh-CN" w:bidi="ar-SA"/>
              </w:rPr>
              <w:t>1分，其余不得分</w:t>
            </w:r>
            <w:r>
              <w:rPr>
                <w:rFonts w:hint="eastAsia" w:ascii="宋体" w:hAnsi="宋体" w:eastAsia="宋体" w:cs="宋体"/>
                <w:snapToGrid/>
                <w:color w:val="auto"/>
                <w:kern w:val="0"/>
                <w:sz w:val="24"/>
                <w:szCs w:val="24"/>
                <w:highlight w:val="none"/>
                <w:shd w:val="clear" w:color="auto" w:fill="auto"/>
                <w:lang w:val="zh-CN" w:eastAsia="zh-CN" w:bidi="ar-SA"/>
              </w:rPr>
              <w:t>。</w:t>
            </w:r>
          </w:p>
          <w:p w14:paraId="5F19CE7D">
            <w:pPr>
              <w:numPr>
                <w:ilvl w:val="0"/>
                <w:numId w:val="11"/>
              </w:numPr>
              <w:adjustRightInd w:val="0"/>
              <w:spacing w:before="0" w:beforeAutospacing="0" w:after="0" w:afterAutospacing="0" w:line="252" w:lineRule="auto"/>
              <w:ind w:leftChars="0"/>
              <w:jc w:val="both"/>
              <w:rPr>
                <w:rFonts w:hint="eastAsia" w:ascii="宋体" w:hAnsi="宋体" w:eastAsia="宋体" w:cs="宋体"/>
                <w:snapToGrid/>
                <w:color w:val="auto"/>
                <w:kern w:val="0"/>
                <w:sz w:val="24"/>
                <w:szCs w:val="24"/>
                <w:highlight w:val="none"/>
                <w:shd w:val="clear" w:color="auto" w:fill="auto"/>
                <w:lang w:val="zh-CN" w:eastAsia="zh-CN" w:bidi="ar-SA"/>
              </w:rPr>
            </w:pPr>
            <w:r>
              <w:rPr>
                <w:rFonts w:hint="eastAsia" w:ascii="宋体" w:hAnsi="宋体" w:eastAsia="宋体" w:cs="宋体"/>
                <w:snapToGrid/>
                <w:color w:val="auto"/>
                <w:kern w:val="0"/>
                <w:sz w:val="24"/>
                <w:szCs w:val="24"/>
                <w:highlight w:val="none"/>
                <w:shd w:val="clear" w:color="auto" w:fill="auto"/>
                <w:lang w:val="zh-CN" w:eastAsia="zh-CN" w:bidi="ar-SA"/>
              </w:rPr>
              <w:t>运行人员中配备有</w:t>
            </w:r>
            <w:r>
              <w:rPr>
                <w:rFonts w:hint="eastAsia" w:ascii="宋体" w:hAnsi="宋体" w:eastAsia="宋体" w:cs="宋体"/>
                <w:snapToGrid/>
                <w:color w:val="auto"/>
                <w:kern w:val="0"/>
                <w:sz w:val="24"/>
                <w:szCs w:val="24"/>
                <w:highlight w:val="none"/>
                <w:shd w:val="clear" w:color="auto" w:fill="auto"/>
                <w:lang w:val="en-US" w:eastAsia="zh-CN" w:bidi="ar-SA"/>
              </w:rPr>
              <w:t>持证</w:t>
            </w:r>
            <w:r>
              <w:rPr>
                <w:rFonts w:hint="eastAsia" w:ascii="宋体" w:hAnsi="宋体" w:eastAsia="宋体" w:cs="宋体"/>
                <w:snapToGrid/>
                <w:color w:val="auto"/>
                <w:kern w:val="0"/>
                <w:sz w:val="24"/>
                <w:szCs w:val="24"/>
                <w:highlight w:val="none"/>
                <w:shd w:val="clear" w:color="auto" w:fill="auto"/>
                <w:lang w:val="zh-CN" w:eastAsia="zh-CN" w:bidi="ar-SA"/>
              </w:rPr>
              <w:t>电工4人及以上得</w:t>
            </w:r>
            <w:r>
              <w:rPr>
                <w:rFonts w:hint="eastAsia" w:ascii="宋体" w:hAnsi="宋体" w:eastAsia="宋体" w:cs="宋体"/>
                <w:snapToGrid/>
                <w:color w:val="auto"/>
                <w:kern w:val="0"/>
                <w:sz w:val="24"/>
                <w:szCs w:val="24"/>
                <w:highlight w:val="none"/>
                <w:shd w:val="clear" w:color="auto" w:fill="auto"/>
                <w:lang w:val="en-US" w:eastAsia="zh-CN" w:bidi="ar-SA"/>
              </w:rPr>
              <w:t>2</w:t>
            </w:r>
            <w:r>
              <w:rPr>
                <w:rFonts w:hint="eastAsia" w:ascii="宋体" w:hAnsi="宋体" w:eastAsia="宋体" w:cs="宋体"/>
                <w:snapToGrid/>
                <w:color w:val="auto"/>
                <w:kern w:val="0"/>
                <w:sz w:val="24"/>
                <w:szCs w:val="24"/>
                <w:highlight w:val="none"/>
                <w:shd w:val="clear" w:color="auto" w:fill="auto"/>
                <w:lang w:val="zh-CN" w:eastAsia="zh-CN" w:bidi="ar-SA"/>
              </w:rPr>
              <w:t>分；配备有闸门运行工或泵站运行工4人及以上得2分，其中电工和闸门运行工（或泵站运行工）不得互兼。</w:t>
            </w:r>
          </w:p>
          <w:p w14:paraId="07937D3B">
            <w:pPr>
              <w:numPr>
                <w:ilvl w:val="0"/>
                <w:numId w:val="0"/>
              </w:numPr>
              <w:adjustRightInd w:val="0"/>
              <w:spacing w:before="0" w:beforeAutospacing="0" w:after="0" w:afterAutospacing="0" w:line="252" w:lineRule="auto"/>
              <w:jc w:val="both"/>
              <w:rPr>
                <w:rFonts w:hint="eastAsia" w:cs="宋体"/>
                <w:color w:val="auto"/>
                <w:szCs w:val="24"/>
                <w:highlight w:val="none"/>
              </w:rPr>
            </w:pPr>
            <w:r>
              <w:rPr>
                <w:rFonts w:hint="eastAsia" w:ascii="宋体" w:hAnsi="宋体" w:eastAsia="宋体" w:cs="宋体"/>
                <w:snapToGrid/>
                <w:color w:val="auto"/>
                <w:kern w:val="0"/>
                <w:sz w:val="24"/>
                <w:szCs w:val="24"/>
                <w:highlight w:val="none"/>
                <w:shd w:val="clear" w:color="auto" w:fill="auto"/>
                <w:lang w:val="zh-CN" w:eastAsia="zh-CN" w:bidi="ar-SA"/>
              </w:rPr>
              <w:t>（证明材料：提供</w:t>
            </w:r>
            <w:r>
              <w:rPr>
                <w:rFonts w:hint="eastAsia" w:ascii="宋体" w:hAnsi="宋体" w:cs="宋体"/>
                <w:snapToGrid/>
                <w:color w:val="auto"/>
                <w:kern w:val="0"/>
                <w:sz w:val="24"/>
                <w:szCs w:val="24"/>
                <w:highlight w:val="none"/>
                <w:shd w:val="clear" w:color="auto" w:fill="auto"/>
                <w:lang w:val="en-US" w:eastAsia="zh-CN" w:bidi="ar-SA"/>
              </w:rPr>
              <w:t>人员</w:t>
            </w:r>
            <w:r>
              <w:rPr>
                <w:rFonts w:hint="eastAsia" w:ascii="宋体" w:hAnsi="宋体" w:eastAsia="宋体" w:cs="宋体"/>
                <w:snapToGrid/>
                <w:color w:val="auto"/>
                <w:kern w:val="0"/>
                <w:sz w:val="24"/>
                <w:szCs w:val="24"/>
                <w:highlight w:val="none"/>
                <w:shd w:val="clear" w:color="auto" w:fill="auto"/>
                <w:lang w:val="zh-CN" w:eastAsia="zh-CN" w:bidi="ar-SA"/>
              </w:rPr>
              <w:t>证书、近三个月内任一月份打印的社保证明材料）</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B48B5D">
            <w:pPr>
              <w:pStyle w:val="18"/>
              <w:adjustRightInd w:val="0"/>
              <w:spacing w:before="0" w:beforeAutospacing="0" w:after="0" w:afterAutospacing="0" w:line="252" w:lineRule="auto"/>
              <w:jc w:val="center"/>
              <w:rPr>
                <w:rFonts w:hint="default" w:eastAsia="宋体" w:cs="宋体"/>
                <w:color w:val="auto"/>
                <w:szCs w:val="24"/>
                <w:highlight w:val="none"/>
                <w:lang w:val="en-US" w:eastAsia="zh-CN"/>
              </w:rPr>
            </w:pPr>
            <w:r>
              <w:rPr>
                <w:rFonts w:hint="eastAsia" w:cs="宋体"/>
                <w:color w:val="auto"/>
                <w:szCs w:val="24"/>
                <w:highlight w:val="none"/>
                <w:lang w:val="en-US" w:eastAsia="zh-CN"/>
              </w:rPr>
              <w:t>11</w:t>
            </w:r>
          </w:p>
        </w:tc>
      </w:tr>
      <w:tr w14:paraId="0E9B4247">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4A1656D">
            <w:pPr>
              <w:pStyle w:val="18"/>
              <w:adjustRightInd w:val="0"/>
              <w:spacing w:before="0" w:beforeAutospacing="0" w:after="0" w:afterAutospacing="0" w:line="252" w:lineRule="auto"/>
              <w:jc w:val="center"/>
              <w:rPr>
                <w:rFonts w:hint="default" w:eastAsia="宋体" w:cs="宋体"/>
                <w:color w:val="auto"/>
                <w:szCs w:val="24"/>
                <w:highlight w:val="none"/>
                <w:lang w:val="en-US" w:eastAsia="zh-CN"/>
              </w:rPr>
            </w:pPr>
            <w:r>
              <w:rPr>
                <w:rFonts w:hint="eastAsia" w:cs="宋体"/>
                <w:color w:val="auto"/>
                <w:szCs w:val="24"/>
                <w:highlight w:val="none"/>
                <w:lang w:val="en-US" w:eastAsia="zh-CN"/>
              </w:rPr>
              <w:t>3.6.4</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610DCFD">
            <w:pPr>
              <w:rPr>
                <w:rFonts w:hint="eastAsia" w:cs="宋体"/>
                <w:color w:val="auto"/>
                <w:szCs w:val="24"/>
                <w:highlight w:val="none"/>
                <w:lang w:val="zh-CN"/>
              </w:rPr>
            </w:pPr>
            <w:r>
              <w:rPr>
                <w:rFonts w:hint="eastAsia" w:ascii="宋体" w:hAnsi="宋体" w:eastAsia="宋体" w:cs="宋体"/>
                <w:color w:val="auto"/>
                <w:kern w:val="0"/>
                <w:sz w:val="24"/>
                <w:szCs w:val="24"/>
                <w:highlight w:val="none"/>
                <w:lang w:val="zh-CN" w:eastAsia="zh-CN" w:bidi="ar-SA"/>
              </w:rPr>
              <w:t>【客观】</w:t>
            </w:r>
            <w:r>
              <w:rPr>
                <w:rFonts w:hint="eastAsia" w:ascii="宋体" w:hAnsi="宋体" w:cs="宋体"/>
                <w:color w:val="auto"/>
                <w:kern w:val="0"/>
                <w:sz w:val="24"/>
                <w:szCs w:val="24"/>
                <w:highlight w:val="none"/>
                <w:lang w:val="en-US" w:eastAsia="zh-CN" w:bidi="ar-SA"/>
              </w:rPr>
              <w:t>平台维护员具有计算机或信息化相关专业中级及以上职称</w:t>
            </w:r>
            <w:r>
              <w:rPr>
                <w:rFonts w:hint="eastAsia" w:ascii="宋体" w:hAnsi="宋体" w:cs="宋体"/>
                <w:color w:val="auto"/>
                <w:kern w:val="0"/>
                <w:sz w:val="24"/>
                <w:szCs w:val="24"/>
                <w:highlight w:val="none"/>
                <w:lang w:val="zh-CN" w:eastAsia="zh-CN" w:bidi="ar-SA"/>
              </w:rPr>
              <w:t>得</w:t>
            </w:r>
            <w:r>
              <w:rPr>
                <w:rFonts w:hint="eastAsia" w:ascii="宋体" w:hAnsi="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zh-CN" w:eastAsia="zh-CN" w:bidi="ar-SA"/>
              </w:rPr>
              <w:t>分，</w:t>
            </w:r>
            <w:r>
              <w:rPr>
                <w:rFonts w:hint="eastAsia" w:ascii="宋体" w:hAnsi="宋体" w:cs="宋体"/>
                <w:color w:val="auto"/>
                <w:kern w:val="0"/>
                <w:sz w:val="24"/>
                <w:szCs w:val="24"/>
                <w:highlight w:val="none"/>
                <w:lang w:val="en-US" w:eastAsia="zh-CN" w:bidi="ar-SA"/>
              </w:rPr>
              <w:t>其余不得分</w:t>
            </w:r>
            <w:r>
              <w:rPr>
                <w:rFonts w:hint="eastAsia" w:ascii="宋体" w:hAnsi="宋体" w:cs="宋体"/>
                <w:color w:val="auto"/>
                <w:kern w:val="0"/>
                <w:sz w:val="24"/>
                <w:szCs w:val="24"/>
                <w:highlight w:val="none"/>
                <w:lang w:val="zh-CN" w:eastAsia="zh-CN" w:bidi="ar-SA"/>
              </w:rPr>
              <w:t>。（证明材料：</w:t>
            </w:r>
            <w:r>
              <w:rPr>
                <w:rFonts w:hint="eastAsia" w:cs="宋体"/>
                <w:color w:val="auto"/>
                <w:kern w:val="0"/>
                <w:sz w:val="24"/>
                <w:szCs w:val="24"/>
                <w:highlight w:val="none"/>
                <w:lang w:val="en-US" w:eastAsia="zh-CN" w:bidi="ar-SA"/>
              </w:rPr>
              <w:t>提供</w:t>
            </w:r>
            <w:r>
              <w:rPr>
                <w:rFonts w:hint="eastAsia" w:ascii="宋体" w:hAnsi="宋体" w:cs="宋体"/>
                <w:color w:val="auto"/>
                <w:kern w:val="0"/>
                <w:sz w:val="24"/>
                <w:szCs w:val="24"/>
                <w:highlight w:val="none"/>
                <w:lang w:val="en-US" w:eastAsia="zh-CN" w:bidi="ar-SA"/>
              </w:rPr>
              <w:t>证书</w:t>
            </w:r>
            <w:r>
              <w:rPr>
                <w:rFonts w:hint="eastAsia" w:ascii="宋体" w:hAnsi="宋体" w:cs="宋体"/>
                <w:color w:val="auto"/>
                <w:kern w:val="0"/>
                <w:sz w:val="24"/>
                <w:szCs w:val="24"/>
                <w:highlight w:val="none"/>
                <w:lang w:val="zh-CN" w:eastAsia="zh-CN" w:bidi="ar-SA"/>
              </w:rPr>
              <w:t>）</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C7F665E">
            <w:pPr>
              <w:pStyle w:val="18"/>
              <w:adjustRightInd w:val="0"/>
              <w:spacing w:before="0" w:beforeAutospacing="0" w:after="0" w:afterAutospacing="0" w:line="252" w:lineRule="auto"/>
              <w:jc w:val="center"/>
              <w:rPr>
                <w:rFonts w:hint="eastAsia" w:eastAsia="宋体" w:cs="宋体"/>
                <w:color w:val="auto"/>
                <w:szCs w:val="24"/>
                <w:highlight w:val="none"/>
                <w:lang w:val="en-US" w:eastAsia="zh-CN"/>
              </w:rPr>
            </w:pPr>
            <w:r>
              <w:rPr>
                <w:rFonts w:hint="eastAsia" w:cs="宋体"/>
                <w:color w:val="auto"/>
                <w:szCs w:val="24"/>
                <w:highlight w:val="none"/>
                <w:lang w:val="en-US" w:eastAsia="zh-CN"/>
              </w:rPr>
              <w:t>2</w:t>
            </w:r>
          </w:p>
        </w:tc>
      </w:tr>
      <w:tr w14:paraId="75CC12AC">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0602228">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rPr>
              <w:t>3.</w:t>
            </w:r>
            <w:r>
              <w:rPr>
                <w:rFonts w:hint="eastAsia" w:cs="宋体"/>
                <w:color w:val="auto"/>
                <w:szCs w:val="24"/>
                <w:highlight w:val="none"/>
                <w:lang w:val="en-US" w:eastAsia="zh-CN"/>
              </w:rPr>
              <w:t>6</w:t>
            </w:r>
            <w:r>
              <w:rPr>
                <w:rFonts w:hint="eastAsia" w:cs="宋体"/>
                <w:color w:val="auto"/>
                <w:szCs w:val="24"/>
                <w:highlight w:val="none"/>
              </w:rPr>
              <w:t>.</w:t>
            </w:r>
            <w:r>
              <w:rPr>
                <w:rFonts w:hint="eastAsia" w:cs="宋体"/>
                <w:color w:val="auto"/>
                <w:szCs w:val="24"/>
                <w:highlight w:val="none"/>
                <w:lang w:val="en-US" w:eastAsia="zh-CN"/>
              </w:rPr>
              <w:t>5</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6378AA2">
            <w:pPr>
              <w:pStyle w:val="18"/>
              <w:adjustRightInd w:val="0"/>
              <w:spacing w:before="0" w:beforeAutospacing="0" w:after="0" w:afterAutospacing="0" w:line="252" w:lineRule="auto"/>
              <w:jc w:val="both"/>
              <w:rPr>
                <w:rFonts w:hint="eastAsia" w:cs="宋体"/>
                <w:color w:val="auto"/>
                <w:szCs w:val="24"/>
                <w:highlight w:val="none"/>
              </w:rPr>
            </w:pPr>
            <w:r>
              <w:rPr>
                <w:rFonts w:hint="eastAsia" w:cs="宋体"/>
                <w:color w:val="auto"/>
                <w:szCs w:val="24"/>
                <w:highlight w:val="none"/>
                <w:lang w:val="zh-CN"/>
              </w:rPr>
              <w:t>每班运行人员配置结构</w:t>
            </w:r>
            <w:r>
              <w:rPr>
                <w:rFonts w:hint="eastAsia" w:cs="宋体"/>
                <w:color w:val="auto"/>
                <w:szCs w:val="24"/>
                <w:highlight w:val="none"/>
              </w:rPr>
              <w:t>合理，高于日常运维需求</w:t>
            </w:r>
            <w:r>
              <w:rPr>
                <w:rFonts w:hint="eastAsia" w:cs="宋体"/>
                <w:color w:val="auto"/>
                <w:szCs w:val="24"/>
                <w:highlight w:val="none"/>
                <w:lang w:val="zh-CN"/>
              </w:rPr>
              <w:t>得</w:t>
            </w:r>
            <w:r>
              <w:rPr>
                <w:rFonts w:hint="eastAsia" w:cs="宋体"/>
                <w:color w:val="auto"/>
                <w:szCs w:val="24"/>
                <w:highlight w:val="none"/>
              </w:rPr>
              <w:t>3</w:t>
            </w:r>
            <w:r>
              <w:rPr>
                <w:rFonts w:hint="eastAsia" w:cs="宋体"/>
                <w:color w:val="auto"/>
                <w:szCs w:val="24"/>
                <w:highlight w:val="none"/>
                <w:lang w:val="zh-CN"/>
              </w:rPr>
              <w:t>分，</w:t>
            </w:r>
            <w:r>
              <w:rPr>
                <w:rFonts w:hint="eastAsia" w:cs="宋体"/>
                <w:color w:val="auto"/>
                <w:szCs w:val="24"/>
                <w:highlight w:val="none"/>
              </w:rPr>
              <w:t>配置基本合理，基本满足日常运维需求得2分，分工不太明确，或存在运维保障不足的可能得1分，</w:t>
            </w:r>
            <w:r>
              <w:rPr>
                <w:rFonts w:hint="eastAsia" w:cs="宋体"/>
                <w:color w:val="auto"/>
                <w:szCs w:val="24"/>
                <w:highlight w:val="none"/>
                <w:lang w:val="en-US" w:eastAsia="zh-CN"/>
              </w:rPr>
              <w:t>分</w:t>
            </w:r>
            <w:r>
              <w:rPr>
                <w:rFonts w:hint="eastAsia" w:cs="宋体"/>
                <w:color w:val="auto"/>
                <w:szCs w:val="24"/>
                <w:highlight w:val="none"/>
              </w:rPr>
              <w:t>工混乱或明显不太满足运行要求的不得分。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08CB5D">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rPr>
              <w:t>3</w:t>
            </w:r>
          </w:p>
        </w:tc>
      </w:tr>
      <w:tr w14:paraId="03F4165F">
        <w:tblPrEx>
          <w:tblCellMar>
            <w:top w:w="15" w:type="dxa"/>
            <w:left w:w="15" w:type="dxa"/>
            <w:bottom w:w="15" w:type="dxa"/>
            <w:right w:w="15" w:type="dxa"/>
          </w:tblCellMar>
        </w:tblPrEx>
        <w:trPr>
          <w:trHeight w:val="23" w:hRule="atLeast"/>
        </w:trPr>
        <w:tc>
          <w:tcPr>
            <w:tcW w:w="926"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600FB68">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rPr>
              <w:t>3.</w:t>
            </w:r>
            <w:r>
              <w:rPr>
                <w:rFonts w:hint="eastAsia" w:cs="宋体"/>
                <w:color w:val="auto"/>
                <w:szCs w:val="24"/>
                <w:highlight w:val="none"/>
                <w:lang w:val="en-US" w:eastAsia="zh-CN"/>
              </w:rPr>
              <w:t>6</w:t>
            </w:r>
            <w:r>
              <w:rPr>
                <w:rFonts w:hint="eastAsia" w:cs="宋体"/>
                <w:color w:val="auto"/>
                <w:szCs w:val="24"/>
                <w:highlight w:val="none"/>
              </w:rPr>
              <w:t>.</w:t>
            </w:r>
            <w:r>
              <w:rPr>
                <w:rFonts w:hint="eastAsia" w:cs="宋体"/>
                <w:color w:val="auto"/>
                <w:szCs w:val="24"/>
                <w:highlight w:val="none"/>
                <w:lang w:val="en-US" w:eastAsia="zh-CN"/>
              </w:rPr>
              <w:t>6</w:t>
            </w:r>
          </w:p>
        </w:tc>
        <w:tc>
          <w:tcPr>
            <w:tcW w:w="7984" w:type="dxa"/>
            <w:tcBorders>
              <w:top w:val="single" w:color="auto" w:sz="4" w:space="0"/>
              <w:left w:val="single" w:color="000000"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B151E4A">
            <w:pPr>
              <w:pStyle w:val="18"/>
              <w:adjustRightInd w:val="0"/>
              <w:spacing w:before="0" w:beforeAutospacing="0" w:after="0" w:afterAutospacing="0" w:line="252" w:lineRule="auto"/>
              <w:jc w:val="both"/>
              <w:rPr>
                <w:rFonts w:hint="eastAsia" w:cs="宋体"/>
                <w:color w:val="auto"/>
                <w:szCs w:val="24"/>
                <w:highlight w:val="none"/>
                <w:lang w:val="zh-CN"/>
              </w:rPr>
            </w:pPr>
            <w:r>
              <w:rPr>
                <w:rFonts w:hint="eastAsia" w:cs="宋体"/>
                <w:color w:val="auto"/>
                <w:szCs w:val="24"/>
                <w:highlight w:val="none"/>
                <w:lang w:val="zh-CN"/>
              </w:rPr>
              <w:t>【</w:t>
            </w:r>
            <w:r>
              <w:rPr>
                <w:rFonts w:hint="eastAsia" w:cs="宋体"/>
                <w:color w:val="auto"/>
                <w:szCs w:val="24"/>
                <w:highlight w:val="none"/>
              </w:rPr>
              <w:t>客观</w:t>
            </w:r>
            <w:r>
              <w:rPr>
                <w:rFonts w:hint="eastAsia" w:cs="宋体"/>
                <w:color w:val="auto"/>
                <w:szCs w:val="24"/>
                <w:highlight w:val="none"/>
                <w:lang w:val="zh-CN"/>
              </w:rPr>
              <w:t>】拟派运行人员中配置</w:t>
            </w:r>
            <w:r>
              <w:rPr>
                <w:rFonts w:hint="eastAsia" w:cs="宋体"/>
                <w:color w:val="auto"/>
                <w:szCs w:val="24"/>
                <w:highlight w:val="none"/>
                <w:lang w:val="en-US" w:eastAsia="zh-CN"/>
              </w:rPr>
              <w:t>电气、</w:t>
            </w:r>
            <w:r>
              <w:rPr>
                <w:rFonts w:hint="eastAsia" w:cs="宋体"/>
                <w:color w:val="auto"/>
                <w:szCs w:val="24"/>
                <w:highlight w:val="none"/>
                <w:lang w:val="zh-CN"/>
              </w:rPr>
              <w:t>自动化、机电、机械、水工、计算机等相关专业</w:t>
            </w:r>
            <w:r>
              <w:rPr>
                <w:rFonts w:hint="eastAsia" w:cs="宋体"/>
                <w:color w:val="auto"/>
                <w:szCs w:val="24"/>
                <w:highlight w:val="none"/>
                <w:lang w:val="en-US" w:eastAsia="zh-CN"/>
              </w:rPr>
              <w:t>大专及以上学历</w:t>
            </w:r>
            <w:r>
              <w:rPr>
                <w:rFonts w:hint="eastAsia" w:cs="宋体"/>
                <w:color w:val="auto"/>
                <w:szCs w:val="24"/>
                <w:highlight w:val="none"/>
                <w:lang w:val="zh-CN"/>
              </w:rPr>
              <w:t>，每个专业最多得</w:t>
            </w:r>
            <w:r>
              <w:rPr>
                <w:rFonts w:cs="宋体"/>
                <w:color w:val="auto"/>
                <w:szCs w:val="24"/>
                <w:highlight w:val="none"/>
              </w:rPr>
              <w:t>1</w:t>
            </w:r>
            <w:r>
              <w:rPr>
                <w:rFonts w:hint="eastAsia" w:cs="宋体"/>
                <w:color w:val="auto"/>
                <w:szCs w:val="24"/>
                <w:highlight w:val="none"/>
                <w:lang w:val="zh-CN"/>
              </w:rPr>
              <w:t>分，6个专业</w:t>
            </w:r>
            <w:r>
              <w:rPr>
                <w:rFonts w:hint="eastAsia" w:cs="宋体"/>
                <w:color w:val="auto"/>
                <w:szCs w:val="24"/>
                <w:highlight w:val="none"/>
                <w:lang w:val="en-US" w:eastAsia="zh-CN"/>
              </w:rPr>
              <w:t>及</w:t>
            </w:r>
            <w:r>
              <w:rPr>
                <w:rFonts w:hint="eastAsia" w:cs="宋体"/>
                <w:color w:val="auto"/>
                <w:szCs w:val="24"/>
                <w:highlight w:val="none"/>
                <w:lang w:val="zh-CN"/>
              </w:rPr>
              <w:t>以上得</w:t>
            </w:r>
            <w:r>
              <w:rPr>
                <w:rFonts w:cs="宋体"/>
                <w:color w:val="auto"/>
                <w:szCs w:val="24"/>
                <w:highlight w:val="none"/>
              </w:rPr>
              <w:t>6</w:t>
            </w:r>
            <w:r>
              <w:rPr>
                <w:rFonts w:hint="eastAsia" w:cs="宋体"/>
                <w:color w:val="auto"/>
                <w:szCs w:val="24"/>
                <w:highlight w:val="none"/>
                <w:lang w:val="zh-CN"/>
              </w:rPr>
              <w:t>分。（证明材料：学历证书）</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4A22739">
            <w:pPr>
              <w:pStyle w:val="18"/>
              <w:adjustRightInd w:val="0"/>
              <w:spacing w:before="0" w:beforeAutospacing="0" w:after="0" w:afterAutospacing="0" w:line="252" w:lineRule="auto"/>
              <w:jc w:val="center"/>
              <w:rPr>
                <w:rFonts w:hint="eastAsia" w:cs="宋体"/>
                <w:color w:val="auto"/>
                <w:szCs w:val="24"/>
                <w:highlight w:val="none"/>
              </w:rPr>
            </w:pPr>
            <w:r>
              <w:rPr>
                <w:rFonts w:cs="宋体"/>
                <w:color w:val="auto"/>
                <w:szCs w:val="24"/>
                <w:highlight w:val="none"/>
              </w:rPr>
              <w:t>6</w:t>
            </w:r>
          </w:p>
        </w:tc>
      </w:tr>
      <w:tr w14:paraId="73B9671D">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12BB3539">
            <w:pPr>
              <w:jc w:val="center"/>
              <w:rPr>
                <w:rFonts w:hint="eastAsia" w:eastAsia="宋体" w:cs="宋体"/>
                <w:color w:val="auto"/>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4</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38A7257D">
            <w:pPr>
              <w:jc w:val="left"/>
              <w:rPr>
                <w:rFonts w:hint="eastAsia" w:ascii="宋体" w:hAnsi="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专项</w:t>
            </w:r>
            <w:r>
              <w:rPr>
                <w:rFonts w:hint="eastAsia" w:ascii="宋体" w:hAnsi="宋体" w:eastAsia="宋体" w:cs="宋体"/>
                <w:b/>
                <w:bCs/>
                <w:color w:val="auto"/>
                <w:kern w:val="0"/>
                <w:sz w:val="24"/>
                <w:szCs w:val="24"/>
                <w:highlight w:val="none"/>
                <w:lang w:val="zh-CN" w:eastAsia="zh-CN" w:bidi="ar-SA"/>
              </w:rPr>
              <w:t>维</w:t>
            </w:r>
            <w:r>
              <w:rPr>
                <w:rFonts w:hint="eastAsia" w:ascii="宋体" w:hAnsi="宋体" w:eastAsia="宋体" w:cs="宋体"/>
                <w:b/>
                <w:bCs/>
                <w:color w:val="auto"/>
                <w:kern w:val="0"/>
                <w:sz w:val="24"/>
                <w:szCs w:val="24"/>
                <w:highlight w:val="none"/>
                <w:lang w:val="en-US" w:eastAsia="zh-CN" w:bidi="ar-SA"/>
              </w:rPr>
              <w:t>护</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3DCDAC">
            <w:pPr>
              <w:widowControl/>
              <w:spacing w:line="252" w:lineRule="auto"/>
              <w:jc w:val="center"/>
              <w:textAlignment w:val="center"/>
              <w:rPr>
                <w:rFonts w:hint="default" w:ascii="宋体" w:hAnsi="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w:t>
            </w:r>
          </w:p>
        </w:tc>
      </w:tr>
      <w:tr w14:paraId="2D15879F">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63F35E66">
            <w:pPr>
              <w:pStyle w:val="18"/>
              <w:adjustRightInd w:val="0"/>
              <w:spacing w:before="0" w:beforeAutospacing="0" w:after="0" w:afterAutospacing="0" w:line="252" w:lineRule="auto"/>
              <w:jc w:val="center"/>
              <w:rPr>
                <w:rFonts w:hint="eastAsia" w:ascii="宋体" w:hAnsi="宋体" w:eastAsia="宋体" w:cs="宋体"/>
                <w:kern w:val="0"/>
                <w:sz w:val="24"/>
                <w:szCs w:val="24"/>
                <w:highlight w:val="none"/>
                <w:lang w:val="en-US" w:eastAsia="zh-CN" w:bidi="ar-SA"/>
              </w:rPr>
            </w:pPr>
            <w:r>
              <w:rPr>
                <w:rFonts w:hint="eastAsia" w:cs="宋体"/>
                <w:szCs w:val="24"/>
                <w:highlight w:val="none"/>
              </w:rPr>
              <w:t>4</w:t>
            </w:r>
            <w:r>
              <w:rPr>
                <w:rFonts w:hint="eastAsia" w:cs="宋体"/>
                <w:szCs w:val="24"/>
                <w:highlight w:val="none"/>
                <w:lang w:val="en-US" w:eastAsia="zh-CN"/>
              </w:rPr>
              <w:t>.1</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698C96E2">
            <w:pPr>
              <w:rPr>
                <w:rFonts w:hint="eastAsia" w:ascii="Calibri" w:hAnsi="宋体" w:eastAsia="宋体" w:cs="宋体"/>
                <w:kern w:val="2"/>
                <w:sz w:val="21"/>
                <w:szCs w:val="24"/>
                <w:highlight w:val="none"/>
                <w:lang w:val="en-US" w:eastAsia="zh-CN" w:bidi="ar-SA"/>
              </w:rPr>
            </w:pPr>
            <w:r>
              <w:rPr>
                <w:rFonts w:hint="eastAsia" w:ascii="宋体" w:hAnsi="宋体" w:eastAsia="宋体" w:cs="宋体"/>
                <w:kern w:val="0"/>
                <w:sz w:val="24"/>
                <w:szCs w:val="24"/>
                <w:highlight w:val="none"/>
                <w:lang w:val="zh-CN" w:eastAsia="zh-CN" w:bidi="ar-SA"/>
              </w:rPr>
              <w:t>【</w:t>
            </w:r>
            <w:r>
              <w:rPr>
                <w:rFonts w:hint="eastAsia" w:ascii="宋体" w:hAnsi="宋体" w:eastAsia="宋体" w:cs="宋体"/>
                <w:kern w:val="0"/>
                <w:sz w:val="24"/>
                <w:szCs w:val="24"/>
                <w:highlight w:val="none"/>
                <w:lang w:val="en-US" w:eastAsia="zh-CN" w:bidi="ar-SA"/>
              </w:rPr>
              <w:t>客观】</w:t>
            </w:r>
            <w:r>
              <w:rPr>
                <w:rFonts w:hint="eastAsia" w:ascii="宋体" w:hAnsi="宋体" w:cs="宋体"/>
                <w:kern w:val="0"/>
                <w:sz w:val="24"/>
                <w:szCs w:val="24"/>
                <w:highlight w:val="none"/>
                <w:lang w:val="en-US" w:eastAsia="zh-CN" w:bidi="ar-SA"/>
              </w:rPr>
              <w:t>电气预防性试验单位</w:t>
            </w:r>
            <w:r>
              <w:rPr>
                <w:rFonts w:hint="eastAsia" w:ascii="宋体" w:hAnsi="宋体" w:cs="宋体"/>
                <w:sz w:val="24"/>
                <w:szCs w:val="24"/>
                <w:highlight w:val="none"/>
              </w:rPr>
              <w:t>具有承装（修、试）电力设施许可证</w:t>
            </w:r>
            <w:r>
              <w:rPr>
                <w:rFonts w:hint="eastAsia" w:ascii="宋体" w:hAnsi="宋体" w:cs="宋体"/>
                <w:sz w:val="24"/>
                <w:szCs w:val="24"/>
                <w:highlight w:val="none"/>
                <w:lang w:val="en-US" w:eastAsia="zh-CN"/>
              </w:rPr>
              <w:t>二</w:t>
            </w:r>
            <w:r>
              <w:rPr>
                <w:rFonts w:hint="eastAsia" w:ascii="宋体" w:hAnsi="宋体" w:cs="宋体"/>
                <w:sz w:val="24"/>
                <w:szCs w:val="24"/>
                <w:highlight w:val="none"/>
              </w:rPr>
              <w:t>级及以上资质</w:t>
            </w:r>
            <w:r>
              <w:rPr>
                <w:rFonts w:hint="eastAsia" w:ascii="宋体" w:hAnsi="宋体" w:cs="宋体"/>
                <w:kern w:val="0"/>
                <w:sz w:val="24"/>
                <w:szCs w:val="24"/>
                <w:highlight w:val="none"/>
                <w:lang w:val="zh-CN" w:eastAsia="zh-CN" w:bidi="ar-SA"/>
              </w:rPr>
              <w:t>，得</w:t>
            </w:r>
            <w:r>
              <w:rPr>
                <w:rFonts w:hint="eastAsia" w:ascii="宋体" w:hAnsi="宋体" w:cs="宋体"/>
                <w:kern w:val="0"/>
                <w:sz w:val="24"/>
                <w:szCs w:val="24"/>
                <w:highlight w:val="none"/>
                <w:lang w:val="en-US" w:eastAsia="zh-CN" w:bidi="ar-SA"/>
              </w:rPr>
              <w:t>1</w:t>
            </w:r>
            <w:r>
              <w:rPr>
                <w:rFonts w:hint="eastAsia" w:ascii="宋体" w:hAnsi="宋体" w:cs="宋体"/>
                <w:kern w:val="0"/>
                <w:sz w:val="24"/>
                <w:szCs w:val="24"/>
                <w:highlight w:val="none"/>
                <w:lang w:val="zh-CN" w:eastAsia="zh-CN" w:bidi="ar-SA"/>
              </w:rPr>
              <w:t>分</w:t>
            </w:r>
            <w:r>
              <w:rPr>
                <w:rFonts w:hint="eastAsia" w:ascii="宋体" w:hAnsi="宋体" w:cs="宋体"/>
                <w:kern w:val="0"/>
                <w:sz w:val="24"/>
                <w:szCs w:val="24"/>
                <w:highlight w:val="none"/>
                <w:lang w:val="en-US" w:eastAsia="zh-CN" w:bidi="ar-SA"/>
              </w:rPr>
              <w:t>；（证明材料：提供证书加盖公章）</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E6BA15">
            <w:pPr>
              <w:widowControl/>
              <w:spacing w:line="252" w:lineRule="auto"/>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0"/>
                <w:sz w:val="24"/>
                <w:szCs w:val="24"/>
                <w:highlight w:val="none"/>
                <w:lang w:val="en-US" w:eastAsia="zh-CN"/>
              </w:rPr>
              <w:t>1</w:t>
            </w:r>
          </w:p>
        </w:tc>
      </w:tr>
      <w:tr w14:paraId="714C8110">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48CEF874">
            <w:pPr>
              <w:pStyle w:val="18"/>
              <w:adjustRightInd w:val="0"/>
              <w:spacing w:before="0" w:beforeAutospacing="0" w:after="0" w:afterAutospacing="0" w:line="252" w:lineRule="auto"/>
              <w:jc w:val="center"/>
              <w:rPr>
                <w:rFonts w:hint="default" w:ascii="宋体" w:hAnsi="宋体" w:eastAsia="宋体" w:cs="宋体"/>
                <w:kern w:val="0"/>
                <w:sz w:val="24"/>
                <w:szCs w:val="24"/>
                <w:highlight w:val="none"/>
                <w:lang w:val="en-US" w:eastAsia="zh-CN" w:bidi="ar-SA"/>
              </w:rPr>
            </w:pPr>
            <w:r>
              <w:rPr>
                <w:rFonts w:hint="eastAsia" w:cs="宋体"/>
                <w:szCs w:val="24"/>
                <w:highlight w:val="none"/>
                <w:lang w:val="en-US" w:eastAsia="zh-CN"/>
              </w:rPr>
              <w:t>4.2</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474E5CD8">
            <w:pPr>
              <w:numPr>
                <w:ilvl w:val="0"/>
                <w:numId w:val="0"/>
              </w:numPr>
              <w:ind w:left="0" w:leftChars="0" w:firstLine="0" w:firstLineChars="0"/>
              <w:rPr>
                <w:rFonts w:hint="eastAsia" w:ascii="Calibri" w:hAnsi="Calibri" w:eastAsia="宋体" w:cs="Times New Roman"/>
                <w:kern w:val="2"/>
                <w:sz w:val="21"/>
                <w:szCs w:val="22"/>
                <w:highlight w:val="none"/>
                <w:lang w:val="en-US" w:eastAsia="zh-CN" w:bidi="ar-SA"/>
              </w:rPr>
            </w:pPr>
            <w:r>
              <w:rPr>
                <w:rFonts w:hint="eastAsia" w:ascii="宋体" w:hAnsi="宋体" w:cs="宋体"/>
                <w:kern w:val="0"/>
                <w:sz w:val="24"/>
                <w:szCs w:val="24"/>
                <w:highlight w:val="none"/>
                <w:lang w:val="zh-CN" w:eastAsia="zh-CN" w:bidi="ar-SA"/>
              </w:rPr>
              <w:t>制定</w:t>
            </w:r>
            <w:r>
              <w:rPr>
                <w:rFonts w:hint="eastAsia" w:ascii="宋体" w:hAnsi="宋体" w:cs="宋体"/>
                <w:kern w:val="0"/>
                <w:sz w:val="24"/>
                <w:szCs w:val="24"/>
                <w:highlight w:val="none"/>
                <w:lang w:val="en-US" w:eastAsia="zh-CN" w:bidi="ar-SA"/>
              </w:rPr>
              <w:t>电气预防性试验、特种设备检测、安全用具检测、</w:t>
            </w:r>
            <w:r>
              <w:rPr>
                <w:rFonts w:hint="eastAsia" w:ascii="宋体" w:hAnsi="宋体" w:cs="宋体"/>
                <w:kern w:val="0"/>
                <w:sz w:val="24"/>
                <w:szCs w:val="24"/>
                <w:highlight w:val="none"/>
              </w:rPr>
              <w:t>水工建筑物安全监测维护及资料分析</w:t>
            </w:r>
            <w:r>
              <w:rPr>
                <w:rFonts w:hint="eastAsia" w:ascii="宋体" w:hAnsi="宋体" w:cs="宋体"/>
                <w:kern w:val="0"/>
                <w:sz w:val="24"/>
                <w:szCs w:val="24"/>
                <w:highlight w:val="none"/>
                <w:lang w:eastAsia="zh-CN"/>
              </w:rPr>
              <w:t>、水文设施维护及资料整理分析、</w:t>
            </w:r>
            <w:r>
              <w:rPr>
                <w:rFonts w:hint="eastAsia" w:ascii="宋体" w:hAnsi="宋体" w:cs="宋体"/>
                <w:kern w:val="0"/>
                <w:sz w:val="24"/>
                <w:szCs w:val="24"/>
                <w:highlight w:val="none"/>
              </w:rPr>
              <w:t>变电设施维护</w:t>
            </w:r>
            <w:r>
              <w:rPr>
                <w:rFonts w:hint="eastAsia" w:ascii="宋体" w:hAnsi="宋体" w:cs="宋体"/>
                <w:kern w:val="0"/>
                <w:sz w:val="24"/>
                <w:szCs w:val="24"/>
                <w:highlight w:val="none"/>
                <w:lang w:val="zh-CN" w:eastAsia="zh-CN" w:bidi="ar-SA"/>
              </w:rPr>
              <w:t>专项工作方案。专项计划、方案合理性，安全、质量保证措施是否可行，专业人员、设备投入的满足度。内容齐全完善、描述详细可实施性强得</w:t>
            </w:r>
            <w:r>
              <w:rPr>
                <w:rFonts w:hint="eastAsia" w:ascii="宋体" w:hAnsi="宋体" w:cs="宋体"/>
                <w:kern w:val="0"/>
                <w:sz w:val="24"/>
                <w:szCs w:val="24"/>
                <w:highlight w:val="none"/>
                <w:lang w:val="en-US" w:eastAsia="zh-CN" w:bidi="ar-SA"/>
              </w:rPr>
              <w:t>4</w:t>
            </w:r>
            <w:r>
              <w:rPr>
                <w:rFonts w:hint="eastAsia" w:ascii="宋体" w:hAnsi="宋体" w:cs="宋体"/>
                <w:kern w:val="0"/>
                <w:sz w:val="24"/>
                <w:szCs w:val="24"/>
                <w:highlight w:val="none"/>
                <w:lang w:val="zh-CN" w:eastAsia="zh-CN" w:bidi="ar-SA"/>
              </w:rPr>
              <w:t>分，内容基本齐全、描述</w:t>
            </w:r>
            <w:r>
              <w:rPr>
                <w:rFonts w:hint="eastAsia" w:ascii="宋体" w:hAnsi="宋体" w:cs="宋体"/>
                <w:kern w:val="0"/>
                <w:sz w:val="24"/>
                <w:szCs w:val="24"/>
                <w:highlight w:val="none"/>
                <w:lang w:val="en-US" w:eastAsia="zh-CN" w:bidi="ar-SA"/>
              </w:rPr>
              <w:t>较</w:t>
            </w:r>
            <w:r>
              <w:rPr>
                <w:rFonts w:hint="eastAsia" w:ascii="宋体" w:hAnsi="宋体" w:cs="宋体"/>
                <w:kern w:val="0"/>
                <w:sz w:val="24"/>
                <w:szCs w:val="24"/>
                <w:highlight w:val="none"/>
                <w:lang w:val="zh-CN" w:eastAsia="zh-CN" w:bidi="ar-SA"/>
              </w:rPr>
              <w:t>详细可实施得</w:t>
            </w:r>
            <w:r>
              <w:rPr>
                <w:rFonts w:hint="eastAsia" w:ascii="宋体" w:hAnsi="宋体" w:cs="宋体"/>
                <w:kern w:val="0"/>
                <w:sz w:val="24"/>
                <w:szCs w:val="24"/>
                <w:highlight w:val="none"/>
                <w:lang w:val="en-US" w:eastAsia="zh-CN" w:bidi="ar-SA"/>
              </w:rPr>
              <w:t>3</w:t>
            </w:r>
            <w:r>
              <w:rPr>
                <w:rFonts w:hint="eastAsia" w:ascii="宋体" w:hAnsi="宋体" w:cs="宋体"/>
                <w:kern w:val="0"/>
                <w:sz w:val="24"/>
                <w:szCs w:val="24"/>
                <w:highlight w:val="none"/>
                <w:lang w:val="zh-CN" w:eastAsia="zh-CN" w:bidi="ar-SA"/>
              </w:rPr>
              <w:t>分，内容基本齐全、描述简略可实施得</w:t>
            </w:r>
            <w:r>
              <w:rPr>
                <w:rFonts w:hint="eastAsia" w:ascii="宋体" w:hAnsi="宋体" w:cs="宋体"/>
                <w:kern w:val="0"/>
                <w:sz w:val="24"/>
                <w:szCs w:val="24"/>
                <w:highlight w:val="none"/>
                <w:lang w:val="en-US" w:eastAsia="zh-CN" w:bidi="ar-SA"/>
              </w:rPr>
              <w:t>2</w:t>
            </w:r>
            <w:r>
              <w:rPr>
                <w:rFonts w:hint="eastAsia" w:ascii="宋体" w:hAnsi="宋体" w:cs="宋体"/>
                <w:kern w:val="0"/>
                <w:sz w:val="24"/>
                <w:szCs w:val="24"/>
                <w:highlight w:val="none"/>
                <w:lang w:val="zh-CN" w:eastAsia="zh-CN" w:bidi="ar-SA"/>
              </w:rPr>
              <w:t>分，内容</w:t>
            </w:r>
            <w:r>
              <w:rPr>
                <w:rFonts w:hint="eastAsia" w:ascii="宋体" w:hAnsi="宋体" w:cs="宋体"/>
                <w:kern w:val="0"/>
                <w:sz w:val="24"/>
                <w:szCs w:val="24"/>
                <w:highlight w:val="none"/>
                <w:lang w:val="en-US" w:eastAsia="zh-CN" w:bidi="ar-SA"/>
              </w:rPr>
              <w:t>有欠缺基本可行得1分，</w:t>
            </w:r>
            <w:r>
              <w:rPr>
                <w:rFonts w:hint="eastAsia" w:ascii="宋体" w:hAnsi="宋体" w:cs="宋体"/>
                <w:kern w:val="0"/>
                <w:sz w:val="24"/>
                <w:szCs w:val="24"/>
                <w:highlight w:val="none"/>
                <w:lang w:val="zh-CN" w:eastAsia="zh-CN" w:bidi="ar-SA"/>
              </w:rPr>
              <w:t>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1B1C06">
            <w:pPr>
              <w:widowControl/>
              <w:spacing w:line="252" w:lineRule="auto"/>
              <w:jc w:val="center"/>
              <w:textAlignment w:val="center"/>
              <w:rPr>
                <w:rFonts w:hint="default" w:ascii="宋体" w:hAnsi="宋体" w:eastAsia="宋体" w:cs="宋体"/>
                <w:b w:val="0"/>
                <w:bCs w:val="0"/>
                <w:kern w:val="0"/>
                <w:sz w:val="24"/>
                <w:szCs w:val="24"/>
                <w:highlight w:val="none"/>
                <w:lang w:val="en-US" w:eastAsia="zh-CN" w:bidi="ar-SA"/>
              </w:rPr>
            </w:pPr>
            <w:r>
              <w:rPr>
                <w:rFonts w:hint="eastAsia" w:ascii="宋体" w:hAnsi="宋体" w:cs="宋体"/>
                <w:b w:val="0"/>
                <w:bCs w:val="0"/>
                <w:kern w:val="0"/>
                <w:sz w:val="24"/>
                <w:szCs w:val="24"/>
                <w:highlight w:val="none"/>
                <w:lang w:val="en-US" w:eastAsia="zh-CN"/>
              </w:rPr>
              <w:t>4</w:t>
            </w:r>
          </w:p>
        </w:tc>
      </w:tr>
      <w:tr w14:paraId="5DC22686">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4F12FCE7">
            <w:pPr>
              <w:pStyle w:val="18"/>
              <w:adjustRightInd w:val="0"/>
              <w:spacing w:before="0" w:beforeAutospacing="0" w:after="0" w:afterAutospacing="0" w:line="252" w:lineRule="auto"/>
              <w:jc w:val="center"/>
              <w:rPr>
                <w:rFonts w:hint="default" w:ascii="宋体" w:hAnsi="宋体" w:eastAsia="宋体" w:cs="宋体"/>
                <w:kern w:val="0"/>
                <w:sz w:val="24"/>
                <w:szCs w:val="24"/>
                <w:highlight w:val="none"/>
                <w:lang w:val="en-US" w:eastAsia="zh-CN" w:bidi="ar-SA"/>
              </w:rPr>
            </w:pPr>
            <w:r>
              <w:rPr>
                <w:rFonts w:hint="eastAsia" w:cs="宋体"/>
                <w:szCs w:val="24"/>
                <w:highlight w:val="none"/>
                <w:lang w:val="en-US" w:eastAsia="zh-CN"/>
              </w:rPr>
              <w:t>4.3</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16255139">
            <w:pPr>
              <w:numPr>
                <w:ilvl w:val="0"/>
                <w:numId w:val="0"/>
              </w:numPr>
              <w:ind w:left="0" w:leftChars="0" w:firstLine="0" w:firstLineChars="0"/>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zh-CN" w:eastAsia="zh-CN" w:bidi="ar-SA"/>
              </w:rPr>
              <w:t>制定</w:t>
            </w:r>
            <w:r>
              <w:rPr>
                <w:rFonts w:hint="eastAsia" w:ascii="宋体" w:hAnsi="宋体" w:cs="宋体"/>
                <w:kern w:val="0"/>
                <w:sz w:val="24"/>
                <w:szCs w:val="24"/>
                <w:highlight w:val="none"/>
              </w:rPr>
              <w:t>自动化控制系统及信息化平台专业</w:t>
            </w:r>
            <w:r>
              <w:rPr>
                <w:rFonts w:hint="eastAsia" w:ascii="宋体" w:hAnsi="宋体" w:cs="宋体"/>
                <w:kern w:val="0"/>
                <w:sz w:val="24"/>
                <w:szCs w:val="24"/>
                <w:highlight w:val="none"/>
                <w:lang w:val="en-US" w:eastAsia="zh-CN"/>
              </w:rPr>
              <w:t>巡检</w:t>
            </w:r>
            <w:r>
              <w:rPr>
                <w:rFonts w:hint="eastAsia" w:ascii="宋体" w:hAnsi="宋体" w:cs="宋体"/>
                <w:kern w:val="0"/>
                <w:sz w:val="24"/>
                <w:szCs w:val="24"/>
                <w:highlight w:val="none"/>
              </w:rPr>
              <w:t>维护</w:t>
            </w:r>
            <w:r>
              <w:rPr>
                <w:rFonts w:hint="eastAsia" w:ascii="宋体" w:hAnsi="宋体" w:cs="宋体"/>
                <w:kern w:val="0"/>
                <w:sz w:val="24"/>
                <w:szCs w:val="24"/>
                <w:highlight w:val="none"/>
                <w:lang w:val="zh-CN" w:eastAsia="zh-CN" w:bidi="ar-SA"/>
              </w:rPr>
              <w:t>专项工作方案。专项计划、方案合理性，安全、质量保证措施是否可行，专业人员、设备投入的满足度。内容齐全完善、描述详细可实施性强得</w:t>
            </w:r>
            <w:r>
              <w:rPr>
                <w:rFonts w:hint="eastAsia" w:ascii="宋体" w:hAnsi="宋体" w:cs="宋体"/>
                <w:kern w:val="0"/>
                <w:sz w:val="24"/>
                <w:szCs w:val="24"/>
                <w:highlight w:val="none"/>
                <w:lang w:val="en-US" w:eastAsia="zh-CN" w:bidi="ar-SA"/>
              </w:rPr>
              <w:t>4</w:t>
            </w:r>
            <w:r>
              <w:rPr>
                <w:rFonts w:hint="eastAsia" w:ascii="宋体" w:hAnsi="宋体" w:cs="宋体"/>
                <w:kern w:val="0"/>
                <w:sz w:val="24"/>
                <w:szCs w:val="24"/>
                <w:highlight w:val="none"/>
                <w:lang w:val="zh-CN" w:eastAsia="zh-CN" w:bidi="ar-SA"/>
              </w:rPr>
              <w:t>分，内容基本齐全、描述</w:t>
            </w:r>
            <w:r>
              <w:rPr>
                <w:rFonts w:hint="eastAsia" w:ascii="宋体" w:hAnsi="宋体" w:cs="宋体"/>
                <w:kern w:val="0"/>
                <w:sz w:val="24"/>
                <w:szCs w:val="24"/>
                <w:highlight w:val="none"/>
                <w:lang w:val="en-US" w:eastAsia="zh-CN" w:bidi="ar-SA"/>
              </w:rPr>
              <w:t>较</w:t>
            </w:r>
            <w:r>
              <w:rPr>
                <w:rFonts w:hint="eastAsia" w:ascii="宋体" w:hAnsi="宋体" w:cs="宋体"/>
                <w:kern w:val="0"/>
                <w:sz w:val="24"/>
                <w:szCs w:val="24"/>
                <w:highlight w:val="none"/>
                <w:lang w:val="zh-CN" w:eastAsia="zh-CN" w:bidi="ar-SA"/>
              </w:rPr>
              <w:t>详细可实施得</w:t>
            </w:r>
            <w:r>
              <w:rPr>
                <w:rFonts w:hint="eastAsia" w:ascii="宋体" w:hAnsi="宋体" w:cs="宋体"/>
                <w:kern w:val="0"/>
                <w:sz w:val="24"/>
                <w:szCs w:val="24"/>
                <w:highlight w:val="none"/>
                <w:lang w:val="en-US" w:eastAsia="zh-CN" w:bidi="ar-SA"/>
              </w:rPr>
              <w:t>3</w:t>
            </w:r>
            <w:r>
              <w:rPr>
                <w:rFonts w:hint="eastAsia" w:ascii="宋体" w:hAnsi="宋体" w:cs="宋体"/>
                <w:kern w:val="0"/>
                <w:sz w:val="24"/>
                <w:szCs w:val="24"/>
                <w:highlight w:val="none"/>
                <w:lang w:val="zh-CN" w:eastAsia="zh-CN" w:bidi="ar-SA"/>
              </w:rPr>
              <w:t>分，内容基本齐全、描述简略可实施得</w:t>
            </w:r>
            <w:r>
              <w:rPr>
                <w:rFonts w:hint="eastAsia" w:ascii="宋体" w:hAnsi="宋体" w:cs="宋体"/>
                <w:kern w:val="0"/>
                <w:sz w:val="24"/>
                <w:szCs w:val="24"/>
                <w:highlight w:val="none"/>
                <w:lang w:val="en-US" w:eastAsia="zh-CN" w:bidi="ar-SA"/>
              </w:rPr>
              <w:t>2</w:t>
            </w:r>
            <w:r>
              <w:rPr>
                <w:rFonts w:hint="eastAsia" w:ascii="宋体" w:hAnsi="宋体" w:cs="宋体"/>
                <w:kern w:val="0"/>
                <w:sz w:val="24"/>
                <w:szCs w:val="24"/>
                <w:highlight w:val="none"/>
                <w:lang w:val="zh-CN" w:eastAsia="zh-CN" w:bidi="ar-SA"/>
              </w:rPr>
              <w:t>分，内容</w:t>
            </w:r>
            <w:r>
              <w:rPr>
                <w:rFonts w:hint="eastAsia" w:ascii="宋体" w:hAnsi="宋体" w:cs="宋体"/>
                <w:kern w:val="0"/>
                <w:sz w:val="24"/>
                <w:szCs w:val="24"/>
                <w:highlight w:val="none"/>
                <w:lang w:val="en-US" w:eastAsia="zh-CN" w:bidi="ar-SA"/>
              </w:rPr>
              <w:t>有欠缺基本可行得1分，</w:t>
            </w:r>
            <w:r>
              <w:rPr>
                <w:rFonts w:hint="eastAsia" w:ascii="宋体" w:hAnsi="宋体" w:cs="宋体"/>
                <w:kern w:val="0"/>
                <w:sz w:val="24"/>
                <w:szCs w:val="24"/>
                <w:highlight w:val="none"/>
                <w:lang w:val="zh-CN" w:eastAsia="zh-CN" w:bidi="ar-SA"/>
              </w:rPr>
              <w:t>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68F26B">
            <w:pPr>
              <w:widowControl/>
              <w:spacing w:line="252" w:lineRule="auto"/>
              <w:jc w:val="center"/>
              <w:textAlignment w:val="center"/>
              <w:rPr>
                <w:rFonts w:hint="eastAsia" w:ascii="宋体" w:hAnsi="宋体" w:eastAsia="宋体" w:cs="宋体"/>
                <w:b w:val="0"/>
                <w:bCs w:val="0"/>
                <w:kern w:val="0"/>
                <w:sz w:val="24"/>
                <w:szCs w:val="24"/>
                <w:highlight w:val="none"/>
                <w:lang w:val="en-US" w:eastAsia="zh-CN" w:bidi="ar-SA"/>
              </w:rPr>
            </w:pPr>
            <w:r>
              <w:rPr>
                <w:rFonts w:hint="eastAsia" w:ascii="宋体" w:hAnsi="宋体" w:cs="宋体"/>
                <w:b w:val="0"/>
                <w:bCs w:val="0"/>
                <w:kern w:val="0"/>
                <w:sz w:val="24"/>
                <w:szCs w:val="24"/>
                <w:highlight w:val="none"/>
                <w:lang w:val="en-US" w:eastAsia="zh-CN"/>
              </w:rPr>
              <w:t>4</w:t>
            </w:r>
          </w:p>
        </w:tc>
      </w:tr>
      <w:tr w14:paraId="0A4A6E16">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0D6C04D2">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color w:val="auto"/>
                <w:szCs w:val="24"/>
                <w:highlight w:val="none"/>
                <w:lang w:val="en-US" w:eastAsia="zh-CN"/>
              </w:rPr>
              <w:t>5</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29D61136">
            <w:pPr>
              <w:rPr>
                <w:rFonts w:hint="eastAsia" w:ascii="宋体" w:hAnsi="宋体" w:cs="宋体"/>
                <w:color w:val="auto"/>
                <w:sz w:val="24"/>
                <w:szCs w:val="24"/>
                <w:highlight w:val="none"/>
              </w:rPr>
            </w:pPr>
            <w:r>
              <w:rPr>
                <w:rFonts w:hint="eastAsia" w:ascii="宋体" w:hAnsi="宋体" w:cs="宋体"/>
                <w:b/>
                <w:bCs/>
                <w:color w:val="auto"/>
                <w:sz w:val="24"/>
                <w:szCs w:val="24"/>
                <w:highlight w:val="none"/>
              </w:rPr>
              <w:t>室外环境养护</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05B4D9">
            <w:pPr>
              <w:widowControl/>
              <w:spacing w:line="252" w:lineRule="auto"/>
              <w:jc w:val="center"/>
              <w:textAlignment w:val="center"/>
              <w:rPr>
                <w:rFonts w:hint="default" w:ascii="宋体" w:hAnsi="宋体" w:eastAsia="宋体" w:cs="宋体"/>
                <w:b w:val="0"/>
                <w:bCs w:val="0"/>
                <w:color w:val="auto"/>
                <w:kern w:val="0"/>
                <w:sz w:val="24"/>
                <w:szCs w:val="24"/>
                <w:highlight w:val="none"/>
                <w:lang w:val="en-US" w:eastAsia="zh-CN"/>
              </w:rPr>
            </w:pPr>
          </w:p>
        </w:tc>
      </w:tr>
      <w:tr w14:paraId="342E77B3">
        <w:tblPrEx>
          <w:tblCellMar>
            <w:top w:w="15" w:type="dxa"/>
            <w:left w:w="15" w:type="dxa"/>
            <w:bottom w:w="15" w:type="dxa"/>
            <w:right w:w="15" w:type="dxa"/>
          </w:tblCellMar>
        </w:tblPrEx>
        <w:trPr>
          <w:trHeight w:val="622"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056E6661">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lang w:val="en-US" w:eastAsia="zh-CN"/>
              </w:rPr>
              <w:t>5</w:t>
            </w:r>
            <w:r>
              <w:rPr>
                <w:rFonts w:hint="eastAsia" w:cs="宋体"/>
                <w:color w:val="auto"/>
                <w:szCs w:val="24"/>
                <w:highlight w:val="none"/>
              </w:rPr>
              <w:t>.1</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66C6E469">
            <w:pPr>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lang w:val="zh-CN" w:eastAsia="zh-CN" w:bidi="ar-SA"/>
              </w:rPr>
              <w:t>【客观】</w:t>
            </w:r>
            <w:r>
              <w:rPr>
                <w:rFonts w:hint="eastAsia" w:ascii="宋体" w:hAnsi="宋体" w:cs="宋体"/>
                <w:color w:val="auto"/>
                <w:sz w:val="24"/>
                <w:szCs w:val="24"/>
                <w:highlight w:val="none"/>
                <w:lang w:val="zh-CN"/>
              </w:rPr>
              <w:t>供应商202</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lang w:val="zh-CN"/>
              </w:rPr>
              <w:t>年1月1日至今（以合同签订时间为准）承接过</w:t>
            </w:r>
            <w:r>
              <w:rPr>
                <w:rFonts w:hint="eastAsia" w:ascii="宋体" w:hAnsi="宋体" w:cs="宋体"/>
                <w:color w:val="auto"/>
                <w:sz w:val="24"/>
                <w:szCs w:val="24"/>
                <w:highlight w:val="none"/>
                <w:lang w:val="en-US" w:eastAsia="zh-CN"/>
              </w:rPr>
              <w:t>绿化养护</w:t>
            </w:r>
            <w:r>
              <w:rPr>
                <w:rFonts w:hint="eastAsia" w:ascii="宋体" w:hAnsi="宋体" w:cs="宋体"/>
                <w:color w:val="auto"/>
                <w:sz w:val="24"/>
                <w:szCs w:val="24"/>
                <w:highlight w:val="none"/>
                <w:lang w:val="zh-CN"/>
              </w:rPr>
              <w:t>项目业绩的得</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lang w:val="zh-CN"/>
              </w:rPr>
              <w:t>分，</w:t>
            </w:r>
            <w:r>
              <w:rPr>
                <w:rFonts w:hint="eastAsia" w:ascii="宋体" w:hAnsi="宋体" w:cs="宋体"/>
                <w:color w:val="auto"/>
                <w:sz w:val="24"/>
                <w:szCs w:val="24"/>
                <w:highlight w:val="none"/>
                <w:lang w:val="en-US" w:eastAsia="zh-CN"/>
              </w:rPr>
              <w:t>本项</w:t>
            </w:r>
            <w:r>
              <w:rPr>
                <w:rFonts w:hint="eastAsia" w:ascii="宋体" w:hAnsi="宋体" w:cs="宋体"/>
                <w:color w:val="auto"/>
                <w:sz w:val="24"/>
                <w:szCs w:val="24"/>
                <w:highlight w:val="none"/>
                <w:lang w:val="zh-CN"/>
              </w:rPr>
              <w:t>最多得</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lang w:val="zh-CN"/>
              </w:rPr>
              <w:t>分。（</w:t>
            </w:r>
            <w:r>
              <w:rPr>
                <w:rFonts w:hint="eastAsia" w:ascii="宋体" w:hAnsi="宋体" w:cs="宋体"/>
                <w:color w:val="auto"/>
                <w:kern w:val="0"/>
                <w:sz w:val="24"/>
                <w:szCs w:val="24"/>
                <w:highlight w:val="none"/>
                <w:lang w:val="en-US" w:eastAsia="zh-CN" w:bidi="ar-SA"/>
              </w:rPr>
              <w:t>证明材料为合同和完工验收材料加盖公章</w:t>
            </w:r>
            <w:r>
              <w:rPr>
                <w:rFonts w:hint="eastAsia" w:ascii="宋体" w:hAnsi="宋体" w:cs="宋体"/>
                <w:color w:val="auto"/>
                <w:sz w:val="24"/>
                <w:szCs w:val="24"/>
                <w:highlight w:val="none"/>
                <w:lang w:val="zh-CN"/>
              </w:rPr>
              <w:t>）。</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8F88995">
            <w:pPr>
              <w:widowControl/>
              <w:spacing w:line="252"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kern w:val="0"/>
                <w:sz w:val="24"/>
                <w:szCs w:val="24"/>
                <w:highlight w:val="none"/>
                <w:lang w:val="en-US" w:eastAsia="zh-CN"/>
              </w:rPr>
              <w:t>0.5</w:t>
            </w:r>
          </w:p>
        </w:tc>
      </w:tr>
      <w:tr w14:paraId="44091A03">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68FA046E">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lang w:val="en-US" w:eastAsia="zh-CN"/>
              </w:rPr>
              <w:t>5</w:t>
            </w:r>
            <w:r>
              <w:rPr>
                <w:rFonts w:hint="eastAsia" w:cs="宋体"/>
                <w:color w:val="auto"/>
                <w:szCs w:val="24"/>
                <w:highlight w:val="none"/>
              </w:rPr>
              <w:t>.2</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23B6D3FE">
            <w:pPr>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项目组人员</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F0BA46">
            <w:pPr>
              <w:widowControl/>
              <w:spacing w:line="252" w:lineRule="auto"/>
              <w:jc w:val="center"/>
              <w:textAlignment w:val="center"/>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w:t>
            </w:r>
          </w:p>
        </w:tc>
      </w:tr>
      <w:tr w14:paraId="7DC6C696">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13B1C727">
            <w:pPr>
              <w:pStyle w:val="18"/>
              <w:adjustRightInd w:val="0"/>
              <w:spacing w:before="0" w:beforeAutospacing="0" w:after="0" w:afterAutospacing="0" w:line="252" w:lineRule="auto"/>
              <w:jc w:val="center"/>
              <w:rPr>
                <w:rFonts w:hint="default" w:cs="宋体"/>
                <w:color w:val="auto"/>
                <w:szCs w:val="24"/>
                <w:highlight w:val="none"/>
                <w:lang w:val="en-US" w:eastAsia="zh-CN"/>
              </w:rPr>
            </w:pPr>
            <w:r>
              <w:rPr>
                <w:rFonts w:hint="eastAsia" w:cs="宋体"/>
                <w:color w:val="auto"/>
                <w:szCs w:val="24"/>
                <w:highlight w:val="none"/>
                <w:lang w:val="en-US" w:eastAsia="zh-CN"/>
              </w:rPr>
              <w:t>5.2.1</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331A0B9E">
            <w:pPr>
              <w:rPr>
                <w:rFonts w:hint="eastAsia" w:ascii="宋体" w:hAnsi="宋体" w:cs="宋体"/>
                <w:color w:val="auto"/>
                <w:sz w:val="24"/>
                <w:szCs w:val="24"/>
                <w:highlight w:val="none"/>
                <w:lang w:val="zh-CN"/>
              </w:rPr>
            </w:pPr>
            <w:r>
              <w:rPr>
                <w:rFonts w:hint="eastAsia" w:ascii="宋体" w:hAnsi="宋体" w:eastAsia="宋体" w:cs="宋体"/>
                <w:color w:val="auto"/>
                <w:kern w:val="0"/>
                <w:sz w:val="24"/>
                <w:szCs w:val="24"/>
                <w:highlight w:val="none"/>
                <w:lang w:val="zh-CN" w:eastAsia="zh-CN" w:bidi="ar-SA"/>
              </w:rPr>
              <w:t>【客观】</w:t>
            </w:r>
            <w:r>
              <w:rPr>
                <w:rFonts w:hint="eastAsia" w:ascii="宋体" w:hAnsi="宋体" w:cs="宋体"/>
                <w:color w:val="auto"/>
                <w:sz w:val="24"/>
                <w:szCs w:val="24"/>
                <w:highlight w:val="none"/>
                <w:lang w:val="en-US" w:eastAsia="zh-CN"/>
              </w:rPr>
              <w:t>室外环境养护</w:t>
            </w:r>
            <w:r>
              <w:rPr>
                <w:rFonts w:hint="eastAsia" w:ascii="宋体" w:hAnsi="宋体" w:cs="宋体"/>
                <w:color w:val="auto"/>
                <w:sz w:val="24"/>
                <w:szCs w:val="24"/>
                <w:highlight w:val="none"/>
                <w:lang w:val="zh-CN"/>
              </w:rPr>
              <w:t>负责人具有园林绿化</w:t>
            </w:r>
            <w:r>
              <w:rPr>
                <w:rFonts w:hint="eastAsia" w:ascii="宋体" w:hAnsi="宋体" w:cs="宋体"/>
                <w:color w:val="auto"/>
                <w:sz w:val="24"/>
                <w:szCs w:val="24"/>
                <w:highlight w:val="none"/>
                <w:lang w:val="en-US" w:eastAsia="zh-CN"/>
              </w:rPr>
              <w:t>类中级及以上职称证书得1分</w:t>
            </w:r>
            <w:r>
              <w:rPr>
                <w:rFonts w:hint="eastAsia" w:ascii="宋体" w:hAnsi="宋体" w:cs="宋体"/>
                <w:color w:val="auto"/>
                <w:sz w:val="24"/>
                <w:szCs w:val="24"/>
                <w:highlight w:val="none"/>
                <w:lang w:val="zh-CN"/>
              </w:rPr>
              <w:t>。</w:t>
            </w:r>
            <w:r>
              <w:rPr>
                <w:rFonts w:hint="eastAsia" w:ascii="宋体" w:hAnsi="宋体" w:cs="宋体"/>
                <w:color w:val="auto"/>
                <w:kern w:val="0"/>
                <w:sz w:val="24"/>
                <w:szCs w:val="24"/>
                <w:highlight w:val="none"/>
                <w:lang w:val="en-US" w:eastAsia="zh-CN" w:bidi="ar-SA"/>
              </w:rPr>
              <w:t>（证明材料：提供证书、</w:t>
            </w:r>
            <w:r>
              <w:rPr>
                <w:rFonts w:hint="eastAsia" w:cs="宋体"/>
                <w:color w:val="auto"/>
                <w:sz w:val="24"/>
                <w:szCs w:val="24"/>
                <w:highlight w:val="none"/>
                <w:shd w:val="clear" w:color="auto" w:fill="auto"/>
              </w:rPr>
              <w:t>近三个月内任一月份打印的社保证明材料</w:t>
            </w:r>
            <w:r>
              <w:rPr>
                <w:rFonts w:hint="eastAsia" w:ascii="宋体" w:hAnsi="宋体" w:cs="宋体"/>
                <w:color w:val="auto"/>
                <w:kern w:val="0"/>
                <w:sz w:val="24"/>
                <w:szCs w:val="24"/>
                <w:highlight w:val="none"/>
                <w:lang w:val="en-US" w:eastAsia="zh-CN" w:bidi="ar-SA"/>
              </w:rPr>
              <w:t>）</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70CF42E">
            <w:pPr>
              <w:widowControl/>
              <w:spacing w:line="252" w:lineRule="auto"/>
              <w:jc w:val="center"/>
              <w:textAlignment w:val="center"/>
              <w:rPr>
                <w:rFonts w:hint="default"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p>
        </w:tc>
      </w:tr>
      <w:tr w14:paraId="67CE3E0F">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5C2DCA31">
            <w:pPr>
              <w:pStyle w:val="18"/>
              <w:adjustRightInd w:val="0"/>
              <w:spacing w:before="0" w:beforeAutospacing="0" w:after="0" w:afterAutospacing="0" w:line="252" w:lineRule="auto"/>
              <w:jc w:val="center"/>
              <w:rPr>
                <w:rFonts w:hint="default" w:cs="宋体"/>
                <w:color w:val="auto"/>
                <w:szCs w:val="24"/>
                <w:highlight w:val="none"/>
                <w:lang w:val="en-US" w:eastAsia="zh-CN"/>
              </w:rPr>
            </w:pPr>
            <w:r>
              <w:rPr>
                <w:rFonts w:hint="eastAsia" w:cs="宋体"/>
                <w:color w:val="auto"/>
                <w:szCs w:val="24"/>
                <w:highlight w:val="none"/>
                <w:lang w:val="en-US" w:eastAsia="zh-CN"/>
              </w:rPr>
              <w:t>5.2.2</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0389BEAD">
            <w:pP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根据项目组人员结构，包括人数（满足招标需求）、年龄、从业经历等进行评分，</w:t>
            </w:r>
            <w:r>
              <w:rPr>
                <w:rFonts w:hint="eastAsia" w:ascii="宋体" w:hAnsi="宋体" w:cs="宋体"/>
                <w:color w:val="auto"/>
                <w:sz w:val="24"/>
                <w:szCs w:val="24"/>
                <w:highlight w:val="none"/>
                <w:lang w:val="en-US" w:eastAsia="zh-CN"/>
              </w:rPr>
              <w:t>人数满足要求年龄合理经验丰富得4分，经验丰富年龄结构欠合理得3分，经验稍显不足得2分，经验严重不足得1分，无相关内容不得分</w:t>
            </w:r>
            <w:r>
              <w:rPr>
                <w:rFonts w:hint="eastAsia" w:ascii="宋体" w:hAnsi="宋体" w:cs="宋体"/>
                <w:color w:val="auto"/>
                <w:sz w:val="24"/>
                <w:szCs w:val="24"/>
                <w:highlight w:val="none"/>
                <w:lang w:val="zh-CN"/>
              </w:rPr>
              <w:t>。</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2DA310">
            <w:pPr>
              <w:widowControl/>
              <w:spacing w:line="252" w:lineRule="auto"/>
              <w:jc w:val="center"/>
              <w:textAlignment w:val="center"/>
              <w:rPr>
                <w:rFonts w:hint="default"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w:t>
            </w:r>
          </w:p>
        </w:tc>
      </w:tr>
      <w:tr w14:paraId="5469E48C">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7D0160A0">
            <w:pPr>
              <w:pStyle w:val="18"/>
              <w:adjustRightInd w:val="0"/>
              <w:spacing w:before="0" w:beforeAutospacing="0" w:after="0" w:afterAutospacing="0" w:line="252" w:lineRule="auto"/>
              <w:jc w:val="center"/>
              <w:rPr>
                <w:rFonts w:hint="eastAsia" w:cs="宋体"/>
                <w:color w:val="auto"/>
                <w:szCs w:val="24"/>
                <w:highlight w:val="none"/>
              </w:rPr>
            </w:pPr>
            <w:r>
              <w:rPr>
                <w:rFonts w:hint="eastAsia" w:cs="宋体"/>
                <w:color w:val="auto"/>
                <w:szCs w:val="24"/>
                <w:highlight w:val="none"/>
                <w:lang w:val="en-US" w:eastAsia="zh-CN"/>
              </w:rPr>
              <w:t>5</w:t>
            </w:r>
            <w:r>
              <w:rPr>
                <w:rFonts w:hint="eastAsia" w:cs="宋体"/>
                <w:color w:val="auto"/>
                <w:szCs w:val="24"/>
                <w:highlight w:val="none"/>
              </w:rPr>
              <w:t>.3</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5DECE64F">
            <w:pPr>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计划、方案合理性，安全、质量保证措施是否可行，专业人员、设备、器具、药品投入的满足度。</w:t>
            </w:r>
            <w:r>
              <w:rPr>
                <w:rFonts w:hint="eastAsia" w:ascii="宋体" w:hAnsi="宋体" w:cs="宋体"/>
                <w:color w:val="auto"/>
                <w:kern w:val="0"/>
                <w:sz w:val="24"/>
                <w:szCs w:val="24"/>
                <w:highlight w:val="none"/>
                <w:lang w:val="zh-CN" w:eastAsia="zh-CN" w:bidi="ar-SA"/>
              </w:rPr>
              <w:t>内容齐全完善、描述详细可实施性强得</w:t>
            </w:r>
            <w:r>
              <w:rPr>
                <w:rFonts w:hint="eastAsia" w:ascii="宋体" w:hAnsi="宋体" w:cs="宋体"/>
                <w:color w:val="auto"/>
                <w:kern w:val="0"/>
                <w:sz w:val="24"/>
                <w:szCs w:val="24"/>
                <w:highlight w:val="none"/>
                <w:lang w:val="en-US" w:eastAsia="zh-CN" w:bidi="ar-SA"/>
              </w:rPr>
              <w:t>6</w:t>
            </w:r>
            <w:r>
              <w:rPr>
                <w:rFonts w:hint="eastAsia" w:ascii="宋体" w:hAnsi="宋体" w:cs="宋体"/>
                <w:color w:val="auto"/>
                <w:kern w:val="0"/>
                <w:sz w:val="24"/>
                <w:szCs w:val="24"/>
                <w:highlight w:val="none"/>
                <w:lang w:val="zh-CN" w:eastAsia="zh-CN" w:bidi="ar-SA"/>
              </w:rPr>
              <w:t>分，内容基本齐全、描述</w:t>
            </w:r>
            <w:r>
              <w:rPr>
                <w:rFonts w:hint="eastAsia" w:ascii="宋体" w:hAnsi="宋体" w:cs="宋体"/>
                <w:color w:val="auto"/>
                <w:kern w:val="0"/>
                <w:sz w:val="24"/>
                <w:szCs w:val="24"/>
                <w:highlight w:val="none"/>
                <w:lang w:val="en-US" w:eastAsia="zh-CN" w:bidi="ar-SA"/>
              </w:rPr>
              <w:t>较</w:t>
            </w:r>
            <w:r>
              <w:rPr>
                <w:rFonts w:hint="eastAsia" w:ascii="宋体" w:hAnsi="宋体" w:cs="宋体"/>
                <w:color w:val="auto"/>
                <w:kern w:val="0"/>
                <w:sz w:val="24"/>
                <w:szCs w:val="24"/>
                <w:highlight w:val="none"/>
                <w:lang w:val="zh-CN" w:eastAsia="zh-CN" w:bidi="ar-SA"/>
              </w:rPr>
              <w:t>详细可实施得</w:t>
            </w:r>
            <w:r>
              <w:rPr>
                <w:rFonts w:hint="eastAsia" w:ascii="宋体" w:hAnsi="宋体" w:cs="宋体"/>
                <w:color w:val="auto"/>
                <w:kern w:val="0"/>
                <w:sz w:val="24"/>
                <w:szCs w:val="24"/>
                <w:highlight w:val="none"/>
                <w:lang w:val="en-US" w:eastAsia="zh-CN" w:bidi="ar-SA"/>
              </w:rPr>
              <w:t>5</w:t>
            </w:r>
            <w:r>
              <w:rPr>
                <w:rFonts w:hint="eastAsia" w:ascii="宋体" w:hAnsi="宋体" w:cs="宋体"/>
                <w:color w:val="auto"/>
                <w:kern w:val="0"/>
                <w:sz w:val="24"/>
                <w:szCs w:val="24"/>
                <w:highlight w:val="none"/>
                <w:lang w:val="zh-CN" w:eastAsia="zh-CN" w:bidi="ar-SA"/>
              </w:rPr>
              <w:t>分，内容基本齐全、描述简略可实施得</w:t>
            </w:r>
            <w:r>
              <w:rPr>
                <w:rFonts w:hint="eastAsia" w:ascii="宋体" w:hAnsi="宋体" w:cs="宋体"/>
                <w:color w:val="auto"/>
                <w:kern w:val="0"/>
                <w:sz w:val="24"/>
                <w:szCs w:val="24"/>
                <w:highlight w:val="none"/>
                <w:lang w:val="en-US" w:eastAsia="zh-CN" w:bidi="ar-SA"/>
              </w:rPr>
              <w:t>4</w:t>
            </w:r>
            <w:r>
              <w:rPr>
                <w:rFonts w:hint="eastAsia" w:ascii="宋体" w:hAnsi="宋体" w:cs="宋体"/>
                <w:color w:val="auto"/>
                <w:kern w:val="0"/>
                <w:sz w:val="24"/>
                <w:szCs w:val="24"/>
                <w:highlight w:val="none"/>
                <w:lang w:val="zh-CN" w:eastAsia="zh-CN" w:bidi="ar-SA"/>
              </w:rPr>
              <w:t>分，内容</w:t>
            </w:r>
            <w:r>
              <w:rPr>
                <w:rFonts w:hint="eastAsia" w:ascii="宋体" w:hAnsi="宋体" w:cs="宋体"/>
                <w:color w:val="auto"/>
                <w:kern w:val="0"/>
                <w:sz w:val="24"/>
                <w:szCs w:val="24"/>
                <w:highlight w:val="none"/>
                <w:lang w:val="en-US" w:eastAsia="zh-CN" w:bidi="ar-SA"/>
              </w:rPr>
              <w:t>略有欠缺基本可行得3分，</w:t>
            </w:r>
            <w:r>
              <w:rPr>
                <w:rFonts w:hint="eastAsia" w:ascii="宋体" w:hAnsi="宋体" w:cs="宋体"/>
                <w:color w:val="auto"/>
                <w:kern w:val="0"/>
                <w:sz w:val="24"/>
                <w:szCs w:val="24"/>
                <w:highlight w:val="none"/>
                <w:lang w:val="zh-CN" w:eastAsia="zh-CN" w:bidi="ar-SA"/>
              </w:rPr>
              <w:t>内容有缺陷需补充完善后实施得</w:t>
            </w:r>
            <w:r>
              <w:rPr>
                <w:rFonts w:hint="eastAsia" w:ascii="宋体" w:hAnsi="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zh-CN" w:eastAsia="zh-CN" w:bidi="ar-SA"/>
              </w:rPr>
              <w:t>分，内容</w:t>
            </w:r>
            <w:r>
              <w:rPr>
                <w:rFonts w:hint="eastAsia" w:ascii="宋体" w:hAnsi="宋体" w:cs="宋体"/>
                <w:color w:val="auto"/>
                <w:kern w:val="0"/>
                <w:sz w:val="24"/>
                <w:szCs w:val="24"/>
                <w:highlight w:val="none"/>
                <w:lang w:val="en-US" w:eastAsia="zh-CN" w:bidi="ar-SA"/>
              </w:rPr>
              <w:t>经</w:t>
            </w:r>
            <w:r>
              <w:rPr>
                <w:rFonts w:hint="eastAsia" w:ascii="宋体" w:hAnsi="宋体" w:cs="宋体"/>
                <w:color w:val="auto"/>
                <w:kern w:val="0"/>
                <w:sz w:val="24"/>
                <w:szCs w:val="24"/>
                <w:highlight w:val="none"/>
                <w:lang w:val="zh-CN" w:eastAsia="zh-CN" w:bidi="ar-SA"/>
              </w:rPr>
              <w:t>补充完善后</w:t>
            </w:r>
            <w:r>
              <w:rPr>
                <w:rFonts w:hint="eastAsia" w:ascii="宋体" w:hAnsi="宋体" w:cs="宋体"/>
                <w:color w:val="auto"/>
                <w:kern w:val="0"/>
                <w:sz w:val="24"/>
                <w:szCs w:val="24"/>
                <w:highlight w:val="none"/>
                <w:lang w:val="en-US" w:eastAsia="zh-CN" w:bidi="ar-SA"/>
              </w:rPr>
              <w:t>还有缺陷得1分，</w:t>
            </w:r>
            <w:r>
              <w:rPr>
                <w:rFonts w:hint="eastAsia" w:ascii="宋体" w:hAnsi="宋体" w:cs="宋体"/>
                <w:color w:val="auto"/>
                <w:kern w:val="0"/>
                <w:sz w:val="24"/>
                <w:szCs w:val="24"/>
                <w:highlight w:val="none"/>
                <w:lang w:val="zh-CN" w:eastAsia="zh-CN" w:bidi="ar-SA"/>
              </w:rPr>
              <w:t>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A431F34">
            <w:pPr>
              <w:widowControl/>
              <w:spacing w:line="252" w:lineRule="auto"/>
              <w:jc w:val="center"/>
              <w:textAlignment w:val="center"/>
              <w:rPr>
                <w:rFonts w:hint="eastAsia" w:ascii="宋体" w:hAnsi="宋体" w:eastAsia="宋体" w:cs="宋体"/>
                <w:b w:val="0"/>
                <w:bCs w:val="0"/>
                <w:color w:val="auto"/>
                <w:kern w:val="0"/>
                <w:sz w:val="24"/>
                <w:szCs w:val="24"/>
                <w:highlight w:val="none"/>
                <w:lang w:eastAsia="zh-CN"/>
              </w:rPr>
            </w:pPr>
            <w:r>
              <w:rPr>
                <w:rFonts w:hint="eastAsia" w:ascii="宋体" w:hAnsi="宋体" w:cs="宋体"/>
                <w:b w:val="0"/>
                <w:bCs w:val="0"/>
                <w:color w:val="auto"/>
                <w:kern w:val="0"/>
                <w:sz w:val="24"/>
                <w:szCs w:val="24"/>
                <w:highlight w:val="none"/>
                <w:lang w:val="en-US" w:eastAsia="zh-CN"/>
              </w:rPr>
              <w:t>6</w:t>
            </w:r>
          </w:p>
        </w:tc>
      </w:tr>
      <w:tr w14:paraId="5E71175D">
        <w:tblPrEx>
          <w:tblCellMar>
            <w:top w:w="15" w:type="dxa"/>
            <w:left w:w="15" w:type="dxa"/>
            <w:bottom w:w="15" w:type="dxa"/>
            <w:right w:w="15" w:type="dxa"/>
          </w:tblCellMar>
        </w:tblPrEx>
        <w:trPr>
          <w:trHeight w:val="23" w:hRule="atLeast"/>
        </w:trPr>
        <w:tc>
          <w:tcPr>
            <w:tcW w:w="926"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429809E4">
            <w:pPr>
              <w:pStyle w:val="18"/>
              <w:adjustRightInd w:val="0"/>
              <w:spacing w:before="0" w:beforeAutospacing="0" w:after="0" w:afterAutospacing="0" w:line="252" w:lineRule="auto"/>
              <w:jc w:val="center"/>
              <w:rPr>
                <w:rFonts w:hint="eastAsia" w:eastAsia="宋体" w:cs="宋体"/>
                <w:color w:val="auto"/>
                <w:szCs w:val="24"/>
                <w:highlight w:val="none"/>
                <w:lang w:eastAsia="zh-CN"/>
              </w:rPr>
            </w:pPr>
            <w:r>
              <w:rPr>
                <w:rFonts w:hint="eastAsia" w:cs="宋体"/>
                <w:b/>
                <w:bCs/>
                <w:color w:val="auto"/>
                <w:szCs w:val="24"/>
                <w:highlight w:val="none"/>
                <w:lang w:val="en-US" w:eastAsia="zh-CN"/>
              </w:rPr>
              <w:t>6</w:t>
            </w:r>
          </w:p>
        </w:tc>
        <w:tc>
          <w:tcPr>
            <w:tcW w:w="7984" w:type="dxa"/>
            <w:tcBorders>
              <w:top w:val="single" w:color="000000" w:sz="4" w:space="0"/>
              <w:left w:val="single" w:color="000000" w:sz="4" w:space="0"/>
              <w:bottom w:val="single" w:color="000000" w:sz="4" w:space="0"/>
              <w:right w:val="single" w:color="auto" w:sz="4" w:space="0"/>
            </w:tcBorders>
            <w:shd w:val="clear" w:color="auto" w:fill="FFFFFF"/>
            <w:tcMar>
              <w:top w:w="0" w:type="dxa"/>
              <w:left w:w="108" w:type="dxa"/>
              <w:bottom w:w="0" w:type="dxa"/>
              <w:right w:w="108" w:type="dxa"/>
            </w:tcMar>
            <w:vAlign w:val="center"/>
          </w:tcPr>
          <w:p w14:paraId="740DB74E">
            <w:pP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售后服务</w:t>
            </w:r>
          </w:p>
          <w:p w14:paraId="25939E2F">
            <w:pPr>
              <w:rPr>
                <w:rFonts w:hint="eastAsia" w:ascii="宋体" w:hAnsi="宋体" w:cs="宋体"/>
                <w:color w:val="auto"/>
                <w:sz w:val="24"/>
                <w:szCs w:val="24"/>
                <w:highlight w:val="none"/>
              </w:rPr>
            </w:pPr>
            <w:r>
              <w:rPr>
                <w:rFonts w:hint="eastAsia" w:ascii="宋体" w:hAnsi="宋体" w:cs="宋体"/>
                <w:color w:val="auto"/>
                <w:sz w:val="24"/>
                <w:szCs w:val="24"/>
                <w:highlight w:val="none"/>
              </w:rPr>
              <w:t>售后服务</w:t>
            </w:r>
            <w:r>
              <w:rPr>
                <w:rFonts w:hint="eastAsia" w:ascii="宋体" w:hAnsi="宋体" w:cs="宋体"/>
                <w:color w:val="auto"/>
                <w:sz w:val="24"/>
                <w:szCs w:val="24"/>
                <w:highlight w:val="none"/>
                <w:lang w:val="zh-CN"/>
              </w:rPr>
              <w:t>方案合理性，</w:t>
            </w:r>
            <w:r>
              <w:rPr>
                <w:rFonts w:hint="eastAsia" w:ascii="宋体" w:hAnsi="宋体" w:cs="宋体"/>
                <w:color w:val="auto"/>
                <w:sz w:val="24"/>
                <w:szCs w:val="24"/>
                <w:highlight w:val="none"/>
              </w:rPr>
              <w:t>内容齐全完善，描述详细、相关服务承诺可实施性强得</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w:t>
            </w:r>
            <w:r>
              <w:rPr>
                <w:rFonts w:hint="eastAsia" w:ascii="宋体" w:hAnsi="宋体" w:cs="宋体"/>
                <w:color w:val="auto"/>
                <w:sz w:val="24"/>
                <w:szCs w:val="24"/>
                <w:highlight w:val="none"/>
                <w:lang w:val="zh-CN"/>
              </w:rPr>
              <w:t>内容有缺项或缺陷需完善后实施得</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val="zh-CN"/>
              </w:rPr>
              <w:t>分，无相关内容不得分。</w:t>
            </w:r>
          </w:p>
        </w:tc>
        <w:tc>
          <w:tcPr>
            <w:tcW w:w="777" w:type="dxa"/>
            <w:tcBorders>
              <w:top w:val="single" w:color="000000" w:sz="4" w:space="0"/>
              <w:left w:val="single" w:color="auto"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DF311C2">
            <w:pPr>
              <w:widowControl/>
              <w:spacing w:line="252" w:lineRule="auto"/>
              <w:jc w:val="center"/>
              <w:textAlignment w:val="center"/>
              <w:rPr>
                <w:rFonts w:hint="eastAsia" w:ascii="宋体" w:hAnsi="宋体" w:eastAsia="宋体" w:cs="宋体"/>
                <w:b w:val="0"/>
                <w:bCs w:val="0"/>
                <w:color w:val="auto"/>
                <w:kern w:val="0"/>
                <w:sz w:val="24"/>
                <w:szCs w:val="24"/>
                <w:highlight w:val="none"/>
                <w:lang w:eastAsia="zh-CN"/>
              </w:rPr>
            </w:pPr>
            <w:r>
              <w:rPr>
                <w:rFonts w:hint="eastAsia" w:ascii="宋体" w:hAnsi="宋体" w:cs="宋体"/>
                <w:b w:val="0"/>
                <w:bCs w:val="0"/>
                <w:color w:val="auto"/>
                <w:kern w:val="0"/>
                <w:sz w:val="24"/>
                <w:szCs w:val="24"/>
                <w:highlight w:val="none"/>
                <w:lang w:val="en-US" w:eastAsia="zh-CN"/>
              </w:rPr>
              <w:t>2</w:t>
            </w:r>
          </w:p>
        </w:tc>
      </w:tr>
    </w:tbl>
    <w:p w14:paraId="4F451521">
      <w:pPr>
        <w:rPr>
          <w:color w:val="auto"/>
          <w:highlight w:val="none"/>
        </w:rPr>
      </w:pPr>
    </w:p>
    <w:p w14:paraId="36F90520">
      <w:pPr>
        <w:snapToGrid w:val="0"/>
        <w:spacing w:line="360" w:lineRule="auto"/>
        <w:ind w:firstLine="400" w:firstLineChars="200"/>
        <w:jc w:val="left"/>
        <w:rPr>
          <w:rFonts w:hint="eastAsia"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投标人编制投标文件（商务技术文件部分）时，建议按此目录（序号和内容）提供评标标准相应的商务技术资料。项目组成员社保可采用个人打印形式，也可以采用单位打印形式，无需重复提供。</w:t>
      </w:r>
    </w:p>
    <w:p w14:paraId="477005DC">
      <w:pPr>
        <w:pStyle w:val="4"/>
        <w:ind w:left="420"/>
        <w:rPr>
          <w:rFonts w:hint="eastAsia" w:ascii="宋体" w:hAnsi="宋体" w:eastAsia="宋体"/>
          <w:b w:val="0"/>
          <w:color w:val="auto"/>
          <w:sz w:val="24"/>
          <w:highlight w:val="none"/>
        </w:rPr>
      </w:pPr>
      <w:r>
        <w:rPr>
          <w:rFonts w:hint="eastAsia" w:ascii="宋体" w:hAnsi="宋体" w:eastAsia="宋体"/>
          <w:color w:val="auto"/>
          <w:sz w:val="24"/>
          <w:highlight w:val="none"/>
        </w:rPr>
        <w:t>一、评标方法</w:t>
      </w:r>
    </w:p>
    <w:p w14:paraId="787BAA50">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4E5D7A41">
      <w:pPr>
        <w:pStyle w:val="4"/>
        <w:ind w:left="420"/>
        <w:rPr>
          <w:rFonts w:hint="eastAsia" w:ascii="宋体" w:hAnsi="宋体" w:eastAsia="宋体"/>
          <w:color w:val="auto"/>
          <w:kern w:val="0"/>
          <w:sz w:val="24"/>
          <w:highlight w:val="none"/>
        </w:rPr>
      </w:pPr>
      <w:r>
        <w:rPr>
          <w:rFonts w:hint="eastAsia" w:ascii="宋体" w:hAnsi="宋体" w:eastAsia="宋体"/>
          <w:color w:val="auto"/>
          <w:sz w:val="24"/>
          <w:highlight w:val="none"/>
        </w:rPr>
        <w:t>二、评标标准</w:t>
      </w:r>
    </w:p>
    <w:p w14:paraId="4797D056">
      <w:pPr>
        <w:spacing w:line="360" w:lineRule="auto"/>
        <w:ind w:firstLine="472" w:firstLineChars="196"/>
        <w:rPr>
          <w:rFonts w:hint="eastAsia" w:ascii="宋体" w:hAnsi="宋体" w:cs="宋体"/>
          <w:b/>
          <w:color w:val="auto"/>
          <w:sz w:val="24"/>
          <w:highlight w:val="none"/>
        </w:rPr>
      </w:pPr>
      <w:r>
        <w:rPr>
          <w:rFonts w:hint="eastAsia" w:ascii="宋体" w:hAnsi="宋体" w:cs="宋体"/>
          <w:b/>
          <w:color w:val="auto"/>
          <w:sz w:val="24"/>
          <w:highlight w:val="none"/>
        </w:rPr>
        <w:t>2.评标标准：</w:t>
      </w:r>
      <w:r>
        <w:rPr>
          <w:rFonts w:hint="eastAsia" w:ascii="宋体" w:hAnsi="宋体" w:cs="宋体"/>
          <w:color w:val="auto"/>
          <w:kern w:val="0"/>
          <w:sz w:val="24"/>
          <w:highlight w:val="none"/>
        </w:rPr>
        <w:t>见评标办法前附表。</w:t>
      </w:r>
    </w:p>
    <w:p w14:paraId="1B911054">
      <w:pPr>
        <w:pStyle w:val="4"/>
        <w:ind w:left="420"/>
        <w:rPr>
          <w:rFonts w:hint="eastAsia" w:ascii="宋体" w:hAnsi="宋体" w:eastAsia="宋体"/>
          <w:b w:val="0"/>
          <w:color w:val="auto"/>
          <w:sz w:val="24"/>
          <w:highlight w:val="none"/>
        </w:rPr>
      </w:pPr>
      <w:r>
        <w:rPr>
          <w:rFonts w:hint="eastAsia" w:ascii="宋体" w:hAnsi="宋体" w:eastAsia="宋体"/>
          <w:color w:val="auto"/>
          <w:sz w:val="24"/>
          <w:highlight w:val="none"/>
        </w:rPr>
        <w:t>三、评标程序</w:t>
      </w:r>
    </w:p>
    <w:p w14:paraId="0BEE713B">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18F49E57">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3DE69122">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465B3912">
      <w:pPr>
        <w:spacing w:line="360" w:lineRule="auto"/>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3.4报价评审。</w:t>
      </w:r>
    </w:p>
    <w:p w14:paraId="58854568">
      <w:pPr>
        <w:pStyle w:val="37"/>
        <w:spacing w:before="0"/>
        <w:ind w:firstLine="508" w:firstLineChars="212"/>
        <w:rPr>
          <w:rFonts w:hint="eastAsia" w:ascii="宋体" w:hAnsi="宋体" w:cs="宋体"/>
          <w:color w:val="auto"/>
          <w:kern w:val="0"/>
          <w:szCs w:val="24"/>
          <w:highlight w:val="none"/>
        </w:rPr>
      </w:pPr>
      <w:r>
        <w:rPr>
          <w:rFonts w:hint="eastAsia" w:ascii="宋体" w:hAnsi="宋体" w:cs="宋体"/>
          <w:color w:val="auto"/>
          <w:kern w:val="0"/>
          <w:szCs w:val="24"/>
          <w:highlight w:val="none"/>
        </w:rPr>
        <w:t>3.4.1投标文件报价出现前后不一致的，按照下列规定修正：</w:t>
      </w:r>
    </w:p>
    <w:p w14:paraId="6B8DB948">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06F1442B">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3E781A33">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6E2A91C4">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3A717111">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45B40669">
      <w:pPr>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4EABC992">
      <w:pPr>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5C426FB9">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1A1CF2D">
      <w:pPr>
        <w:pStyle w:val="37"/>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71E4B05C">
      <w:pPr>
        <w:spacing w:line="360" w:lineRule="auto"/>
        <w:ind w:firstLine="482" w:firstLineChars="200"/>
        <w:rPr>
          <w:rFonts w:hint="eastAsia"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5CBBADB">
      <w:pPr>
        <w:spacing w:line="360" w:lineRule="auto"/>
        <w:ind w:firstLine="480" w:firstLineChars="200"/>
        <w:rPr>
          <w:rFonts w:hint="eastAsia"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E9019BB">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6E73BDD">
      <w:pPr>
        <w:pStyle w:val="4"/>
        <w:ind w:left="420"/>
        <w:rPr>
          <w:rFonts w:hint="eastAsia" w:ascii="宋体" w:hAnsi="宋体" w:eastAsia="宋体"/>
          <w:b w:val="0"/>
          <w:color w:val="auto"/>
          <w:sz w:val="24"/>
          <w:highlight w:val="none"/>
        </w:rPr>
      </w:pPr>
      <w:r>
        <w:rPr>
          <w:rFonts w:hint="eastAsia" w:ascii="宋体" w:hAnsi="宋体" w:eastAsia="宋体"/>
          <w:color w:val="auto"/>
          <w:sz w:val="24"/>
          <w:highlight w:val="none"/>
        </w:rPr>
        <w:t>四、评标中的其他事项</w:t>
      </w:r>
    </w:p>
    <w:p w14:paraId="269D521B">
      <w:pPr>
        <w:pStyle w:val="37"/>
        <w:spacing w:before="0"/>
        <w:ind w:firstLine="472" w:firstLineChars="196"/>
        <w:rPr>
          <w:rFonts w:hint="eastAsia"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EF0F87B">
      <w:pPr>
        <w:pStyle w:val="11"/>
        <w:spacing w:line="360" w:lineRule="auto"/>
        <w:ind w:left="954" w:leftChars="226" w:hanging="479" w:firstLineChars="0"/>
        <w:rPr>
          <w:rFonts w:hint="eastAsia" w:cs="宋体"/>
          <w:color w:val="auto"/>
          <w:highlight w:val="none"/>
        </w:rPr>
      </w:pPr>
      <w:r>
        <w:rPr>
          <w:rFonts w:hint="eastAsia" w:cs="宋体"/>
          <w:b/>
          <w:color w:val="auto"/>
          <w:kern w:val="0"/>
          <w:highlight w:val="none"/>
        </w:rPr>
        <w:t>4.2投标无效。</w:t>
      </w:r>
      <w:r>
        <w:rPr>
          <w:rFonts w:hint="eastAsia" w:cs="宋体"/>
          <w:color w:val="auto"/>
          <w:highlight w:val="none"/>
        </w:rPr>
        <w:t>有下列情形之一的，投标无效：</w:t>
      </w:r>
    </w:p>
    <w:p w14:paraId="083A5E5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8DBA6CC">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739C40F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C3DACB4">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66E9B5D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6CCD365B">
      <w:pPr>
        <w:snapToGrid w:val="0"/>
        <w:spacing w:line="360" w:lineRule="auto"/>
        <w:ind w:firstLine="120" w:firstLineChars="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1F5C32F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124A4B7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5EA4934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45A03A01">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3FFAE16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4.2.11投标人有恶意串通、妨碍其他投标人的竞争行为、损害采购人或者其他投标人的合法权益情形的；</w:t>
      </w:r>
    </w:p>
    <w:p w14:paraId="6D6AC7F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1A3AFFEC">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4.2.13投标文件不满足招标文件的其它实质性要求的；</w:t>
      </w:r>
    </w:p>
    <w:p w14:paraId="55615DA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14:paraId="71C210EF">
      <w:pPr>
        <w:pStyle w:val="11"/>
        <w:snapToGrid w:val="0"/>
        <w:spacing w:line="360" w:lineRule="auto"/>
        <w:ind w:firstLine="472" w:firstLineChars="196"/>
        <w:rPr>
          <w:rFonts w:hint="eastAsia"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01CACD6D">
      <w:pPr>
        <w:pStyle w:val="11"/>
        <w:snapToGrid w:val="0"/>
        <w:spacing w:line="360" w:lineRule="auto"/>
        <w:rPr>
          <w:rFonts w:hint="eastAsia" w:cs="宋体"/>
          <w:color w:val="auto"/>
          <w:highlight w:val="none"/>
        </w:rPr>
      </w:pPr>
      <w:r>
        <w:rPr>
          <w:rFonts w:hint="eastAsia" w:cs="宋体"/>
          <w:color w:val="auto"/>
          <w:highlight w:val="none"/>
        </w:rPr>
        <w:t>5.1符合专业条件的供应商或者对招标文件作实质响应的供应商不足3家的；</w:t>
      </w:r>
    </w:p>
    <w:p w14:paraId="6346D8AF">
      <w:pPr>
        <w:pStyle w:val="11"/>
        <w:snapToGrid w:val="0"/>
        <w:spacing w:line="360" w:lineRule="auto"/>
        <w:rPr>
          <w:rFonts w:hint="eastAsia" w:cs="宋体"/>
          <w:color w:val="auto"/>
          <w:highlight w:val="none"/>
        </w:rPr>
      </w:pPr>
      <w:r>
        <w:rPr>
          <w:rFonts w:hint="eastAsia" w:cs="宋体"/>
          <w:color w:val="auto"/>
          <w:highlight w:val="none"/>
        </w:rPr>
        <w:t>5.2出现影响采购公正的违法、违规行为的；</w:t>
      </w:r>
    </w:p>
    <w:p w14:paraId="349CCEC3">
      <w:pPr>
        <w:pStyle w:val="11"/>
        <w:snapToGrid w:val="0"/>
        <w:spacing w:line="360" w:lineRule="auto"/>
        <w:rPr>
          <w:rFonts w:hint="eastAsia" w:cs="宋体"/>
          <w:color w:val="auto"/>
          <w:highlight w:val="none"/>
        </w:rPr>
      </w:pPr>
      <w:r>
        <w:rPr>
          <w:rFonts w:hint="eastAsia" w:cs="宋体"/>
          <w:color w:val="auto"/>
          <w:highlight w:val="none"/>
        </w:rPr>
        <w:t>5.3投标人的报价均超过了采购预算，采购人不能支付的；</w:t>
      </w:r>
    </w:p>
    <w:p w14:paraId="302D35F2">
      <w:pPr>
        <w:pStyle w:val="11"/>
        <w:snapToGrid w:val="0"/>
        <w:spacing w:line="360" w:lineRule="auto"/>
        <w:rPr>
          <w:rFonts w:hint="eastAsia" w:cs="宋体"/>
          <w:color w:val="auto"/>
          <w:highlight w:val="none"/>
        </w:rPr>
      </w:pPr>
      <w:r>
        <w:rPr>
          <w:rFonts w:hint="eastAsia" w:cs="宋体"/>
          <w:color w:val="auto"/>
          <w:highlight w:val="none"/>
        </w:rPr>
        <w:t>5.4因重大变故，采购任务取消的。</w:t>
      </w:r>
    </w:p>
    <w:p w14:paraId="4F576972">
      <w:pPr>
        <w:pStyle w:val="11"/>
        <w:snapToGrid w:val="0"/>
        <w:spacing w:line="360" w:lineRule="auto"/>
        <w:rPr>
          <w:rFonts w:hint="eastAsia" w:cs="宋体"/>
          <w:color w:val="auto"/>
          <w:highlight w:val="none"/>
        </w:rPr>
      </w:pPr>
      <w:r>
        <w:rPr>
          <w:rFonts w:hint="eastAsia" w:cs="宋体"/>
          <w:color w:val="auto"/>
          <w:highlight w:val="none"/>
        </w:rPr>
        <w:t>废标后，采购代理机构应当将废标理由通知所有投标人。</w:t>
      </w:r>
    </w:p>
    <w:p w14:paraId="71F6454B">
      <w:pPr>
        <w:pStyle w:val="11"/>
        <w:snapToGrid w:val="0"/>
        <w:spacing w:line="360" w:lineRule="auto"/>
        <w:ind w:firstLine="590" w:firstLineChars="245"/>
        <w:rPr>
          <w:rFonts w:hint="eastAsia"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58E5F5A">
      <w:pPr>
        <w:pStyle w:val="11"/>
        <w:snapToGrid w:val="0"/>
        <w:spacing w:line="360" w:lineRule="auto"/>
        <w:ind w:firstLine="482"/>
        <w:rPr>
          <w:rFonts w:hint="eastAsia"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161EE98B">
      <w:pPr>
        <w:pStyle w:val="11"/>
        <w:snapToGrid w:val="0"/>
        <w:spacing w:line="360" w:lineRule="auto"/>
        <w:rPr>
          <w:rFonts w:hint="eastAsia" w:cs="宋体"/>
          <w:color w:val="auto"/>
          <w:highlight w:val="none"/>
        </w:rPr>
      </w:pPr>
      <w:r>
        <w:rPr>
          <w:rFonts w:hint="eastAsia" w:cs="宋体"/>
          <w:color w:val="auto"/>
          <w:highlight w:val="none"/>
        </w:rPr>
        <w:t>7.1未确定中标供应商的，终止本次政府采购活动，重新开展政府采购活动。</w:t>
      </w:r>
    </w:p>
    <w:p w14:paraId="660AEB51">
      <w:pPr>
        <w:pStyle w:val="11"/>
        <w:snapToGrid w:val="0"/>
        <w:spacing w:line="360" w:lineRule="auto"/>
        <w:rPr>
          <w:rFonts w:hint="eastAsia"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50E9D77">
      <w:pPr>
        <w:pStyle w:val="11"/>
        <w:snapToGrid w:val="0"/>
        <w:spacing w:line="360" w:lineRule="auto"/>
        <w:rPr>
          <w:rFonts w:hint="eastAsia"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074BD4EA">
      <w:pPr>
        <w:pStyle w:val="11"/>
        <w:snapToGrid w:val="0"/>
        <w:spacing w:line="360" w:lineRule="auto"/>
        <w:rPr>
          <w:rFonts w:hint="eastAsia" w:cs="宋体"/>
          <w:color w:val="auto"/>
          <w:highlight w:val="none"/>
        </w:rPr>
      </w:pPr>
      <w:r>
        <w:rPr>
          <w:rFonts w:hint="eastAsia" w:cs="宋体"/>
          <w:color w:val="auto"/>
          <w:highlight w:val="none"/>
        </w:rPr>
        <w:t>7.4政府采购合同已经履行，给采购人、供应商造成损失的，由责任人承担赔偿责任。</w:t>
      </w:r>
    </w:p>
    <w:p w14:paraId="238245A8">
      <w:pPr>
        <w:pStyle w:val="11"/>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5"/>
    <w:p w14:paraId="06C2A50E">
      <w:pPr>
        <w:widowControl/>
        <w:jc w:val="left"/>
        <w:rPr>
          <w:rFonts w:hint="eastAsia" w:ascii="宋体" w:hAnsi="宋体" w:cs="宋体"/>
          <w:b/>
          <w:color w:val="auto"/>
          <w:sz w:val="36"/>
          <w:szCs w:val="36"/>
          <w:highlight w:val="none"/>
        </w:rPr>
      </w:pPr>
      <w:bookmarkStart w:id="454" w:name="_Toc86217003"/>
      <w:bookmarkStart w:id="455" w:name="第五部分"/>
      <w:r>
        <w:rPr>
          <w:rFonts w:hint="eastAsia" w:ascii="宋体" w:hAnsi="宋体" w:cs="宋体"/>
          <w:b/>
          <w:color w:val="auto"/>
          <w:sz w:val="36"/>
          <w:szCs w:val="36"/>
          <w:highlight w:val="none"/>
        </w:rPr>
        <w:br w:type="page"/>
      </w:r>
    </w:p>
    <w:p w14:paraId="441D04F6">
      <w:p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30D440E4">
      <w:pPr>
        <w:jc w:val="left"/>
        <w:rPr>
          <w:rFonts w:hint="eastAsia" w:ascii="宋体" w:hAnsi="宋体" w:cs="宋体"/>
          <w:color w:val="auto"/>
          <w:sz w:val="30"/>
          <w:szCs w:val="30"/>
          <w:highlight w:val="none"/>
        </w:rPr>
      </w:pPr>
      <w:bookmarkStart w:id="456" w:name="zihao"/>
      <w:bookmarkEnd w:id="456"/>
      <w:r>
        <w:rPr>
          <w:rFonts w:hint="eastAsia" w:ascii="宋体" w:hAnsi="宋体" w:cs="宋体"/>
          <w:color w:val="auto"/>
          <w:sz w:val="30"/>
          <w:szCs w:val="30"/>
          <w:highlight w:val="none"/>
        </w:rPr>
        <w:t>合同编号：</w:t>
      </w:r>
    </w:p>
    <w:p w14:paraId="112A7277">
      <w:pPr>
        <w:jc w:val="center"/>
        <w:rPr>
          <w:rFonts w:hint="eastAsia" w:ascii="宋体" w:hAnsi="宋体" w:cs="宋体"/>
          <w:color w:val="auto"/>
          <w:sz w:val="44"/>
          <w:szCs w:val="44"/>
          <w:highlight w:val="none"/>
        </w:rPr>
      </w:pPr>
    </w:p>
    <w:p w14:paraId="2B14310A">
      <w:pPr>
        <w:jc w:val="center"/>
        <w:rPr>
          <w:rFonts w:hint="eastAsia" w:ascii="宋体" w:hAnsi="宋体" w:cs="宋体"/>
          <w:color w:val="auto"/>
          <w:sz w:val="44"/>
          <w:szCs w:val="44"/>
          <w:highlight w:val="none"/>
        </w:rPr>
      </w:pPr>
    </w:p>
    <w:p w14:paraId="178DBC8B">
      <w:pPr>
        <w:pStyle w:val="4"/>
        <w:ind w:left="420" w:firstLine="1325" w:firstLineChars="300"/>
        <w:rPr>
          <w:rFonts w:hint="eastAsia" w:ascii="宋体" w:hAnsi="宋体" w:eastAsia="宋体"/>
          <w:color w:val="auto"/>
          <w:sz w:val="44"/>
          <w:szCs w:val="44"/>
          <w:highlight w:val="none"/>
        </w:rPr>
      </w:pPr>
      <w:r>
        <w:rPr>
          <w:rFonts w:hint="eastAsia" w:ascii="宋体" w:hAnsi="宋体" w:eastAsia="宋体"/>
          <w:color w:val="auto"/>
          <w:sz w:val="44"/>
          <w:szCs w:val="44"/>
          <w:highlight w:val="none"/>
        </w:rPr>
        <w:t>浙江省水利工程物业服务合同</w:t>
      </w:r>
    </w:p>
    <w:p w14:paraId="0C51CEB7">
      <w:pPr>
        <w:jc w:val="center"/>
        <w:rPr>
          <w:rFonts w:hint="eastAsia" w:ascii="宋体" w:hAnsi="宋体" w:cs="宋体"/>
          <w:color w:val="auto"/>
          <w:sz w:val="44"/>
          <w:szCs w:val="44"/>
          <w:highlight w:val="none"/>
        </w:rPr>
      </w:pPr>
    </w:p>
    <w:p w14:paraId="271337F1">
      <w:pPr>
        <w:jc w:val="center"/>
        <w:rPr>
          <w:rFonts w:hint="eastAsia" w:ascii="宋体" w:hAnsi="宋体" w:cs="宋体"/>
          <w:color w:val="auto"/>
          <w:sz w:val="44"/>
          <w:szCs w:val="44"/>
          <w:highlight w:val="none"/>
        </w:rPr>
      </w:pPr>
    </w:p>
    <w:p w14:paraId="6C754501">
      <w:pPr>
        <w:spacing w:before="163" w:beforeLines="50"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合同名称：</w:t>
      </w:r>
      <w:r>
        <w:rPr>
          <w:rFonts w:hint="eastAsia" w:ascii="宋体" w:hAnsi="宋体" w:cs="宋体"/>
          <w:color w:val="auto"/>
          <w:sz w:val="30"/>
          <w:szCs w:val="30"/>
          <w:highlight w:val="none"/>
          <w:u w:val="single"/>
          <w:lang w:eastAsia="zh-CN"/>
        </w:rPr>
        <w:t>八堡排水泵站运行和日常维修养护项目</w:t>
      </w:r>
    </w:p>
    <w:p w14:paraId="5F18C495">
      <w:pPr>
        <w:ind w:firstLine="567" w:firstLineChars="189"/>
        <w:rPr>
          <w:rFonts w:hint="eastAsia" w:ascii="宋体" w:hAnsi="宋体" w:cs="宋体"/>
          <w:color w:val="auto"/>
          <w:sz w:val="30"/>
          <w:szCs w:val="30"/>
          <w:highlight w:val="none"/>
        </w:rPr>
      </w:pPr>
    </w:p>
    <w:p w14:paraId="1B84B956">
      <w:pPr>
        <w:ind w:firstLine="567" w:firstLineChars="189"/>
        <w:rPr>
          <w:rFonts w:hint="eastAsia" w:ascii="宋体" w:hAnsi="宋体" w:cs="宋体"/>
          <w:color w:val="auto"/>
          <w:sz w:val="30"/>
          <w:szCs w:val="30"/>
          <w:highlight w:val="none"/>
        </w:rPr>
      </w:pPr>
    </w:p>
    <w:p w14:paraId="36A9BB83">
      <w:pPr>
        <w:ind w:firstLine="567" w:firstLineChars="189"/>
        <w:rPr>
          <w:rFonts w:hint="eastAsia" w:ascii="宋体" w:hAnsi="宋体" w:cs="宋体"/>
          <w:color w:val="auto"/>
          <w:sz w:val="30"/>
          <w:szCs w:val="30"/>
          <w:highlight w:val="none"/>
        </w:rPr>
      </w:pPr>
      <w:r>
        <w:rPr>
          <w:rFonts w:hint="eastAsia" w:ascii="宋体" w:hAnsi="宋体" w:cs="宋体"/>
          <w:color w:val="auto"/>
          <w:sz w:val="30"/>
          <w:szCs w:val="30"/>
          <w:highlight w:val="none"/>
        </w:rPr>
        <w:t>甲方（委托方）：</w:t>
      </w:r>
      <w:r>
        <w:rPr>
          <w:rFonts w:hint="eastAsia" w:ascii="宋体" w:hAnsi="宋体" w:cs="宋体"/>
          <w:color w:val="auto"/>
          <w:sz w:val="30"/>
          <w:szCs w:val="30"/>
          <w:highlight w:val="none"/>
          <w:u w:val="single"/>
        </w:rPr>
        <w:t xml:space="preserve"> 杭州市南排工程建设管理服务中心 </w:t>
      </w:r>
    </w:p>
    <w:p w14:paraId="5AE22571">
      <w:pPr>
        <w:ind w:firstLine="567" w:firstLineChars="189"/>
        <w:rPr>
          <w:rFonts w:hint="eastAsia" w:ascii="宋体" w:hAnsi="宋体" w:cs="宋体"/>
          <w:color w:val="auto"/>
          <w:sz w:val="30"/>
          <w:szCs w:val="30"/>
          <w:highlight w:val="none"/>
        </w:rPr>
      </w:pPr>
    </w:p>
    <w:p w14:paraId="46F95C01">
      <w:pPr>
        <w:ind w:firstLine="567" w:firstLineChars="189"/>
        <w:rPr>
          <w:rFonts w:hint="eastAsia" w:ascii="宋体" w:hAnsi="宋体" w:cs="宋体"/>
          <w:color w:val="auto"/>
          <w:sz w:val="30"/>
          <w:szCs w:val="30"/>
          <w:highlight w:val="none"/>
        </w:rPr>
      </w:pPr>
    </w:p>
    <w:p w14:paraId="7F40410C">
      <w:pPr>
        <w:ind w:firstLine="567" w:firstLineChars="189"/>
        <w:rPr>
          <w:rFonts w:hint="default" w:ascii="宋体" w:hAnsi="宋体" w:eastAsia="宋体" w:cs="宋体"/>
          <w:color w:val="auto"/>
          <w:sz w:val="30"/>
          <w:szCs w:val="30"/>
          <w:highlight w:val="none"/>
          <w:u w:val="single"/>
          <w:lang w:val="en-US" w:eastAsia="zh-CN"/>
        </w:rPr>
      </w:pPr>
      <w:r>
        <w:rPr>
          <w:rFonts w:hint="eastAsia" w:ascii="宋体" w:hAnsi="宋体" w:cs="宋体"/>
          <w:color w:val="auto"/>
          <w:sz w:val="30"/>
          <w:szCs w:val="30"/>
          <w:highlight w:val="none"/>
        </w:rPr>
        <w:t>乙方（服务方）：</w:t>
      </w:r>
      <w:r>
        <w:rPr>
          <w:rFonts w:hint="eastAsia" w:ascii="宋体" w:hAnsi="宋体" w:cs="宋体"/>
          <w:color w:val="auto"/>
          <w:sz w:val="30"/>
          <w:szCs w:val="30"/>
          <w:highlight w:val="none"/>
          <w:u w:val="single"/>
          <w:lang w:val="en-US" w:eastAsia="zh-CN"/>
        </w:rPr>
        <w:t xml:space="preserve">                                  </w:t>
      </w:r>
    </w:p>
    <w:p w14:paraId="734D7742">
      <w:pPr>
        <w:ind w:firstLine="567" w:firstLineChars="189"/>
        <w:rPr>
          <w:rFonts w:hint="eastAsia" w:ascii="宋体" w:hAnsi="宋体" w:cs="宋体"/>
          <w:color w:val="auto"/>
          <w:sz w:val="30"/>
          <w:szCs w:val="30"/>
          <w:highlight w:val="none"/>
        </w:rPr>
      </w:pPr>
    </w:p>
    <w:p w14:paraId="778958C4">
      <w:pPr>
        <w:ind w:firstLine="567" w:firstLineChars="189"/>
        <w:rPr>
          <w:rFonts w:hint="eastAsia" w:ascii="宋体" w:hAnsi="宋体" w:cs="宋体"/>
          <w:color w:val="auto"/>
          <w:sz w:val="30"/>
          <w:szCs w:val="30"/>
          <w:highlight w:val="none"/>
        </w:rPr>
      </w:pPr>
      <w:r>
        <w:rPr>
          <w:rFonts w:hint="eastAsia" w:ascii="宋体" w:hAnsi="宋体" w:cs="宋体"/>
          <w:color w:val="auto"/>
          <w:sz w:val="30"/>
          <w:szCs w:val="30"/>
          <w:highlight w:val="none"/>
        </w:rPr>
        <w:t>签订地点：浙江杭州</w:t>
      </w:r>
    </w:p>
    <w:p w14:paraId="637A3A9A">
      <w:pPr>
        <w:ind w:firstLine="567" w:firstLineChars="189"/>
        <w:rPr>
          <w:rFonts w:hint="eastAsia" w:ascii="宋体" w:hAnsi="宋体" w:cs="宋体"/>
          <w:color w:val="auto"/>
          <w:sz w:val="30"/>
          <w:szCs w:val="30"/>
          <w:highlight w:val="none"/>
        </w:rPr>
      </w:pPr>
      <w:r>
        <w:rPr>
          <w:rFonts w:hint="eastAsia" w:ascii="宋体" w:hAnsi="宋体" w:cs="宋体"/>
          <w:color w:val="auto"/>
          <w:sz w:val="30"/>
          <w:szCs w:val="30"/>
          <w:highlight w:val="none"/>
        </w:rPr>
        <w:t>签订日期：2025年   月   日</w:t>
      </w:r>
    </w:p>
    <w:p w14:paraId="7754EB60">
      <w:pPr>
        <w:rPr>
          <w:rFonts w:hint="eastAsia" w:ascii="宋体" w:hAnsi="宋体" w:cs="宋体"/>
          <w:color w:val="auto"/>
          <w:sz w:val="30"/>
          <w:szCs w:val="30"/>
          <w:highlight w:val="none"/>
        </w:rPr>
      </w:pPr>
    </w:p>
    <w:p w14:paraId="0659956B">
      <w:pPr>
        <w:rPr>
          <w:rFonts w:hint="eastAsia" w:ascii="宋体" w:hAnsi="宋体" w:cs="宋体"/>
          <w:color w:val="auto"/>
          <w:sz w:val="30"/>
          <w:szCs w:val="30"/>
          <w:highlight w:val="none"/>
        </w:rPr>
        <w:sectPr>
          <w:footerReference r:id="rId12" w:type="default"/>
          <w:pgSz w:w="11906" w:h="16838"/>
          <w:pgMar w:top="1417" w:right="1417" w:bottom="1417" w:left="1417" w:header="851" w:footer="850" w:gutter="0"/>
          <w:pgBorders>
            <w:top w:val="none" w:sz="0" w:space="0"/>
            <w:left w:val="none" w:sz="0" w:space="0"/>
            <w:bottom w:val="none" w:sz="0" w:space="0"/>
            <w:right w:val="none" w:sz="0" w:space="0"/>
          </w:pgBorders>
          <w:pgNumType w:fmt="numberInDash"/>
          <w:cols w:space="0" w:num="1"/>
          <w:docGrid w:type="lines" w:linePitch="326" w:charSpace="0"/>
        </w:sectPr>
      </w:pPr>
    </w:p>
    <w:p w14:paraId="5101125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根据《中华人民共和国政府采购法》《中华人民共和国民法典》等有关法律法规精神，甲方（委托方）经</w:t>
      </w:r>
      <w:r>
        <w:rPr>
          <w:rFonts w:hint="eastAsia" w:ascii="宋体" w:hAnsi="宋体" w:cs="宋体"/>
          <w:color w:val="auto"/>
          <w:szCs w:val="21"/>
          <w:highlight w:val="none"/>
          <w:u w:val="single"/>
        </w:rPr>
        <w:t>公开招标</w:t>
      </w:r>
      <w:r>
        <w:rPr>
          <w:rFonts w:hint="eastAsia" w:ascii="宋体" w:hAnsi="宋体" w:cs="宋体"/>
          <w:color w:val="auto"/>
          <w:szCs w:val="21"/>
          <w:highlight w:val="none"/>
        </w:rPr>
        <w:t>采购方式确定乙方（服务方）为</w:t>
      </w:r>
      <w:r>
        <w:rPr>
          <w:rFonts w:hint="eastAsia" w:ascii="宋体" w:hAnsi="宋体" w:cs="宋体"/>
          <w:color w:val="auto"/>
          <w:szCs w:val="21"/>
          <w:highlight w:val="none"/>
          <w:u w:val="single"/>
        </w:rPr>
        <w:t>八堡排水泵站运行和</w:t>
      </w:r>
      <w:r>
        <w:rPr>
          <w:rFonts w:hint="eastAsia" w:ascii="宋体" w:hAnsi="宋体" w:cs="宋体"/>
          <w:color w:val="auto"/>
          <w:szCs w:val="21"/>
          <w:highlight w:val="none"/>
          <w:u w:val="single"/>
          <w:lang w:val="en-US" w:eastAsia="zh-CN"/>
        </w:rPr>
        <w:t>日常</w:t>
      </w:r>
      <w:r>
        <w:rPr>
          <w:rFonts w:hint="eastAsia" w:ascii="宋体" w:hAnsi="宋体" w:cs="宋体"/>
          <w:color w:val="auto"/>
          <w:szCs w:val="21"/>
          <w:highlight w:val="none"/>
          <w:u w:val="single"/>
        </w:rPr>
        <w:t>维修养护                                            项目</w:t>
      </w:r>
      <w:r>
        <w:rPr>
          <w:rFonts w:hint="eastAsia" w:ascii="宋体" w:hAnsi="宋体" w:cs="宋体"/>
          <w:color w:val="auto"/>
          <w:szCs w:val="21"/>
          <w:highlight w:val="none"/>
        </w:rPr>
        <w:t>（项目编号：</w:t>
      </w:r>
      <w:r>
        <w:rPr>
          <w:rFonts w:hint="eastAsia" w:ascii="宋体" w:hAnsi="宋体" w:cs="宋体"/>
          <w:color w:val="auto"/>
          <w:sz w:val="21"/>
          <w:szCs w:val="21"/>
          <w:highlight w:val="none"/>
          <w:lang w:eastAsia="zh-CN"/>
        </w:rPr>
        <w:t>ZJZBC-25-GK-9032</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）的供应单位，经协商一致，签订本合同。</w:t>
      </w:r>
    </w:p>
    <w:p w14:paraId="539CA6D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本合同书与下列文件一起构成合同文件。</w:t>
      </w:r>
    </w:p>
    <w:p w14:paraId="26AB2DD2">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a.中标通知书；</w:t>
      </w:r>
    </w:p>
    <w:p w14:paraId="4AF00F12">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b.投标文件及澄清文件、询标纪要（承诺书）；</w:t>
      </w:r>
    </w:p>
    <w:p w14:paraId="4647F52F">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a.招标文件；</w:t>
      </w:r>
    </w:p>
    <w:p w14:paraId="52300EC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d.技术标准及要求；</w:t>
      </w:r>
    </w:p>
    <w:p w14:paraId="33B8A77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e.工程图纸；</w:t>
      </w:r>
    </w:p>
    <w:p w14:paraId="5CDFBC69">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f.运行养护工作清单；</w:t>
      </w:r>
    </w:p>
    <w:p w14:paraId="76C1E992">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g.经双方确认进入合同的其他文件。</w:t>
      </w:r>
    </w:p>
    <w:p w14:paraId="2F7B0EF1">
      <w:pPr>
        <w:pStyle w:val="12"/>
        <w:spacing w:line="360" w:lineRule="auto"/>
        <w:rPr>
          <w:rFonts w:hint="eastAsia" w:hAnsi="宋体" w:cs="宋体"/>
          <w:color w:val="auto"/>
          <w:highlight w:val="none"/>
        </w:rPr>
      </w:pPr>
    </w:p>
    <w:p w14:paraId="7831B027">
      <w:pPr>
        <w:pStyle w:val="12"/>
        <w:spacing w:line="360" w:lineRule="auto"/>
        <w:rPr>
          <w:rFonts w:hint="eastAsia" w:hAnsi="宋体" w:cs="宋体"/>
          <w:color w:val="auto"/>
          <w:highlight w:val="none"/>
        </w:rPr>
      </w:pPr>
      <w:r>
        <w:rPr>
          <w:rFonts w:hint="eastAsia" w:hAnsi="宋体" w:cs="宋体"/>
          <w:color w:val="auto"/>
          <w:highlight w:val="none"/>
        </w:rPr>
        <w:t>一、合同内容</w:t>
      </w:r>
    </w:p>
    <w:p w14:paraId="72124DB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主要内容：八堡泵站运行维护、专项维护、室外环境养护。</w:t>
      </w:r>
    </w:p>
    <w:p w14:paraId="44C905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2.运行维护管理目标：工程及设备完好率不低于98%，主要建筑物的工程评级不低于一类工程标准，设备评级不低于一类设备标准。安全运行率不应低于99%。按标准化管理要求做好泵站运行维护工作。</w:t>
      </w:r>
    </w:p>
    <w:p w14:paraId="490D3A9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3.安全生产管理：乙方合同期内安全生产管理投入经费不少于</w:t>
      </w:r>
      <w:r>
        <w:rPr>
          <w:rFonts w:hint="eastAsia" w:ascii="宋体" w:hAnsi="宋体" w:cs="宋体"/>
          <w:color w:val="auto"/>
          <w:szCs w:val="21"/>
          <w:highlight w:val="none"/>
          <w:lang w:val="en-US" w:eastAsia="zh-CN"/>
        </w:rPr>
        <w:t>运行维护</w:t>
      </w:r>
      <w:r>
        <w:rPr>
          <w:rFonts w:hint="eastAsia" w:ascii="宋体" w:hAnsi="宋体" w:cs="宋体"/>
          <w:color w:val="auto"/>
          <w:szCs w:val="21"/>
          <w:highlight w:val="none"/>
        </w:rPr>
        <w:t>费用的</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%，并建立专门台账，每季度考核材料中体现投入情况，若投入不足由甲方督促采购。</w:t>
      </w:r>
    </w:p>
    <w:p w14:paraId="63259CAB">
      <w:pPr>
        <w:pStyle w:val="2"/>
        <w:rPr>
          <w:rFonts w:hint="default"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4.项目经理：</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none"/>
          <w:lang w:val="en-US" w:eastAsia="zh-CN" w:bidi="ar-SA"/>
        </w:rPr>
        <w:t>，联系电话：</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；技术负责人：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none"/>
          <w:lang w:val="en-US" w:eastAsia="zh-CN" w:bidi="ar-SA"/>
        </w:rPr>
        <w:t>，联系电话：</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none"/>
          <w:lang w:val="en-US" w:eastAsia="zh-CN" w:bidi="ar-SA"/>
        </w:rPr>
        <w:t>。</w:t>
      </w:r>
    </w:p>
    <w:p w14:paraId="53115683">
      <w:pPr>
        <w:pStyle w:val="2"/>
        <w:rPr>
          <w:rFonts w:hint="eastAsia" w:ascii="宋体" w:hAnsi="宋体" w:eastAsia="宋体" w:cs="宋体"/>
          <w:color w:val="auto"/>
          <w:kern w:val="2"/>
          <w:sz w:val="21"/>
          <w:szCs w:val="21"/>
          <w:highlight w:val="none"/>
          <w:lang w:val="en-US" w:eastAsia="zh-CN" w:bidi="ar-SA"/>
        </w:rPr>
      </w:pPr>
    </w:p>
    <w:p w14:paraId="303720CD">
      <w:pPr>
        <w:pStyle w:val="12"/>
        <w:spacing w:line="360" w:lineRule="auto"/>
        <w:rPr>
          <w:rFonts w:hint="eastAsia" w:hAnsi="宋体" w:cs="宋体"/>
          <w:color w:val="auto"/>
          <w:highlight w:val="none"/>
        </w:rPr>
      </w:pPr>
      <w:r>
        <w:rPr>
          <w:rFonts w:hint="eastAsia" w:hAnsi="宋体" w:cs="宋体"/>
          <w:color w:val="auto"/>
          <w:highlight w:val="none"/>
        </w:rPr>
        <w:t>二、合同期限及履行地点</w:t>
      </w:r>
    </w:p>
    <w:p w14:paraId="5E3671B9">
      <w:pPr>
        <w:spacing w:line="360" w:lineRule="auto"/>
        <w:ind w:firstLine="424" w:firstLineChars="202"/>
        <w:rPr>
          <w:rFonts w:hint="eastAsia" w:ascii="宋体" w:hAnsi="宋体" w:cs="宋体"/>
          <w:b/>
          <w:color w:val="auto"/>
          <w:szCs w:val="21"/>
          <w:highlight w:val="none"/>
        </w:rPr>
      </w:pPr>
      <w:r>
        <w:rPr>
          <w:rFonts w:hint="eastAsia" w:ascii="宋体" w:hAnsi="宋体" w:cs="宋体"/>
          <w:color w:val="auto"/>
          <w:szCs w:val="21"/>
          <w:highlight w:val="none"/>
        </w:rPr>
        <w:t>1.合同期限：从</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7</w:t>
      </w:r>
      <w:r>
        <w:rPr>
          <w:rFonts w:hint="eastAsia" w:ascii="宋体" w:hAnsi="宋体" w:cs="宋体"/>
          <w:color w:val="auto"/>
          <w:szCs w:val="21"/>
          <w:highlight w:val="none"/>
        </w:rPr>
        <w:t>月</w:t>
      </w:r>
      <w:r>
        <w:rPr>
          <w:rFonts w:hint="eastAsia" w:ascii="宋体" w:hAnsi="宋体" w:cs="宋体"/>
          <w:color w:val="auto"/>
          <w:szCs w:val="21"/>
          <w:highlight w:val="none"/>
          <w:u w:val="single"/>
        </w:rPr>
        <w:t>1</w:t>
      </w:r>
      <w:r>
        <w:rPr>
          <w:rFonts w:hint="eastAsia" w:ascii="宋体" w:hAnsi="宋体" w:cs="宋体"/>
          <w:color w:val="auto"/>
          <w:szCs w:val="21"/>
          <w:highlight w:val="none"/>
        </w:rPr>
        <w:t>日起至</w:t>
      </w:r>
      <w:r>
        <w:rPr>
          <w:rFonts w:hint="eastAsia" w:ascii="宋体" w:hAnsi="宋体" w:cs="宋体"/>
          <w:color w:val="auto"/>
          <w:szCs w:val="21"/>
          <w:highlight w:val="none"/>
          <w:u w:val="single"/>
        </w:rPr>
        <w:t xml:space="preserve"> 2026</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w:t>
      </w:r>
      <w:r>
        <w:rPr>
          <w:rFonts w:hint="eastAsia" w:ascii="宋体" w:hAnsi="宋体" w:cs="宋体"/>
          <w:color w:val="auto"/>
          <w:szCs w:val="21"/>
          <w:highlight w:val="none"/>
          <w:u w:val="single"/>
        </w:rPr>
        <w:t>31</w:t>
      </w:r>
      <w:r>
        <w:rPr>
          <w:rFonts w:hint="eastAsia" w:ascii="宋体" w:hAnsi="宋体" w:cs="宋体"/>
          <w:color w:val="auto"/>
          <w:szCs w:val="21"/>
          <w:highlight w:val="none"/>
        </w:rPr>
        <w:t>日止。</w:t>
      </w:r>
    </w:p>
    <w:p w14:paraId="2D3CE03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2.履行地点：杭州市钱塘区月雅路99号。</w:t>
      </w:r>
    </w:p>
    <w:p w14:paraId="574FFB39">
      <w:pPr>
        <w:pStyle w:val="12"/>
        <w:spacing w:line="360" w:lineRule="auto"/>
        <w:rPr>
          <w:rFonts w:hint="eastAsia" w:hAnsi="宋体" w:cs="宋体"/>
          <w:color w:val="auto"/>
          <w:highlight w:val="none"/>
        </w:rPr>
      </w:pPr>
      <w:r>
        <w:rPr>
          <w:rFonts w:hint="eastAsia" w:hAnsi="宋体" w:cs="宋体"/>
          <w:color w:val="auto"/>
          <w:highlight w:val="none"/>
        </w:rPr>
        <w:t>三、甲方的权利义务</w:t>
      </w:r>
    </w:p>
    <w:p w14:paraId="65527D8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1.甲方组织对乙方服务成果实行综合考核验收，并不定期抽查，综合考核按招标文件确定的《考核办法》《考评表》执行。</w:t>
      </w:r>
    </w:p>
    <w:p w14:paraId="1082F76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2.甲方有权要求乙方整改不符合合同内容、规章制度和违反程序的操作，并与乙方签订安全生产目标责任书；如因乙方管理不善，造成重大经济损失，或造成严重不良社会影响的，甲方有权终止合同。</w:t>
      </w:r>
    </w:p>
    <w:p w14:paraId="2C1E105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3.如遇工程建设、机构调整等导致物业管理范围和内容发生增减的，增减费用由甲乙双方协商解决。</w:t>
      </w:r>
    </w:p>
    <w:p w14:paraId="3DA8D13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甲方提供办公室1间，不收取费用；在管理区域内因工作所需的水、电、网络不收取费用；项目管理所需的人员住宿等其它生活、生产条件自行解决。合同结束时，乙方应配合做好清场、恢复、交接等相关工作，否则甲方有权扣留剩余物业管理合同款。</w:t>
      </w:r>
    </w:p>
    <w:p w14:paraId="6E31A9F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5.甲方需遵守廉政纪律，不得利用职务上的便利，违法国家规定，收受各种名义的回扣、手续费等不正当利益，并与乙方签订廉政责任书。</w:t>
      </w:r>
    </w:p>
    <w:p w14:paraId="142E87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6.甲方向乙方提供与工程运行有关的设计文件、图纸及其它相关的技术资料一套，并在乙方管理期满时予以收回。</w:t>
      </w:r>
    </w:p>
    <w:p w14:paraId="73B6C55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7.甲方负责乙方提交的运行管理实施方案、管理办法、养护方案、养护计划的审核、审批；负责年度维修、绿化项目验收。</w:t>
      </w:r>
    </w:p>
    <w:p w14:paraId="7B76142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8.甲方应按合同条款的约定，按时支付进度款及结算款。</w:t>
      </w:r>
    </w:p>
    <w:p w14:paraId="093132F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9.甲方有权要求撤换甲方认为不称职的管理人员。</w:t>
      </w:r>
    </w:p>
    <w:p w14:paraId="53B708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10.甲方对乙方书面提交并要求做出决定的事宜做出书面决定，并送达乙方的时限：一般文件3天，紧急事件1天。</w:t>
      </w:r>
    </w:p>
    <w:p w14:paraId="424AF777">
      <w:pPr>
        <w:spacing w:line="360" w:lineRule="auto"/>
        <w:rPr>
          <w:rFonts w:hint="eastAsia" w:hAnsi="宋体" w:cs="宋体"/>
          <w:color w:val="auto"/>
          <w:highlight w:val="none"/>
        </w:rPr>
      </w:pPr>
      <w:r>
        <w:rPr>
          <w:rFonts w:hint="eastAsia" w:hAnsi="宋体" w:cs="宋体"/>
          <w:color w:val="auto"/>
          <w:highlight w:val="none"/>
        </w:rPr>
        <w:t>四、乙方的权利义务</w:t>
      </w:r>
    </w:p>
    <w:p w14:paraId="5C7908B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1.乙方要加强对工作人员的培训和教育，维护好工程设施设备，确保安全，杜绝各类事故。甲方要求完成的紧急工作任务，乙方应当及时调动人员，保证完成工作。</w:t>
      </w:r>
    </w:p>
    <w:p w14:paraId="0DAF0C19">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2.按照甲方的指令，严格按照技术条款中规定的质量要求完成全部承包工作。按要求配好工作人员，相关人员要持证上岗，确保工作质量，接受甲方的监督、考核，并对存在的问题立即整改。</w:t>
      </w:r>
    </w:p>
    <w:p w14:paraId="0274EF4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3.乙方工作人员须穿统一工作服装，接受甲方监督管理。</w:t>
      </w:r>
    </w:p>
    <w:p w14:paraId="6D43AE7B">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4.乙方应为每一位职工</w:t>
      </w:r>
      <w:r>
        <w:rPr>
          <w:rFonts w:hint="eastAsia" w:ascii="宋体" w:hAnsi="宋体" w:cs="宋体"/>
          <w:color w:val="auto"/>
          <w:szCs w:val="21"/>
          <w:highlight w:val="none"/>
          <w:lang w:val="en-US" w:eastAsia="zh-CN"/>
        </w:rPr>
        <w:t>投保</w:t>
      </w:r>
      <w:r>
        <w:rPr>
          <w:rFonts w:hint="eastAsia" w:ascii="宋体" w:hAnsi="宋体" w:cs="宋体"/>
          <w:color w:val="auto"/>
          <w:szCs w:val="21"/>
          <w:highlight w:val="none"/>
        </w:rPr>
        <w:t>人身意外险，因乙方不为职工办理人身意外险的，产生一切后果由乙方负责。</w:t>
      </w:r>
    </w:p>
    <w:p w14:paraId="4C0238D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5.乙方应根据国家、省、市相关法律法规、标准，制订防汛应急方案，落实防汛值班人员，服从防汛值班调度，按照防汛指令做好巡查、抢险等相关工作。</w:t>
      </w:r>
    </w:p>
    <w:p w14:paraId="7A9CA3A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6.乙方需遵守廉政纪律，不得向甲方工作人员提供任何回扣、手续费等商业贿赂，不得为谋取不正当利益而实施违反商业竞争及公平交易的行为。</w:t>
      </w:r>
    </w:p>
    <w:p w14:paraId="28E10C6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7.乙方应按合同约定指派项目经理、技术负责人，并在合同约定服务期限内到岗。服务期限内，乙方项目经理、技术负责人每人每月驻现场的天数不少于22天，每少一天支付违约金2000元，上述违约金在当期结算款中直接扣除，连续2个月及以上每月驻现场的天数少于22天，甲方有权解除合同，驻现场天数按甲方考勤记录为准。项目经理、技术负责人原则上不得更换，确需更换的，应征得甲方的同意，且更换后的人员不得低于原投标承诺人员所具有的资格和业绩条件。项目经理离开现场需报甲方同意后方可离开，且必须保证技术负责人在现场。</w:t>
      </w:r>
    </w:p>
    <w:p w14:paraId="3F28E4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乙方应及时提交管理月报、季报、年报和管理工作范围内的各种信息、资料。按技术条款的规定编制养护方案和养护计划提交甲方审批，养护方案中应包含养护全过程文明养护措施计划，保证按照国家有关规定养护。每月对养护工作进行总结上报（每月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号之前提交甲方），每旬排水数据统计上报。做好运行记录、养护工作的日记，</w:t>
      </w:r>
      <w:r>
        <w:rPr>
          <w:rFonts w:hint="eastAsia" w:ascii="宋体" w:hAnsi="宋体" w:cs="宋体"/>
          <w:color w:val="auto"/>
          <w:szCs w:val="21"/>
          <w:highlight w:val="none"/>
          <w:lang w:val="en-US" w:eastAsia="zh-CN"/>
        </w:rPr>
        <w:t>次</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初</w:t>
      </w:r>
      <w:r>
        <w:rPr>
          <w:rFonts w:hint="eastAsia" w:ascii="宋体" w:hAnsi="宋体" w:cs="宋体"/>
          <w:color w:val="auto"/>
          <w:szCs w:val="21"/>
          <w:highlight w:val="none"/>
        </w:rPr>
        <w:t>与总结一起提交甲方。协助编制维修等方案，报甲方及相关部门核准后由乙方组织实施。</w:t>
      </w:r>
    </w:p>
    <w:p w14:paraId="74CD4E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9.遵守环境保护的法律、法规和规章及技术条款有关规定，禁止弃土、材料任意堆放，防止因为噪音、扬尘、废水、废油处理不当及生产、生活垃圾不及时清除而造成环境破坏、人员伤害和财产损失。</w:t>
      </w:r>
    </w:p>
    <w:p w14:paraId="0698D9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在符合合同要求所许可的范围内，实施和完成本合同维护工作中的一切维护养护作业，不得对现有建筑物及各种管道、电线、电缆等设施造成任何影响或破坏，不得影响邻近建筑物、构筑物等的安全与正常使用或不适当作业造成对附近群众的干扰与不便。如发生上述情况，由乙方承担一切责任及补偿费用。乙方应协调和处理好与邻近群众的关系。</w:t>
      </w:r>
    </w:p>
    <w:p w14:paraId="0AE458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11.乙方人员在运行管理业务范围内必须出外考察、培训的，其费用由乙方承担。乙方如需另聘专家咨询或帮助，其费用由乙方承担。</w:t>
      </w:r>
    </w:p>
    <w:p w14:paraId="1A3EF0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12.为实施本合同发出的一切函件应由项目经理或其授权代表签名，甲方人员在回执上签署姓名和收到时间后生效。</w:t>
      </w:r>
    </w:p>
    <w:p w14:paraId="7BE570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13.对甲方发出的有碍安全生产、危害职工安全健康、违反安全操作规程、可能影响工程安全或可能引起运行事故的指令有拒绝执行的权力。</w:t>
      </w:r>
    </w:p>
    <w:p w14:paraId="3487C9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14.乙方应在合同签订后7天内向甲方提交管理方案、管理内设机构以及委派的项目经理和主要管理人员的名单、简历。乙方应在合同签订当日，即派出</w:t>
      </w:r>
      <w:r>
        <w:rPr>
          <w:rFonts w:hint="eastAsia" w:ascii="宋体" w:hAnsi="宋体" w:cs="宋体"/>
          <w:color w:val="auto"/>
          <w:szCs w:val="21"/>
          <w:highlight w:val="none"/>
          <w:lang w:val="en-US" w:eastAsia="zh-CN"/>
        </w:rPr>
        <w:t>管理</w:t>
      </w:r>
      <w:r>
        <w:rPr>
          <w:rFonts w:hint="eastAsia" w:ascii="宋体" w:hAnsi="宋体" w:cs="宋体"/>
          <w:color w:val="auto"/>
          <w:szCs w:val="21"/>
          <w:highlight w:val="none"/>
        </w:rPr>
        <w:t>人员进场开展运维工作，并与原运维单位做好工作交接。</w:t>
      </w:r>
    </w:p>
    <w:p w14:paraId="000CB85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在运行承包期内，甲方提供的设备、设施、技术资料应在服务期结束后14天内完好无缺的归还给甲方。因乙方的过失造成上述设备、设施、资料的直接经济损失由乙方承担，乙方负责恢复设施或赔偿甲方（不包括自然损坏和折旧）。同时，乙方的运行资料、档案应在服务期结束后14天内移交给甲方。</w:t>
      </w:r>
    </w:p>
    <w:p w14:paraId="25D4A028">
      <w:pPr>
        <w:pStyle w:val="12"/>
        <w:spacing w:line="360" w:lineRule="auto"/>
        <w:rPr>
          <w:rFonts w:hint="eastAsia" w:hAnsi="宋体" w:cs="宋体"/>
          <w:color w:val="auto"/>
          <w:highlight w:val="none"/>
        </w:rPr>
      </w:pPr>
      <w:r>
        <w:rPr>
          <w:rFonts w:hint="eastAsia" w:hAnsi="宋体" w:cs="宋体"/>
          <w:color w:val="auto"/>
          <w:highlight w:val="none"/>
        </w:rPr>
        <w:t>五、质量标准和考核验收办法</w:t>
      </w:r>
    </w:p>
    <w:p w14:paraId="6B15208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1.按招标文件技术要求、《考核办法》《考评表》执行。</w:t>
      </w:r>
    </w:p>
    <w:p w14:paraId="29A4A79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2.在履约期间，乙方应对出现的质量及安全问题负责处理解决并承担一切费用（不可抗力的除外）。</w:t>
      </w:r>
    </w:p>
    <w:p w14:paraId="10517F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3.运行维护</w:t>
      </w:r>
      <w:r>
        <w:rPr>
          <w:rFonts w:hint="eastAsia" w:ascii="宋体" w:hAnsi="宋体" w:cs="宋体"/>
          <w:color w:val="auto"/>
          <w:szCs w:val="21"/>
          <w:highlight w:val="none"/>
          <w:lang w:val="en-US" w:eastAsia="zh-CN"/>
        </w:rPr>
        <w:t>和室外环境养护</w:t>
      </w:r>
      <w:r>
        <w:rPr>
          <w:rFonts w:hint="eastAsia" w:ascii="宋体" w:hAnsi="宋体" w:cs="宋体"/>
          <w:color w:val="auto"/>
          <w:szCs w:val="21"/>
          <w:highlight w:val="none"/>
        </w:rPr>
        <w:t>项目质量考核符合以下要求。</w:t>
      </w:r>
    </w:p>
    <w:p w14:paraId="4751A2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运行维护工作实施每周不定期抽查和季度定期考核相结合的检查制度。每周不定期抽查由甲方择时进行，一般每周一次，检查发现的问题，作为季度考核该项目赋分的重要依据；季度定期考核由甲方组织考核打分。</w:t>
      </w:r>
    </w:p>
    <w:p w14:paraId="78B247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（2）运行维护质量考核情况作为运行维护项目费用支付的依据。</w:t>
      </w:r>
    </w:p>
    <w:p w14:paraId="7C9410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（3）因发生等级以上安全生产事故，一次扣罚合同款100000元整。</w:t>
      </w:r>
    </w:p>
    <w:p w14:paraId="366096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专项维护</w:t>
      </w:r>
      <w:r>
        <w:rPr>
          <w:rFonts w:hint="eastAsia" w:ascii="宋体" w:hAnsi="宋体" w:cs="宋体"/>
          <w:color w:val="auto"/>
          <w:szCs w:val="21"/>
          <w:highlight w:val="none"/>
        </w:rPr>
        <w:t>项目验收符合以下要求。</w:t>
      </w:r>
    </w:p>
    <w:p w14:paraId="7F62A5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（1）如</w:t>
      </w:r>
      <w:r>
        <w:rPr>
          <w:rFonts w:hint="eastAsia" w:ascii="宋体" w:hAnsi="宋体" w:cs="宋体"/>
          <w:color w:val="auto"/>
          <w:szCs w:val="21"/>
          <w:highlight w:val="none"/>
          <w:lang w:val="en-US" w:eastAsia="zh-CN"/>
        </w:rPr>
        <w:t>专项维护</w:t>
      </w:r>
      <w:r>
        <w:rPr>
          <w:rFonts w:hint="eastAsia" w:ascii="宋体" w:hAnsi="宋体" w:cs="宋体"/>
          <w:color w:val="auto"/>
          <w:szCs w:val="21"/>
          <w:highlight w:val="none"/>
        </w:rPr>
        <w:t>项目质量未能达到合格，乙方必须无条件返工，直至</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质量达到合格，期间所发生的一切费用由乙方自行承担。</w:t>
      </w:r>
    </w:p>
    <w:p w14:paraId="252740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专项维护</w:t>
      </w:r>
      <w:r>
        <w:rPr>
          <w:rFonts w:hint="eastAsia" w:ascii="宋体" w:hAnsi="宋体" w:cs="宋体"/>
          <w:color w:val="auto"/>
          <w:szCs w:val="21"/>
          <w:highlight w:val="none"/>
        </w:rPr>
        <w:t>项目验收按照《水利水电建设工程验收规程》《水利水电工程施工质量检验与评定规程》《泵站技术管理规程》等相应规程或标准。</w:t>
      </w:r>
    </w:p>
    <w:p w14:paraId="5E03CD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专项维护</w:t>
      </w:r>
      <w:r>
        <w:rPr>
          <w:rFonts w:hint="eastAsia" w:ascii="宋体" w:hAnsi="宋体" w:cs="宋体"/>
          <w:color w:val="auto"/>
          <w:szCs w:val="21"/>
          <w:highlight w:val="none"/>
        </w:rPr>
        <w:t>项目由甲方组织验收小组在该项目完工后单独进行验收。</w:t>
      </w:r>
    </w:p>
    <w:p w14:paraId="054724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专项维护</w:t>
      </w:r>
      <w:r>
        <w:rPr>
          <w:rFonts w:hint="eastAsia" w:ascii="宋体" w:hAnsi="宋体" w:cs="宋体"/>
          <w:color w:val="auto"/>
          <w:szCs w:val="21"/>
          <w:highlight w:val="none"/>
        </w:rPr>
        <w:t>项目验收必须提交</w:t>
      </w:r>
      <w:r>
        <w:rPr>
          <w:rFonts w:hint="eastAsia" w:ascii="宋体" w:hAnsi="宋体" w:cs="宋体"/>
          <w:color w:val="auto"/>
          <w:szCs w:val="21"/>
          <w:highlight w:val="none"/>
          <w:lang w:val="en-US" w:eastAsia="zh-CN"/>
        </w:rPr>
        <w:t>相应的维护记录、过程</w:t>
      </w:r>
      <w:r>
        <w:rPr>
          <w:rFonts w:hint="eastAsia" w:ascii="宋体" w:hAnsi="宋体" w:cs="宋体"/>
          <w:color w:val="auto"/>
          <w:szCs w:val="21"/>
          <w:highlight w:val="none"/>
        </w:rPr>
        <w:t>资料、总结</w:t>
      </w:r>
      <w:r>
        <w:rPr>
          <w:rFonts w:hint="eastAsia" w:ascii="宋体" w:hAnsi="宋体" w:cs="宋体"/>
          <w:color w:val="auto"/>
          <w:szCs w:val="21"/>
          <w:highlight w:val="none"/>
          <w:lang w:val="en-US" w:eastAsia="zh-CN"/>
        </w:rPr>
        <w:t>报告</w:t>
      </w:r>
      <w:r>
        <w:rPr>
          <w:rFonts w:hint="eastAsia" w:ascii="宋体" w:hAnsi="宋体" w:cs="宋体"/>
          <w:color w:val="auto"/>
          <w:szCs w:val="21"/>
          <w:highlight w:val="none"/>
        </w:rPr>
        <w:t>等验收工作必须具备的一切资料。</w:t>
      </w:r>
    </w:p>
    <w:p w14:paraId="30889C46">
      <w:pPr>
        <w:pStyle w:val="12"/>
        <w:spacing w:line="360" w:lineRule="auto"/>
        <w:rPr>
          <w:rFonts w:hint="eastAsia" w:hAnsi="宋体" w:cs="宋体"/>
          <w:color w:val="auto"/>
          <w:highlight w:val="none"/>
        </w:rPr>
      </w:pPr>
      <w:r>
        <w:rPr>
          <w:rFonts w:hint="eastAsia" w:hAnsi="宋体" w:cs="宋体"/>
          <w:color w:val="auto"/>
          <w:highlight w:val="none"/>
        </w:rPr>
        <w:t>六、合同金额及支付方式</w:t>
      </w:r>
    </w:p>
    <w:p w14:paraId="4C2E124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1.合同金额：</w:t>
      </w:r>
      <w:r>
        <w:rPr>
          <w:rFonts w:hint="eastAsia" w:ascii="宋体" w:hAnsi="宋体" w:cs="宋体"/>
          <w:color w:val="auto"/>
          <w:szCs w:val="21"/>
          <w:highlight w:val="none"/>
          <w:u w:val="single"/>
        </w:rPr>
        <w:t xml:space="preserve">     元 </w:t>
      </w:r>
      <w:r>
        <w:rPr>
          <w:rFonts w:hint="eastAsia" w:ascii="宋体" w:hAnsi="宋体" w:cs="宋体"/>
          <w:color w:val="auto"/>
          <w:szCs w:val="21"/>
          <w:highlight w:val="none"/>
        </w:rPr>
        <w:t>（大写 ），分项价款见“报价清单”，最终结合考核情况结算。</w:t>
      </w:r>
    </w:p>
    <w:p w14:paraId="53C2DC3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 本合同总价款含所有税费（包括本工程所需的设备、人工、交通、材料、管理费、税费、利润等全部费用）。</w:t>
      </w:r>
    </w:p>
    <w:p w14:paraId="219048E1">
      <w:pPr>
        <w:spacing w:line="360" w:lineRule="auto"/>
        <w:ind w:firstLine="424" w:firstLineChars="202"/>
        <w:rPr>
          <w:rFonts w:hint="eastAsia" w:ascii="宋体" w:hAnsi="宋体" w:eastAsia="宋体" w:cs="宋体"/>
          <w:color w:val="auto"/>
          <w:kern w:val="2"/>
          <w:sz w:val="21"/>
          <w:highlight w:val="none"/>
        </w:rPr>
      </w:pPr>
      <w:r>
        <w:rPr>
          <w:rFonts w:hint="eastAsia" w:ascii="宋体" w:hAnsi="宋体" w:eastAsia="宋体" w:cs="宋体"/>
          <w:color w:val="auto"/>
          <w:kern w:val="2"/>
          <w:sz w:val="21"/>
          <w:szCs w:val="21"/>
          <w:highlight w:val="none"/>
          <w:lang w:val="en-US" w:eastAsia="zh-CN"/>
        </w:rPr>
        <w:t>3.乙方在合同签订后7个工作日内，须向甲方提交合同金额1%的履约保证金。履约保证金以金融机构、担保机构出具的保函等非现金形式缴纳。</w:t>
      </w:r>
    </w:p>
    <w:p w14:paraId="5EAC625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.付款方式：分期付款。</w:t>
      </w:r>
    </w:p>
    <w:p w14:paraId="5314E40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（1）合同签订生效具备实施条件5个工作日内支付签约合同价20%的项目预付款。</w:t>
      </w:r>
    </w:p>
    <w:p w14:paraId="667315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（2）泵站运行维护、室外环境养护费结合季度考核结果等次支付。第一次季度考核后支付相应合同价的16%，后每个季度考核后支付相应合同价的12%。泵站运行维护和</w:t>
      </w:r>
      <w:r>
        <w:rPr>
          <w:rFonts w:hint="eastAsia" w:ascii="宋体" w:hAnsi="宋体" w:cs="宋体"/>
          <w:color w:val="auto"/>
          <w:szCs w:val="21"/>
          <w:highlight w:val="none"/>
          <w:lang w:val="en-US" w:eastAsia="zh-CN"/>
        </w:rPr>
        <w:t>室外环境养护</w:t>
      </w:r>
      <w:r>
        <w:rPr>
          <w:rFonts w:hint="eastAsia" w:ascii="宋体" w:hAnsi="宋体" w:cs="宋体"/>
          <w:color w:val="auto"/>
          <w:szCs w:val="21"/>
          <w:highlight w:val="none"/>
        </w:rPr>
        <w:t>的季度考核“优秀”等次</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，相应合同价款100%支付；季度考核“良好”等次的，扣相应合同价款的1%；季度考核“合格”等次的，扣相应合同价款的2%；季度考核“不合格”等次的，扣相应合同价款的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%。扣款在当期支付款中扣除。</w:t>
      </w:r>
    </w:p>
    <w:p w14:paraId="0BEC643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（3）专项</w:t>
      </w:r>
      <w:r>
        <w:rPr>
          <w:rFonts w:hint="eastAsia" w:ascii="宋体" w:hAnsi="宋体" w:cs="宋体"/>
          <w:color w:val="auto"/>
          <w:szCs w:val="21"/>
          <w:highlight w:val="none"/>
          <w:lang w:val="en-US" w:eastAsia="zh-CN"/>
        </w:rPr>
        <w:t>维护</w:t>
      </w:r>
      <w:r>
        <w:rPr>
          <w:rFonts w:hint="eastAsia" w:ascii="宋体" w:hAnsi="宋体" w:cs="宋体"/>
          <w:color w:val="auto"/>
          <w:szCs w:val="21"/>
          <w:highlight w:val="none"/>
        </w:rPr>
        <w:t>项目完成</w:t>
      </w:r>
      <w:r>
        <w:rPr>
          <w:rFonts w:hint="eastAsia" w:ascii="宋体" w:hAnsi="宋体" w:cs="宋体"/>
          <w:color w:val="auto"/>
          <w:szCs w:val="21"/>
          <w:highlight w:val="none"/>
          <w:lang w:val="en-US" w:eastAsia="zh-CN"/>
        </w:rPr>
        <w:t>验收</w:t>
      </w:r>
      <w:r>
        <w:rPr>
          <w:rFonts w:hint="eastAsia" w:ascii="宋体" w:hAnsi="宋体" w:cs="宋体"/>
          <w:color w:val="auto"/>
          <w:szCs w:val="21"/>
          <w:highlight w:val="none"/>
        </w:rPr>
        <w:t>后，支付相应合同款。</w:t>
      </w:r>
    </w:p>
    <w:p w14:paraId="246CE477">
      <w:pPr>
        <w:spacing w:line="360" w:lineRule="auto"/>
        <w:ind w:left="0" w:leftChars="0" w:firstLine="424" w:firstLineChars="202"/>
        <w:rPr>
          <w:rFonts w:hint="eastAsia" w:ascii="宋体" w:hAnsi="宋体" w:cs="宋体"/>
          <w:color w:val="auto"/>
          <w:szCs w:val="21"/>
          <w:highlight w:val="none"/>
        </w:rPr>
      </w:pPr>
      <w:r>
        <w:rPr>
          <w:rFonts w:hint="eastAsia" w:ascii="宋体" w:hAnsi="宋体" w:cs="宋体"/>
          <w:color w:val="auto"/>
          <w:szCs w:val="21"/>
          <w:highlight w:val="none"/>
        </w:rPr>
        <w:t>（4）待项目合同完工验收合格后支付剩余合同款。</w:t>
      </w:r>
    </w:p>
    <w:p w14:paraId="7ECD9491">
      <w:pPr>
        <w:pStyle w:val="18"/>
        <w:keepNext w:val="0"/>
        <w:keepLines w:val="0"/>
        <w:widowControl w:val="0"/>
        <w:suppressLineNumbers w:val="0"/>
        <w:autoSpaceDE w:val="0"/>
        <w:autoSpaceDN w:val="0"/>
        <w:spacing w:before="0" w:beforeAutospacing="0" w:after="0" w:afterAutospacing="0" w:line="360" w:lineRule="auto"/>
        <w:ind w:left="0" w:right="0" w:firstLine="420" w:firstLineChars="200"/>
        <w:jc w:val="both"/>
        <w:rPr>
          <w:rFonts w:hint="eastAsia"/>
          <w:color w:val="auto"/>
          <w:highlight w:val="none"/>
        </w:rPr>
      </w:pPr>
      <w:r>
        <w:rPr>
          <w:rFonts w:hint="eastAsia" w:ascii="宋体" w:hAnsi="宋体" w:eastAsia="宋体" w:cs="宋体"/>
          <w:color w:val="auto"/>
          <w:kern w:val="2"/>
          <w:sz w:val="21"/>
          <w:szCs w:val="21"/>
          <w:highlight w:val="none"/>
          <w:lang w:val="en-US" w:eastAsia="zh-CN" w:bidi="ar"/>
          <w:woUserID w:val="1"/>
        </w:rPr>
        <w:t>甲方每次付款前，乙方应提供符合甲方财务要求的发票，否则甲方有权拒绝付款并不因此承担违约责任。</w:t>
      </w:r>
    </w:p>
    <w:p w14:paraId="14F4B736">
      <w:pPr>
        <w:spacing w:line="360" w:lineRule="auto"/>
        <w:ind w:left="0" w:leftChars="0"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5.若本</w:t>
      </w:r>
      <w:r>
        <w:rPr>
          <w:rFonts w:hint="eastAsia" w:ascii="宋体" w:hAnsi="宋体" w:cs="宋体"/>
          <w:color w:val="auto"/>
          <w:szCs w:val="21"/>
          <w:highlight w:val="none"/>
        </w:rPr>
        <w:t>合同签订时间晚于</w:t>
      </w:r>
      <w:r>
        <w:rPr>
          <w:rFonts w:hint="eastAsia" w:ascii="宋体" w:hAnsi="宋体" w:cs="宋体"/>
          <w:color w:val="auto"/>
          <w:szCs w:val="21"/>
          <w:highlight w:val="none"/>
          <w:lang w:val="en-US" w:eastAsia="zh-CN"/>
        </w:rPr>
        <w:t>2025年</w:t>
      </w:r>
      <w:r>
        <w:rPr>
          <w:rFonts w:hint="eastAsia" w:ascii="宋体" w:hAnsi="宋体" w:cs="宋体"/>
          <w:color w:val="auto"/>
          <w:szCs w:val="21"/>
          <w:highlight w:val="none"/>
        </w:rPr>
        <w:t>7月1日</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，乙方应将7月1日至合同签订日期间的运维费用支付给原延续服务的运维单位，金额按本合同执行，</w:t>
      </w:r>
      <w:r>
        <w:rPr>
          <w:rFonts w:hint="eastAsia" w:ascii="宋体" w:hAnsi="宋体" w:cs="宋体"/>
          <w:color w:val="auto"/>
          <w:szCs w:val="21"/>
          <w:highlight w:val="none"/>
          <w:lang w:val="en-US" w:eastAsia="zh-CN"/>
        </w:rPr>
        <w:t>费用</w:t>
      </w:r>
      <w:r>
        <w:rPr>
          <w:rFonts w:hint="eastAsia" w:ascii="宋体" w:hAnsi="宋体" w:cs="宋体"/>
          <w:color w:val="auto"/>
          <w:szCs w:val="21"/>
          <w:highlight w:val="none"/>
        </w:rPr>
        <w:t>按日折算。乙方在收到预付款后15个工作日内</w:t>
      </w:r>
      <w:r>
        <w:rPr>
          <w:rFonts w:hint="eastAsia" w:ascii="宋体" w:hAnsi="宋体" w:cs="宋体"/>
          <w:color w:val="auto"/>
          <w:szCs w:val="21"/>
          <w:highlight w:val="none"/>
          <w:lang w:val="en-US" w:eastAsia="zh-CN"/>
        </w:rPr>
        <w:t>支付。</w:t>
      </w:r>
    </w:p>
    <w:p w14:paraId="10119518">
      <w:pPr>
        <w:pStyle w:val="12"/>
        <w:spacing w:line="360" w:lineRule="auto"/>
        <w:ind w:firstLine="420" w:firstLineChars="200"/>
        <w:rPr>
          <w:rFonts w:hint="default" w:hAnsi="宋体" w:eastAsia="宋体" w:cs="宋体"/>
          <w:snapToGrid/>
          <w:color w:val="auto"/>
          <w:highlight w:val="none"/>
          <w:lang w:val="en-US" w:eastAsia="zh-CN"/>
        </w:rPr>
      </w:pPr>
      <w:r>
        <w:rPr>
          <w:rFonts w:hint="eastAsia" w:hAnsi="宋体" w:cs="宋体"/>
          <w:snapToGrid/>
          <w:color w:val="auto"/>
          <w:highlight w:val="none"/>
        </w:rPr>
        <w:t>当年支付金额以财政批准年度资金金额为准，上述约定费用的支付时间如因政府相关部门原因延期支付，甲方不承担付款及付款违约责任。</w:t>
      </w:r>
    </w:p>
    <w:p w14:paraId="5082C83C">
      <w:pPr>
        <w:pStyle w:val="12"/>
        <w:spacing w:line="360" w:lineRule="auto"/>
        <w:rPr>
          <w:rFonts w:hint="eastAsia" w:hAnsi="宋体" w:cs="宋体"/>
          <w:color w:val="auto"/>
          <w:highlight w:val="none"/>
        </w:rPr>
      </w:pPr>
      <w:r>
        <w:rPr>
          <w:rFonts w:hint="eastAsia" w:hAnsi="宋体" w:cs="宋体"/>
          <w:color w:val="auto"/>
          <w:highlight w:val="none"/>
        </w:rPr>
        <w:t>七、税费</w:t>
      </w:r>
    </w:p>
    <w:p w14:paraId="469C633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本合同执行中相关的一切税费均由乙方承担；</w:t>
      </w:r>
    </w:p>
    <w:p w14:paraId="32D8CB6E">
      <w:pPr>
        <w:pStyle w:val="12"/>
        <w:spacing w:line="360" w:lineRule="auto"/>
        <w:rPr>
          <w:rFonts w:hint="eastAsia" w:hAnsi="宋体" w:cs="宋体"/>
          <w:color w:val="auto"/>
          <w:highlight w:val="none"/>
        </w:rPr>
      </w:pPr>
      <w:r>
        <w:rPr>
          <w:rFonts w:hint="eastAsia" w:hAnsi="宋体" w:cs="宋体"/>
          <w:color w:val="auto"/>
          <w:highlight w:val="none"/>
        </w:rPr>
        <w:t>八、合同的变更与终止</w:t>
      </w:r>
    </w:p>
    <w:p w14:paraId="55219F7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1.合同的变更与提前终止必须采用书面形式。</w:t>
      </w:r>
    </w:p>
    <w:p w14:paraId="3761036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2.本合同规定的履行期限届满，合同自行终止。</w:t>
      </w:r>
    </w:p>
    <w:p w14:paraId="5C158C5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3.在合同履行过程中，如遇不可抗力的因素，双方协商以补充合同方式解决。</w:t>
      </w:r>
    </w:p>
    <w:p w14:paraId="23C9486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4.合同内容变更、提前终止必须提前一个月书面通知对方。</w:t>
      </w:r>
    </w:p>
    <w:p w14:paraId="061993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5.物价波动的风险由乙方自负，在合同执行期内均不作调整，本合同工程新增或变更工程金额，不论金额大小，均不得要求增加维护服务清单中的总价承包部分的费用。</w:t>
      </w:r>
    </w:p>
    <w:p w14:paraId="734057BA">
      <w:pPr>
        <w:pStyle w:val="12"/>
        <w:spacing w:line="360" w:lineRule="auto"/>
        <w:rPr>
          <w:rFonts w:hint="eastAsia" w:hAnsi="宋体" w:cs="宋体"/>
          <w:color w:val="auto"/>
          <w:highlight w:val="none"/>
        </w:rPr>
      </w:pPr>
      <w:r>
        <w:rPr>
          <w:rFonts w:hint="eastAsia" w:hAnsi="宋体" w:cs="宋体"/>
          <w:color w:val="auto"/>
          <w:highlight w:val="none"/>
        </w:rPr>
        <w:t>九、转包或分包</w:t>
      </w:r>
    </w:p>
    <w:p w14:paraId="3996D45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1.除招标文件规定外，乙方不得将中标项目分包给他人完成。</w:t>
      </w:r>
    </w:p>
    <w:p w14:paraId="2AD2835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2.如有转让和未经甲方同意的分包行为，甲方有权解除合同，没收履约保证金并追究乙方的违约责任。</w:t>
      </w:r>
    </w:p>
    <w:p w14:paraId="7E71A70A">
      <w:pPr>
        <w:pStyle w:val="12"/>
        <w:spacing w:line="360" w:lineRule="auto"/>
        <w:rPr>
          <w:rFonts w:hint="eastAsia" w:hAnsi="宋体" w:cs="宋体"/>
          <w:color w:val="auto"/>
          <w:highlight w:val="none"/>
        </w:rPr>
      </w:pPr>
      <w:r>
        <w:rPr>
          <w:rFonts w:hint="eastAsia" w:hAnsi="宋体" w:cs="宋体"/>
          <w:color w:val="auto"/>
          <w:highlight w:val="none"/>
        </w:rPr>
        <w:t>十、合同解除</w:t>
      </w:r>
    </w:p>
    <w:p w14:paraId="59331DD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乙方在服务期间，发生下列情形之一的，将被解除服务合同，由此造成的全部责任和损失由乙方承担。因以下原因被解除合同的，乙方不得参加本项目下一轮次的投标活动。</w:t>
      </w:r>
    </w:p>
    <w:p w14:paraId="7C229A3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（1）转包或未经甲方同意分包；</w:t>
      </w:r>
    </w:p>
    <w:p w14:paraId="336725DF">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（2）季度考核等级出现一次不合格或全年季度考核中出现三次季度合格的情况；</w:t>
      </w:r>
    </w:p>
    <w:p w14:paraId="64F8B33B">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（3）由于乙方原因，出现重大问题或重大事故造成严重影响的。</w:t>
      </w:r>
    </w:p>
    <w:p w14:paraId="79389646">
      <w:pPr>
        <w:pStyle w:val="12"/>
        <w:spacing w:line="360" w:lineRule="auto"/>
        <w:rPr>
          <w:rFonts w:hint="eastAsia" w:hAnsi="宋体" w:cs="宋体"/>
          <w:color w:val="auto"/>
          <w:highlight w:val="none"/>
        </w:rPr>
      </w:pPr>
      <w:r>
        <w:rPr>
          <w:rFonts w:hint="eastAsia" w:hAnsi="宋体" w:cs="宋体"/>
          <w:color w:val="auto"/>
          <w:highlight w:val="none"/>
        </w:rPr>
        <w:t>十一、质量保证及后续服务</w:t>
      </w:r>
    </w:p>
    <w:p w14:paraId="6C04405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乙方按招标文件规定向甲方提供服务。</w:t>
      </w:r>
    </w:p>
    <w:p w14:paraId="7F5DB7BA">
      <w:pPr>
        <w:pStyle w:val="12"/>
        <w:spacing w:line="360" w:lineRule="auto"/>
        <w:rPr>
          <w:rFonts w:hint="eastAsia" w:hAnsi="宋体" w:cs="宋体"/>
          <w:color w:val="auto"/>
          <w:highlight w:val="none"/>
        </w:rPr>
      </w:pPr>
      <w:r>
        <w:rPr>
          <w:rFonts w:hint="eastAsia" w:hAnsi="宋体" w:cs="宋体"/>
          <w:color w:val="auto"/>
          <w:highlight w:val="none"/>
        </w:rPr>
        <w:t>十二、知识产权</w:t>
      </w:r>
    </w:p>
    <w:p w14:paraId="29A6AF5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乙方应保证提供服务过程中不会侵犯第三方的知识产权和其他权益。如因此发生任何针对甲方的争议、索赔、诉讼等，产生的一切法律责任与费用均由乙方承担。</w:t>
      </w:r>
    </w:p>
    <w:p w14:paraId="020561AA">
      <w:pPr>
        <w:pStyle w:val="12"/>
        <w:spacing w:line="360" w:lineRule="auto"/>
        <w:rPr>
          <w:rFonts w:hint="eastAsia" w:hAnsi="宋体" w:cs="宋体"/>
          <w:color w:val="auto"/>
          <w:highlight w:val="none"/>
        </w:rPr>
      </w:pPr>
      <w:r>
        <w:rPr>
          <w:rFonts w:hint="eastAsia" w:hAnsi="宋体" w:cs="宋体"/>
          <w:color w:val="auto"/>
          <w:highlight w:val="none"/>
        </w:rPr>
        <w:t>十三、保密条款</w:t>
      </w:r>
    </w:p>
    <w:p w14:paraId="2AB46E7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乙方对合同内容及履行合同过程中获悉的属于甲方的且无法自公开渠道获得的文件及资料，应负保密义务，非经甲方书面同意，不得擅自利用或对外发表或披露。违反前述约定的，乙方应向甲方支付违约金拾万元；违约金不足以弥补甲方损失的，乙方还应负责赔偿。保密期限自乙方接受或知悉甲方信息资料之日起至该信息资料公开之日或甲方书面接触乙方保密义务之日止。</w:t>
      </w:r>
    </w:p>
    <w:p w14:paraId="5787B62C">
      <w:pPr>
        <w:pStyle w:val="12"/>
        <w:spacing w:line="360" w:lineRule="auto"/>
        <w:rPr>
          <w:rFonts w:hint="eastAsia" w:hAnsi="宋体" w:cs="宋体"/>
          <w:color w:val="auto"/>
          <w:highlight w:val="none"/>
        </w:rPr>
      </w:pPr>
      <w:r>
        <w:rPr>
          <w:rFonts w:hint="eastAsia" w:hAnsi="宋体" w:cs="宋体"/>
          <w:color w:val="auto"/>
          <w:highlight w:val="none"/>
        </w:rPr>
        <w:t>十四、违约责任</w:t>
      </w:r>
    </w:p>
    <w:p w14:paraId="621C663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1.甲方未按合同规定期限支付合同款，经乙方催讨后仍未支付时，对逾期未付的可向杭州市林业水利局机关纪委投诉。</w:t>
      </w:r>
    </w:p>
    <w:p w14:paraId="6DACEA79">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2.乙方未能按合同要求进行服务（按考核办法）给甲方造成恶劣影响和损失时，乙方承担因此发生的一切损失、费用及延误责任，并扣除履约保证金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甲方有权解除合同</w:t>
      </w:r>
      <w:r>
        <w:rPr>
          <w:rFonts w:hint="eastAsia" w:ascii="宋体" w:hAnsi="宋体" w:cs="宋体"/>
          <w:color w:val="auto"/>
          <w:szCs w:val="21"/>
          <w:highlight w:val="none"/>
        </w:rPr>
        <w:t>。若乙方不服从甲方调度安排而且引起的一切损失由乙方承担，并处罚合同价的3%。</w:t>
      </w:r>
    </w:p>
    <w:p w14:paraId="4D057D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3.未经甲方的书面同意，乙方不得撤换投标文件所列的项目组的主要岗位人员</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项目经理、技术负责人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如因特殊情况确需更换主要岗位人员的，经甲方书面同意后更换，</w:t>
      </w:r>
      <w:r>
        <w:rPr>
          <w:rFonts w:hint="eastAsia" w:ascii="宋体" w:hAnsi="宋体" w:cs="宋体"/>
          <w:color w:val="auto"/>
          <w:szCs w:val="21"/>
          <w:highlight w:val="none"/>
        </w:rPr>
        <w:t>乙方应按每人人民币拾万元标准向甲方支付</w:t>
      </w:r>
      <w:r>
        <w:rPr>
          <w:rFonts w:hint="eastAsia" w:ascii="宋体" w:hAnsi="宋体" w:cs="宋体"/>
          <w:color w:val="auto"/>
          <w:szCs w:val="21"/>
          <w:highlight w:val="none"/>
          <w:lang w:val="en-US" w:eastAsia="zh-CN"/>
        </w:rPr>
        <w:t>人员</w:t>
      </w:r>
      <w:r>
        <w:rPr>
          <w:rFonts w:hint="eastAsia" w:ascii="宋体" w:hAnsi="宋体" w:cs="宋体"/>
          <w:color w:val="auto"/>
          <w:szCs w:val="21"/>
          <w:highlight w:val="none"/>
        </w:rPr>
        <w:t>撤换金。</w:t>
      </w:r>
    </w:p>
    <w:p w14:paraId="79F8A5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4.合同生效后，乙方要求终止或解除合同，乙方应向甲方赔付10%的合同价款。</w:t>
      </w:r>
    </w:p>
    <w:p w14:paraId="76A490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5.因乙方维护不当造成未到规定的大修期限而需要大修，经专业技术人员鉴定后，乙方承担</w:t>
      </w:r>
      <w:r>
        <w:rPr>
          <w:rFonts w:hint="eastAsia" w:ascii="宋体" w:hAnsi="宋体" w:cs="宋体"/>
          <w:color w:val="auto"/>
          <w:szCs w:val="21"/>
          <w:highlight w:val="none"/>
          <w:lang w:val="en-US" w:eastAsia="zh-CN"/>
        </w:rPr>
        <w:t>全部</w:t>
      </w:r>
      <w:r>
        <w:rPr>
          <w:rFonts w:hint="eastAsia" w:ascii="宋体" w:hAnsi="宋体" w:cs="宋体"/>
          <w:color w:val="auto"/>
          <w:szCs w:val="21"/>
          <w:highlight w:val="none"/>
        </w:rPr>
        <w:t>的大修费用。</w:t>
      </w:r>
    </w:p>
    <w:p w14:paraId="2CDCD157">
      <w:pPr>
        <w:pStyle w:val="12"/>
        <w:spacing w:line="360" w:lineRule="auto"/>
        <w:rPr>
          <w:rFonts w:hint="eastAsia" w:hAnsi="宋体" w:cs="宋体"/>
          <w:color w:val="auto"/>
          <w:highlight w:val="none"/>
        </w:rPr>
      </w:pPr>
      <w:r>
        <w:rPr>
          <w:rFonts w:hint="eastAsia" w:hAnsi="宋体" w:cs="宋体"/>
          <w:color w:val="auto"/>
          <w:highlight w:val="none"/>
        </w:rPr>
        <w:t>十五、不可抗力事件处理</w:t>
      </w:r>
    </w:p>
    <w:p w14:paraId="7F3A917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14:paraId="0571782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条所述的“不可抗力”系指双方不可预见、不可避免、不可克服的事件，但不包括双方的违约或疏忽。这些事件包括但不限于：战争、严重火灭、洪水、台风、地震、国家政策的重大变化，以及双方商定的其他事件。</w:t>
      </w:r>
    </w:p>
    <w:p w14:paraId="0830311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3.不可抗力事件发生后，应立即通知对方，并寄送有关权威机构出具的证明。</w:t>
      </w:r>
    </w:p>
    <w:p w14:paraId="0076258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4.不可抗力事件延续120天以上，双方应通过友好协商，确定是否继续履行合同。</w:t>
      </w:r>
    </w:p>
    <w:p w14:paraId="257AF8A1">
      <w:pPr>
        <w:pStyle w:val="12"/>
        <w:spacing w:line="360" w:lineRule="auto"/>
        <w:rPr>
          <w:rFonts w:hint="eastAsia" w:hAnsi="宋体" w:cs="宋体"/>
          <w:color w:val="auto"/>
          <w:highlight w:val="none"/>
        </w:rPr>
      </w:pPr>
      <w:r>
        <w:rPr>
          <w:rFonts w:hint="eastAsia" w:hAnsi="宋体" w:cs="宋体"/>
          <w:color w:val="auto"/>
          <w:highlight w:val="none"/>
        </w:rPr>
        <w:t>十六、约谈</w:t>
      </w:r>
    </w:p>
    <w:p w14:paraId="013DDE6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一旦出现以下情形的，甲方除根据本合同的约定对乙方进行相关处罚外，还将视情形召集乙方相关负责人现场约谈。</w:t>
      </w:r>
    </w:p>
    <w:p w14:paraId="7A9E13E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1.发生重大安全生产事故但未造成重大人员伤亡或财产损失。</w:t>
      </w:r>
    </w:p>
    <w:p w14:paraId="0BF00EF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2.无法对发现问题及时分析、协助制定应急方案和修复计划。</w:t>
      </w:r>
    </w:p>
    <w:p w14:paraId="2BA0EDA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3.对在水利工程管理范围进行堆放物料、倾倒垃圾、爆破、打井、采石、取土等影响工程运行和危害工程安全的行为，未及时发现、制止并通知甲方。</w:t>
      </w:r>
    </w:p>
    <w:p w14:paraId="73338436">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4.对在水利工程保护范围内进行爆破、打井、采石、取土、挖砂、开矿等影响水利工程运行和危害水利工程安全的活动，未及时发现、制止并通知甲方。</w:t>
      </w:r>
    </w:p>
    <w:p w14:paraId="1B682601">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5.任何设备软件装入及接入系统前未经甲方审核批准。</w:t>
      </w:r>
    </w:p>
    <w:p w14:paraId="0FA07178">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6.合同所列所有人员未按应急响应任务要求时间，延时到岗超过30分钟。</w:t>
      </w:r>
    </w:p>
    <w:p w14:paraId="7B72121F">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7.未根据排涝预警方案及时预警。</w:t>
      </w:r>
    </w:p>
    <w:p w14:paraId="12543C1D">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8.水闸、泵站接受指令后，非不可抗拒因素造成未及时启与闭。</w:t>
      </w:r>
    </w:p>
    <w:p w14:paraId="26519679">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9.需持证上岗的人员无证操作。</w:t>
      </w:r>
    </w:p>
    <w:p w14:paraId="756CE280">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10.水闸、泵站操作，未按要求派员上岗，运行期间人员擅自脱岗。</w:t>
      </w:r>
    </w:p>
    <w:p w14:paraId="680013D7">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11.其他甲方认为非常必要约谈的情形。</w:t>
      </w:r>
    </w:p>
    <w:p w14:paraId="75F318C1">
      <w:pPr>
        <w:pStyle w:val="12"/>
        <w:spacing w:line="360" w:lineRule="auto"/>
        <w:rPr>
          <w:rFonts w:hint="eastAsia" w:hAnsi="宋体" w:cs="宋体"/>
          <w:color w:val="auto"/>
          <w:highlight w:val="none"/>
        </w:rPr>
      </w:pPr>
      <w:r>
        <w:rPr>
          <w:rFonts w:hint="eastAsia" w:hAnsi="宋体" w:cs="宋体"/>
          <w:color w:val="auto"/>
          <w:highlight w:val="none"/>
        </w:rPr>
        <w:t>十七、法律适用及争议解决</w:t>
      </w:r>
    </w:p>
    <w:p w14:paraId="4D60F52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1.本合同订立、解释、履行及争议解决，均适用中华人民共和国法律。</w:t>
      </w:r>
    </w:p>
    <w:p w14:paraId="744F94B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2.因合同执行过程中双方发生纠纷，可由双方协商解决或由杭州市林业水利局调解，若达不成协议，双方同意就本合同产生的纠纷向杭州仲裁委员会申请仲裁。</w:t>
      </w:r>
    </w:p>
    <w:p w14:paraId="56AC8AFA">
      <w:pPr>
        <w:pStyle w:val="12"/>
        <w:spacing w:line="360" w:lineRule="auto"/>
        <w:rPr>
          <w:rFonts w:hint="eastAsia" w:hAnsi="宋体" w:cs="宋体"/>
          <w:color w:val="auto"/>
          <w:highlight w:val="none"/>
        </w:rPr>
      </w:pPr>
      <w:r>
        <w:rPr>
          <w:rFonts w:hint="eastAsia" w:hAnsi="宋体" w:cs="宋体"/>
          <w:color w:val="auto"/>
          <w:highlight w:val="none"/>
        </w:rPr>
        <w:t>十八、合同生效及其它</w:t>
      </w:r>
    </w:p>
    <w:p w14:paraId="6E008A29">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1.合同经</w:t>
      </w:r>
      <w:r>
        <w:rPr>
          <w:rFonts w:hint="eastAsia" w:ascii="宋体" w:hAnsi="宋体" w:cs="宋体"/>
          <w:color w:val="auto"/>
          <w:szCs w:val="21"/>
          <w:highlight w:val="none"/>
          <w:lang w:val="en-US" w:eastAsia="zh-CN"/>
        </w:rPr>
        <w:t>甲乙</w:t>
      </w:r>
      <w:r>
        <w:rPr>
          <w:rFonts w:hint="eastAsia" w:ascii="宋体" w:hAnsi="宋体" w:cs="宋体"/>
          <w:color w:val="auto"/>
          <w:szCs w:val="21"/>
          <w:highlight w:val="none"/>
        </w:rPr>
        <w:t>双方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鉴证方</w:t>
      </w:r>
      <w:r>
        <w:rPr>
          <w:rFonts w:hint="eastAsia" w:ascii="宋体" w:hAnsi="宋体" w:cs="宋体"/>
          <w:color w:val="auto"/>
          <w:szCs w:val="21"/>
          <w:highlight w:val="none"/>
        </w:rPr>
        <w:t>法定代表人或授权代表签</w:t>
      </w:r>
      <w:r>
        <w:rPr>
          <w:rFonts w:hint="eastAsia" w:ascii="宋体" w:hAnsi="宋体" w:cs="宋体"/>
          <w:color w:val="auto"/>
          <w:szCs w:val="21"/>
          <w:highlight w:val="none"/>
          <w:lang w:val="en-US" w:eastAsia="zh-CN"/>
        </w:rPr>
        <w:t>章</w:t>
      </w:r>
      <w:r>
        <w:rPr>
          <w:rFonts w:hint="eastAsia" w:ascii="宋体" w:hAnsi="宋体" w:cs="宋体"/>
          <w:color w:val="auto"/>
          <w:szCs w:val="21"/>
          <w:highlight w:val="none"/>
        </w:rPr>
        <w:t>、加盖单位公章且支付履约保证金后生效。</w:t>
      </w:r>
    </w:p>
    <w:p w14:paraId="7D02D2E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2.合同执行中涉及采购资金和采购内容修改或补充的须符合各地财政部门管理办法，并经财政部门审批，并签书面补充协议报政府采购监督管理部门备案，方可作为主合同不可分割的一部分；</w:t>
      </w:r>
    </w:p>
    <w:p w14:paraId="449D7D8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3.本合同未尽事宜，遵照《中华人民共和国政府采购法》《中华人民共和国民法典》有关条文执行；</w:t>
      </w:r>
    </w:p>
    <w:p w14:paraId="59329C8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4. 本合同壹式拾贰份，具有同等法律效力。其中正本贰份，合同双方各执壹份，副本拾份，甲方陆份，乙方叁份，鉴证方壹份。合同由三方签字盖章后生效。</w:t>
      </w:r>
    </w:p>
    <w:p w14:paraId="1E774414">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 1.廉政责任书</w:t>
      </w:r>
    </w:p>
    <w:p w14:paraId="7F4BA6F5">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2.安全生产目标责任书</w:t>
      </w:r>
    </w:p>
    <w:p w14:paraId="2D62EF87">
      <w:pPr>
        <w:spacing w:line="360" w:lineRule="auto"/>
        <w:jc w:val="left"/>
        <w:rPr>
          <w:rFonts w:hint="eastAsia" w:ascii="宋体" w:hAnsi="宋体" w:cs="宋体"/>
          <w:color w:val="auto"/>
          <w:szCs w:val="21"/>
          <w:highlight w:val="none"/>
        </w:rPr>
      </w:pPr>
    </w:p>
    <w:tbl>
      <w:tblPr>
        <w:tblStyle w:val="20"/>
        <w:tblW w:w="9060" w:type="dxa"/>
        <w:tblInd w:w="93" w:type="dxa"/>
        <w:tblLayout w:type="fixed"/>
        <w:tblCellMar>
          <w:top w:w="0" w:type="dxa"/>
          <w:left w:w="108" w:type="dxa"/>
          <w:bottom w:w="0" w:type="dxa"/>
          <w:right w:w="108" w:type="dxa"/>
        </w:tblCellMar>
      </w:tblPr>
      <w:tblGrid>
        <w:gridCol w:w="802"/>
        <w:gridCol w:w="1524"/>
        <w:gridCol w:w="6734"/>
      </w:tblGrid>
      <w:tr w14:paraId="41D6D407">
        <w:tblPrEx>
          <w:tblCellMar>
            <w:top w:w="0" w:type="dxa"/>
            <w:left w:w="108" w:type="dxa"/>
            <w:bottom w:w="0" w:type="dxa"/>
            <w:right w:w="108" w:type="dxa"/>
          </w:tblCellMar>
        </w:tblPrEx>
        <w:trPr>
          <w:trHeight w:val="454" w:hRule="atLeast"/>
        </w:trPr>
        <w:tc>
          <w:tcPr>
            <w:tcW w:w="802" w:type="dxa"/>
            <w:vMerge w:val="restart"/>
            <w:tcBorders>
              <w:top w:val="single" w:color="auto" w:sz="4" w:space="0"/>
              <w:left w:val="single" w:color="auto" w:sz="4" w:space="0"/>
              <w:bottom w:val="single" w:color="auto" w:sz="4" w:space="0"/>
              <w:right w:val="single" w:color="auto" w:sz="4" w:space="0"/>
            </w:tcBorders>
            <w:noWrap/>
            <w:vAlign w:val="center"/>
          </w:tcPr>
          <w:p w14:paraId="4E1B584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甲方</w:t>
            </w:r>
          </w:p>
        </w:tc>
        <w:tc>
          <w:tcPr>
            <w:tcW w:w="1524" w:type="dxa"/>
            <w:tcBorders>
              <w:top w:val="single" w:color="auto" w:sz="4" w:space="0"/>
              <w:left w:val="nil"/>
              <w:bottom w:val="single" w:color="auto" w:sz="4" w:space="0"/>
              <w:right w:val="single" w:color="auto" w:sz="4" w:space="0"/>
            </w:tcBorders>
            <w:noWrap/>
            <w:vAlign w:val="center"/>
          </w:tcPr>
          <w:p w14:paraId="6698A2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p>
        </w:tc>
        <w:tc>
          <w:tcPr>
            <w:tcW w:w="6734" w:type="dxa"/>
            <w:tcBorders>
              <w:top w:val="single" w:color="auto" w:sz="4" w:space="0"/>
              <w:left w:val="nil"/>
              <w:bottom w:val="single" w:color="auto" w:sz="4" w:space="0"/>
              <w:right w:val="single" w:color="auto" w:sz="4" w:space="0"/>
            </w:tcBorders>
            <w:noWrap/>
            <w:vAlign w:val="center"/>
          </w:tcPr>
          <w:p w14:paraId="77A1321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（签章）</w:t>
            </w:r>
          </w:p>
        </w:tc>
      </w:tr>
      <w:tr w14:paraId="65AC2927">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14E92689">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10C3799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p>
        </w:tc>
        <w:tc>
          <w:tcPr>
            <w:tcW w:w="6734" w:type="dxa"/>
            <w:tcBorders>
              <w:top w:val="nil"/>
              <w:left w:val="nil"/>
              <w:bottom w:val="single" w:color="auto" w:sz="4" w:space="0"/>
              <w:right w:val="single" w:color="auto" w:sz="4" w:space="0"/>
            </w:tcBorders>
            <w:noWrap/>
            <w:vAlign w:val="center"/>
          </w:tcPr>
          <w:p w14:paraId="44CEC6C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（签章）</w:t>
            </w:r>
          </w:p>
        </w:tc>
      </w:tr>
      <w:tr w14:paraId="6537E998">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196BDDCF">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0B7D6C1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委托代理人</w:t>
            </w:r>
          </w:p>
        </w:tc>
        <w:tc>
          <w:tcPr>
            <w:tcW w:w="6734" w:type="dxa"/>
            <w:tcBorders>
              <w:top w:val="nil"/>
              <w:left w:val="nil"/>
              <w:bottom w:val="single" w:color="auto" w:sz="4" w:space="0"/>
              <w:right w:val="single" w:color="auto" w:sz="4" w:space="0"/>
            </w:tcBorders>
            <w:noWrap/>
            <w:vAlign w:val="center"/>
          </w:tcPr>
          <w:p w14:paraId="646F57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（签章）</w:t>
            </w:r>
          </w:p>
        </w:tc>
      </w:tr>
      <w:tr w14:paraId="1EFF0D36">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25A3CE18">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51C8E8C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6734" w:type="dxa"/>
            <w:tcBorders>
              <w:top w:val="nil"/>
              <w:left w:val="nil"/>
              <w:bottom w:val="single" w:color="auto" w:sz="4" w:space="0"/>
              <w:right w:val="single" w:color="auto" w:sz="4" w:space="0"/>
            </w:tcBorders>
            <w:noWrap/>
            <w:vAlign w:val="center"/>
          </w:tcPr>
          <w:p w14:paraId="2A5466D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146950E5">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28508E2D">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6DC343E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6734" w:type="dxa"/>
            <w:tcBorders>
              <w:top w:val="nil"/>
              <w:left w:val="nil"/>
              <w:bottom w:val="single" w:color="auto" w:sz="4" w:space="0"/>
              <w:right w:val="single" w:color="auto" w:sz="4" w:space="0"/>
            </w:tcBorders>
            <w:noWrap/>
            <w:vAlign w:val="center"/>
          </w:tcPr>
          <w:p w14:paraId="2DAADAC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杭州市钱塘区月雅路99号</w:t>
            </w:r>
          </w:p>
        </w:tc>
      </w:tr>
      <w:tr w14:paraId="29D90725">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751DDF6E">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5A1CDAA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6734" w:type="dxa"/>
            <w:tcBorders>
              <w:top w:val="nil"/>
              <w:left w:val="nil"/>
              <w:bottom w:val="single" w:color="auto" w:sz="4" w:space="0"/>
              <w:right w:val="single" w:color="auto" w:sz="4" w:space="0"/>
            </w:tcBorders>
            <w:noWrap/>
            <w:vAlign w:val="center"/>
          </w:tcPr>
          <w:p w14:paraId="3EA279B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0571-86752308</w:t>
            </w:r>
          </w:p>
        </w:tc>
      </w:tr>
      <w:tr w14:paraId="2C539DF9">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2CF42262">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26EAB48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6734" w:type="dxa"/>
            <w:tcBorders>
              <w:top w:val="nil"/>
              <w:left w:val="nil"/>
              <w:bottom w:val="single" w:color="auto" w:sz="4" w:space="0"/>
              <w:right w:val="single" w:color="auto" w:sz="4" w:space="0"/>
            </w:tcBorders>
            <w:noWrap/>
            <w:vAlign w:val="center"/>
          </w:tcPr>
          <w:p w14:paraId="59E15A7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74EAD16A">
        <w:tblPrEx>
          <w:tblCellMar>
            <w:top w:w="0" w:type="dxa"/>
            <w:left w:w="108" w:type="dxa"/>
            <w:bottom w:w="0" w:type="dxa"/>
            <w:right w:w="108" w:type="dxa"/>
          </w:tblCellMar>
        </w:tblPrEx>
        <w:trPr>
          <w:trHeight w:val="454" w:hRule="atLeast"/>
        </w:trPr>
        <w:tc>
          <w:tcPr>
            <w:tcW w:w="802" w:type="dxa"/>
            <w:vMerge w:val="continue"/>
            <w:tcBorders>
              <w:top w:val="single" w:color="auto" w:sz="4" w:space="0"/>
              <w:left w:val="single" w:color="auto" w:sz="4" w:space="0"/>
              <w:bottom w:val="single" w:color="auto" w:sz="4" w:space="0"/>
              <w:right w:val="single" w:color="auto" w:sz="4" w:space="0"/>
            </w:tcBorders>
            <w:vAlign w:val="center"/>
          </w:tcPr>
          <w:p w14:paraId="31B717CA">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139331B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6734" w:type="dxa"/>
            <w:tcBorders>
              <w:top w:val="nil"/>
              <w:left w:val="nil"/>
              <w:bottom w:val="single" w:color="auto" w:sz="4" w:space="0"/>
              <w:right w:val="single" w:color="auto" w:sz="4" w:space="0"/>
            </w:tcBorders>
            <w:noWrap/>
            <w:vAlign w:val="center"/>
          </w:tcPr>
          <w:p w14:paraId="14B01FD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3E1EF899">
        <w:tblPrEx>
          <w:tblCellMar>
            <w:top w:w="0" w:type="dxa"/>
            <w:left w:w="108" w:type="dxa"/>
            <w:bottom w:w="0" w:type="dxa"/>
            <w:right w:w="108" w:type="dxa"/>
          </w:tblCellMar>
        </w:tblPrEx>
        <w:trPr>
          <w:trHeight w:val="454" w:hRule="atLeast"/>
        </w:trPr>
        <w:tc>
          <w:tcPr>
            <w:tcW w:w="802" w:type="dxa"/>
            <w:vMerge w:val="restart"/>
            <w:tcBorders>
              <w:top w:val="nil"/>
              <w:left w:val="single" w:color="auto" w:sz="4" w:space="0"/>
              <w:bottom w:val="single" w:color="auto" w:sz="4" w:space="0"/>
              <w:right w:val="single" w:color="auto" w:sz="4" w:space="0"/>
            </w:tcBorders>
            <w:noWrap/>
            <w:vAlign w:val="center"/>
          </w:tcPr>
          <w:p w14:paraId="08ACD4D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乙方</w:t>
            </w:r>
          </w:p>
        </w:tc>
        <w:tc>
          <w:tcPr>
            <w:tcW w:w="1524" w:type="dxa"/>
            <w:tcBorders>
              <w:top w:val="nil"/>
              <w:left w:val="nil"/>
              <w:bottom w:val="single" w:color="auto" w:sz="4" w:space="0"/>
              <w:right w:val="single" w:color="auto" w:sz="4" w:space="0"/>
            </w:tcBorders>
            <w:noWrap/>
            <w:vAlign w:val="center"/>
          </w:tcPr>
          <w:p w14:paraId="73CDE1A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p>
        </w:tc>
        <w:tc>
          <w:tcPr>
            <w:tcW w:w="6734" w:type="dxa"/>
            <w:tcBorders>
              <w:top w:val="nil"/>
              <w:left w:val="nil"/>
              <w:bottom w:val="single" w:color="auto" w:sz="4" w:space="0"/>
              <w:right w:val="single" w:color="auto" w:sz="4" w:space="0"/>
            </w:tcBorders>
            <w:noWrap/>
            <w:vAlign w:val="center"/>
          </w:tcPr>
          <w:p w14:paraId="598F4A7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 xml:space="preserve"> （签章）</w:t>
            </w:r>
          </w:p>
        </w:tc>
      </w:tr>
      <w:tr w14:paraId="18D74D24">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5B58BD60">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0C8E618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p>
        </w:tc>
        <w:tc>
          <w:tcPr>
            <w:tcW w:w="6734" w:type="dxa"/>
            <w:tcBorders>
              <w:top w:val="nil"/>
              <w:left w:val="nil"/>
              <w:bottom w:val="single" w:color="auto" w:sz="4" w:space="0"/>
              <w:right w:val="single" w:color="auto" w:sz="4" w:space="0"/>
            </w:tcBorders>
            <w:noWrap/>
            <w:vAlign w:val="center"/>
          </w:tcPr>
          <w:p w14:paraId="04252A5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（签章）</w:t>
            </w:r>
          </w:p>
        </w:tc>
      </w:tr>
      <w:tr w14:paraId="2E873954">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4049FB4C">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55B11A0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委托代理人</w:t>
            </w:r>
          </w:p>
        </w:tc>
        <w:tc>
          <w:tcPr>
            <w:tcW w:w="6734" w:type="dxa"/>
            <w:tcBorders>
              <w:top w:val="nil"/>
              <w:left w:val="nil"/>
              <w:bottom w:val="single" w:color="auto" w:sz="4" w:space="0"/>
              <w:right w:val="single" w:color="auto" w:sz="4" w:space="0"/>
            </w:tcBorders>
            <w:noWrap/>
            <w:vAlign w:val="center"/>
          </w:tcPr>
          <w:p w14:paraId="4316BEA0">
            <w:pPr>
              <w:widowControl/>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（签章）</w:t>
            </w:r>
          </w:p>
        </w:tc>
      </w:tr>
      <w:tr w14:paraId="5A82086E">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09436F4F">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200CCA0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6734" w:type="dxa"/>
            <w:tcBorders>
              <w:top w:val="nil"/>
              <w:left w:val="nil"/>
              <w:bottom w:val="single" w:color="auto" w:sz="4" w:space="0"/>
              <w:right w:val="single" w:color="auto" w:sz="4" w:space="0"/>
            </w:tcBorders>
            <w:noWrap/>
            <w:vAlign w:val="center"/>
          </w:tcPr>
          <w:p w14:paraId="7BEB115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4183740F">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34FC32CE">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5568D6B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6734" w:type="dxa"/>
            <w:tcBorders>
              <w:top w:val="nil"/>
              <w:left w:val="nil"/>
              <w:bottom w:val="single" w:color="auto" w:sz="4" w:space="0"/>
              <w:right w:val="single" w:color="auto" w:sz="4" w:space="0"/>
            </w:tcBorders>
            <w:noWrap/>
            <w:vAlign w:val="center"/>
          </w:tcPr>
          <w:p w14:paraId="704449E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42AFBF63">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090B1B95">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2396B57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6734" w:type="dxa"/>
            <w:tcBorders>
              <w:top w:val="nil"/>
              <w:left w:val="nil"/>
              <w:bottom w:val="single" w:color="auto" w:sz="4" w:space="0"/>
              <w:right w:val="single" w:color="auto" w:sz="4" w:space="0"/>
            </w:tcBorders>
            <w:noWrap/>
            <w:vAlign w:val="center"/>
          </w:tcPr>
          <w:p w14:paraId="5F77D93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17BC4F79">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42D923C6">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3FA239A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6734" w:type="dxa"/>
            <w:tcBorders>
              <w:top w:val="nil"/>
              <w:left w:val="nil"/>
              <w:bottom w:val="single" w:color="auto" w:sz="4" w:space="0"/>
              <w:right w:val="single" w:color="auto" w:sz="4" w:space="0"/>
            </w:tcBorders>
            <w:noWrap/>
            <w:vAlign w:val="center"/>
          </w:tcPr>
          <w:p w14:paraId="2CF561D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1A405A00">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0570F293">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025786C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6734" w:type="dxa"/>
            <w:tcBorders>
              <w:top w:val="nil"/>
              <w:left w:val="nil"/>
              <w:bottom w:val="single" w:color="auto" w:sz="4" w:space="0"/>
              <w:right w:val="single" w:color="auto" w:sz="4" w:space="0"/>
            </w:tcBorders>
            <w:noWrap/>
            <w:vAlign w:val="center"/>
          </w:tcPr>
          <w:p w14:paraId="7E55C5A4">
            <w:pPr>
              <w:widowControl/>
              <w:jc w:val="left"/>
              <w:rPr>
                <w:rFonts w:hint="eastAsia" w:ascii="宋体" w:hAnsi="宋体" w:cs="宋体"/>
                <w:color w:val="auto"/>
                <w:kern w:val="0"/>
                <w:szCs w:val="21"/>
                <w:highlight w:val="none"/>
              </w:rPr>
            </w:pPr>
          </w:p>
        </w:tc>
      </w:tr>
      <w:tr w14:paraId="495030E0">
        <w:tblPrEx>
          <w:tblCellMar>
            <w:top w:w="0" w:type="dxa"/>
            <w:left w:w="108" w:type="dxa"/>
            <w:bottom w:w="0" w:type="dxa"/>
            <w:right w:w="108" w:type="dxa"/>
          </w:tblCellMar>
        </w:tblPrEx>
        <w:trPr>
          <w:trHeight w:val="454" w:hRule="atLeast"/>
        </w:trPr>
        <w:tc>
          <w:tcPr>
            <w:tcW w:w="802" w:type="dxa"/>
            <w:vMerge w:val="restart"/>
            <w:tcBorders>
              <w:top w:val="nil"/>
              <w:left w:val="single" w:color="auto" w:sz="4" w:space="0"/>
              <w:bottom w:val="single" w:color="auto" w:sz="4" w:space="0"/>
              <w:right w:val="single" w:color="auto" w:sz="4" w:space="0"/>
            </w:tcBorders>
            <w:noWrap/>
            <w:vAlign w:val="center"/>
          </w:tcPr>
          <w:p w14:paraId="06401B4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鉴证方</w:t>
            </w:r>
          </w:p>
        </w:tc>
        <w:tc>
          <w:tcPr>
            <w:tcW w:w="1524" w:type="dxa"/>
            <w:tcBorders>
              <w:top w:val="nil"/>
              <w:left w:val="nil"/>
              <w:bottom w:val="single" w:color="auto" w:sz="4" w:space="0"/>
              <w:right w:val="single" w:color="auto" w:sz="4" w:space="0"/>
            </w:tcBorders>
            <w:noWrap/>
            <w:vAlign w:val="center"/>
          </w:tcPr>
          <w:p w14:paraId="4815C3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p>
        </w:tc>
        <w:tc>
          <w:tcPr>
            <w:tcW w:w="6734" w:type="dxa"/>
            <w:tcBorders>
              <w:top w:val="nil"/>
              <w:left w:val="nil"/>
              <w:bottom w:val="single" w:color="auto" w:sz="4" w:space="0"/>
              <w:right w:val="single" w:color="auto" w:sz="4" w:space="0"/>
            </w:tcBorders>
            <w:noWrap/>
            <w:vAlign w:val="center"/>
          </w:tcPr>
          <w:p w14:paraId="15682A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（签章）</w:t>
            </w:r>
          </w:p>
        </w:tc>
      </w:tr>
      <w:tr w14:paraId="397E7F9F">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1B79B963">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7E13354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6734" w:type="dxa"/>
            <w:tcBorders>
              <w:top w:val="nil"/>
              <w:left w:val="nil"/>
              <w:bottom w:val="single" w:color="auto" w:sz="4" w:space="0"/>
              <w:right w:val="single" w:color="auto" w:sz="4" w:space="0"/>
            </w:tcBorders>
            <w:noWrap/>
            <w:vAlign w:val="center"/>
          </w:tcPr>
          <w:p w14:paraId="30F8011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4FD195AA">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5C287C09">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4AA7FAD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6734" w:type="dxa"/>
            <w:tcBorders>
              <w:top w:val="nil"/>
              <w:left w:val="nil"/>
              <w:bottom w:val="single" w:color="auto" w:sz="4" w:space="0"/>
              <w:right w:val="single" w:color="auto" w:sz="4" w:space="0"/>
            </w:tcBorders>
            <w:noWrap/>
            <w:vAlign w:val="center"/>
          </w:tcPr>
          <w:p w14:paraId="4BE4EB2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5DAA910C">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20A2CA6D">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6426722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6734" w:type="dxa"/>
            <w:tcBorders>
              <w:top w:val="nil"/>
              <w:left w:val="nil"/>
              <w:bottom w:val="single" w:color="auto" w:sz="4" w:space="0"/>
              <w:right w:val="single" w:color="auto" w:sz="4" w:space="0"/>
            </w:tcBorders>
            <w:noWrap/>
            <w:vAlign w:val="center"/>
          </w:tcPr>
          <w:p w14:paraId="7F7C986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1989A882">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4099A174">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0E62135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6734" w:type="dxa"/>
            <w:tcBorders>
              <w:top w:val="nil"/>
              <w:left w:val="nil"/>
              <w:bottom w:val="single" w:color="auto" w:sz="4" w:space="0"/>
              <w:right w:val="single" w:color="auto" w:sz="4" w:space="0"/>
            </w:tcBorders>
            <w:noWrap/>
            <w:vAlign w:val="center"/>
          </w:tcPr>
          <w:p w14:paraId="2A59552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15026ACA">
        <w:tblPrEx>
          <w:tblCellMar>
            <w:top w:w="0" w:type="dxa"/>
            <w:left w:w="108" w:type="dxa"/>
            <w:bottom w:w="0" w:type="dxa"/>
            <w:right w:w="108" w:type="dxa"/>
          </w:tblCellMar>
        </w:tblPrEx>
        <w:trPr>
          <w:trHeight w:val="454" w:hRule="atLeast"/>
        </w:trPr>
        <w:tc>
          <w:tcPr>
            <w:tcW w:w="802" w:type="dxa"/>
            <w:vMerge w:val="continue"/>
            <w:tcBorders>
              <w:top w:val="nil"/>
              <w:left w:val="single" w:color="auto" w:sz="4" w:space="0"/>
              <w:bottom w:val="single" w:color="auto" w:sz="4" w:space="0"/>
              <w:right w:val="single" w:color="auto" w:sz="4" w:space="0"/>
            </w:tcBorders>
            <w:vAlign w:val="center"/>
          </w:tcPr>
          <w:p w14:paraId="1E7A6B20">
            <w:pPr>
              <w:widowControl/>
              <w:jc w:val="left"/>
              <w:rPr>
                <w:rFonts w:hint="eastAsia" w:ascii="宋体" w:hAnsi="宋体" w:cs="宋体"/>
                <w:color w:val="auto"/>
                <w:kern w:val="0"/>
                <w:szCs w:val="21"/>
                <w:highlight w:val="none"/>
              </w:rPr>
            </w:pPr>
          </w:p>
        </w:tc>
        <w:tc>
          <w:tcPr>
            <w:tcW w:w="1524" w:type="dxa"/>
            <w:tcBorders>
              <w:top w:val="nil"/>
              <w:left w:val="nil"/>
              <w:bottom w:val="single" w:color="auto" w:sz="4" w:space="0"/>
              <w:right w:val="single" w:color="auto" w:sz="4" w:space="0"/>
            </w:tcBorders>
            <w:noWrap/>
            <w:vAlign w:val="center"/>
          </w:tcPr>
          <w:p w14:paraId="2570FE6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6734" w:type="dxa"/>
            <w:tcBorders>
              <w:top w:val="nil"/>
              <w:left w:val="nil"/>
              <w:bottom w:val="single" w:color="auto" w:sz="4" w:space="0"/>
              <w:right w:val="single" w:color="auto" w:sz="4" w:space="0"/>
            </w:tcBorders>
            <w:noWrap/>
            <w:vAlign w:val="center"/>
          </w:tcPr>
          <w:p w14:paraId="5835CEF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bl>
    <w:p w14:paraId="00206CBD">
      <w:pPr>
        <w:snapToGrid w:val="0"/>
        <w:spacing w:line="360" w:lineRule="auto"/>
        <w:rPr>
          <w:rFonts w:hint="eastAsia" w:ascii="宋体" w:hAnsi="宋体" w:cs="宋体"/>
          <w:color w:val="auto"/>
          <w:szCs w:val="21"/>
          <w:highlight w:val="none"/>
        </w:rPr>
      </w:pPr>
    </w:p>
    <w:p w14:paraId="7930E579">
      <w:pPr>
        <w:snapToGrid w:val="0"/>
        <w:spacing w:line="360" w:lineRule="auto"/>
        <w:rPr>
          <w:rFonts w:hint="eastAsia" w:ascii="宋体" w:hAnsi="宋体" w:cs="宋体"/>
          <w:color w:val="auto"/>
          <w:szCs w:val="21"/>
          <w:highlight w:val="none"/>
        </w:rPr>
      </w:pPr>
    </w:p>
    <w:p w14:paraId="330CB8FA">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788224F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附件1：  廉政责任书</w:t>
      </w:r>
    </w:p>
    <w:p w14:paraId="2C015DB4">
      <w:pPr>
        <w:pStyle w:val="53"/>
        <w:snapToGrid w:val="0"/>
        <w:spacing w:line="360" w:lineRule="auto"/>
        <w:rPr>
          <w:rFonts w:hint="eastAsia" w:cs="宋体"/>
          <w:color w:val="auto"/>
          <w:sz w:val="21"/>
          <w:szCs w:val="21"/>
          <w:highlight w:val="none"/>
        </w:rPr>
      </w:pPr>
      <w:r>
        <w:rPr>
          <w:rFonts w:hint="eastAsia" w:cs="宋体"/>
          <w:color w:val="auto"/>
          <w:sz w:val="21"/>
          <w:szCs w:val="21"/>
          <w:highlight w:val="none"/>
        </w:rPr>
        <w:t>廉 政 责 任 书</w:t>
      </w:r>
    </w:p>
    <w:p w14:paraId="444A0962">
      <w:pPr>
        <w:snapToGrid w:val="0"/>
        <w:spacing w:line="360" w:lineRule="auto"/>
        <w:ind w:firstLine="426" w:firstLineChars="203"/>
        <w:rPr>
          <w:rFonts w:hint="eastAsia" w:ascii="宋体" w:hAnsi="宋体" w:cs="宋体"/>
          <w:color w:val="auto"/>
          <w:szCs w:val="21"/>
          <w:highlight w:val="none"/>
        </w:rPr>
      </w:pPr>
      <w:r>
        <w:rPr>
          <w:rFonts w:hint="eastAsia" w:ascii="宋体" w:hAnsi="宋体" w:cs="宋体"/>
          <w:color w:val="auto"/>
          <w:szCs w:val="21"/>
          <w:highlight w:val="none"/>
        </w:rPr>
        <w:t>为了加强</w:t>
      </w:r>
      <w:r>
        <w:rPr>
          <w:rFonts w:hint="eastAsia" w:ascii="宋体" w:hAnsi="宋体" w:cs="宋体"/>
          <w:color w:val="auto"/>
          <w:szCs w:val="21"/>
          <w:highlight w:val="none"/>
          <w:u w:val="single"/>
        </w:rPr>
        <w:t xml:space="preserve"> 杭州市南排工程建设管理服务中心 </w:t>
      </w:r>
      <w:r>
        <w:rPr>
          <w:rFonts w:hint="eastAsia" w:ascii="宋体" w:hAnsi="宋体" w:cs="宋体"/>
          <w:color w:val="auto"/>
          <w:szCs w:val="21"/>
          <w:highlight w:val="none"/>
        </w:rPr>
        <w:t xml:space="preserve">（以下简称“甲方”）和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以下简称“乙方”）的廉政建设，增强各级人员的反腐倡廉意识和廉洁自律的自觉性，在维护社会主义市场经济公平竞争原则的基础上做到相互制约，相互监督，以“工程优质、干部优秀”为目标，树立企业新形象，特此签订本协议：</w:t>
      </w:r>
    </w:p>
    <w:p w14:paraId="1592A3E2">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一、甲乙双方应当自觉遵守国家和杭州市关于水利工程承发包工作规则以及有关廉政建设的各项规定。</w:t>
      </w:r>
    </w:p>
    <w:p w14:paraId="61DAE38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二、甲方及其工作人员不得以任何形式向乙方索要和收受回扣等好处费。</w:t>
      </w:r>
    </w:p>
    <w:p w14:paraId="191239F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三、甲方工作人员应当保持与乙方的正常业务交往，不得接受乙方的礼金、有价证券和贵重物品，不得在乙方报销任何应由个人支付的费用。</w:t>
      </w:r>
    </w:p>
    <w:p w14:paraId="230024B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四、甲方工作人员不得参加可能对公正执行公务有影响的宴请和娱乐活动。</w:t>
      </w:r>
    </w:p>
    <w:p w14:paraId="29AD89F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五、甲方工作人员不得要求或者接受乙方为其住房装修、婚丧嫁娶、家属和子女的工作安排以及出国等提供方便。</w:t>
      </w:r>
    </w:p>
    <w:p w14:paraId="659EE2C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六、甲方工作人员不得向乙方介绍家属或者亲友从事与甲方工程有关的材料设备供应、工程分包等经济活动。</w:t>
      </w:r>
    </w:p>
    <w:p w14:paraId="6D35E7A2">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七、乙方应当通过正常途径开展相对业务工作，不得为获取某些不正当利益而向甲方工作人员赠送礼金、有价证券和贵重物品等。</w:t>
      </w:r>
    </w:p>
    <w:p w14:paraId="70397F9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八、乙方不得为谋取私利擅自与甲方工作人员就工程承包、工程费用、材料设备供应、工程量变动、工程验收、工程质量问题处理等进行私下商谈或者达成默契。</w:t>
      </w:r>
    </w:p>
    <w:p w14:paraId="096AE45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九、乙方不得以洽谈业务、签订经济合同为借口，邀请甲方工作人员外出旅游和进入营业性高档娱乐场所。</w:t>
      </w:r>
    </w:p>
    <w:p w14:paraId="0DFD9FB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十、乙方不得为甲方单位和个人购置或者提供通讯工具、交通工具、家电、高档办公用品等物品。</w:t>
      </w:r>
    </w:p>
    <w:p w14:paraId="2A31180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十一、乙方如发现甲方工作人员有违反上述协议者，应向甲方领导或者甲方上级单位举报。甲方不得找任何借口对乙方进行报复。甲方对举报属实和严格遵守廉洁协议的乙方，在同等条件下给予承接后续工程的优先邀请投标权。</w:t>
      </w:r>
    </w:p>
    <w:p w14:paraId="472BE6E8">
      <w:pPr>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十二、甲方发现乙方有违反本协议或者采用不正当的手段行贿甲方工作人员，甲方根据具体情节和造成的后果追究乙方工程合同造价1～5%的违约金。由此给甲方单位造成的损失均由乙方承担，乙方用不正当手段获取的非法所得由甲方单位予以追缴。</w:t>
      </w:r>
    </w:p>
    <w:p w14:paraId="266A115C">
      <w:pPr>
        <w:pStyle w:val="10"/>
        <w:ind w:firstLine="420"/>
        <w:rPr>
          <w:rFonts w:hint="eastAsia" w:hAnsi="宋体" w:cs="宋体"/>
          <w:color w:val="auto"/>
          <w:sz w:val="21"/>
          <w:highlight w:val="none"/>
        </w:rPr>
      </w:pPr>
      <w:r>
        <w:rPr>
          <w:rFonts w:hint="eastAsia" w:hAnsi="宋体" w:cs="宋体"/>
          <w:color w:val="auto"/>
          <w:sz w:val="21"/>
          <w:highlight w:val="none"/>
        </w:rPr>
        <w:t>十三、如因乙方工作人员在工程项目实施期间贿赂甲方人员被查实的，甲方有权取消或中止工程合同的履行，由此给甲方造成的损失由乙方负责赔偿，并在五年内不得参与全市水利工程（运维）项目投标。</w:t>
      </w:r>
    </w:p>
    <w:p w14:paraId="060CA4BF">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十四、本廉洁协议作为</w:t>
      </w:r>
      <w:r>
        <w:rPr>
          <w:rFonts w:hint="eastAsia" w:ascii="宋体" w:hAnsi="宋体" w:cs="宋体"/>
          <w:color w:val="auto"/>
          <w:szCs w:val="21"/>
          <w:highlight w:val="none"/>
          <w:u w:val="single"/>
          <w:lang w:eastAsia="zh-CN"/>
        </w:rPr>
        <w:t>八堡排水泵站运行和日常维修养护项目</w:t>
      </w:r>
      <w:r>
        <w:rPr>
          <w:rFonts w:hint="eastAsia" w:ascii="宋体" w:hAnsi="宋体" w:cs="宋体"/>
          <w:color w:val="auto"/>
          <w:szCs w:val="21"/>
          <w:highlight w:val="none"/>
        </w:rPr>
        <w:t>承发包合同的附件，与工程承发包合同具有同等法律效力。经协议双方签署后立即生效。</w:t>
      </w:r>
    </w:p>
    <w:p w14:paraId="5F91AA00">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十五、本责任书壹式拾贰份，具有同等法律效力。甲方柒份，乙方肆份，鉴证方壹份。</w:t>
      </w:r>
    </w:p>
    <w:p w14:paraId="5F94ABF2">
      <w:pPr>
        <w:pStyle w:val="10"/>
        <w:rPr>
          <w:rFonts w:hint="eastAsia" w:hAnsi="宋体" w:cs="宋体"/>
          <w:color w:val="auto"/>
          <w:sz w:val="21"/>
          <w:highlight w:val="none"/>
        </w:rPr>
      </w:pPr>
    </w:p>
    <w:p w14:paraId="67F4F5D1">
      <w:pPr>
        <w:pStyle w:val="19"/>
        <w:ind w:firstLine="240"/>
        <w:rPr>
          <w:rFonts w:hint="eastAsia" w:hAnsi="宋体" w:cs="宋体"/>
          <w:color w:val="auto"/>
          <w:sz w:val="21"/>
          <w:szCs w:val="21"/>
          <w:highlight w:val="none"/>
        </w:rPr>
      </w:pPr>
    </w:p>
    <w:p w14:paraId="0203182B">
      <w:pPr>
        <w:rPr>
          <w:rFonts w:hint="eastAsia" w:ascii="宋体" w:hAnsi="宋体" w:cs="宋体"/>
          <w:color w:val="auto"/>
          <w:szCs w:val="21"/>
          <w:highlight w:val="none"/>
        </w:rPr>
      </w:pPr>
    </w:p>
    <w:p w14:paraId="0DABCCA9">
      <w:pPr>
        <w:pStyle w:val="10"/>
        <w:rPr>
          <w:rFonts w:hint="eastAsia" w:hAnsi="宋体" w:cs="宋体"/>
          <w:color w:val="auto"/>
          <w:sz w:val="21"/>
          <w:highlight w:val="none"/>
        </w:rPr>
      </w:pPr>
    </w:p>
    <w:p w14:paraId="6D5A3C54">
      <w:pPr>
        <w:pStyle w:val="19"/>
        <w:ind w:firstLine="240"/>
        <w:rPr>
          <w:rFonts w:hint="eastAsia" w:hAnsi="宋体" w:cs="宋体"/>
          <w:color w:val="auto"/>
          <w:sz w:val="21"/>
          <w:szCs w:val="21"/>
          <w:highlight w:val="none"/>
        </w:rPr>
      </w:pPr>
    </w:p>
    <w:p w14:paraId="1F8863BF">
      <w:pPr>
        <w:rPr>
          <w:rFonts w:hint="eastAsia" w:ascii="宋体" w:hAnsi="宋体" w:cs="宋体"/>
          <w:color w:val="auto"/>
          <w:szCs w:val="21"/>
          <w:highlight w:val="none"/>
        </w:rPr>
      </w:pPr>
    </w:p>
    <w:p w14:paraId="55499E60">
      <w:pPr>
        <w:pStyle w:val="10"/>
        <w:rPr>
          <w:rFonts w:hint="eastAsia" w:hAnsi="宋体" w:cs="宋体"/>
          <w:color w:val="auto"/>
          <w:sz w:val="21"/>
          <w:highlight w:val="none"/>
        </w:rPr>
      </w:pPr>
    </w:p>
    <w:p w14:paraId="24653A4B">
      <w:pPr>
        <w:pStyle w:val="19"/>
        <w:ind w:firstLine="240"/>
        <w:rPr>
          <w:rFonts w:hint="eastAsia" w:hAnsi="宋体" w:cs="宋体"/>
          <w:color w:val="auto"/>
          <w:sz w:val="21"/>
          <w:szCs w:val="21"/>
          <w:highlight w:val="none"/>
        </w:rPr>
      </w:pPr>
    </w:p>
    <w:p w14:paraId="447DE540">
      <w:pPr>
        <w:pStyle w:val="10"/>
        <w:rPr>
          <w:rFonts w:hint="eastAsia" w:hAnsi="宋体" w:cs="宋体"/>
          <w:color w:val="auto"/>
          <w:sz w:val="21"/>
          <w:highlight w:val="none"/>
        </w:rPr>
      </w:pPr>
    </w:p>
    <w:p w14:paraId="5CA5B759">
      <w:pPr>
        <w:pStyle w:val="19"/>
        <w:ind w:firstLine="280"/>
        <w:rPr>
          <w:rFonts w:hint="eastAsia" w:hAnsi="宋体" w:cs="宋体"/>
          <w:color w:val="auto"/>
          <w:sz w:val="21"/>
          <w:szCs w:val="21"/>
          <w:highlight w:val="none"/>
        </w:rPr>
      </w:pPr>
    </w:p>
    <w:p w14:paraId="4FEE40D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甲方(公章)：</w:t>
      </w:r>
      <w:r>
        <w:rPr>
          <w:rFonts w:hint="eastAsia" w:ascii="宋体" w:hAnsi="宋体" w:cs="宋体"/>
          <w:color w:val="auto"/>
          <w:szCs w:val="21"/>
          <w:highlight w:val="none"/>
          <w:u w:val="single"/>
        </w:rPr>
        <w:t xml:space="preserve">                      </w:t>
      </w:r>
      <w:r>
        <w:rPr>
          <w:rFonts w:hint="eastAsia" w:ascii="宋体" w:hAnsi="宋体" w:cs="宋体"/>
          <w:color w:val="auto"/>
          <w:szCs w:val="21"/>
          <w:highlight w:val="none"/>
        </w:rPr>
        <w:t xml:space="preserve">       乙方(公章)：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2B95E2A1">
      <w:pPr>
        <w:snapToGrid w:val="0"/>
        <w:spacing w:line="360" w:lineRule="auto"/>
        <w:rPr>
          <w:rFonts w:hint="eastAsia" w:ascii="宋体" w:hAnsi="宋体" w:cs="宋体"/>
          <w:color w:val="auto"/>
          <w:szCs w:val="21"/>
          <w:highlight w:val="none"/>
        </w:rPr>
      </w:pPr>
    </w:p>
    <w:p w14:paraId="27C219F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5679EB7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24FC7613">
      <w:pPr>
        <w:snapToGrid w:val="0"/>
        <w:spacing w:line="360" w:lineRule="auto"/>
        <w:rPr>
          <w:rFonts w:hint="eastAsia" w:ascii="宋体" w:hAnsi="宋体" w:cs="宋体"/>
          <w:snapToGrid w:val="0"/>
          <w:color w:val="auto"/>
          <w:szCs w:val="21"/>
          <w:highlight w:val="none"/>
          <w:shd w:val="clear" w:color="auto" w:fill="FFFFFF"/>
        </w:rPr>
      </w:pPr>
    </w:p>
    <w:p w14:paraId="26017AFF">
      <w:pPr>
        <w:snapToGrid w:val="0"/>
        <w:spacing w:line="360" w:lineRule="auto"/>
        <w:rPr>
          <w:rFonts w:hint="default" w:ascii="宋体" w:hAnsi="宋体" w:eastAsia="宋体" w:cs="宋体"/>
          <w:snapToGrid w:val="0"/>
          <w:color w:val="auto"/>
          <w:w w:val="80"/>
          <w:szCs w:val="21"/>
          <w:highlight w:val="none"/>
          <w:u w:val="single"/>
          <w:shd w:val="clear" w:color="auto" w:fill="FFFFFF"/>
          <w:lang w:val="en-US" w:eastAsia="zh-CN"/>
        </w:rPr>
      </w:pPr>
      <w:r>
        <w:rPr>
          <w:rFonts w:hint="eastAsia" w:ascii="宋体" w:hAnsi="宋体" w:cs="宋体"/>
          <w:snapToGrid w:val="0"/>
          <w:color w:val="auto"/>
          <w:szCs w:val="21"/>
          <w:highlight w:val="none"/>
          <w:shd w:val="clear" w:color="auto" w:fill="FFFFFF"/>
        </w:rPr>
        <w:t xml:space="preserve">地址：  </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snapToGrid w:val="0"/>
          <w:color w:val="auto"/>
          <w:w w:val="80"/>
          <w:szCs w:val="21"/>
          <w:highlight w:val="none"/>
          <w:u w:val="single"/>
          <w:shd w:val="clear" w:color="auto" w:fill="FFFFFF"/>
        </w:rPr>
        <w:t>杭州市钱塘区月雅路99号</w:t>
      </w:r>
      <w:r>
        <w:rPr>
          <w:rFonts w:hint="eastAsia" w:ascii="宋体" w:hAnsi="宋体" w:cs="宋体"/>
          <w:snapToGrid w:val="0"/>
          <w:color w:val="auto"/>
          <w:szCs w:val="21"/>
          <w:highlight w:val="none"/>
          <w:u w:val="single"/>
          <w:shd w:val="clear" w:color="auto" w:fill="FFFFFF"/>
        </w:rPr>
        <w:t xml:space="preserve">             </w:t>
      </w:r>
      <w:r>
        <w:rPr>
          <w:rFonts w:hint="eastAsia" w:ascii="宋体" w:hAnsi="宋体" w:cs="宋体"/>
          <w:snapToGrid w:val="0"/>
          <w:color w:val="auto"/>
          <w:szCs w:val="21"/>
          <w:highlight w:val="none"/>
          <w:u w:val="none"/>
          <w:shd w:val="clear" w:color="auto" w:fill="FFFFFF"/>
        </w:rPr>
        <w:t xml:space="preserve"> </w:t>
      </w:r>
      <w:r>
        <w:rPr>
          <w:rFonts w:hint="eastAsia" w:ascii="宋体" w:hAnsi="宋体" w:cs="宋体"/>
          <w:snapToGrid w:val="0"/>
          <w:color w:val="auto"/>
          <w:szCs w:val="21"/>
          <w:highlight w:val="none"/>
          <w:shd w:val="clear" w:color="auto" w:fill="FFFFFF"/>
        </w:rPr>
        <w:t xml:space="preserve">      地址：</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snapToGrid w:val="0"/>
          <w:color w:val="auto"/>
          <w:szCs w:val="21"/>
          <w:highlight w:val="none"/>
          <w:u w:val="single"/>
          <w:shd w:val="clear" w:color="auto" w:fill="FFFFFF"/>
          <w:lang w:val="en-US" w:eastAsia="zh-CN"/>
        </w:rPr>
        <w:t xml:space="preserve">                          </w:t>
      </w:r>
      <w:r>
        <w:rPr>
          <w:rFonts w:hint="eastAsia" w:ascii="宋体" w:hAnsi="宋体" w:cs="宋体"/>
          <w:snapToGrid w:val="0"/>
          <w:color w:val="auto"/>
          <w:szCs w:val="21"/>
          <w:highlight w:val="none"/>
          <w:shd w:val="clear" w:color="auto" w:fill="FFFFFF"/>
          <w:lang w:val="en-US" w:eastAsia="zh-CN"/>
        </w:rPr>
        <w:t xml:space="preserve"> </w:t>
      </w:r>
    </w:p>
    <w:p w14:paraId="0AA65A1A">
      <w:pPr>
        <w:snapToGrid w:val="0"/>
        <w:spacing w:line="360" w:lineRule="auto"/>
        <w:rPr>
          <w:rFonts w:hint="default" w:ascii="宋体" w:hAnsi="宋体" w:eastAsia="宋体" w:cs="宋体"/>
          <w:color w:val="auto"/>
          <w:szCs w:val="21"/>
          <w:highlight w:val="none"/>
          <w:lang w:val="en-US" w:eastAsia="zh-CN"/>
        </w:rPr>
      </w:pPr>
      <w:r>
        <w:rPr>
          <w:rFonts w:hint="eastAsia" w:ascii="宋体" w:hAnsi="宋体" w:cs="宋体"/>
          <w:snapToGrid w:val="0"/>
          <w:color w:val="auto"/>
          <w:szCs w:val="21"/>
          <w:highlight w:val="none"/>
          <w:shd w:val="clear" w:color="auto" w:fill="FFFFFF"/>
        </w:rPr>
        <w:t>电话：</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snapToGrid w:val="0"/>
          <w:color w:val="auto"/>
          <w:szCs w:val="21"/>
          <w:highlight w:val="none"/>
          <w:u w:val="single"/>
          <w:shd w:val="clear" w:color="auto" w:fill="FFFFFF"/>
          <w:lang w:val="en-US" w:eastAsia="zh-CN"/>
        </w:rPr>
        <w:t xml:space="preserve">                                 </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 xml:space="preserve">                        </w:t>
      </w:r>
    </w:p>
    <w:p w14:paraId="06600F6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w:t>
      </w:r>
    </w:p>
    <w:p w14:paraId="4F8F0FEA">
      <w:pPr>
        <w:snapToGrid w:val="0"/>
        <w:spacing w:line="360" w:lineRule="auto"/>
        <w:ind w:firstLine="567"/>
        <w:rPr>
          <w:rFonts w:hint="eastAsia" w:ascii="宋体" w:hAnsi="宋体" w:cs="宋体"/>
          <w:snapToGrid w:val="0"/>
          <w:color w:val="auto"/>
          <w:szCs w:val="21"/>
          <w:highlight w:val="none"/>
          <w:shd w:val="clear" w:color="auto" w:fill="FFFFFF"/>
        </w:rPr>
      </w:pPr>
    </w:p>
    <w:p w14:paraId="4A3142CC">
      <w:pPr>
        <w:snapToGrid w:val="0"/>
        <w:spacing w:line="360" w:lineRule="auto"/>
        <w:ind w:firstLine="567"/>
        <w:rPr>
          <w:rFonts w:hint="eastAsia" w:ascii="宋体" w:hAnsi="宋体" w:cs="宋体"/>
          <w:snapToGrid w:val="0"/>
          <w:color w:val="auto"/>
          <w:szCs w:val="21"/>
          <w:highlight w:val="none"/>
          <w:shd w:val="clear" w:color="auto" w:fill="FFFFFF"/>
        </w:rPr>
      </w:pPr>
    </w:p>
    <w:p w14:paraId="58531FFB">
      <w:pPr>
        <w:snapToGrid w:val="0"/>
        <w:spacing w:line="360" w:lineRule="auto"/>
        <w:ind w:firstLine="5044" w:firstLineChars="2402"/>
        <w:rPr>
          <w:rFonts w:hint="eastAsia" w:ascii="宋体" w:hAnsi="宋体" w:cs="宋体"/>
          <w:color w:val="auto"/>
          <w:szCs w:val="21"/>
          <w:highlight w:val="none"/>
        </w:rPr>
      </w:pPr>
      <w:r>
        <w:rPr>
          <w:rFonts w:hint="eastAsia" w:ascii="宋体" w:hAnsi="宋体" w:cs="宋体"/>
          <w:color w:val="auto"/>
          <w:szCs w:val="21"/>
          <w:highlight w:val="none"/>
        </w:rPr>
        <w:t>签订日期：</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5A7E4E08">
      <w:pPr>
        <w:snapToGrid w:val="0"/>
        <w:spacing w:line="360" w:lineRule="auto"/>
        <w:rPr>
          <w:rFonts w:hint="eastAsia" w:ascii="宋体" w:hAnsi="宋体" w:cs="宋体"/>
          <w:color w:val="auto"/>
          <w:szCs w:val="21"/>
          <w:highlight w:val="none"/>
        </w:rPr>
      </w:pPr>
    </w:p>
    <w:p w14:paraId="690F7AA0">
      <w:pPr>
        <w:pStyle w:val="10"/>
        <w:rPr>
          <w:rFonts w:hint="eastAsia" w:hAnsi="宋体" w:cs="宋体"/>
          <w:color w:val="auto"/>
          <w:highlight w:val="none"/>
        </w:rPr>
      </w:pPr>
    </w:p>
    <w:p w14:paraId="22F6DE4A">
      <w:pPr>
        <w:snapToGrid w:val="0"/>
        <w:spacing w:line="360" w:lineRule="auto"/>
        <w:rPr>
          <w:rFonts w:hint="eastAsia" w:ascii="宋体" w:hAnsi="宋体" w:cs="宋体"/>
          <w:color w:val="auto"/>
          <w:sz w:val="28"/>
          <w:szCs w:val="28"/>
          <w:highlight w:val="none"/>
        </w:rPr>
      </w:pPr>
    </w:p>
    <w:p w14:paraId="027E117E">
      <w:pPr>
        <w:snapToGrid w:val="0"/>
        <w:spacing w:line="360" w:lineRule="auto"/>
        <w:rPr>
          <w:rFonts w:hint="eastAsia" w:ascii="宋体" w:hAnsi="宋体" w:cs="宋体"/>
          <w:color w:val="auto"/>
          <w:sz w:val="28"/>
          <w:szCs w:val="28"/>
          <w:highlight w:val="none"/>
        </w:rPr>
      </w:pPr>
    </w:p>
    <w:p w14:paraId="1A965AC1">
      <w:pPr>
        <w:snapToGrid w:val="0"/>
        <w:spacing w:line="360" w:lineRule="auto"/>
        <w:rPr>
          <w:rFonts w:hint="eastAsia" w:ascii="宋体" w:hAnsi="宋体" w:cs="宋体"/>
          <w:color w:val="auto"/>
          <w:sz w:val="28"/>
          <w:szCs w:val="28"/>
          <w:highlight w:val="none"/>
        </w:rPr>
      </w:pPr>
    </w:p>
    <w:p w14:paraId="6CAE8937">
      <w:pPr>
        <w:snapToGrid w:val="0"/>
        <w:spacing w:line="360" w:lineRule="auto"/>
        <w:rPr>
          <w:rFonts w:hint="eastAsia" w:ascii="宋体" w:hAnsi="宋体" w:cs="宋体"/>
          <w:color w:val="auto"/>
          <w:sz w:val="28"/>
          <w:szCs w:val="28"/>
          <w:highlight w:val="none"/>
        </w:rPr>
      </w:pPr>
    </w:p>
    <w:p w14:paraId="700EB71D">
      <w:pPr>
        <w:snapToGrid w:val="0"/>
        <w:spacing w:line="360" w:lineRule="auto"/>
        <w:rPr>
          <w:rFonts w:hint="eastAsia" w:ascii="宋体" w:hAnsi="宋体" w:cs="宋体"/>
          <w:color w:val="auto"/>
          <w:sz w:val="28"/>
          <w:szCs w:val="28"/>
          <w:highlight w:val="none"/>
        </w:rPr>
      </w:pPr>
    </w:p>
    <w:p w14:paraId="1BF0D7D7">
      <w:pPr>
        <w:snapToGrid w:val="0"/>
        <w:spacing w:line="360" w:lineRule="auto"/>
        <w:rPr>
          <w:rFonts w:hint="eastAsia" w:ascii="宋体" w:hAnsi="宋体" w:cs="宋体"/>
          <w:color w:val="auto"/>
          <w:szCs w:val="21"/>
          <w:highlight w:val="none"/>
        </w:rPr>
      </w:pPr>
    </w:p>
    <w:p w14:paraId="08A88DA4">
      <w:pPr>
        <w:snapToGrid w:val="0"/>
        <w:spacing w:line="360" w:lineRule="auto"/>
        <w:rPr>
          <w:rFonts w:hint="eastAsia" w:ascii="宋体" w:hAnsi="宋体" w:cs="宋体"/>
          <w:color w:val="auto"/>
          <w:szCs w:val="21"/>
          <w:highlight w:val="none"/>
        </w:rPr>
      </w:pPr>
    </w:p>
    <w:p w14:paraId="35B85A04">
      <w:pPr>
        <w:snapToGrid w:val="0"/>
        <w:spacing w:line="360" w:lineRule="auto"/>
        <w:rPr>
          <w:rFonts w:hint="eastAsia" w:ascii="宋体" w:hAnsi="宋体" w:cs="宋体"/>
          <w:color w:val="auto"/>
          <w:szCs w:val="21"/>
          <w:highlight w:val="none"/>
        </w:rPr>
      </w:pPr>
    </w:p>
    <w:p w14:paraId="5622C9D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附件2：  安全生产目标责任书</w:t>
      </w:r>
    </w:p>
    <w:p w14:paraId="213F1F40">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安全生产目标责任书</w:t>
      </w:r>
    </w:p>
    <w:p w14:paraId="670B5F86">
      <w:pPr>
        <w:snapToGrid w:val="0"/>
        <w:spacing w:line="360" w:lineRule="auto"/>
        <w:jc w:val="center"/>
        <w:rPr>
          <w:rFonts w:hint="eastAsia" w:ascii="宋体" w:hAnsi="宋体" w:cs="宋体"/>
          <w:color w:val="auto"/>
          <w:szCs w:val="21"/>
          <w:highlight w:val="none"/>
        </w:rPr>
      </w:pPr>
    </w:p>
    <w:p w14:paraId="173B68E4">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为在</w:t>
      </w:r>
      <w:r>
        <w:rPr>
          <w:rFonts w:hint="eastAsia" w:ascii="宋体" w:hAnsi="宋体" w:cs="宋体"/>
          <w:color w:val="auto"/>
          <w:szCs w:val="21"/>
          <w:highlight w:val="none"/>
          <w:u w:val="single"/>
          <w:lang w:eastAsia="zh-CN"/>
        </w:rPr>
        <w:t>八堡排水泵站运行和日常维修养护项目</w:t>
      </w:r>
      <w:r>
        <w:rPr>
          <w:rFonts w:hint="eastAsia" w:ascii="宋体" w:hAnsi="宋体" w:cs="宋体"/>
          <w:color w:val="auto"/>
          <w:szCs w:val="21"/>
          <w:highlight w:val="none"/>
        </w:rPr>
        <w:t xml:space="preserve"> 承发包合同的实施过程中创造安全、高效的运行环境，切实搞好本项目的安全管理工作，本项目业主 </w:t>
      </w:r>
      <w:r>
        <w:rPr>
          <w:rFonts w:hint="eastAsia" w:ascii="宋体" w:hAnsi="宋体" w:cs="宋体"/>
          <w:color w:val="auto"/>
          <w:szCs w:val="21"/>
          <w:highlight w:val="none"/>
          <w:u w:val="single"/>
        </w:rPr>
        <w:t>杭州市南排工程建设管理服务中心</w:t>
      </w:r>
      <w:r>
        <w:rPr>
          <w:rFonts w:hint="eastAsia" w:ascii="宋体" w:hAnsi="宋体" w:cs="宋体"/>
          <w:color w:val="auto"/>
          <w:szCs w:val="21"/>
          <w:highlight w:val="none"/>
        </w:rPr>
        <w:t xml:space="preserve"> （以下简称：“甲方”）与中标人（以下简称“乙方”）特此签订安全生产责任书。</w:t>
      </w:r>
    </w:p>
    <w:p w14:paraId="5275E38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一、甲方职责</w:t>
      </w:r>
    </w:p>
    <w:p w14:paraId="3BF2DA0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1．严格遵守国家有关安全生产的法律法规，认真执行工程承包合同中的有关安全要求。</w:t>
      </w:r>
    </w:p>
    <w:p w14:paraId="51AF50F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2．按照“安全第一、预防为主、综合治理”和坚持“管生产必须管安全”的原则进行安全生产管理，做到生产与安全工作同时计划、布置、检查、总结和评比。</w:t>
      </w:r>
    </w:p>
    <w:p w14:paraId="0D3BB35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3．重要的安全设施必须坚持与主体工程“三同时”的原则，即：同时设计、审批；同时施工，同时验收，投入使用。</w:t>
      </w:r>
    </w:p>
    <w:p w14:paraId="4D783AB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4．定期召开安全生产调度会，及时传达中央及地方有关安全生产的精神。</w:t>
      </w:r>
    </w:p>
    <w:p w14:paraId="4CA97A1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5．组织对乙方管理区域进行安全生产检查，监督乙方及时处理发现的各种安全隐患。</w:t>
      </w:r>
    </w:p>
    <w:p w14:paraId="1334B64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二、乙方职责</w:t>
      </w:r>
    </w:p>
    <w:p w14:paraId="1C2B468D">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1．严格遵守国家有关安全生产的法律法规、有关安全生产的规定，认真执行工程承包合同中的有关安全要求。</w:t>
      </w:r>
    </w:p>
    <w:p w14:paraId="304618E0">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2．坚持“安全第一、预防为主、综合治理”和“管生产必须管安全”的原则，加强安全生产宣传教育，增强全员安全生产意识，建立健全各项安全生产的管理机械和安全生产管理制度，有组织有领导地开展安全生产活动。各级领导、工程技术人员、生产管理人员和具体操作人员，必须熟悉和遵守本条款的各项规定，做到生产与安全工作同时计划、布置、检查、总结和评比。</w:t>
      </w:r>
    </w:p>
    <w:p w14:paraId="6C9DDDEA">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3．建立健全安全生产责任制。从派往项目实施的项目经理到普通技术人员（包括临时雇请的民工）的安全生产管理系统必须做到纵向到底，一环不漏；各职能部门、人员的安全生产责任制做到横向到边，人人有责。根据《水利工程合同监督检查办法》成立安全领导小组，项目经理任组长，是安全生产第一责任人，并设置兼职安全管理员一名。</w:t>
      </w:r>
    </w:p>
    <w:p w14:paraId="623F5D7D">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4．乙方在任何时候都应采取各种合理的预防措施，防止其员工发生任何违法、违禁、暴力或妨碍治安的行为。</w:t>
      </w:r>
    </w:p>
    <w:p w14:paraId="7DAE47F1">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5．乙方必须确保管理范围内消防安全，对于易燃易爆的材料应专门妥善保管，并配备足够的消防设施，所有工作人员都应熟悉消防设备的性能和使用方法；乙方不得将任何种类的爆炸物给予、易货或以其他方式转让给任何其他人，或允许、容忍上述行为。</w:t>
      </w:r>
    </w:p>
    <w:p w14:paraId="39769CD8">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6．操作人员上岗，必须按规定穿戴防护用品。乙方应保障管理范围内人员安全，随时检查操作人员劳动防护用品的穿戴情况，不按规定穿戴防护用品的人员不得上岗。</w:t>
      </w:r>
    </w:p>
    <w:p w14:paraId="6F842C7A">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7．所有机具设备和高空作业的设备均应定期检查，并有检查人员的签字记录，保证其处于完好状态；不合格的机具、设备和劳动保护用品严禁使用。</w:t>
      </w:r>
    </w:p>
    <w:p w14:paraId="41775785">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8．乙方在工程运行管理中必须制定相应的安全技术措施，工程运行现场必须具有相关的安全标志牌，确保工程设备安全运行。</w:t>
      </w:r>
    </w:p>
    <w:p w14:paraId="33DF8F40">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9．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02CBE8CF">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10．为确保中标人安全投入，安全生产措施费实行总价包干，项目实施过程中业主根据安全设施完成情况，据实支付。月计划中应说明下月安全生产措施费投入计划。乙方必须服从甲方对现场安全生产的管理。</w:t>
      </w:r>
    </w:p>
    <w:p w14:paraId="5244253B">
      <w:pPr>
        <w:pStyle w:val="10"/>
        <w:rPr>
          <w:rFonts w:hint="eastAsia" w:hAnsi="宋体" w:cs="宋体"/>
          <w:color w:val="auto"/>
          <w:sz w:val="21"/>
          <w:highlight w:val="none"/>
        </w:rPr>
      </w:pPr>
      <w:r>
        <w:rPr>
          <w:rFonts w:hint="eastAsia" w:hAnsi="宋体" w:cs="宋体"/>
          <w:color w:val="auto"/>
          <w:sz w:val="21"/>
          <w:highlight w:val="none"/>
        </w:rPr>
        <w:t xml:space="preserve">    11．乙方应每年开展一次泵站安全应急演练。</w:t>
      </w:r>
    </w:p>
    <w:p w14:paraId="65EED546">
      <w:pPr>
        <w:tabs>
          <w:tab w:val="left" w:pos="6150"/>
        </w:tabs>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三、违约责任</w:t>
      </w:r>
      <w:r>
        <w:rPr>
          <w:rFonts w:hint="eastAsia" w:ascii="宋体" w:hAnsi="宋体" w:cs="宋体"/>
          <w:color w:val="auto"/>
          <w:szCs w:val="21"/>
          <w:highlight w:val="none"/>
        </w:rPr>
        <w:tab/>
      </w:r>
    </w:p>
    <w:p w14:paraId="66E245F5">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如因甲方或乙方违约造成安全事故，将依法追究责任。</w:t>
      </w:r>
    </w:p>
    <w:p w14:paraId="29D85BD1">
      <w:pPr>
        <w:snapToGrid w:val="0"/>
        <w:spacing w:line="360" w:lineRule="auto"/>
        <w:ind w:firstLine="476" w:firstLineChars="227"/>
        <w:rPr>
          <w:rFonts w:hint="eastAsia" w:ascii="宋体" w:hAnsi="宋体" w:cs="宋体"/>
          <w:color w:val="auto"/>
          <w:szCs w:val="21"/>
          <w:highlight w:val="none"/>
        </w:rPr>
      </w:pPr>
      <w:r>
        <w:rPr>
          <w:rFonts w:hint="eastAsia" w:ascii="宋体" w:hAnsi="宋体" w:cs="宋体"/>
          <w:color w:val="auto"/>
          <w:szCs w:val="21"/>
          <w:highlight w:val="none"/>
        </w:rPr>
        <w:t>四、本责任书壹式拾贰份，具有同等法律效力。甲方柒份，乙方肆份，鉴证方壹份。</w:t>
      </w:r>
    </w:p>
    <w:p w14:paraId="41C2871E">
      <w:pPr>
        <w:pStyle w:val="10"/>
        <w:rPr>
          <w:rFonts w:hint="eastAsia" w:hAnsi="宋体" w:cs="宋体"/>
          <w:color w:val="auto"/>
          <w:sz w:val="21"/>
          <w:highlight w:val="none"/>
        </w:rPr>
      </w:pPr>
    </w:p>
    <w:p w14:paraId="16D5CBDC">
      <w:pPr>
        <w:snapToGrid w:val="0"/>
        <w:spacing w:line="360" w:lineRule="auto"/>
        <w:rPr>
          <w:rFonts w:hint="eastAsia" w:ascii="宋体" w:hAnsi="宋体" w:cs="宋体"/>
          <w:color w:val="auto"/>
          <w:szCs w:val="21"/>
          <w:highlight w:val="none"/>
        </w:rPr>
      </w:pPr>
    </w:p>
    <w:p w14:paraId="7301A9D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甲方(公章)：</w:t>
      </w:r>
      <w:r>
        <w:rPr>
          <w:rFonts w:hint="eastAsia" w:ascii="宋体" w:hAnsi="宋体" w:cs="宋体"/>
          <w:color w:val="auto"/>
          <w:szCs w:val="21"/>
          <w:highlight w:val="none"/>
          <w:u w:val="single"/>
        </w:rPr>
        <w:t xml:space="preserve">              </w:t>
      </w:r>
      <w:r>
        <w:rPr>
          <w:rFonts w:hint="eastAsia" w:ascii="宋体" w:hAnsi="宋体" w:cs="宋体"/>
          <w:color w:val="auto"/>
          <w:szCs w:val="21"/>
          <w:highlight w:val="none"/>
        </w:rPr>
        <w:t xml:space="preserve">              乙方(公章)：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407D53A0">
      <w:pPr>
        <w:snapToGrid w:val="0"/>
        <w:spacing w:line="360" w:lineRule="auto"/>
        <w:rPr>
          <w:rFonts w:hint="eastAsia" w:ascii="宋体" w:hAnsi="宋体" w:cs="宋体"/>
          <w:color w:val="auto"/>
          <w:szCs w:val="21"/>
          <w:highlight w:val="none"/>
        </w:rPr>
      </w:pPr>
    </w:p>
    <w:p w14:paraId="265E13A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239E7AC2">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437EF80F">
      <w:pPr>
        <w:snapToGrid w:val="0"/>
        <w:spacing w:line="360" w:lineRule="auto"/>
        <w:rPr>
          <w:rFonts w:hint="eastAsia" w:ascii="宋体" w:hAnsi="宋体" w:cs="宋体"/>
          <w:snapToGrid w:val="0"/>
          <w:color w:val="auto"/>
          <w:szCs w:val="21"/>
          <w:highlight w:val="none"/>
          <w:shd w:val="clear" w:color="auto" w:fill="FFFFFF"/>
        </w:rPr>
      </w:pPr>
    </w:p>
    <w:p w14:paraId="02439163">
      <w:pPr>
        <w:snapToGrid w:val="0"/>
        <w:spacing w:line="360" w:lineRule="auto"/>
        <w:rPr>
          <w:rFonts w:hint="eastAsia" w:ascii="宋体" w:hAnsi="宋体" w:cs="宋体"/>
          <w:snapToGrid w:val="0"/>
          <w:color w:val="auto"/>
          <w:w w:val="80"/>
          <w:szCs w:val="21"/>
          <w:highlight w:val="none"/>
          <w:u w:val="single"/>
          <w:shd w:val="clear" w:color="auto" w:fill="FFFFFF"/>
        </w:rPr>
      </w:pPr>
      <w:r>
        <w:rPr>
          <w:rFonts w:hint="eastAsia" w:ascii="宋体" w:hAnsi="宋体" w:cs="宋体"/>
          <w:snapToGrid w:val="0"/>
          <w:color w:val="auto"/>
          <w:szCs w:val="21"/>
          <w:highlight w:val="none"/>
          <w:shd w:val="clear" w:color="auto" w:fill="FFFFFF"/>
        </w:rPr>
        <w:t xml:space="preserve">地址：  </w:t>
      </w:r>
      <w:r>
        <w:rPr>
          <w:rFonts w:hint="eastAsia" w:ascii="宋体" w:hAnsi="宋体" w:cs="宋体"/>
          <w:snapToGrid w:val="0"/>
          <w:color w:val="auto"/>
          <w:w w:val="80"/>
          <w:szCs w:val="21"/>
          <w:highlight w:val="none"/>
          <w:u w:val="single"/>
          <w:shd w:val="clear" w:color="auto" w:fill="FFFFFF"/>
        </w:rPr>
        <w:t xml:space="preserve">杭州市钱塘区月雅路99号  </w:t>
      </w:r>
      <w:r>
        <w:rPr>
          <w:rFonts w:hint="eastAsia" w:ascii="宋体" w:hAnsi="宋体" w:cs="宋体"/>
          <w:snapToGrid w:val="0"/>
          <w:color w:val="auto"/>
          <w:szCs w:val="21"/>
          <w:highlight w:val="none"/>
          <w:u w:val="single"/>
          <w:shd w:val="clear" w:color="auto" w:fill="FFFFFF"/>
        </w:rPr>
        <w:t xml:space="preserve">     </w:t>
      </w:r>
      <w:r>
        <w:rPr>
          <w:rFonts w:hint="eastAsia" w:ascii="宋体" w:hAnsi="宋体" w:cs="宋体"/>
          <w:snapToGrid w:val="0"/>
          <w:color w:val="auto"/>
          <w:szCs w:val="21"/>
          <w:highlight w:val="none"/>
          <w:shd w:val="clear" w:color="auto" w:fill="FFFFFF"/>
        </w:rPr>
        <w:t xml:space="preserve">             地址：</w:t>
      </w:r>
    </w:p>
    <w:p w14:paraId="04F70E31">
      <w:pPr>
        <w:snapToGrid w:val="0"/>
        <w:spacing w:line="360" w:lineRule="auto"/>
        <w:rPr>
          <w:rFonts w:hint="eastAsia" w:ascii="宋体" w:hAnsi="宋体" w:cs="宋体"/>
          <w:color w:val="auto"/>
          <w:szCs w:val="21"/>
          <w:highlight w:val="none"/>
        </w:rPr>
      </w:pPr>
      <w:r>
        <w:rPr>
          <w:rFonts w:hint="eastAsia" w:ascii="宋体" w:hAnsi="宋体" w:cs="宋体"/>
          <w:snapToGrid w:val="0"/>
          <w:color w:val="auto"/>
          <w:szCs w:val="21"/>
          <w:highlight w:val="none"/>
          <w:shd w:val="clear" w:color="auto" w:fill="FFFFFF"/>
        </w:rPr>
        <w:t>电话：</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snapToGrid w:val="0"/>
          <w:color w:val="auto"/>
          <w:szCs w:val="21"/>
          <w:highlight w:val="none"/>
          <w:u w:val="single"/>
          <w:shd w:val="clear" w:color="auto" w:fill="FFFFFF"/>
          <w:lang w:val="en-US" w:eastAsia="zh-CN"/>
        </w:rPr>
        <w:t xml:space="preserve">                          </w:t>
      </w:r>
      <w:r>
        <w:rPr>
          <w:rFonts w:hint="eastAsia" w:ascii="宋体" w:hAnsi="宋体" w:cs="宋体"/>
          <w:snapToGrid w:val="0"/>
          <w:color w:val="auto"/>
          <w:szCs w:val="21"/>
          <w:highlight w:val="none"/>
          <w:shd w:val="clear" w:color="auto" w:fill="FFFFFF"/>
          <w:lang w:val="en-US" w:eastAsia="zh-CN"/>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3320626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   </w:t>
      </w:r>
    </w:p>
    <w:p w14:paraId="71612252">
      <w:pPr>
        <w:snapToGrid w:val="0"/>
        <w:spacing w:line="360" w:lineRule="auto"/>
        <w:ind w:firstLine="567"/>
        <w:rPr>
          <w:rFonts w:hint="eastAsia" w:ascii="宋体" w:hAnsi="宋体" w:cs="宋体"/>
          <w:snapToGrid w:val="0"/>
          <w:color w:val="auto"/>
          <w:szCs w:val="21"/>
          <w:highlight w:val="none"/>
          <w:shd w:val="clear" w:color="auto" w:fill="FFFFFF"/>
        </w:rPr>
      </w:pPr>
    </w:p>
    <w:p w14:paraId="61CB1586">
      <w:pPr>
        <w:snapToGrid w:val="0"/>
        <w:spacing w:line="360" w:lineRule="auto"/>
        <w:ind w:firstLine="4834" w:firstLineChars="2302"/>
        <w:rPr>
          <w:rFonts w:hint="eastAsia" w:ascii="宋体" w:hAnsi="宋体" w:cs="宋体"/>
          <w:color w:val="auto"/>
          <w:szCs w:val="21"/>
          <w:highlight w:val="none"/>
        </w:rPr>
      </w:pPr>
      <w:r>
        <w:rPr>
          <w:rFonts w:hint="eastAsia" w:ascii="宋体" w:hAnsi="宋体" w:cs="宋体"/>
          <w:color w:val="auto"/>
          <w:szCs w:val="21"/>
          <w:highlight w:val="none"/>
        </w:rPr>
        <w:t>签订日期：</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23F5FF13">
      <w:pPr>
        <w:snapToGrid w:val="0"/>
        <w:ind w:firstLine="2944" w:firstLineChars="1402"/>
        <w:rPr>
          <w:rFonts w:hint="eastAsia" w:ascii="宋体" w:hAnsi="宋体" w:cs="宋体"/>
          <w:color w:val="auto"/>
          <w:szCs w:val="21"/>
          <w:highlight w:val="none"/>
        </w:rPr>
      </w:pPr>
    </w:p>
    <w:p w14:paraId="5D978F18">
      <w:pPr>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7B370DB7">
      <w:pPr>
        <w:pStyle w:val="3"/>
        <w:ind w:left="852"/>
        <w:jc w:val="center"/>
        <w:rPr>
          <w:rFonts w:hint="eastAsia" w:ascii="宋体" w:hAnsi="宋体" w:cs="宋体"/>
          <w:b w:val="0"/>
          <w:color w:val="auto"/>
          <w:sz w:val="36"/>
          <w:szCs w:val="20"/>
          <w:highlight w:val="none"/>
        </w:rPr>
      </w:pPr>
      <w:r>
        <w:rPr>
          <w:rFonts w:hint="eastAsia" w:ascii="宋体" w:hAnsi="宋体" w:cs="宋体"/>
          <w:color w:val="auto"/>
          <w:sz w:val="36"/>
          <w:szCs w:val="20"/>
          <w:highlight w:val="none"/>
        </w:rPr>
        <w:t>第六部分</w:t>
      </w:r>
      <w:bookmarkEnd w:id="454"/>
      <w:bookmarkEnd w:id="455"/>
      <w:r>
        <w:rPr>
          <w:rFonts w:hint="eastAsia" w:ascii="宋体" w:hAnsi="宋体" w:cs="宋体"/>
          <w:color w:val="auto"/>
          <w:sz w:val="36"/>
          <w:szCs w:val="20"/>
          <w:highlight w:val="none"/>
          <w:lang w:val="en-US" w:eastAsia="zh-CN"/>
        </w:rPr>
        <w:t xml:space="preserve"> </w:t>
      </w:r>
      <w:r>
        <w:rPr>
          <w:rFonts w:hint="eastAsia" w:ascii="宋体" w:hAnsi="宋体" w:cs="宋体"/>
          <w:color w:val="auto"/>
          <w:sz w:val="36"/>
          <w:szCs w:val="20"/>
          <w:highlight w:val="none"/>
        </w:rPr>
        <w:t>应提交的有关格式范例</w:t>
      </w:r>
    </w:p>
    <w:p w14:paraId="5ADA5B7B">
      <w:pPr>
        <w:pStyle w:val="4"/>
        <w:ind w:left="420"/>
        <w:jc w:val="center"/>
        <w:rPr>
          <w:rFonts w:hint="eastAsia" w:ascii="宋体" w:hAnsi="宋体" w:eastAsia="宋体"/>
          <w:b w:val="0"/>
          <w:color w:val="auto"/>
          <w:kern w:val="0"/>
          <w:sz w:val="32"/>
          <w:szCs w:val="32"/>
          <w:highlight w:val="none"/>
        </w:rPr>
      </w:pPr>
      <w:r>
        <w:rPr>
          <w:rFonts w:hint="eastAsia" w:ascii="宋体" w:hAnsi="宋体" w:eastAsia="宋体"/>
          <w:color w:val="auto"/>
          <w:kern w:val="0"/>
          <w:sz w:val="32"/>
          <w:szCs w:val="32"/>
          <w:highlight w:val="none"/>
        </w:rPr>
        <w:t>资格文件部分</w:t>
      </w:r>
    </w:p>
    <w:p w14:paraId="48363AB3">
      <w:pPr>
        <w:jc w:val="center"/>
        <w:rPr>
          <w:rFonts w:hint="eastAsia" w:ascii="宋体" w:hAnsi="宋体" w:cs="宋体"/>
          <w:b/>
          <w:color w:val="auto"/>
          <w:kern w:val="0"/>
          <w:sz w:val="32"/>
          <w:szCs w:val="32"/>
          <w:highlight w:val="none"/>
        </w:rPr>
      </w:pPr>
    </w:p>
    <w:p w14:paraId="5A7BB4DA">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目录</w:t>
      </w:r>
    </w:p>
    <w:p w14:paraId="3FFE65A8">
      <w:pPr>
        <w:pStyle w:val="2"/>
        <w:rPr>
          <w:rFonts w:hint="eastAsia"/>
          <w:color w:val="auto"/>
          <w:highlight w:val="none"/>
        </w:rPr>
      </w:pPr>
    </w:p>
    <w:p w14:paraId="6E72BF46">
      <w:pPr>
        <w:numPr>
          <w:ilvl w:val="0"/>
          <w:numId w:val="12"/>
        </w:numPr>
        <w:snapToGrid w:val="0"/>
        <w:spacing w:line="360" w:lineRule="auto"/>
        <w:ind w:left="420"/>
        <w:rPr>
          <w:rFonts w:hint="eastAsia" w:ascii="宋体" w:hAnsi="宋体" w:cs="宋体"/>
          <w:color w:val="auto"/>
          <w:sz w:val="24"/>
          <w:highlight w:val="none"/>
        </w:rPr>
      </w:pPr>
      <w:r>
        <w:rPr>
          <w:rFonts w:hint="eastAsia" w:ascii="宋体" w:hAnsi="宋体" w:cs="宋体"/>
          <w:color w:val="auto"/>
          <w:sz w:val="24"/>
          <w:highlight w:val="none"/>
        </w:rPr>
        <w:t>符合参加政府采购活动应当具备的一般条件的承诺函……………（页码）</w:t>
      </w:r>
    </w:p>
    <w:p w14:paraId="43441959">
      <w:pPr>
        <w:numPr>
          <w:ilvl w:val="0"/>
          <w:numId w:val="12"/>
        </w:numPr>
        <w:snapToGrid w:val="0"/>
        <w:spacing w:line="360" w:lineRule="auto"/>
        <w:ind w:left="420"/>
        <w:rPr>
          <w:rFonts w:hint="eastAsia" w:ascii="宋体" w:hAnsi="宋体" w:cs="宋体"/>
          <w:color w:val="auto"/>
          <w:sz w:val="24"/>
          <w:highlight w:val="none"/>
        </w:rPr>
      </w:pPr>
      <w:r>
        <w:rPr>
          <w:rFonts w:hint="eastAsia" w:ascii="宋体" w:hAnsi="宋体" w:cs="宋体"/>
          <w:snapToGrid w:val="0"/>
          <w:color w:val="auto"/>
          <w:kern w:val="28"/>
          <w:sz w:val="24"/>
          <w:szCs w:val="20"/>
          <w:highlight w:val="none"/>
        </w:rPr>
        <w:t>联合协议</w:t>
      </w:r>
      <w:r>
        <w:rPr>
          <w:rFonts w:hint="eastAsia" w:ascii="宋体" w:hAnsi="宋体" w:cs="宋体"/>
          <w:color w:val="auto"/>
          <w:sz w:val="24"/>
          <w:highlight w:val="none"/>
        </w:rPr>
        <w:t>………………………………………………………………（页码）</w:t>
      </w:r>
    </w:p>
    <w:p w14:paraId="471486F7">
      <w:pPr>
        <w:numPr>
          <w:ilvl w:val="0"/>
          <w:numId w:val="12"/>
        </w:numPr>
        <w:snapToGrid w:val="0"/>
        <w:spacing w:line="360" w:lineRule="auto"/>
        <w:ind w:left="420"/>
        <w:rPr>
          <w:rFonts w:hint="eastAsia" w:ascii="宋体" w:hAnsi="宋体" w:cs="宋体"/>
          <w:color w:val="auto"/>
          <w:sz w:val="24"/>
          <w:highlight w:val="none"/>
        </w:rPr>
      </w:pPr>
      <w:r>
        <w:rPr>
          <w:rFonts w:hint="eastAsia" w:ascii="宋体" w:hAnsi="宋体" w:cs="宋体"/>
          <w:color w:val="auto"/>
          <w:sz w:val="24"/>
          <w:highlight w:val="none"/>
        </w:rPr>
        <w:t>落实政府采购政策需满足的资格要求………………………………（页码）</w:t>
      </w:r>
    </w:p>
    <w:p w14:paraId="56DAAE35">
      <w:pPr>
        <w:numPr>
          <w:ilvl w:val="0"/>
          <w:numId w:val="12"/>
        </w:numPr>
        <w:snapToGrid w:val="0"/>
        <w:spacing w:line="360" w:lineRule="auto"/>
        <w:ind w:left="420"/>
        <w:rPr>
          <w:rFonts w:hint="eastAsia" w:ascii="宋体" w:hAnsi="宋体" w:cs="宋体"/>
          <w:color w:val="auto"/>
          <w:sz w:val="24"/>
          <w:highlight w:val="none"/>
        </w:rPr>
      </w:pPr>
      <w:r>
        <w:rPr>
          <w:rFonts w:hint="eastAsia" w:ascii="宋体" w:hAnsi="宋体" w:cs="宋体"/>
          <w:color w:val="auto"/>
          <w:sz w:val="24"/>
          <w:highlight w:val="none"/>
        </w:rPr>
        <w:t>本项目的特定资格要求………………………………………………（页码）</w:t>
      </w:r>
    </w:p>
    <w:p w14:paraId="2563EEC6">
      <w:pPr>
        <w:snapToGrid w:val="0"/>
        <w:spacing w:line="360" w:lineRule="auto"/>
        <w:ind w:firstLine="480" w:firstLineChars="200"/>
        <w:rPr>
          <w:rFonts w:hint="eastAsia" w:ascii="宋体" w:hAnsi="宋体" w:cs="宋体"/>
          <w:color w:val="auto"/>
          <w:sz w:val="24"/>
          <w:highlight w:val="none"/>
        </w:rPr>
      </w:pPr>
    </w:p>
    <w:p w14:paraId="72DF5879">
      <w:pPr>
        <w:spacing w:line="360" w:lineRule="auto"/>
        <w:ind w:firstLine="480" w:firstLineChars="200"/>
        <w:rPr>
          <w:rFonts w:hint="eastAsia" w:ascii="宋体" w:hAnsi="宋体" w:cs="宋体"/>
          <w:color w:val="auto"/>
          <w:sz w:val="24"/>
          <w:highlight w:val="none"/>
        </w:rPr>
      </w:pPr>
    </w:p>
    <w:p w14:paraId="6929F5A5">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color w:val="auto"/>
          <w:kern w:val="0"/>
          <w:sz w:val="32"/>
          <w:szCs w:val="32"/>
          <w:highlight w:val="none"/>
        </w:rPr>
        <w:t>一、 符合参加政府采购活动应当具备的一般条件的承诺函</w:t>
      </w:r>
    </w:p>
    <w:p w14:paraId="48E69006">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p>
    <w:p w14:paraId="2AF13BF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我方参与贵单位</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】政府采购活动，郑重承诺：</w:t>
      </w:r>
    </w:p>
    <w:p w14:paraId="7F6639E5">
      <w:pPr>
        <w:snapToGrid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65C24E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08098A1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400557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1484AD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2E4E92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1EFF54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33DD0E27">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（二）未被“信用中国”（www.creditchina.gov.cn)、中国政府采购网（www.ccgp.gov.cn）列入失信被执行人、重大税收违法失信主体、政府采购严重违法失信行为记录名单。</w:t>
      </w:r>
    </w:p>
    <w:p w14:paraId="74AA72D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（三）不存在以下情况：</w:t>
      </w:r>
    </w:p>
    <w:p w14:paraId="208350B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单位负责人为同一人或者存在直接控股、管理关系的不同供应商参加同一合同项下的政府采购活动的。</w:t>
      </w:r>
    </w:p>
    <w:p w14:paraId="667E0147">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72A1CE0B">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E1C794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12BD34D">
      <w:pPr>
        <w:widowControl/>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5DED03A">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二、联合协议（如果有）</w:t>
      </w:r>
    </w:p>
    <w:p w14:paraId="57AAF5B1">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4FA652F">
      <w:pPr>
        <w:snapToGrid w:val="0"/>
        <w:spacing w:line="360" w:lineRule="auto"/>
        <w:ind w:right="480"/>
        <w:jc w:val="center"/>
        <w:rPr>
          <w:rFonts w:hint="eastAsia" w:ascii="宋体" w:hAnsi="宋体" w:cs="宋体"/>
          <w:b/>
          <w:color w:val="auto"/>
          <w:kern w:val="0"/>
          <w:sz w:val="32"/>
          <w:szCs w:val="32"/>
          <w:highlight w:val="none"/>
        </w:rPr>
      </w:pPr>
    </w:p>
    <w:p w14:paraId="38318550">
      <w:pPr>
        <w:snapToGrid w:val="0"/>
        <w:spacing w:line="360" w:lineRule="auto"/>
        <w:ind w:right="480"/>
        <w:jc w:val="center"/>
        <w:rPr>
          <w:rFonts w:hint="eastAsia" w:ascii="宋体" w:hAnsi="宋体" w:cs="宋体"/>
          <w:b/>
          <w:color w:val="auto"/>
          <w:kern w:val="0"/>
          <w:sz w:val="32"/>
          <w:szCs w:val="32"/>
          <w:highlight w:val="none"/>
        </w:rPr>
      </w:pPr>
    </w:p>
    <w:p w14:paraId="1E66E27E">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三、落实政府采购政策需满足的资格要求</w:t>
      </w:r>
    </w:p>
    <w:p w14:paraId="0C68C575">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598D7B33">
      <w:pPr>
        <w:snapToGrid w:val="0"/>
        <w:spacing w:before="50" w:after="50" w:line="360" w:lineRule="auto"/>
        <w:ind w:firstLine="630" w:firstLineChars="196"/>
        <w:jc w:val="center"/>
        <w:rPr>
          <w:rFonts w:hint="eastAsia" w:ascii="宋体" w:hAnsi="宋体" w:cs="宋体"/>
          <w:b/>
          <w:color w:val="auto"/>
          <w:sz w:val="32"/>
          <w:szCs w:val="28"/>
          <w:highlight w:val="none"/>
          <w:lang w:val="en-US" w:eastAsia="zh-CN"/>
        </w:rPr>
      </w:pPr>
      <w:r>
        <w:rPr>
          <w:rFonts w:hint="eastAsia" w:ascii="宋体" w:hAnsi="宋体" w:cs="宋体"/>
          <w:b/>
          <w:color w:val="auto"/>
          <w:sz w:val="32"/>
          <w:szCs w:val="28"/>
          <w:highlight w:val="none"/>
          <w:lang w:val="en-US" w:eastAsia="zh-CN"/>
        </w:rPr>
        <w:t>无</w:t>
      </w:r>
    </w:p>
    <w:p w14:paraId="47EF63F8">
      <w:pPr>
        <w:snapToGrid w:val="0"/>
        <w:spacing w:before="50" w:after="50" w:line="360" w:lineRule="auto"/>
        <w:ind w:firstLine="472" w:firstLineChars="196"/>
        <w:jc w:val="left"/>
        <w:rPr>
          <w:rFonts w:hint="eastAsia" w:ascii="宋体" w:hAnsi="宋体" w:cs="宋体"/>
          <w:b/>
          <w:color w:val="auto"/>
          <w:sz w:val="24"/>
          <w:highlight w:val="none"/>
          <w:lang w:val="en-US" w:eastAsia="zh-CN"/>
        </w:rPr>
      </w:pPr>
    </w:p>
    <w:p w14:paraId="2A85C4A4">
      <w:pPr>
        <w:snapToGrid w:val="0"/>
        <w:spacing w:before="50" w:after="50"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.专门面向中小企业，服务全部由符合政策要求的中小企业（或小微企业）承接的，提供相应的中小企业声明函（附件7）。 </w:t>
      </w:r>
    </w:p>
    <w:p w14:paraId="2DF86FAA">
      <w:pPr>
        <w:widowControl/>
        <w:spacing w:line="360" w:lineRule="auto"/>
        <w:ind w:firstLine="480"/>
        <w:jc w:val="left"/>
        <w:rPr>
          <w:rFonts w:hint="eastAsia" w:ascii="宋体" w:hAnsi="宋体" w:cs="宋体"/>
          <w:color w:val="auto"/>
          <w:sz w:val="24"/>
          <w:highlight w:val="none"/>
        </w:rPr>
      </w:pPr>
    </w:p>
    <w:p w14:paraId="34B92946">
      <w:pPr>
        <w:widowControl/>
        <w:spacing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C0B7435">
      <w:pPr>
        <w:snapToGrid w:val="0"/>
        <w:spacing w:before="50" w:after="50" w:line="360" w:lineRule="auto"/>
        <w:jc w:val="center"/>
        <w:rPr>
          <w:rFonts w:hint="eastAsia" w:ascii="宋体" w:hAnsi="宋体" w:cs="宋体"/>
          <w:color w:val="auto"/>
          <w:sz w:val="24"/>
          <w:highlight w:val="none"/>
        </w:rPr>
      </w:pPr>
    </w:p>
    <w:p w14:paraId="07550684">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15119730">
      <w:pPr>
        <w:widowControl/>
        <w:spacing w:line="360" w:lineRule="auto"/>
        <w:ind w:left="420"/>
        <w:jc w:val="center"/>
        <w:rPr>
          <w:rFonts w:hint="eastAsia" w:ascii="宋体" w:hAnsi="宋体" w:cs="宋体"/>
          <w:b/>
          <w:color w:val="auto"/>
          <w:kern w:val="0"/>
          <w:sz w:val="32"/>
          <w:szCs w:val="32"/>
          <w:highlight w:val="none"/>
        </w:rPr>
      </w:pPr>
    </w:p>
    <w:p w14:paraId="21E2A9F7">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四、本项目的特定资格要求（如果有）</w:t>
      </w:r>
    </w:p>
    <w:p w14:paraId="7DC7315B">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1DE12CEE">
      <w:pPr>
        <w:widowControl/>
        <w:jc w:val="left"/>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1DD34744">
      <w:pPr>
        <w:pStyle w:val="4"/>
        <w:ind w:left="420"/>
        <w:jc w:val="center"/>
        <w:rPr>
          <w:rFonts w:hint="eastAsia" w:ascii="宋体" w:hAnsi="宋体" w:eastAsia="宋体"/>
          <w:b w:val="0"/>
          <w:color w:val="auto"/>
          <w:kern w:val="0"/>
          <w:sz w:val="36"/>
          <w:szCs w:val="36"/>
          <w:highlight w:val="none"/>
        </w:rPr>
      </w:pPr>
      <w:r>
        <w:rPr>
          <w:rFonts w:hint="eastAsia" w:ascii="宋体" w:hAnsi="宋体" w:eastAsia="宋体"/>
          <w:color w:val="auto"/>
          <w:kern w:val="0"/>
          <w:sz w:val="36"/>
          <w:szCs w:val="36"/>
          <w:highlight w:val="none"/>
        </w:rPr>
        <w:t>商务技术文件部分</w:t>
      </w:r>
    </w:p>
    <w:p w14:paraId="29347DEF">
      <w:pPr>
        <w:snapToGrid w:val="0"/>
        <w:spacing w:line="360" w:lineRule="auto"/>
        <w:jc w:val="center"/>
        <w:rPr>
          <w:rFonts w:hint="eastAsia" w:ascii="宋体" w:hAnsi="宋体" w:cs="宋体"/>
          <w:b/>
          <w:color w:val="auto"/>
          <w:kern w:val="0"/>
          <w:sz w:val="32"/>
          <w:szCs w:val="32"/>
          <w:highlight w:val="none"/>
          <w:lang w:val="zh-CN"/>
        </w:rPr>
      </w:pPr>
    </w:p>
    <w:p w14:paraId="011BB913">
      <w:pPr>
        <w:jc w:val="center"/>
        <w:rPr>
          <w:rFonts w:hint="eastAsia" w:ascii="宋体" w:hAnsi="宋体" w:cs="宋体"/>
          <w:b/>
          <w:color w:val="auto"/>
          <w:kern w:val="0"/>
          <w:sz w:val="32"/>
          <w:szCs w:val="32"/>
          <w:highlight w:val="none"/>
        </w:rPr>
      </w:pPr>
    </w:p>
    <w:p w14:paraId="2B66A205">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目  录</w:t>
      </w:r>
    </w:p>
    <w:p w14:paraId="36F49660">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投标函…………………………………………………………………………（页码）</w:t>
      </w:r>
    </w:p>
    <w:p w14:paraId="27DB99EA">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授权委托书或法定代表人（单位负责人、自然人本人）身份证明………（页码）</w:t>
      </w:r>
    </w:p>
    <w:p w14:paraId="113D38AA">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分包意向协议…………………………………………………………………（页码）</w:t>
      </w:r>
    </w:p>
    <w:p w14:paraId="2D820DD6">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符合性审查资料………………………………………………………………（页码）</w:t>
      </w:r>
    </w:p>
    <w:p w14:paraId="63C24120">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评标标准相应的商务技术资料………………………………………………（页码）</w:t>
      </w:r>
    </w:p>
    <w:p w14:paraId="782071B8">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投标标的清单…………………………………………………………………（页码）</w:t>
      </w:r>
    </w:p>
    <w:p w14:paraId="04DDCFF8">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rPr>
        <w:t>商务技术偏离表………………………………………………………………（页码）</w:t>
      </w:r>
    </w:p>
    <w:p w14:paraId="6BD6EC9D">
      <w:pPr>
        <w:numPr>
          <w:ilvl w:val="0"/>
          <w:numId w:val="13"/>
        </w:numPr>
        <w:snapToGrid w:val="0"/>
        <w:spacing w:line="360" w:lineRule="auto"/>
        <w:ind w:left="420" w:firstLine="0"/>
        <w:rPr>
          <w:rFonts w:hint="eastAsia" w:ascii="宋体" w:hAnsi="宋体" w:cs="宋体"/>
          <w:color w:val="auto"/>
          <w:sz w:val="24"/>
          <w:highlight w:val="none"/>
        </w:rPr>
      </w:pP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……………………………………………（页码）</w:t>
      </w:r>
    </w:p>
    <w:p w14:paraId="1492DEBB">
      <w:pPr>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br w:type="page"/>
      </w:r>
    </w:p>
    <w:p w14:paraId="541A012D">
      <w:pPr>
        <w:pStyle w:val="5"/>
        <w:rPr>
          <w:rFonts w:hint="eastAsia" w:ascii="宋体" w:hAnsi="宋体" w:eastAsia="宋体" w:cs="宋体"/>
          <w:b w:val="0"/>
          <w:color w:val="auto"/>
          <w:sz w:val="32"/>
          <w:szCs w:val="32"/>
          <w:highlight w:val="none"/>
        </w:rPr>
      </w:pPr>
      <w:r>
        <w:rPr>
          <w:rFonts w:hint="eastAsia" w:ascii="宋体" w:hAnsi="宋体" w:eastAsia="宋体" w:cs="宋体"/>
          <w:color w:val="auto"/>
          <w:kern w:val="0"/>
          <w:sz w:val="32"/>
          <w:szCs w:val="32"/>
          <w:highlight w:val="none"/>
        </w:rPr>
        <w:t>一、投标</w:t>
      </w:r>
      <w:r>
        <w:rPr>
          <w:rFonts w:hint="eastAsia" w:ascii="宋体" w:hAnsi="宋体" w:eastAsia="宋体" w:cs="宋体"/>
          <w:color w:val="auto"/>
          <w:sz w:val="32"/>
          <w:szCs w:val="32"/>
          <w:highlight w:val="none"/>
        </w:rPr>
        <w:t>函</w:t>
      </w:r>
    </w:p>
    <w:p w14:paraId="1937712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p>
    <w:p w14:paraId="2E9B6BE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】招标的有关活动，并对此项目进行投标。为此：</w:t>
      </w:r>
    </w:p>
    <w:p w14:paraId="64B279E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770DD9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2、我方的投标文件包括以下内容：</w:t>
      </w:r>
    </w:p>
    <w:p w14:paraId="5F847469">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2.1资格文件：</w:t>
      </w:r>
    </w:p>
    <w:p w14:paraId="54C7740A">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2.1.1承诺函；</w:t>
      </w:r>
    </w:p>
    <w:p w14:paraId="6308F7F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457" w:name="_Hlk101257010"/>
      <w:r>
        <w:rPr>
          <w:rFonts w:hint="eastAsia" w:ascii="宋体" w:hAnsi="宋体" w:cs="宋体"/>
          <w:color w:val="auto"/>
          <w:sz w:val="24"/>
          <w:highlight w:val="none"/>
        </w:rPr>
        <w:t>（如果有)</w:t>
      </w:r>
      <w:bookmarkEnd w:id="457"/>
      <w:r>
        <w:rPr>
          <w:rFonts w:hint="eastAsia" w:ascii="宋体" w:hAnsi="宋体" w:cs="宋体"/>
          <w:snapToGrid w:val="0"/>
          <w:color w:val="auto"/>
          <w:kern w:val="28"/>
          <w:sz w:val="24"/>
          <w:szCs w:val="20"/>
          <w:highlight w:val="none"/>
        </w:rPr>
        <w:t>；</w:t>
      </w:r>
    </w:p>
    <w:p w14:paraId="621BDA2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2.1.3落实政府采购政策需满足的资格要求（如果有）；</w:t>
      </w:r>
    </w:p>
    <w:p w14:paraId="28000FE1">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2.1.4本项目的特定资格要求（如果有)。</w:t>
      </w:r>
    </w:p>
    <w:p w14:paraId="78B3264D">
      <w:pPr>
        <w:snapToGrid w:val="0"/>
        <w:spacing w:line="360" w:lineRule="auto"/>
        <w:ind w:left="210" w:leftChars="1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2商务技术</w:t>
      </w:r>
      <w:r>
        <w:rPr>
          <w:rFonts w:hint="eastAsia" w:ascii="宋体" w:hAnsi="宋体" w:cs="宋体"/>
          <w:color w:val="auto"/>
          <w:sz w:val="24"/>
          <w:highlight w:val="none"/>
          <w:lang w:val="zh-CN"/>
        </w:rPr>
        <w:t>文件：</w:t>
      </w:r>
    </w:p>
    <w:p w14:paraId="5E953224">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2.2.1投标函；</w:t>
      </w:r>
    </w:p>
    <w:p w14:paraId="1C4ADE1E">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0D0FFA57">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2.2.3分包意向协议（如果有)；</w:t>
      </w:r>
    </w:p>
    <w:p w14:paraId="5420CD82">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2.2.4符合性审查资料；</w:t>
      </w:r>
    </w:p>
    <w:p w14:paraId="18E30BC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2.2.5评标标准相应的商务技术资料；</w:t>
      </w:r>
    </w:p>
    <w:p w14:paraId="4A6E6339">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2.2.6投标标的清单；</w:t>
      </w:r>
    </w:p>
    <w:p w14:paraId="0C7A4232">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2.2.7商务技术偏离表；</w:t>
      </w:r>
    </w:p>
    <w:p w14:paraId="669118E3">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65835DB">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9B9ED6E">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41B5BDF8">
      <w:pPr>
        <w:snapToGrid w:val="0"/>
        <w:spacing w:line="360" w:lineRule="auto"/>
        <w:ind w:left="420" w:leftChars="200"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2.3.2</w:t>
      </w:r>
      <w:r>
        <w:rPr>
          <w:rFonts w:hint="eastAsia" w:ascii="宋体" w:hAnsi="宋体" w:cs="宋体"/>
          <w:color w:val="auto"/>
          <w:sz w:val="24"/>
          <w:szCs w:val="24"/>
          <w:highlight w:val="none"/>
        </w:rPr>
        <w:t>报价情况说明（</w:t>
      </w:r>
      <w:r>
        <w:rPr>
          <w:rFonts w:hint="eastAsia" w:ascii="宋体" w:hAnsi="宋体" w:cs="宋体"/>
          <w:color w:val="auto"/>
          <w:sz w:val="24"/>
          <w:szCs w:val="24"/>
          <w:highlight w:val="none"/>
          <w:lang w:val="en-US" w:eastAsia="zh-CN"/>
        </w:rPr>
        <w:t>如果有</w:t>
      </w:r>
      <w:r>
        <w:rPr>
          <w:rFonts w:hint="eastAsia" w:ascii="宋体" w:hAnsi="宋体" w:cs="宋体"/>
          <w:color w:val="auto"/>
          <w:sz w:val="24"/>
          <w:szCs w:val="24"/>
          <w:highlight w:val="none"/>
        </w:rPr>
        <w:t>）</w:t>
      </w:r>
    </w:p>
    <w:p w14:paraId="7418B8A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2.3.3</w:t>
      </w:r>
      <w:r>
        <w:rPr>
          <w:rFonts w:hint="eastAsia" w:ascii="宋体" w:hAnsi="宋体" w:cs="宋体"/>
          <w:color w:val="auto"/>
          <w:sz w:val="24"/>
          <w:highlight w:val="none"/>
        </w:rPr>
        <w:t>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AB7C79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123A3B9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16763E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9BDF3E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47F77DB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7CA3A24">
      <w:pPr>
        <w:widowControl w:val="0"/>
        <w:numPr>
          <w:ilvl w:val="0"/>
          <w:numId w:val="0"/>
        </w:numPr>
        <w:spacing w:line="360" w:lineRule="auto"/>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4AF10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9B3194C">
      <w:pPr>
        <w:spacing w:line="360" w:lineRule="auto"/>
        <w:ind w:firstLine="4800" w:firstLineChars="20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1C62D46A">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19E43F0F">
      <w:pPr>
        <w:rPr>
          <w:rFonts w:hint="eastAsia" w:ascii="宋体" w:hAnsi="宋体" w:cs="宋体"/>
          <w:color w:val="auto"/>
          <w:highlight w:val="none"/>
        </w:rPr>
      </w:pPr>
      <w:r>
        <w:rPr>
          <w:rFonts w:hint="eastAsia" w:ascii="宋体" w:hAnsi="宋体" w:cs="宋体"/>
          <w:color w:val="auto"/>
          <w:highlight w:val="none"/>
        </w:rPr>
        <w:t xml:space="preserve">注：按本格式和要求提供。             </w:t>
      </w:r>
    </w:p>
    <w:p w14:paraId="778AC579">
      <w:pPr>
        <w:rPr>
          <w:rFonts w:hint="eastAsia" w:ascii="宋体" w:hAnsi="宋体" w:cs="宋体"/>
          <w:color w:val="auto"/>
          <w:sz w:val="24"/>
          <w:highlight w:val="none"/>
        </w:rPr>
      </w:pPr>
      <w:r>
        <w:rPr>
          <w:rFonts w:hint="eastAsia" w:ascii="宋体" w:hAnsi="宋体" w:cs="宋体"/>
          <w:color w:val="auto"/>
          <w:sz w:val="24"/>
          <w:highlight w:val="none"/>
        </w:rPr>
        <w:br w:type="page"/>
      </w:r>
    </w:p>
    <w:p w14:paraId="476447C7">
      <w:pPr>
        <w:pStyle w:val="5"/>
        <w:rPr>
          <w:rFonts w:hint="eastAsia" w:ascii="宋体" w:hAnsi="宋体" w:eastAsia="宋体" w:cs="宋体"/>
          <w:b w:val="0"/>
          <w:color w:val="auto"/>
          <w:kern w:val="0"/>
          <w:sz w:val="32"/>
          <w:szCs w:val="32"/>
          <w:highlight w:val="none"/>
          <w:lang w:val="zh-CN"/>
        </w:rPr>
      </w:pPr>
      <w:r>
        <w:rPr>
          <w:rFonts w:hint="eastAsia" w:ascii="宋体" w:hAnsi="宋体" w:eastAsia="宋体" w:cs="宋体"/>
          <w:color w:val="auto"/>
          <w:kern w:val="0"/>
          <w:sz w:val="32"/>
          <w:szCs w:val="32"/>
          <w:highlight w:val="none"/>
          <w:lang w:val="zh-CN"/>
        </w:rPr>
        <w:t>二、授权委托书或法定代表人（单位负责人、自然人本人）身份证明</w:t>
      </w:r>
    </w:p>
    <w:p w14:paraId="086FA8E9">
      <w:pPr>
        <w:adjustRightInd w:val="0"/>
        <w:snapToGrid w:val="0"/>
        <w:spacing w:line="360" w:lineRule="auto"/>
        <w:ind w:firstLine="2872" w:firstLineChars="894"/>
        <w:rPr>
          <w:rFonts w:hint="eastAsia"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07D46B31">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r>
        <w:rPr>
          <w:rFonts w:hint="eastAsia" w:ascii="宋体" w:hAnsi="宋体" w:cs="宋体"/>
          <w:color w:val="auto"/>
          <w:kern w:val="0"/>
          <w:sz w:val="24"/>
          <w:highlight w:val="none"/>
          <w:lang w:val="zh-CN"/>
        </w:rPr>
        <w:t>：</w:t>
      </w:r>
    </w:p>
    <w:p w14:paraId="4AEDD071">
      <w:pPr>
        <w:adjustRightInd w:val="0"/>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7AB121F3">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自年月日起至年月日止。</w:t>
      </w:r>
    </w:p>
    <w:p w14:paraId="23376A96">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特此告知。</w:t>
      </w:r>
    </w:p>
    <w:p w14:paraId="16010F70">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13539AF">
      <w:pPr>
        <w:adjustRightInd w:val="0"/>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7E22F047">
      <w:pPr>
        <w:adjustRightIn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519C927B">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r>
        <w:rPr>
          <w:rFonts w:hint="eastAsia" w:ascii="宋体" w:hAnsi="宋体" w:cs="宋体"/>
          <w:color w:val="auto"/>
          <w:kern w:val="0"/>
          <w:sz w:val="24"/>
          <w:highlight w:val="none"/>
          <w:lang w:val="zh-CN"/>
        </w:rPr>
        <w:t>：</w:t>
      </w:r>
    </w:p>
    <w:p w14:paraId="20D07299">
      <w:pPr>
        <w:adjustRightInd w:val="0"/>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BF7A091">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自年月日起至年月日止。</w:t>
      </w:r>
    </w:p>
    <w:p w14:paraId="1FB98F2C">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特此告知。</w:t>
      </w:r>
    </w:p>
    <w:p w14:paraId="77D688D1">
      <w:pPr>
        <w:adjustRightInd w:val="0"/>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2F41A16">
      <w:pPr>
        <w:adjustRightInd w:val="0"/>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9D19CC1">
      <w:pPr>
        <w:adjustRightInd w:val="0"/>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69CBD7C9">
      <w:pPr>
        <w:adjustRightInd w:val="0"/>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sz w:val="24"/>
          <w:highlight w:val="none"/>
        </w:rPr>
        <w:t xml:space="preserve">    年   月   日</w:t>
      </w:r>
    </w:p>
    <w:p w14:paraId="44F1EEF1">
      <w:pPr>
        <w:snapToGrid w:val="0"/>
        <w:spacing w:line="360" w:lineRule="auto"/>
        <w:ind w:firstLine="480" w:firstLineChars="200"/>
        <w:rPr>
          <w:rFonts w:hint="eastAsia" w:ascii="宋体" w:hAnsi="宋体" w:cs="宋体"/>
          <w:b/>
          <w:color w:val="auto"/>
          <w:kern w:val="0"/>
          <w:sz w:val="32"/>
          <w:szCs w:val="32"/>
          <w:highlight w:val="none"/>
          <w:lang w:val="zh-CN"/>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3993AAB1">
      <w:pPr>
        <w:rPr>
          <w:rFonts w:hint="eastAsia" w:ascii="宋体" w:hAnsi="宋体" w:cs="宋体"/>
          <w:b/>
          <w:color w:val="auto"/>
          <w:sz w:val="24"/>
          <w:highlight w:val="none"/>
        </w:rPr>
      </w:pPr>
      <w:r>
        <w:rPr>
          <w:rFonts w:hint="eastAsia" w:ascii="宋体" w:hAnsi="宋体" w:cs="宋体"/>
          <w:b/>
          <w:color w:val="auto"/>
          <w:kern w:val="0"/>
          <w:sz w:val="32"/>
          <w:szCs w:val="32"/>
          <w:highlight w:val="none"/>
          <w:lang w:val="zh-CN"/>
        </w:rPr>
        <w:br w:type="page"/>
      </w: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346F80D1">
      <w:pPr>
        <w:pStyle w:val="43"/>
        <w:spacing w:line="360" w:lineRule="auto"/>
        <w:rPr>
          <w:rFonts w:hint="eastAsia" w:hAnsi="宋体" w:cs="宋体"/>
          <w:bCs/>
          <w:color w:val="auto"/>
          <w:sz w:val="24"/>
          <w:highlight w:val="none"/>
        </w:rPr>
      </w:pPr>
      <w:r>
        <w:rPr>
          <w:rFonts w:hint="eastAsia" w:hAnsi="宋体" w:cs="宋体"/>
          <w:bCs/>
          <w:color w:val="auto"/>
          <w:sz w:val="24"/>
          <w:highlight w:val="none"/>
        </w:rPr>
        <w:t>身份证件扫描件：</w:t>
      </w:r>
    </w:p>
    <w:tbl>
      <w:tblPr>
        <w:tblStyle w:val="2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8A8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A791801">
            <w:pPr>
              <w:pStyle w:val="43"/>
              <w:adjustRightInd w:val="0"/>
              <w:spacing w:line="360" w:lineRule="auto"/>
              <w:rPr>
                <w:rFonts w:hint="eastAsia" w:hAnsi="宋体" w:cs="宋体"/>
                <w:bCs/>
                <w:color w:val="auto"/>
                <w:sz w:val="24"/>
                <w:highlight w:val="none"/>
              </w:rPr>
            </w:pPr>
            <w:r>
              <w:rPr>
                <w:rFonts w:hint="eastAsia" w:hAnsi="宋体" w:cs="宋体"/>
                <w:bCs/>
                <w:color w:val="auto"/>
                <w:sz w:val="24"/>
                <w:highlight w:val="none"/>
              </w:rPr>
              <w:t>正面：                                 反面：</w:t>
            </w:r>
          </w:p>
          <w:p w14:paraId="47BEFC60">
            <w:pPr>
              <w:pStyle w:val="43"/>
              <w:adjustRightInd w:val="0"/>
              <w:spacing w:line="360" w:lineRule="auto"/>
              <w:rPr>
                <w:rFonts w:hint="eastAsia" w:hAnsi="宋体" w:cs="宋体"/>
                <w:bCs/>
                <w:color w:val="auto"/>
                <w:sz w:val="24"/>
                <w:highlight w:val="none"/>
              </w:rPr>
            </w:pPr>
          </w:p>
        </w:tc>
      </w:tr>
    </w:tbl>
    <w:p w14:paraId="7FCCCC6B">
      <w:pPr>
        <w:snapToGrid w:val="0"/>
        <w:spacing w:line="360" w:lineRule="auto"/>
        <w:ind w:firstLine="576"/>
        <w:jc w:val="center"/>
        <w:rPr>
          <w:rFonts w:hint="eastAsia" w:ascii="宋体" w:hAnsi="宋体" w:cs="宋体"/>
          <w:color w:val="auto"/>
          <w:kern w:val="0"/>
          <w:sz w:val="24"/>
          <w:highlight w:val="none"/>
          <w:lang w:val="zh-CN"/>
        </w:rPr>
      </w:pPr>
    </w:p>
    <w:p w14:paraId="1DF6F872">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332AE7C1">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日期：</w:t>
      </w:r>
      <w:r>
        <w:rPr>
          <w:rFonts w:hint="eastAsia" w:ascii="宋体" w:hAnsi="宋体" w:cs="宋体"/>
          <w:color w:val="auto"/>
          <w:sz w:val="24"/>
          <w:highlight w:val="none"/>
        </w:rPr>
        <w:t xml:space="preserve">    年   月   日</w:t>
      </w:r>
    </w:p>
    <w:p w14:paraId="7FD1EAD8">
      <w:pPr>
        <w:jc w:val="center"/>
        <w:rPr>
          <w:rFonts w:hint="eastAsia" w:ascii="宋体" w:hAnsi="宋体" w:cs="宋体"/>
          <w:b/>
          <w:color w:val="auto"/>
          <w:kern w:val="0"/>
          <w:sz w:val="32"/>
          <w:szCs w:val="32"/>
          <w:highlight w:val="none"/>
        </w:rPr>
      </w:pPr>
    </w:p>
    <w:p w14:paraId="58DC49F6">
      <w:pPr>
        <w:jc w:val="center"/>
        <w:rPr>
          <w:rFonts w:hint="eastAsia" w:ascii="宋体" w:hAnsi="宋体" w:cs="宋体"/>
          <w:b/>
          <w:color w:val="auto"/>
          <w:kern w:val="0"/>
          <w:sz w:val="32"/>
          <w:szCs w:val="32"/>
          <w:highlight w:val="none"/>
        </w:rPr>
      </w:pPr>
    </w:p>
    <w:p w14:paraId="37E16BE3">
      <w:pPr>
        <w:jc w:val="center"/>
        <w:rPr>
          <w:rFonts w:hint="eastAsia" w:ascii="宋体" w:hAnsi="宋体" w:cs="宋体"/>
          <w:b/>
          <w:color w:val="auto"/>
          <w:kern w:val="0"/>
          <w:sz w:val="32"/>
          <w:szCs w:val="32"/>
          <w:highlight w:val="none"/>
        </w:rPr>
      </w:pPr>
    </w:p>
    <w:p w14:paraId="615DE1AF">
      <w:pPr>
        <w:jc w:val="center"/>
        <w:rPr>
          <w:rFonts w:hint="eastAsia" w:ascii="宋体" w:hAnsi="宋体" w:cs="宋体"/>
          <w:b/>
          <w:color w:val="auto"/>
          <w:kern w:val="0"/>
          <w:sz w:val="32"/>
          <w:szCs w:val="32"/>
          <w:highlight w:val="none"/>
        </w:rPr>
      </w:pPr>
    </w:p>
    <w:p w14:paraId="45949632">
      <w:pPr>
        <w:jc w:val="center"/>
        <w:rPr>
          <w:rFonts w:hint="eastAsia" w:ascii="宋体" w:hAnsi="宋体" w:cs="宋体"/>
          <w:b/>
          <w:color w:val="auto"/>
          <w:kern w:val="0"/>
          <w:sz w:val="32"/>
          <w:szCs w:val="32"/>
          <w:highlight w:val="none"/>
        </w:rPr>
      </w:pPr>
    </w:p>
    <w:p w14:paraId="093176B4">
      <w:pPr>
        <w:jc w:val="center"/>
        <w:rPr>
          <w:rFonts w:hint="eastAsia" w:ascii="宋体" w:hAnsi="宋体" w:cs="宋体"/>
          <w:b/>
          <w:color w:val="auto"/>
          <w:kern w:val="0"/>
          <w:sz w:val="32"/>
          <w:szCs w:val="32"/>
          <w:highlight w:val="none"/>
        </w:rPr>
      </w:pPr>
    </w:p>
    <w:p w14:paraId="4ACBD0D0">
      <w:pPr>
        <w:jc w:val="center"/>
        <w:rPr>
          <w:rFonts w:hint="eastAsia" w:ascii="宋体" w:hAnsi="宋体" w:cs="宋体"/>
          <w:b/>
          <w:color w:val="auto"/>
          <w:kern w:val="0"/>
          <w:sz w:val="32"/>
          <w:szCs w:val="32"/>
          <w:highlight w:val="none"/>
        </w:rPr>
      </w:pPr>
    </w:p>
    <w:p w14:paraId="0E06A0EF">
      <w:pPr>
        <w:jc w:val="center"/>
        <w:rPr>
          <w:rFonts w:hint="eastAsia" w:ascii="宋体" w:hAnsi="宋体" w:cs="宋体"/>
          <w:b/>
          <w:color w:val="auto"/>
          <w:kern w:val="0"/>
          <w:sz w:val="32"/>
          <w:szCs w:val="32"/>
          <w:highlight w:val="none"/>
        </w:rPr>
      </w:pPr>
    </w:p>
    <w:p w14:paraId="4A89A59E">
      <w:pPr>
        <w:jc w:val="center"/>
        <w:rPr>
          <w:rFonts w:hint="eastAsia" w:ascii="宋体" w:hAnsi="宋体" w:cs="宋体"/>
          <w:b/>
          <w:color w:val="auto"/>
          <w:kern w:val="0"/>
          <w:sz w:val="32"/>
          <w:szCs w:val="32"/>
          <w:highlight w:val="none"/>
        </w:rPr>
      </w:pPr>
    </w:p>
    <w:p w14:paraId="3F9746FB">
      <w:pPr>
        <w:jc w:val="center"/>
        <w:rPr>
          <w:rFonts w:hint="eastAsia" w:ascii="宋体" w:hAnsi="宋体" w:cs="宋体"/>
          <w:b/>
          <w:color w:val="auto"/>
          <w:kern w:val="0"/>
          <w:sz w:val="32"/>
          <w:szCs w:val="32"/>
          <w:highlight w:val="none"/>
        </w:rPr>
      </w:pPr>
    </w:p>
    <w:p w14:paraId="149F7D6B">
      <w:pPr>
        <w:snapToGrid w:val="0"/>
        <w:spacing w:line="360" w:lineRule="auto"/>
        <w:ind w:right="480"/>
        <w:rPr>
          <w:rFonts w:hint="eastAsia" w:ascii="宋体" w:hAnsi="宋体" w:cs="宋体"/>
          <w:b/>
          <w:color w:val="auto"/>
          <w:kern w:val="0"/>
          <w:sz w:val="32"/>
          <w:szCs w:val="32"/>
          <w:highlight w:val="none"/>
        </w:rPr>
        <w:sectPr>
          <w:headerReference r:id="rId13" w:type="default"/>
          <w:footerReference r:id="rId14" w:type="default"/>
          <w:pgSz w:w="11906" w:h="16838"/>
          <w:pgMar w:top="1276" w:right="1417" w:bottom="1247" w:left="1417"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14:paraId="293BCBBB">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三、分包意向协议（如果有）</w:t>
      </w:r>
    </w:p>
    <w:p w14:paraId="534B7F42">
      <w:pPr>
        <w:widowControl/>
        <w:spacing w:line="360"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cs="宋体"/>
          <w:color w:val="auto"/>
          <w:sz w:val="24"/>
          <w:highlight w:val="none"/>
        </w:rPr>
        <w:t>]</w:t>
      </w:r>
    </w:p>
    <w:p w14:paraId="01C3C2C4">
      <w:pPr>
        <w:jc w:val="center"/>
        <w:rPr>
          <w:rFonts w:hint="eastAsia" w:ascii="宋体" w:hAnsi="宋体" w:cs="宋体"/>
          <w:b/>
          <w:color w:val="auto"/>
          <w:kern w:val="0"/>
          <w:sz w:val="32"/>
          <w:szCs w:val="32"/>
          <w:highlight w:val="none"/>
        </w:rPr>
      </w:pPr>
    </w:p>
    <w:p w14:paraId="384B1690">
      <w:pPr>
        <w:jc w:val="center"/>
        <w:rPr>
          <w:rFonts w:hint="eastAsia" w:ascii="宋体" w:hAnsi="宋体" w:cs="宋体"/>
          <w:b/>
          <w:color w:val="auto"/>
          <w:kern w:val="0"/>
          <w:sz w:val="32"/>
          <w:szCs w:val="32"/>
          <w:highlight w:val="none"/>
        </w:rPr>
      </w:pPr>
    </w:p>
    <w:p w14:paraId="2DD17341">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2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8F2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3916F62">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4991" w:type="dxa"/>
          </w:tcPr>
          <w:p w14:paraId="5E6EA033">
            <w:pPr>
              <w:spacing w:line="360" w:lineRule="auto"/>
              <w:rPr>
                <w:rFonts w:hint="eastAsia"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p>
        </w:tc>
        <w:tc>
          <w:tcPr>
            <w:tcW w:w="2551" w:type="dxa"/>
            <w:vAlign w:val="center"/>
          </w:tcPr>
          <w:p w14:paraId="7D6A330F">
            <w:pPr>
              <w:rPr>
                <w:rFonts w:hint="eastAsia" w:ascii="宋体" w:hAnsi="宋体" w:cs="宋体"/>
                <w:color w:val="auto"/>
                <w:sz w:val="24"/>
                <w:highlight w:val="none"/>
              </w:rPr>
            </w:pPr>
          </w:p>
        </w:tc>
        <w:tc>
          <w:tcPr>
            <w:tcW w:w="1418" w:type="dxa"/>
          </w:tcPr>
          <w:p w14:paraId="4BC7DC23">
            <w:pPr>
              <w:rPr>
                <w:rFonts w:hint="eastAsia" w:ascii="宋体" w:hAnsi="宋体" w:cs="宋体"/>
                <w:color w:val="auto"/>
                <w:sz w:val="24"/>
                <w:highlight w:val="none"/>
              </w:rPr>
            </w:pPr>
          </w:p>
        </w:tc>
      </w:tr>
      <w:tr w14:paraId="7791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FE3820">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3.1</w:t>
            </w:r>
          </w:p>
        </w:tc>
        <w:tc>
          <w:tcPr>
            <w:tcW w:w="4991" w:type="dxa"/>
          </w:tcPr>
          <w:p w14:paraId="5BB52D76">
            <w:pPr>
              <w:spacing w:line="360" w:lineRule="auto"/>
              <w:rPr>
                <w:rFonts w:hint="eastAsia" w:ascii="宋体" w:hAnsi="宋体" w:cs="宋体"/>
                <w:color w:val="auto"/>
                <w:sz w:val="24"/>
                <w:highlight w:val="none"/>
              </w:rPr>
            </w:pPr>
            <w:r>
              <w:rPr>
                <w:rFonts w:hint="eastAsia" w:ascii="宋体" w:hAnsi="宋体" w:cs="宋体"/>
                <w:b/>
                <w:bCs/>
                <w:snapToGrid w:val="0"/>
                <w:color w:val="auto"/>
                <w:sz w:val="24"/>
                <w:highlight w:val="none"/>
                <w:lang w:val="en-US" w:eastAsia="zh-CN"/>
              </w:rPr>
              <w:t>▲以联合体形式投标的，牵头单位必须为泵站运行和日常维护单位。</w:t>
            </w:r>
          </w:p>
        </w:tc>
        <w:tc>
          <w:tcPr>
            <w:tcW w:w="2551" w:type="dxa"/>
            <w:vAlign w:val="center"/>
          </w:tcPr>
          <w:p w14:paraId="7E0A0AC2">
            <w:pP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联合协议（若有）</w:t>
            </w:r>
          </w:p>
        </w:tc>
        <w:tc>
          <w:tcPr>
            <w:tcW w:w="1418" w:type="dxa"/>
            <w:shd w:val="clear" w:color="auto" w:fill="auto"/>
            <w:vAlign w:val="top"/>
          </w:tcPr>
          <w:p w14:paraId="3C2D928D">
            <w:pPr>
              <w:rPr>
                <w:rFonts w:hint="eastAsia" w:ascii="宋体" w:hAnsi="宋体" w:eastAsia="宋体" w:cs="宋体"/>
                <w:color w:val="auto"/>
                <w:kern w:val="2"/>
                <w:sz w:val="21"/>
                <w:szCs w:val="22"/>
                <w:highlight w:val="none"/>
                <w:lang w:val="en-US" w:eastAsia="zh-CN" w:bidi="ar-SA"/>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E59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5C3CFBC">
            <w:pPr>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3.2</w:t>
            </w:r>
          </w:p>
        </w:tc>
        <w:tc>
          <w:tcPr>
            <w:tcW w:w="4991" w:type="dxa"/>
          </w:tcPr>
          <w:p w14:paraId="79BF31D5">
            <w:pPr>
              <w:spacing w:line="360" w:lineRule="auto"/>
              <w:rPr>
                <w:rFonts w:hint="eastAsia" w:ascii="宋体" w:hAnsi="宋体" w:cs="宋体"/>
                <w:b/>
                <w:bCs/>
                <w:snapToGrid w:val="0"/>
                <w:color w:val="auto"/>
                <w:sz w:val="24"/>
                <w:highlight w:val="none"/>
                <w:lang w:val="en-US" w:eastAsia="zh-CN"/>
              </w:rPr>
            </w:pPr>
            <w:r>
              <w:rPr>
                <w:rFonts w:hint="eastAsia" w:ascii="宋体" w:hAnsi="宋体" w:cs="宋体"/>
                <w:b/>
                <w:bCs/>
                <w:color w:val="auto"/>
                <w:sz w:val="24"/>
                <w:szCs w:val="24"/>
                <w:highlight w:val="none"/>
              </w:rPr>
              <w:t>▲项目主要岗位人员不得兼职，如签订合同前发现项目主要岗位人员存在兼职情况，采购人有权判定中标结果无效，由此产生的损失由中标人承担。</w:t>
            </w:r>
          </w:p>
        </w:tc>
        <w:tc>
          <w:tcPr>
            <w:tcW w:w="2551" w:type="dxa"/>
            <w:vAlign w:val="center"/>
          </w:tcPr>
          <w:p w14:paraId="77B2BBC7">
            <w:pP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承诺函（格式自拟）</w:t>
            </w:r>
          </w:p>
        </w:tc>
        <w:tc>
          <w:tcPr>
            <w:tcW w:w="1418" w:type="dxa"/>
            <w:shd w:val="clear" w:color="auto" w:fill="auto"/>
            <w:vAlign w:val="top"/>
          </w:tcPr>
          <w:p w14:paraId="0B7AAE77">
            <w:pP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62E33502">
      <w:pPr>
        <w:jc w:val="center"/>
        <w:rPr>
          <w:rFonts w:hint="eastAsia" w:ascii="宋体" w:hAnsi="宋体" w:cs="宋体"/>
          <w:b/>
          <w:color w:val="auto"/>
          <w:kern w:val="0"/>
          <w:sz w:val="32"/>
          <w:szCs w:val="32"/>
          <w:highlight w:val="none"/>
          <w:lang w:val="en-US" w:eastAsia="zh-CN"/>
        </w:rPr>
      </w:pPr>
    </w:p>
    <w:p w14:paraId="61F096B0">
      <w:pPr>
        <w:jc w:val="left"/>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t>附件1：联合协议（若有）</w:t>
      </w:r>
    </w:p>
    <w:p w14:paraId="476147DB">
      <w:pPr>
        <w:jc w:val="left"/>
        <w:rPr>
          <w:rFonts w:hint="default" w:ascii="宋体" w:hAnsi="宋体" w:cs="宋体"/>
          <w:b/>
          <w:color w:val="auto"/>
          <w:kern w:val="0"/>
          <w:sz w:val="32"/>
          <w:szCs w:val="32"/>
          <w:highlight w:val="none"/>
          <w:lang w:val="en-US" w:eastAsia="zh-CN"/>
        </w:rPr>
      </w:pPr>
    </w:p>
    <w:p w14:paraId="41C286ED">
      <w:pPr>
        <w:jc w:val="left"/>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t>附件2：承诺函</w:t>
      </w:r>
    </w:p>
    <w:p w14:paraId="49619542">
      <w:pPr>
        <w:jc w:val="left"/>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br w:type="page"/>
      </w:r>
    </w:p>
    <w:p w14:paraId="137AEFBB">
      <w:pPr>
        <w:pStyle w:val="5"/>
        <w:rPr>
          <w:rFonts w:hint="eastAsia" w:ascii="宋体" w:hAnsi="宋体" w:eastAsia="宋体" w:cs="宋体"/>
          <w:color w:val="auto"/>
          <w:highlight w:val="none"/>
        </w:rPr>
      </w:pPr>
      <w:r>
        <w:rPr>
          <w:rFonts w:hint="eastAsia" w:ascii="宋体" w:hAnsi="宋体" w:eastAsia="宋体" w:cs="宋体"/>
          <w:color w:val="auto"/>
          <w:kern w:val="0"/>
          <w:sz w:val="32"/>
          <w:szCs w:val="32"/>
          <w:highlight w:val="none"/>
        </w:rPr>
        <w:t>五、评标标准相应的商务技术资料</w:t>
      </w:r>
    </w:p>
    <w:p w14:paraId="71A04357">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2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2"/>
        <w:rPr>
          <w:color w:val="auto"/>
          <w:highlight w:val="none"/>
        </w:rPr>
      </w:pPr>
    </w:p>
    <w:p w14:paraId="61D38785">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6B41AAC7">
      <w:pPr>
        <w:spacing w:line="360" w:lineRule="auto"/>
        <w:jc w:val="left"/>
        <w:rPr>
          <w:rFonts w:hint="eastAsia" w:ascii="宋体" w:hAnsi="宋体" w:cs="宋体"/>
          <w:b/>
          <w:color w:val="auto"/>
          <w:sz w:val="28"/>
          <w:szCs w:val="28"/>
          <w:highlight w:val="none"/>
        </w:rPr>
      </w:pPr>
      <w:r>
        <w:rPr>
          <w:rFonts w:hint="eastAsia" w:ascii="宋体" w:hAnsi="宋体" w:cs="宋体"/>
          <w:b/>
          <w:color w:val="auto"/>
          <w:sz w:val="28"/>
          <w:szCs w:val="28"/>
          <w:highlight w:val="none"/>
        </w:rPr>
        <w:t>参考格式1</w:t>
      </w:r>
    </w:p>
    <w:p w14:paraId="44AA0029">
      <w:pPr>
        <w:spacing w:line="360" w:lineRule="auto"/>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投标供应商简况表</w:t>
      </w:r>
    </w:p>
    <w:tbl>
      <w:tblPr>
        <w:tblStyle w:val="20"/>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2D3A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14:paraId="1024F904">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单位名称</w:t>
            </w:r>
          </w:p>
        </w:tc>
        <w:tc>
          <w:tcPr>
            <w:tcW w:w="5143" w:type="dxa"/>
            <w:gridSpan w:val="4"/>
            <w:vAlign w:val="center"/>
          </w:tcPr>
          <w:p w14:paraId="2D04FACB">
            <w:pPr>
              <w:autoSpaceDE w:val="0"/>
              <w:snapToGrid w:val="0"/>
              <w:spacing w:line="360" w:lineRule="auto"/>
              <w:jc w:val="center"/>
              <w:rPr>
                <w:rFonts w:hint="eastAsia" w:ascii="宋体" w:hAnsi="宋体" w:cs="宋体"/>
                <w:color w:val="auto"/>
                <w:sz w:val="24"/>
                <w:highlight w:val="none"/>
                <w:lang w:val="zh-CN"/>
              </w:rPr>
            </w:pPr>
          </w:p>
        </w:tc>
        <w:tc>
          <w:tcPr>
            <w:tcW w:w="1418" w:type="dxa"/>
            <w:vAlign w:val="center"/>
          </w:tcPr>
          <w:p w14:paraId="1CB70579">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成立时间</w:t>
            </w:r>
          </w:p>
        </w:tc>
        <w:tc>
          <w:tcPr>
            <w:tcW w:w="1515" w:type="dxa"/>
            <w:vAlign w:val="center"/>
          </w:tcPr>
          <w:p w14:paraId="5E0B52AE">
            <w:pPr>
              <w:autoSpaceDE w:val="0"/>
              <w:snapToGrid w:val="0"/>
              <w:spacing w:line="360" w:lineRule="auto"/>
              <w:jc w:val="center"/>
              <w:rPr>
                <w:rFonts w:hint="eastAsia" w:ascii="宋体" w:hAnsi="宋体" w:cs="宋体"/>
                <w:color w:val="auto"/>
                <w:sz w:val="24"/>
                <w:highlight w:val="none"/>
                <w:lang w:val="zh-CN"/>
              </w:rPr>
            </w:pPr>
          </w:p>
        </w:tc>
      </w:tr>
      <w:tr w14:paraId="31E5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14:paraId="5C4F6171">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资质等级</w:t>
            </w:r>
          </w:p>
        </w:tc>
        <w:tc>
          <w:tcPr>
            <w:tcW w:w="1600" w:type="dxa"/>
            <w:vAlign w:val="center"/>
          </w:tcPr>
          <w:p w14:paraId="30DD6E3E">
            <w:pPr>
              <w:autoSpaceDE w:val="0"/>
              <w:snapToGrid w:val="0"/>
              <w:spacing w:line="360" w:lineRule="auto"/>
              <w:jc w:val="center"/>
              <w:rPr>
                <w:rFonts w:hint="eastAsia" w:ascii="宋体" w:hAnsi="宋体" w:cs="宋体"/>
                <w:color w:val="auto"/>
                <w:sz w:val="24"/>
                <w:highlight w:val="none"/>
                <w:lang w:val="zh-CN"/>
              </w:rPr>
            </w:pPr>
          </w:p>
        </w:tc>
        <w:tc>
          <w:tcPr>
            <w:tcW w:w="1134" w:type="dxa"/>
            <w:vAlign w:val="center"/>
          </w:tcPr>
          <w:p w14:paraId="4C264F4A">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经营方式</w:t>
            </w:r>
          </w:p>
        </w:tc>
        <w:tc>
          <w:tcPr>
            <w:tcW w:w="2409" w:type="dxa"/>
            <w:gridSpan w:val="2"/>
            <w:vAlign w:val="center"/>
          </w:tcPr>
          <w:p w14:paraId="75B5DC15">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□有限责任公司</w:t>
            </w:r>
          </w:p>
          <w:p w14:paraId="21FC9F0C">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□个人独立经营方式</w:t>
            </w:r>
          </w:p>
          <w:p w14:paraId="4A477891">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□合伙经营方式</w:t>
            </w:r>
          </w:p>
          <w:p w14:paraId="65E827B7">
            <w:pPr>
              <w:autoSpaceDE w:val="0"/>
              <w:snapToGrid w:val="0"/>
              <w:jc w:val="left"/>
              <w:rPr>
                <w:rFonts w:hint="eastAsia" w:ascii="宋体" w:hAnsi="宋体" w:cs="宋体"/>
                <w:color w:val="auto"/>
                <w:highlight w:val="none"/>
                <w:lang w:val="zh-CN"/>
              </w:rPr>
            </w:pPr>
            <w:r>
              <w:rPr>
                <w:rFonts w:hint="eastAsia" w:ascii="宋体" w:hAnsi="宋体" w:cs="宋体"/>
                <w:color w:val="auto"/>
                <w:sz w:val="24"/>
                <w:highlight w:val="none"/>
                <w:lang w:val="zh-CN"/>
              </w:rPr>
              <w:t>□其他</w:t>
            </w:r>
          </w:p>
        </w:tc>
        <w:tc>
          <w:tcPr>
            <w:tcW w:w="1418" w:type="dxa"/>
            <w:vAlign w:val="center"/>
          </w:tcPr>
          <w:p w14:paraId="5B784F69">
            <w:pPr>
              <w:autoSpaceDE w:val="0"/>
              <w:snapToGrid w:val="0"/>
              <w:jc w:val="center"/>
              <w:rPr>
                <w:rFonts w:hint="eastAsia" w:ascii="宋体" w:hAnsi="宋体" w:cs="宋体"/>
                <w:color w:val="auto"/>
                <w:highlight w:val="none"/>
              </w:rPr>
            </w:pPr>
            <w:r>
              <w:rPr>
                <w:rFonts w:hint="eastAsia" w:ascii="宋体" w:hAnsi="宋体" w:cs="宋体"/>
                <w:color w:val="auto"/>
                <w:sz w:val="24"/>
                <w:highlight w:val="none"/>
                <w:lang w:val="zh-CN"/>
              </w:rPr>
              <w:t>企业性质</w:t>
            </w:r>
          </w:p>
        </w:tc>
        <w:tc>
          <w:tcPr>
            <w:tcW w:w="1515" w:type="dxa"/>
            <w:vAlign w:val="center"/>
          </w:tcPr>
          <w:p w14:paraId="45BADD83">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□事业单位</w:t>
            </w:r>
          </w:p>
          <w:p w14:paraId="52D7F092">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□国企</w:t>
            </w:r>
          </w:p>
          <w:p w14:paraId="2D9BBD88">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□民营</w:t>
            </w:r>
          </w:p>
          <w:p w14:paraId="79EB559B">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□个体经营者</w:t>
            </w:r>
          </w:p>
          <w:p w14:paraId="482A6C0C">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□自然人</w:t>
            </w:r>
          </w:p>
          <w:p w14:paraId="59DA989E">
            <w:pPr>
              <w:autoSpaceDE w:val="0"/>
              <w:snapToGrid w:val="0"/>
              <w:jc w:val="left"/>
              <w:rPr>
                <w:rFonts w:hint="eastAsia" w:ascii="宋体" w:hAnsi="宋体" w:cs="宋体"/>
                <w:color w:val="auto"/>
                <w:sz w:val="24"/>
                <w:highlight w:val="none"/>
                <w:lang w:val="zh-CN"/>
              </w:rPr>
            </w:pPr>
            <w:r>
              <w:rPr>
                <w:rFonts w:hint="eastAsia" w:ascii="宋体" w:hAnsi="宋体" w:cs="宋体"/>
                <w:color w:val="auto"/>
                <w:sz w:val="24"/>
                <w:highlight w:val="none"/>
                <w:lang w:val="zh-CN"/>
              </w:rPr>
              <w:t>□其他组织</w:t>
            </w:r>
          </w:p>
        </w:tc>
      </w:tr>
      <w:tr w14:paraId="2716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14:paraId="0DEE0758">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注册资金</w:t>
            </w:r>
          </w:p>
        </w:tc>
        <w:tc>
          <w:tcPr>
            <w:tcW w:w="1600" w:type="dxa"/>
            <w:vAlign w:val="center"/>
          </w:tcPr>
          <w:p w14:paraId="2720C976">
            <w:pPr>
              <w:autoSpaceDE w:val="0"/>
              <w:snapToGrid w:val="0"/>
              <w:spacing w:line="360" w:lineRule="auto"/>
              <w:jc w:val="center"/>
              <w:rPr>
                <w:rFonts w:hint="eastAsia" w:ascii="宋体" w:hAnsi="宋体" w:cs="宋体"/>
                <w:color w:val="auto"/>
                <w:sz w:val="24"/>
                <w:highlight w:val="none"/>
                <w:lang w:val="zh-CN"/>
              </w:rPr>
            </w:pPr>
          </w:p>
        </w:tc>
        <w:tc>
          <w:tcPr>
            <w:tcW w:w="1134" w:type="dxa"/>
            <w:vAlign w:val="center"/>
          </w:tcPr>
          <w:p w14:paraId="1C82B71E">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地    址</w:t>
            </w:r>
          </w:p>
        </w:tc>
        <w:tc>
          <w:tcPr>
            <w:tcW w:w="5342" w:type="dxa"/>
            <w:gridSpan w:val="4"/>
            <w:vAlign w:val="center"/>
          </w:tcPr>
          <w:p w14:paraId="72A657BC">
            <w:pPr>
              <w:autoSpaceDE w:val="0"/>
              <w:snapToGrid w:val="0"/>
              <w:spacing w:line="360" w:lineRule="auto"/>
              <w:jc w:val="center"/>
              <w:rPr>
                <w:rFonts w:hint="eastAsia" w:ascii="宋体" w:hAnsi="宋体" w:cs="宋体"/>
                <w:color w:val="auto"/>
                <w:sz w:val="24"/>
                <w:highlight w:val="none"/>
                <w:lang w:val="zh-CN"/>
              </w:rPr>
            </w:pPr>
          </w:p>
        </w:tc>
      </w:tr>
      <w:tr w14:paraId="2B13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14:paraId="377C862F">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经营范围</w:t>
            </w:r>
          </w:p>
        </w:tc>
        <w:tc>
          <w:tcPr>
            <w:tcW w:w="8076" w:type="dxa"/>
            <w:gridSpan w:val="6"/>
            <w:vAlign w:val="center"/>
          </w:tcPr>
          <w:p w14:paraId="48777A3F">
            <w:pPr>
              <w:autoSpaceDE w:val="0"/>
              <w:snapToGrid w:val="0"/>
              <w:spacing w:line="360" w:lineRule="auto"/>
              <w:rPr>
                <w:rFonts w:hint="eastAsia" w:ascii="宋体" w:hAnsi="宋体" w:cs="宋体"/>
                <w:color w:val="auto"/>
                <w:sz w:val="24"/>
                <w:highlight w:val="none"/>
                <w:lang w:val="zh-CN"/>
              </w:rPr>
            </w:pPr>
          </w:p>
          <w:p w14:paraId="5B70743A">
            <w:pPr>
              <w:autoSpaceDE w:val="0"/>
              <w:snapToGrid w:val="0"/>
              <w:spacing w:line="360" w:lineRule="auto"/>
              <w:rPr>
                <w:rFonts w:hint="eastAsia" w:ascii="宋体" w:hAnsi="宋体" w:cs="宋体"/>
                <w:color w:val="auto"/>
                <w:sz w:val="24"/>
                <w:highlight w:val="none"/>
                <w:lang w:val="zh-CN"/>
              </w:rPr>
            </w:pPr>
          </w:p>
          <w:p w14:paraId="26865C1F">
            <w:pPr>
              <w:autoSpaceDE w:val="0"/>
              <w:snapToGrid w:val="0"/>
              <w:spacing w:line="360" w:lineRule="auto"/>
              <w:rPr>
                <w:rFonts w:hint="eastAsia" w:ascii="宋体" w:hAnsi="宋体" w:cs="宋体"/>
                <w:color w:val="auto"/>
                <w:sz w:val="24"/>
                <w:highlight w:val="none"/>
                <w:lang w:val="zh-CN"/>
              </w:rPr>
            </w:pPr>
          </w:p>
          <w:p w14:paraId="0BB9C12B">
            <w:pPr>
              <w:autoSpaceDE w:val="0"/>
              <w:snapToGrid w:val="0"/>
              <w:spacing w:line="360" w:lineRule="auto"/>
              <w:rPr>
                <w:rFonts w:hint="eastAsia" w:ascii="宋体" w:hAnsi="宋体" w:cs="宋体"/>
                <w:color w:val="auto"/>
                <w:sz w:val="24"/>
                <w:highlight w:val="none"/>
                <w:lang w:val="zh-CN"/>
              </w:rPr>
            </w:pPr>
          </w:p>
        </w:tc>
      </w:tr>
      <w:tr w14:paraId="5715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14:paraId="41D99BF2">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单位</w:t>
            </w:r>
          </w:p>
          <w:p w14:paraId="6781D9B0">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职工</w:t>
            </w:r>
          </w:p>
        </w:tc>
        <w:tc>
          <w:tcPr>
            <w:tcW w:w="4348" w:type="dxa"/>
            <w:gridSpan w:val="3"/>
            <w:vAlign w:val="center"/>
          </w:tcPr>
          <w:p w14:paraId="23B1238A">
            <w:pPr>
              <w:autoSpaceDE w:val="0"/>
              <w:snapToGrid w:val="0"/>
              <w:jc w:val="center"/>
              <w:rPr>
                <w:rFonts w:hint="eastAsia" w:ascii="宋体" w:hAnsi="宋体" w:cs="宋体"/>
                <w:color w:val="auto"/>
                <w:highlight w:val="none"/>
              </w:rPr>
            </w:pPr>
            <w:r>
              <w:rPr>
                <w:rFonts w:hint="eastAsia" w:ascii="宋体" w:hAnsi="宋体" w:cs="宋体"/>
                <w:color w:val="auto"/>
                <w:sz w:val="24"/>
                <w:highlight w:val="none"/>
                <w:lang w:val="zh-CN"/>
              </w:rPr>
              <w:t>人数</w:t>
            </w:r>
          </w:p>
        </w:tc>
        <w:tc>
          <w:tcPr>
            <w:tcW w:w="3728" w:type="dxa"/>
            <w:gridSpan w:val="3"/>
            <w:vAlign w:val="center"/>
          </w:tcPr>
          <w:p w14:paraId="170157EA">
            <w:pPr>
              <w:autoSpaceDE w:val="0"/>
              <w:snapToGrid w:val="0"/>
              <w:jc w:val="center"/>
              <w:rPr>
                <w:rFonts w:hint="eastAsia" w:ascii="宋体" w:hAnsi="宋体" w:cs="宋体"/>
                <w:color w:val="auto"/>
                <w:highlight w:val="none"/>
              </w:rPr>
            </w:pPr>
            <w:r>
              <w:rPr>
                <w:rFonts w:hint="eastAsia" w:ascii="宋体" w:hAnsi="宋体" w:cs="宋体"/>
                <w:color w:val="auto"/>
                <w:sz w:val="24"/>
                <w:highlight w:val="none"/>
                <w:lang w:val="zh-CN"/>
              </w:rPr>
              <w:t>具有执业资格的管理人员人数</w:t>
            </w:r>
          </w:p>
        </w:tc>
      </w:tr>
      <w:tr w14:paraId="239A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14:paraId="20027AA1">
            <w:pPr>
              <w:autoSpaceDE w:val="0"/>
              <w:snapToGrid w:val="0"/>
              <w:spacing w:line="360" w:lineRule="auto"/>
              <w:jc w:val="center"/>
              <w:rPr>
                <w:rFonts w:hint="eastAsia" w:ascii="宋体" w:hAnsi="宋体" w:cs="宋体"/>
                <w:color w:val="auto"/>
                <w:sz w:val="24"/>
                <w:highlight w:val="none"/>
                <w:lang w:val="zh-CN"/>
              </w:rPr>
            </w:pPr>
          </w:p>
        </w:tc>
        <w:tc>
          <w:tcPr>
            <w:tcW w:w="4348" w:type="dxa"/>
            <w:gridSpan w:val="3"/>
            <w:vAlign w:val="center"/>
          </w:tcPr>
          <w:p w14:paraId="793C5526">
            <w:pPr>
              <w:autoSpaceDE w:val="0"/>
              <w:snapToGrid w:val="0"/>
              <w:spacing w:line="360" w:lineRule="auto"/>
              <w:jc w:val="center"/>
              <w:rPr>
                <w:rFonts w:hint="eastAsia" w:ascii="宋体" w:hAnsi="宋体" w:cs="宋体"/>
                <w:color w:val="auto"/>
                <w:sz w:val="24"/>
                <w:highlight w:val="none"/>
                <w:lang w:val="zh-CN"/>
              </w:rPr>
            </w:pPr>
          </w:p>
        </w:tc>
        <w:tc>
          <w:tcPr>
            <w:tcW w:w="3728" w:type="dxa"/>
            <w:gridSpan w:val="3"/>
            <w:vAlign w:val="center"/>
          </w:tcPr>
          <w:p w14:paraId="0A2A25DF">
            <w:pPr>
              <w:autoSpaceDE w:val="0"/>
              <w:snapToGrid w:val="0"/>
              <w:spacing w:line="360" w:lineRule="auto"/>
              <w:jc w:val="center"/>
              <w:rPr>
                <w:rFonts w:hint="eastAsia" w:ascii="宋体" w:hAnsi="宋体" w:cs="宋体"/>
                <w:color w:val="auto"/>
                <w:sz w:val="24"/>
                <w:highlight w:val="none"/>
                <w:lang w:val="zh-CN"/>
              </w:rPr>
            </w:pPr>
          </w:p>
        </w:tc>
      </w:tr>
      <w:tr w14:paraId="6F8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vAlign w:val="center"/>
          </w:tcPr>
          <w:p w14:paraId="6280B2DD">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rPr>
              <w:t>获奖情况</w:t>
            </w:r>
          </w:p>
          <w:p w14:paraId="1973CA42">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rPr>
              <w:t>(荣誉)</w:t>
            </w:r>
          </w:p>
        </w:tc>
        <w:tc>
          <w:tcPr>
            <w:tcW w:w="8076" w:type="dxa"/>
            <w:gridSpan w:val="6"/>
            <w:vAlign w:val="center"/>
          </w:tcPr>
          <w:p w14:paraId="7D07D26F">
            <w:pPr>
              <w:autoSpaceDE w:val="0"/>
              <w:snapToGrid w:val="0"/>
              <w:spacing w:line="360" w:lineRule="auto"/>
              <w:jc w:val="center"/>
              <w:rPr>
                <w:rFonts w:hint="eastAsia" w:ascii="宋体" w:hAnsi="宋体" w:cs="宋体"/>
                <w:color w:val="auto"/>
                <w:sz w:val="24"/>
                <w:highlight w:val="none"/>
                <w:lang w:val="zh-CN"/>
              </w:rPr>
            </w:pPr>
          </w:p>
        </w:tc>
      </w:tr>
      <w:tr w14:paraId="68F2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vAlign w:val="center"/>
          </w:tcPr>
          <w:p w14:paraId="24878D5D">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单</w:t>
            </w:r>
          </w:p>
          <w:p w14:paraId="1C8FA1FC">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位</w:t>
            </w:r>
          </w:p>
          <w:p w14:paraId="1C12AEFF">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简</w:t>
            </w:r>
          </w:p>
          <w:p w14:paraId="77999C91">
            <w:pPr>
              <w:autoSpaceDE w:val="0"/>
              <w:snapToGrid w:val="0"/>
              <w:spacing w:line="360" w:lineRule="auto"/>
              <w:jc w:val="center"/>
              <w:rPr>
                <w:rFonts w:hint="eastAsia" w:ascii="宋体" w:hAnsi="宋体" w:cs="宋体"/>
                <w:color w:val="auto"/>
                <w:highlight w:val="none"/>
              </w:rPr>
            </w:pPr>
            <w:r>
              <w:rPr>
                <w:rFonts w:hint="eastAsia" w:ascii="宋体" w:hAnsi="宋体" w:cs="宋体"/>
                <w:color w:val="auto"/>
                <w:sz w:val="24"/>
                <w:highlight w:val="none"/>
                <w:lang w:val="zh-CN"/>
              </w:rPr>
              <w:t>历</w:t>
            </w:r>
          </w:p>
        </w:tc>
        <w:tc>
          <w:tcPr>
            <w:tcW w:w="8076" w:type="dxa"/>
            <w:gridSpan w:val="6"/>
          </w:tcPr>
          <w:p w14:paraId="3D87DB23">
            <w:pPr>
              <w:autoSpaceDE w:val="0"/>
              <w:snapToGrid w:val="0"/>
              <w:spacing w:line="360" w:lineRule="auto"/>
              <w:jc w:val="center"/>
              <w:rPr>
                <w:rFonts w:hint="eastAsia" w:ascii="宋体" w:hAnsi="宋体" w:cs="宋体"/>
                <w:color w:val="auto"/>
                <w:sz w:val="24"/>
                <w:highlight w:val="none"/>
                <w:lang w:val="zh-CN"/>
              </w:rPr>
            </w:pPr>
          </w:p>
        </w:tc>
      </w:tr>
    </w:tbl>
    <w:p w14:paraId="11D4971F">
      <w:pPr>
        <w:autoSpaceDE w:val="0"/>
        <w:snapToGrid w:val="0"/>
        <w:spacing w:line="360" w:lineRule="auto"/>
        <w:ind w:firstLine="840"/>
        <w:rPr>
          <w:rFonts w:hint="eastAsia" w:ascii="宋体" w:hAnsi="宋体" w:cs="宋体"/>
          <w:color w:val="auto"/>
          <w:highlight w:val="none"/>
        </w:rPr>
      </w:pPr>
      <w:r>
        <w:rPr>
          <w:rFonts w:hint="eastAsia" w:ascii="宋体" w:hAnsi="宋体" w:cs="宋体"/>
          <w:color w:val="auto"/>
          <w:sz w:val="24"/>
          <w:highlight w:val="none"/>
          <w:lang w:val="zh-CN"/>
        </w:rPr>
        <w:t>附企业、人员的相关证书复印件。如有其它补充材料，格式自拟。（文本中已提供的资料无需重复提供）</w:t>
      </w:r>
    </w:p>
    <w:p w14:paraId="26EB6836">
      <w:pPr>
        <w:snapToGrid w:val="0"/>
        <w:spacing w:line="360" w:lineRule="auto"/>
        <w:ind w:firstLine="576"/>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63AF64B1">
      <w:pPr>
        <w:snapToGrid w:val="0"/>
        <w:spacing w:line="360" w:lineRule="auto"/>
        <w:ind w:firstLine="576"/>
        <w:jc w:val="center"/>
        <w:rPr>
          <w:rFonts w:hint="eastAsia" w:ascii="宋体" w:hAnsi="宋体" w:cs="宋体"/>
          <w:b/>
          <w:color w:val="auto"/>
          <w:sz w:val="32"/>
          <w:szCs w:val="32"/>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4D33D5D4">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46F78527">
      <w:pPr>
        <w:jc w:val="left"/>
        <w:rPr>
          <w:rFonts w:hint="eastAsia" w:ascii="宋体" w:hAnsi="宋体" w:cs="宋体"/>
          <w:b/>
          <w:color w:val="auto"/>
          <w:sz w:val="28"/>
          <w:szCs w:val="28"/>
          <w:highlight w:val="none"/>
        </w:rPr>
      </w:pPr>
      <w:r>
        <w:rPr>
          <w:rFonts w:hint="eastAsia" w:ascii="宋体" w:hAnsi="宋体" w:cs="宋体"/>
          <w:b/>
          <w:color w:val="auto"/>
          <w:sz w:val="28"/>
          <w:szCs w:val="28"/>
          <w:highlight w:val="none"/>
        </w:rPr>
        <w:t>参考格式2</w:t>
      </w:r>
    </w:p>
    <w:p w14:paraId="2B4BEF99">
      <w:pPr>
        <w:autoSpaceDE w:val="0"/>
        <w:spacing w:line="360" w:lineRule="auto"/>
        <w:ind w:firstLine="120"/>
        <w:jc w:val="center"/>
        <w:rPr>
          <w:rFonts w:hint="eastAsia" w:ascii="宋体" w:hAnsi="宋体" w:cs="宋体"/>
          <w:color w:val="auto"/>
          <w:highlight w:val="none"/>
        </w:rPr>
      </w:pPr>
      <w:r>
        <w:rPr>
          <w:rFonts w:hint="eastAsia" w:ascii="宋体" w:hAnsi="宋体" w:cs="宋体"/>
          <w:b/>
          <w:color w:val="auto"/>
          <w:sz w:val="30"/>
          <w:szCs w:val="30"/>
          <w:highlight w:val="none"/>
        </w:rPr>
        <w:t>20  年  月  日以</w:t>
      </w:r>
      <w:r>
        <w:rPr>
          <w:rFonts w:hint="eastAsia" w:ascii="宋体" w:hAnsi="宋体" w:cs="宋体"/>
          <w:b/>
          <w:color w:val="auto"/>
          <w:sz w:val="30"/>
          <w:szCs w:val="30"/>
          <w:highlight w:val="none"/>
          <w:lang w:val="zh-CN"/>
        </w:rPr>
        <w:t>来主要业绩证明</w:t>
      </w:r>
    </w:p>
    <w:p w14:paraId="3E630478">
      <w:pPr>
        <w:autoSpaceDE w:val="0"/>
        <w:spacing w:line="360" w:lineRule="auto"/>
        <w:ind w:firstLine="120"/>
        <w:rPr>
          <w:rFonts w:hint="eastAsia" w:ascii="宋体" w:hAnsi="宋体" w:cs="宋体"/>
          <w:color w:val="auto"/>
          <w:sz w:val="24"/>
          <w:highlight w:val="none"/>
        </w:rPr>
      </w:pPr>
      <w:r>
        <w:rPr>
          <w:rFonts w:hint="eastAsia" w:ascii="宋体" w:hAnsi="宋体" w:cs="宋体"/>
          <w:color w:val="auto"/>
          <w:sz w:val="24"/>
          <w:highlight w:val="none"/>
        </w:rPr>
        <w:t>附表：相关项目业绩一览表</w:t>
      </w:r>
    </w:p>
    <w:tbl>
      <w:tblPr>
        <w:tblStyle w:val="20"/>
        <w:tblW w:w="9280" w:type="dxa"/>
        <w:tblInd w:w="0" w:type="dxa"/>
        <w:tblLayout w:type="fixed"/>
        <w:tblCellMar>
          <w:top w:w="0" w:type="dxa"/>
          <w:left w:w="108" w:type="dxa"/>
          <w:bottom w:w="0" w:type="dxa"/>
          <w:right w:w="108" w:type="dxa"/>
        </w:tblCellMar>
      </w:tblPr>
      <w:tblGrid>
        <w:gridCol w:w="1187"/>
        <w:gridCol w:w="1224"/>
        <w:gridCol w:w="1274"/>
        <w:gridCol w:w="1250"/>
        <w:gridCol w:w="1029"/>
        <w:gridCol w:w="2582"/>
        <w:gridCol w:w="734"/>
      </w:tblGrid>
      <w:tr w14:paraId="3F7DBD6F">
        <w:tblPrEx>
          <w:tblCellMar>
            <w:top w:w="0" w:type="dxa"/>
            <w:left w:w="108" w:type="dxa"/>
            <w:bottom w:w="0" w:type="dxa"/>
            <w:right w:w="108" w:type="dxa"/>
          </w:tblCellMar>
        </w:tblPrEx>
        <w:trPr>
          <w:trHeight w:val="23" w:hRule="atLeast"/>
        </w:trPr>
        <w:tc>
          <w:tcPr>
            <w:tcW w:w="1187" w:type="dxa"/>
            <w:tcBorders>
              <w:top w:val="single" w:color="000000" w:sz="6" w:space="0"/>
              <w:left w:val="single" w:color="000000" w:sz="6" w:space="0"/>
              <w:bottom w:val="single" w:color="000000" w:sz="6" w:space="0"/>
              <w:right w:val="single" w:color="000000" w:sz="6" w:space="0"/>
            </w:tcBorders>
            <w:vAlign w:val="center"/>
          </w:tcPr>
          <w:p w14:paraId="1EBDDD2A">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项目名称</w:t>
            </w:r>
          </w:p>
        </w:tc>
        <w:tc>
          <w:tcPr>
            <w:tcW w:w="1224" w:type="dxa"/>
            <w:tcBorders>
              <w:top w:val="single" w:color="000000" w:sz="6" w:space="0"/>
              <w:left w:val="single" w:color="000000" w:sz="6" w:space="0"/>
              <w:bottom w:val="single" w:color="000000" w:sz="6" w:space="0"/>
              <w:right w:val="single" w:color="000000" w:sz="6" w:space="0"/>
            </w:tcBorders>
            <w:vAlign w:val="center"/>
          </w:tcPr>
          <w:p w14:paraId="4A582386">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项目类型</w:t>
            </w:r>
          </w:p>
        </w:tc>
        <w:tc>
          <w:tcPr>
            <w:tcW w:w="1274" w:type="dxa"/>
            <w:tcBorders>
              <w:top w:val="single" w:color="000000" w:sz="6" w:space="0"/>
              <w:left w:val="single" w:color="000000" w:sz="6" w:space="0"/>
              <w:bottom w:val="single" w:color="000000" w:sz="6" w:space="0"/>
              <w:right w:val="single" w:color="000000" w:sz="6" w:space="0"/>
            </w:tcBorders>
            <w:vAlign w:val="center"/>
          </w:tcPr>
          <w:p w14:paraId="241F8932">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简要描述</w:t>
            </w:r>
          </w:p>
        </w:tc>
        <w:tc>
          <w:tcPr>
            <w:tcW w:w="1250" w:type="dxa"/>
            <w:tcBorders>
              <w:top w:val="single" w:color="000000" w:sz="6" w:space="0"/>
              <w:left w:val="single" w:color="000000" w:sz="6" w:space="0"/>
              <w:bottom w:val="single" w:color="000000" w:sz="6" w:space="0"/>
              <w:right w:val="single" w:color="000000" w:sz="6" w:space="0"/>
            </w:tcBorders>
            <w:vAlign w:val="center"/>
          </w:tcPr>
          <w:p w14:paraId="43F6FEBA">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项目投资（万元）</w:t>
            </w:r>
          </w:p>
        </w:tc>
        <w:tc>
          <w:tcPr>
            <w:tcW w:w="1029" w:type="dxa"/>
            <w:tcBorders>
              <w:top w:val="single" w:color="000000" w:sz="6" w:space="0"/>
              <w:left w:val="single" w:color="000000" w:sz="6" w:space="0"/>
              <w:bottom w:val="single" w:color="000000" w:sz="6" w:space="0"/>
              <w:right w:val="single" w:color="000000" w:sz="6" w:space="0"/>
            </w:tcBorders>
            <w:vAlign w:val="center"/>
          </w:tcPr>
          <w:p w14:paraId="3EDDD50B">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合同签订日期</w:t>
            </w:r>
          </w:p>
        </w:tc>
        <w:tc>
          <w:tcPr>
            <w:tcW w:w="2582" w:type="dxa"/>
            <w:tcBorders>
              <w:top w:val="single" w:color="000000" w:sz="6" w:space="0"/>
              <w:left w:val="single" w:color="000000" w:sz="6" w:space="0"/>
              <w:bottom w:val="single" w:color="000000" w:sz="6" w:space="0"/>
              <w:right w:val="single" w:color="000000" w:sz="6" w:space="0"/>
            </w:tcBorders>
            <w:vAlign w:val="center"/>
          </w:tcPr>
          <w:p w14:paraId="37AECAE7">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项目地址与采购单位联系电话</w:t>
            </w:r>
          </w:p>
        </w:tc>
        <w:tc>
          <w:tcPr>
            <w:tcW w:w="734" w:type="dxa"/>
            <w:tcBorders>
              <w:top w:val="single" w:color="000000" w:sz="6" w:space="0"/>
              <w:left w:val="single" w:color="000000" w:sz="6" w:space="0"/>
              <w:bottom w:val="single" w:color="000000" w:sz="6" w:space="0"/>
              <w:right w:val="single" w:color="000000" w:sz="6" w:space="0"/>
            </w:tcBorders>
            <w:vAlign w:val="center"/>
          </w:tcPr>
          <w:p w14:paraId="728A9890">
            <w:pPr>
              <w:autoSpaceDE w:val="0"/>
              <w:spacing w:line="276" w:lineRule="auto"/>
              <w:jc w:val="center"/>
              <w:rPr>
                <w:rFonts w:hint="eastAsia" w:ascii="宋体" w:hAnsi="宋体" w:cs="宋体"/>
                <w:color w:val="auto"/>
                <w:highlight w:val="none"/>
              </w:rPr>
            </w:pPr>
            <w:r>
              <w:rPr>
                <w:rFonts w:hint="eastAsia" w:ascii="宋体" w:hAnsi="宋体" w:cs="宋体"/>
                <w:color w:val="auto"/>
                <w:sz w:val="24"/>
                <w:highlight w:val="none"/>
              </w:rPr>
              <w:t>所在页码</w:t>
            </w:r>
          </w:p>
        </w:tc>
      </w:tr>
      <w:tr w14:paraId="4282FAE3">
        <w:tblPrEx>
          <w:tblCellMar>
            <w:top w:w="0" w:type="dxa"/>
            <w:left w:w="108" w:type="dxa"/>
            <w:bottom w:w="0" w:type="dxa"/>
            <w:right w:w="108" w:type="dxa"/>
          </w:tblCellMar>
        </w:tblPrEx>
        <w:trPr>
          <w:trHeight w:val="23" w:hRule="atLeast"/>
        </w:trPr>
        <w:tc>
          <w:tcPr>
            <w:tcW w:w="1187" w:type="dxa"/>
            <w:tcBorders>
              <w:top w:val="single" w:color="000000" w:sz="6" w:space="0"/>
              <w:left w:val="single" w:color="000000" w:sz="6" w:space="0"/>
              <w:bottom w:val="single" w:color="000000" w:sz="6" w:space="0"/>
              <w:right w:val="single" w:color="000000" w:sz="6" w:space="0"/>
            </w:tcBorders>
          </w:tcPr>
          <w:p w14:paraId="67A92449">
            <w:pPr>
              <w:autoSpaceDE w:val="0"/>
              <w:snapToGrid w:val="0"/>
              <w:spacing w:line="360" w:lineRule="auto"/>
              <w:rPr>
                <w:rFonts w:hint="eastAsia" w:ascii="宋体" w:hAnsi="宋体" w:cs="宋体"/>
                <w:color w:val="auto"/>
                <w:sz w:val="24"/>
                <w:highlight w:val="none"/>
              </w:rPr>
            </w:pPr>
          </w:p>
        </w:tc>
        <w:tc>
          <w:tcPr>
            <w:tcW w:w="1224" w:type="dxa"/>
            <w:tcBorders>
              <w:top w:val="single" w:color="000000" w:sz="6" w:space="0"/>
              <w:left w:val="single" w:color="000000" w:sz="6" w:space="0"/>
              <w:bottom w:val="single" w:color="000000" w:sz="6" w:space="0"/>
              <w:right w:val="single" w:color="000000" w:sz="6" w:space="0"/>
            </w:tcBorders>
          </w:tcPr>
          <w:p w14:paraId="2C3D1BEE">
            <w:pPr>
              <w:autoSpaceDE w:val="0"/>
              <w:snapToGrid w:val="0"/>
              <w:spacing w:line="360" w:lineRule="auto"/>
              <w:rPr>
                <w:rFonts w:hint="eastAsia" w:ascii="宋体" w:hAnsi="宋体" w:cs="宋体"/>
                <w:color w:val="auto"/>
                <w:sz w:val="24"/>
                <w:highlight w:val="none"/>
              </w:rPr>
            </w:pPr>
          </w:p>
        </w:tc>
        <w:tc>
          <w:tcPr>
            <w:tcW w:w="1274" w:type="dxa"/>
            <w:tcBorders>
              <w:top w:val="single" w:color="000000" w:sz="6" w:space="0"/>
              <w:left w:val="single" w:color="000000" w:sz="6" w:space="0"/>
              <w:bottom w:val="single" w:color="000000" w:sz="6" w:space="0"/>
              <w:right w:val="single" w:color="000000" w:sz="6" w:space="0"/>
            </w:tcBorders>
          </w:tcPr>
          <w:p w14:paraId="5EBE3809">
            <w:pPr>
              <w:autoSpaceDE w:val="0"/>
              <w:snapToGrid w:val="0"/>
              <w:spacing w:line="360" w:lineRule="auto"/>
              <w:rPr>
                <w:rFonts w:hint="eastAsia" w:ascii="宋体" w:hAnsi="宋体" w:cs="宋体"/>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Pr>
          <w:p w14:paraId="135F54E5">
            <w:pPr>
              <w:autoSpaceDE w:val="0"/>
              <w:snapToGrid w:val="0"/>
              <w:spacing w:line="360" w:lineRule="auto"/>
              <w:rPr>
                <w:rFonts w:hint="eastAsia" w:ascii="宋体" w:hAnsi="宋体" w:cs="宋体"/>
                <w:color w:val="auto"/>
                <w:sz w:val="24"/>
                <w:highlight w:val="none"/>
              </w:rPr>
            </w:pPr>
          </w:p>
        </w:tc>
        <w:tc>
          <w:tcPr>
            <w:tcW w:w="1029" w:type="dxa"/>
            <w:tcBorders>
              <w:top w:val="single" w:color="000000" w:sz="6" w:space="0"/>
              <w:left w:val="single" w:color="000000" w:sz="6" w:space="0"/>
              <w:bottom w:val="single" w:color="000000" w:sz="6" w:space="0"/>
              <w:right w:val="single" w:color="000000" w:sz="6" w:space="0"/>
            </w:tcBorders>
          </w:tcPr>
          <w:p w14:paraId="1B7C206C">
            <w:pPr>
              <w:autoSpaceDE w:val="0"/>
              <w:snapToGrid w:val="0"/>
              <w:spacing w:line="360" w:lineRule="auto"/>
              <w:rPr>
                <w:rFonts w:hint="eastAsia" w:ascii="宋体" w:hAnsi="宋体" w:cs="宋体"/>
                <w:color w:val="auto"/>
                <w:sz w:val="24"/>
                <w:highlight w:val="none"/>
              </w:rPr>
            </w:pPr>
          </w:p>
        </w:tc>
        <w:tc>
          <w:tcPr>
            <w:tcW w:w="2582" w:type="dxa"/>
            <w:tcBorders>
              <w:top w:val="single" w:color="000000" w:sz="6" w:space="0"/>
              <w:left w:val="single" w:color="000000" w:sz="6" w:space="0"/>
              <w:bottom w:val="single" w:color="000000" w:sz="6" w:space="0"/>
              <w:right w:val="single" w:color="000000" w:sz="6" w:space="0"/>
            </w:tcBorders>
          </w:tcPr>
          <w:p w14:paraId="6480AF68">
            <w:pPr>
              <w:autoSpaceDE w:val="0"/>
              <w:snapToGrid w:val="0"/>
              <w:spacing w:line="360" w:lineRule="auto"/>
              <w:rPr>
                <w:rFonts w:hint="eastAsia" w:ascii="宋体" w:hAnsi="宋体" w:cs="宋体"/>
                <w:color w:val="auto"/>
                <w:sz w:val="24"/>
                <w:highlight w:val="none"/>
              </w:rPr>
            </w:pPr>
          </w:p>
        </w:tc>
        <w:tc>
          <w:tcPr>
            <w:tcW w:w="734" w:type="dxa"/>
            <w:tcBorders>
              <w:top w:val="single" w:color="000000" w:sz="6" w:space="0"/>
              <w:left w:val="single" w:color="000000" w:sz="6" w:space="0"/>
              <w:bottom w:val="single" w:color="000000" w:sz="6" w:space="0"/>
              <w:right w:val="single" w:color="000000" w:sz="6" w:space="0"/>
            </w:tcBorders>
          </w:tcPr>
          <w:p w14:paraId="0E13F861">
            <w:pPr>
              <w:autoSpaceDE w:val="0"/>
              <w:snapToGrid w:val="0"/>
              <w:spacing w:line="360" w:lineRule="auto"/>
              <w:rPr>
                <w:rFonts w:hint="eastAsia" w:ascii="宋体" w:hAnsi="宋体" w:cs="宋体"/>
                <w:color w:val="auto"/>
                <w:sz w:val="24"/>
                <w:highlight w:val="none"/>
              </w:rPr>
            </w:pPr>
          </w:p>
        </w:tc>
      </w:tr>
      <w:tr w14:paraId="598507A6">
        <w:tblPrEx>
          <w:tblCellMar>
            <w:top w:w="0" w:type="dxa"/>
            <w:left w:w="108" w:type="dxa"/>
            <w:bottom w:w="0" w:type="dxa"/>
            <w:right w:w="108" w:type="dxa"/>
          </w:tblCellMar>
        </w:tblPrEx>
        <w:trPr>
          <w:trHeight w:val="23" w:hRule="atLeast"/>
        </w:trPr>
        <w:tc>
          <w:tcPr>
            <w:tcW w:w="1187" w:type="dxa"/>
            <w:tcBorders>
              <w:top w:val="single" w:color="000000" w:sz="6" w:space="0"/>
              <w:left w:val="single" w:color="000000" w:sz="6" w:space="0"/>
              <w:bottom w:val="single" w:color="000000" w:sz="6" w:space="0"/>
              <w:right w:val="single" w:color="000000" w:sz="6" w:space="0"/>
            </w:tcBorders>
          </w:tcPr>
          <w:p w14:paraId="3170F23F">
            <w:pPr>
              <w:autoSpaceDE w:val="0"/>
              <w:snapToGrid w:val="0"/>
              <w:spacing w:line="360" w:lineRule="auto"/>
              <w:rPr>
                <w:rFonts w:hint="eastAsia" w:ascii="宋体" w:hAnsi="宋体" w:cs="宋体"/>
                <w:color w:val="auto"/>
                <w:sz w:val="24"/>
                <w:highlight w:val="none"/>
              </w:rPr>
            </w:pPr>
          </w:p>
        </w:tc>
        <w:tc>
          <w:tcPr>
            <w:tcW w:w="1224" w:type="dxa"/>
            <w:tcBorders>
              <w:top w:val="single" w:color="000000" w:sz="6" w:space="0"/>
              <w:left w:val="single" w:color="000000" w:sz="6" w:space="0"/>
              <w:bottom w:val="single" w:color="000000" w:sz="6" w:space="0"/>
              <w:right w:val="single" w:color="000000" w:sz="6" w:space="0"/>
            </w:tcBorders>
          </w:tcPr>
          <w:p w14:paraId="09EC8249">
            <w:pPr>
              <w:autoSpaceDE w:val="0"/>
              <w:snapToGrid w:val="0"/>
              <w:spacing w:line="360" w:lineRule="auto"/>
              <w:rPr>
                <w:rFonts w:hint="eastAsia" w:ascii="宋体" w:hAnsi="宋体" w:cs="宋体"/>
                <w:color w:val="auto"/>
                <w:sz w:val="24"/>
                <w:highlight w:val="none"/>
              </w:rPr>
            </w:pPr>
          </w:p>
        </w:tc>
        <w:tc>
          <w:tcPr>
            <w:tcW w:w="1274" w:type="dxa"/>
            <w:tcBorders>
              <w:top w:val="single" w:color="000000" w:sz="6" w:space="0"/>
              <w:left w:val="single" w:color="000000" w:sz="6" w:space="0"/>
              <w:bottom w:val="single" w:color="000000" w:sz="6" w:space="0"/>
              <w:right w:val="single" w:color="000000" w:sz="6" w:space="0"/>
            </w:tcBorders>
          </w:tcPr>
          <w:p w14:paraId="5DC5785A">
            <w:pPr>
              <w:autoSpaceDE w:val="0"/>
              <w:snapToGrid w:val="0"/>
              <w:spacing w:line="360" w:lineRule="auto"/>
              <w:rPr>
                <w:rFonts w:hint="eastAsia" w:ascii="宋体" w:hAnsi="宋体" w:cs="宋体"/>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Pr>
          <w:p w14:paraId="300F4430">
            <w:pPr>
              <w:autoSpaceDE w:val="0"/>
              <w:snapToGrid w:val="0"/>
              <w:spacing w:line="360" w:lineRule="auto"/>
              <w:rPr>
                <w:rFonts w:hint="eastAsia" w:ascii="宋体" w:hAnsi="宋体" w:cs="宋体"/>
                <w:color w:val="auto"/>
                <w:sz w:val="24"/>
                <w:highlight w:val="none"/>
              </w:rPr>
            </w:pPr>
          </w:p>
        </w:tc>
        <w:tc>
          <w:tcPr>
            <w:tcW w:w="1029" w:type="dxa"/>
            <w:tcBorders>
              <w:top w:val="single" w:color="000000" w:sz="6" w:space="0"/>
              <w:left w:val="single" w:color="000000" w:sz="6" w:space="0"/>
              <w:bottom w:val="single" w:color="000000" w:sz="6" w:space="0"/>
              <w:right w:val="single" w:color="000000" w:sz="6" w:space="0"/>
            </w:tcBorders>
          </w:tcPr>
          <w:p w14:paraId="06EC5055">
            <w:pPr>
              <w:autoSpaceDE w:val="0"/>
              <w:snapToGrid w:val="0"/>
              <w:spacing w:line="360" w:lineRule="auto"/>
              <w:rPr>
                <w:rFonts w:hint="eastAsia" w:ascii="宋体" w:hAnsi="宋体" w:cs="宋体"/>
                <w:color w:val="auto"/>
                <w:sz w:val="24"/>
                <w:highlight w:val="none"/>
              </w:rPr>
            </w:pPr>
          </w:p>
        </w:tc>
        <w:tc>
          <w:tcPr>
            <w:tcW w:w="2582" w:type="dxa"/>
            <w:tcBorders>
              <w:top w:val="single" w:color="000000" w:sz="6" w:space="0"/>
              <w:left w:val="single" w:color="000000" w:sz="6" w:space="0"/>
              <w:bottom w:val="single" w:color="000000" w:sz="6" w:space="0"/>
              <w:right w:val="single" w:color="000000" w:sz="6" w:space="0"/>
            </w:tcBorders>
          </w:tcPr>
          <w:p w14:paraId="303E02DD">
            <w:pPr>
              <w:autoSpaceDE w:val="0"/>
              <w:snapToGrid w:val="0"/>
              <w:spacing w:line="360" w:lineRule="auto"/>
              <w:rPr>
                <w:rFonts w:hint="eastAsia" w:ascii="宋体" w:hAnsi="宋体" w:cs="宋体"/>
                <w:color w:val="auto"/>
                <w:sz w:val="24"/>
                <w:highlight w:val="none"/>
              </w:rPr>
            </w:pPr>
          </w:p>
        </w:tc>
        <w:tc>
          <w:tcPr>
            <w:tcW w:w="734" w:type="dxa"/>
            <w:tcBorders>
              <w:top w:val="single" w:color="000000" w:sz="6" w:space="0"/>
              <w:left w:val="single" w:color="000000" w:sz="6" w:space="0"/>
              <w:bottom w:val="single" w:color="000000" w:sz="6" w:space="0"/>
              <w:right w:val="single" w:color="000000" w:sz="6" w:space="0"/>
            </w:tcBorders>
          </w:tcPr>
          <w:p w14:paraId="3DF050BC">
            <w:pPr>
              <w:autoSpaceDE w:val="0"/>
              <w:snapToGrid w:val="0"/>
              <w:spacing w:line="360" w:lineRule="auto"/>
              <w:rPr>
                <w:rFonts w:hint="eastAsia" w:ascii="宋体" w:hAnsi="宋体" w:cs="宋体"/>
                <w:color w:val="auto"/>
                <w:sz w:val="24"/>
                <w:highlight w:val="none"/>
              </w:rPr>
            </w:pPr>
          </w:p>
        </w:tc>
      </w:tr>
      <w:tr w14:paraId="205360DC">
        <w:tblPrEx>
          <w:tblCellMar>
            <w:top w:w="0" w:type="dxa"/>
            <w:left w:w="108" w:type="dxa"/>
            <w:bottom w:w="0" w:type="dxa"/>
            <w:right w:w="108" w:type="dxa"/>
          </w:tblCellMar>
        </w:tblPrEx>
        <w:trPr>
          <w:trHeight w:val="23" w:hRule="atLeast"/>
        </w:trPr>
        <w:tc>
          <w:tcPr>
            <w:tcW w:w="1187" w:type="dxa"/>
            <w:tcBorders>
              <w:top w:val="single" w:color="000000" w:sz="6" w:space="0"/>
              <w:left w:val="single" w:color="000000" w:sz="6" w:space="0"/>
              <w:bottom w:val="single" w:color="000000" w:sz="6" w:space="0"/>
              <w:right w:val="single" w:color="000000" w:sz="6" w:space="0"/>
            </w:tcBorders>
          </w:tcPr>
          <w:p w14:paraId="7404EAF3">
            <w:pPr>
              <w:autoSpaceDE w:val="0"/>
              <w:snapToGrid w:val="0"/>
              <w:spacing w:line="360" w:lineRule="auto"/>
              <w:rPr>
                <w:rFonts w:hint="eastAsia" w:ascii="宋体" w:hAnsi="宋体" w:cs="宋体"/>
                <w:color w:val="auto"/>
                <w:sz w:val="24"/>
                <w:highlight w:val="none"/>
              </w:rPr>
            </w:pPr>
          </w:p>
        </w:tc>
        <w:tc>
          <w:tcPr>
            <w:tcW w:w="1224" w:type="dxa"/>
            <w:tcBorders>
              <w:top w:val="single" w:color="000000" w:sz="6" w:space="0"/>
              <w:left w:val="single" w:color="000000" w:sz="6" w:space="0"/>
              <w:bottom w:val="single" w:color="000000" w:sz="6" w:space="0"/>
              <w:right w:val="single" w:color="000000" w:sz="6" w:space="0"/>
            </w:tcBorders>
          </w:tcPr>
          <w:p w14:paraId="377F1F40">
            <w:pPr>
              <w:autoSpaceDE w:val="0"/>
              <w:snapToGrid w:val="0"/>
              <w:spacing w:line="360" w:lineRule="auto"/>
              <w:rPr>
                <w:rFonts w:hint="eastAsia" w:ascii="宋体" w:hAnsi="宋体" w:cs="宋体"/>
                <w:color w:val="auto"/>
                <w:sz w:val="24"/>
                <w:highlight w:val="none"/>
              </w:rPr>
            </w:pPr>
          </w:p>
        </w:tc>
        <w:tc>
          <w:tcPr>
            <w:tcW w:w="1274" w:type="dxa"/>
            <w:tcBorders>
              <w:top w:val="single" w:color="000000" w:sz="6" w:space="0"/>
              <w:left w:val="single" w:color="000000" w:sz="6" w:space="0"/>
              <w:bottom w:val="single" w:color="000000" w:sz="6" w:space="0"/>
              <w:right w:val="single" w:color="000000" w:sz="6" w:space="0"/>
            </w:tcBorders>
          </w:tcPr>
          <w:p w14:paraId="5D59AEAF">
            <w:pPr>
              <w:autoSpaceDE w:val="0"/>
              <w:snapToGrid w:val="0"/>
              <w:spacing w:line="360" w:lineRule="auto"/>
              <w:rPr>
                <w:rFonts w:hint="eastAsia" w:ascii="宋体" w:hAnsi="宋体" w:cs="宋体"/>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Pr>
          <w:p w14:paraId="5009A304">
            <w:pPr>
              <w:autoSpaceDE w:val="0"/>
              <w:snapToGrid w:val="0"/>
              <w:spacing w:line="360" w:lineRule="auto"/>
              <w:rPr>
                <w:rFonts w:hint="eastAsia" w:ascii="宋体" w:hAnsi="宋体" w:cs="宋体"/>
                <w:color w:val="auto"/>
                <w:sz w:val="24"/>
                <w:highlight w:val="none"/>
              </w:rPr>
            </w:pPr>
          </w:p>
        </w:tc>
        <w:tc>
          <w:tcPr>
            <w:tcW w:w="1029" w:type="dxa"/>
            <w:tcBorders>
              <w:top w:val="single" w:color="000000" w:sz="6" w:space="0"/>
              <w:left w:val="single" w:color="000000" w:sz="6" w:space="0"/>
              <w:bottom w:val="single" w:color="000000" w:sz="6" w:space="0"/>
              <w:right w:val="single" w:color="000000" w:sz="6" w:space="0"/>
            </w:tcBorders>
          </w:tcPr>
          <w:p w14:paraId="6E618FFB">
            <w:pPr>
              <w:autoSpaceDE w:val="0"/>
              <w:snapToGrid w:val="0"/>
              <w:spacing w:line="360" w:lineRule="auto"/>
              <w:rPr>
                <w:rFonts w:hint="eastAsia" w:ascii="宋体" w:hAnsi="宋体" w:cs="宋体"/>
                <w:color w:val="auto"/>
                <w:sz w:val="24"/>
                <w:highlight w:val="none"/>
              </w:rPr>
            </w:pPr>
          </w:p>
        </w:tc>
        <w:tc>
          <w:tcPr>
            <w:tcW w:w="2582" w:type="dxa"/>
            <w:tcBorders>
              <w:top w:val="single" w:color="000000" w:sz="6" w:space="0"/>
              <w:left w:val="single" w:color="000000" w:sz="6" w:space="0"/>
              <w:bottom w:val="single" w:color="000000" w:sz="6" w:space="0"/>
              <w:right w:val="single" w:color="000000" w:sz="6" w:space="0"/>
            </w:tcBorders>
          </w:tcPr>
          <w:p w14:paraId="07B534F0">
            <w:pPr>
              <w:autoSpaceDE w:val="0"/>
              <w:snapToGrid w:val="0"/>
              <w:spacing w:line="360" w:lineRule="auto"/>
              <w:rPr>
                <w:rFonts w:hint="eastAsia" w:ascii="宋体" w:hAnsi="宋体" w:cs="宋体"/>
                <w:color w:val="auto"/>
                <w:sz w:val="24"/>
                <w:highlight w:val="none"/>
              </w:rPr>
            </w:pPr>
          </w:p>
        </w:tc>
        <w:tc>
          <w:tcPr>
            <w:tcW w:w="734" w:type="dxa"/>
            <w:tcBorders>
              <w:top w:val="single" w:color="000000" w:sz="6" w:space="0"/>
              <w:left w:val="single" w:color="000000" w:sz="6" w:space="0"/>
              <w:bottom w:val="single" w:color="000000" w:sz="6" w:space="0"/>
              <w:right w:val="single" w:color="000000" w:sz="6" w:space="0"/>
            </w:tcBorders>
          </w:tcPr>
          <w:p w14:paraId="345095C5">
            <w:pPr>
              <w:autoSpaceDE w:val="0"/>
              <w:snapToGrid w:val="0"/>
              <w:spacing w:line="360" w:lineRule="auto"/>
              <w:rPr>
                <w:rFonts w:hint="eastAsia" w:ascii="宋体" w:hAnsi="宋体" w:cs="宋体"/>
                <w:color w:val="auto"/>
                <w:sz w:val="24"/>
                <w:highlight w:val="none"/>
              </w:rPr>
            </w:pPr>
          </w:p>
        </w:tc>
      </w:tr>
    </w:tbl>
    <w:p w14:paraId="429461F6">
      <w:pPr>
        <w:autoSpaceDE w:val="0"/>
        <w:spacing w:line="360" w:lineRule="auto"/>
        <w:rPr>
          <w:rFonts w:hint="eastAsia" w:ascii="宋体" w:hAnsi="宋体" w:cs="宋体"/>
          <w:color w:val="auto"/>
          <w:highlight w:val="none"/>
        </w:rPr>
      </w:pPr>
      <w:r>
        <w:rPr>
          <w:rFonts w:hint="eastAsia" w:ascii="宋体" w:hAnsi="宋体" w:cs="宋体"/>
          <w:b/>
          <w:color w:val="auto"/>
          <w:sz w:val="24"/>
          <w:highlight w:val="none"/>
        </w:rPr>
        <w:t xml:space="preserve">  注：投标供应商可按上述的格式自行编制，须随表提交相应的业绩证明材料（详见评分要求）并注明所在投标商务文件页码。</w:t>
      </w:r>
    </w:p>
    <w:p w14:paraId="541794A9">
      <w:pPr>
        <w:snapToGrid w:val="0"/>
        <w:spacing w:line="360" w:lineRule="auto"/>
        <w:ind w:firstLine="576"/>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6E97229B">
      <w:pPr>
        <w:snapToGrid w:val="0"/>
        <w:spacing w:line="360" w:lineRule="auto"/>
        <w:ind w:firstLine="576"/>
        <w:jc w:val="center"/>
        <w:rPr>
          <w:rFonts w:hint="eastAsia" w:ascii="宋体" w:hAnsi="宋体" w:cs="宋体"/>
          <w:color w:val="auto"/>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21A2C0BB">
      <w:pPr>
        <w:rPr>
          <w:rFonts w:hint="eastAsia" w:ascii="宋体" w:hAnsi="宋体" w:cs="宋体"/>
          <w:b/>
          <w:color w:val="auto"/>
          <w:kern w:val="0"/>
          <w:sz w:val="28"/>
          <w:highlight w:val="none"/>
        </w:rPr>
      </w:pPr>
    </w:p>
    <w:p w14:paraId="56C0878B">
      <w:pPr>
        <w:rPr>
          <w:rFonts w:hint="eastAsia" w:ascii="宋体" w:hAnsi="宋体" w:cs="宋体"/>
          <w:b/>
          <w:color w:val="auto"/>
          <w:kern w:val="0"/>
          <w:sz w:val="28"/>
          <w:highlight w:val="none"/>
        </w:rPr>
      </w:pPr>
    </w:p>
    <w:p w14:paraId="11052BDC">
      <w:pPr>
        <w:rPr>
          <w:rFonts w:hint="eastAsia" w:ascii="宋体" w:hAnsi="宋体" w:cs="宋体"/>
          <w:b/>
          <w:color w:val="auto"/>
          <w:kern w:val="0"/>
          <w:sz w:val="28"/>
          <w:highlight w:val="none"/>
        </w:rPr>
      </w:pPr>
    </w:p>
    <w:p w14:paraId="435E0ABC">
      <w:pPr>
        <w:rPr>
          <w:rFonts w:hint="eastAsia" w:ascii="宋体" w:hAnsi="宋体" w:cs="宋体"/>
          <w:b/>
          <w:color w:val="auto"/>
          <w:kern w:val="0"/>
          <w:sz w:val="28"/>
          <w:highlight w:val="none"/>
        </w:rPr>
      </w:pPr>
      <w:r>
        <w:rPr>
          <w:rFonts w:hint="eastAsia" w:ascii="宋体" w:hAnsi="宋体" w:cs="宋体"/>
          <w:b/>
          <w:color w:val="auto"/>
          <w:kern w:val="0"/>
          <w:sz w:val="28"/>
          <w:highlight w:val="none"/>
        </w:rPr>
        <w:t>参考格式3</w:t>
      </w:r>
    </w:p>
    <w:p w14:paraId="702E1BA1">
      <w:pPr>
        <w:jc w:val="center"/>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拟投入项目成员情况表</w:t>
      </w:r>
    </w:p>
    <w:tbl>
      <w:tblPr>
        <w:tblStyle w:val="20"/>
        <w:tblW w:w="9280" w:type="dxa"/>
        <w:jc w:val="center"/>
        <w:tblLayout w:type="fixed"/>
        <w:tblCellMar>
          <w:top w:w="0" w:type="dxa"/>
          <w:left w:w="108" w:type="dxa"/>
          <w:bottom w:w="0" w:type="dxa"/>
          <w:right w:w="108" w:type="dxa"/>
        </w:tblCellMar>
      </w:tblPr>
      <w:tblGrid>
        <w:gridCol w:w="974"/>
        <w:gridCol w:w="687"/>
        <w:gridCol w:w="804"/>
        <w:gridCol w:w="728"/>
        <w:gridCol w:w="1321"/>
        <w:gridCol w:w="900"/>
        <w:gridCol w:w="1240"/>
        <w:gridCol w:w="1151"/>
        <w:gridCol w:w="733"/>
        <w:gridCol w:w="742"/>
      </w:tblGrid>
      <w:tr w14:paraId="6C27367B">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92C169">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团队</w:t>
            </w:r>
          </w:p>
          <w:p w14:paraId="73873770">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职务</w:t>
            </w: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0E5879">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DF035A5">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性别</w:t>
            </w: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50DB46">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年龄</w:t>
            </w: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29DBB7">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身份证号码</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7F525E">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学历/专业</w:t>
            </w: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A1CC03">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职称/执业资格</w:t>
            </w: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910956">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证书号码</w:t>
            </w: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658F1E">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对应页码</w:t>
            </w: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E30AFA2">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w:t>
            </w:r>
          </w:p>
          <w:p w14:paraId="1560BDDC">
            <w:pPr>
              <w:autoSpaceDE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自行补充</w:t>
            </w:r>
          </w:p>
        </w:tc>
      </w:tr>
      <w:tr w14:paraId="68F48DD7">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287C8B">
            <w:pPr>
              <w:autoSpaceDE w:val="0"/>
              <w:snapToGrid w:val="0"/>
              <w:jc w:val="left"/>
              <w:rPr>
                <w:rFonts w:hint="eastAsia" w:ascii="宋体" w:hAnsi="宋体" w:cs="宋体"/>
                <w:color w:val="auto"/>
                <w:sz w:val="24"/>
                <w:highlight w:val="none"/>
              </w:rPr>
            </w:pPr>
            <w:r>
              <w:rPr>
                <w:rFonts w:hint="eastAsia" w:ascii="宋体" w:hAnsi="宋体" w:cs="宋体"/>
                <w:color w:val="auto"/>
                <w:sz w:val="24"/>
                <w:highlight w:val="none"/>
              </w:rPr>
              <w:t>项目负责人</w:t>
            </w: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C496B5">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8AB62F">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4744FA">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EB368A5">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9333283">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0B15845">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D9E98D">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32A9F0">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42F6D42">
            <w:pPr>
              <w:autoSpaceDE w:val="0"/>
              <w:snapToGrid w:val="0"/>
              <w:rPr>
                <w:rFonts w:hint="eastAsia" w:ascii="宋体" w:hAnsi="宋体" w:cs="宋体"/>
                <w:color w:val="auto"/>
                <w:sz w:val="24"/>
                <w:highlight w:val="none"/>
              </w:rPr>
            </w:pPr>
          </w:p>
        </w:tc>
      </w:tr>
      <w:tr w14:paraId="00D8D81E">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89DD7B">
            <w:pPr>
              <w:autoSpaceDE w:val="0"/>
              <w:snapToGrid w:val="0"/>
              <w:rPr>
                <w:rFonts w:hint="eastAsia" w:ascii="宋体" w:hAnsi="宋体" w:cs="宋体"/>
                <w:color w:val="auto"/>
                <w:sz w:val="24"/>
                <w:highlight w:val="none"/>
              </w:rPr>
            </w:pP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040DBA">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01D43C6">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8B5FBB">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972B2A">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4CE238">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B806868">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BEEA6A">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53F601">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1B37ABE">
            <w:pPr>
              <w:autoSpaceDE w:val="0"/>
              <w:snapToGrid w:val="0"/>
              <w:rPr>
                <w:rFonts w:hint="eastAsia" w:ascii="宋体" w:hAnsi="宋体" w:cs="宋体"/>
                <w:color w:val="auto"/>
                <w:sz w:val="24"/>
                <w:highlight w:val="none"/>
              </w:rPr>
            </w:pPr>
          </w:p>
        </w:tc>
      </w:tr>
      <w:tr w14:paraId="26347366">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B4D155">
            <w:pPr>
              <w:autoSpaceDE w:val="0"/>
              <w:snapToGrid w:val="0"/>
              <w:rPr>
                <w:rFonts w:hint="eastAsia" w:ascii="宋体" w:hAnsi="宋体" w:cs="宋体"/>
                <w:color w:val="auto"/>
                <w:sz w:val="24"/>
                <w:highlight w:val="none"/>
              </w:rPr>
            </w:pP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7CEBC9">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3D5050">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440E5C">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5DED03">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F33F4B">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DC8C87">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2F7BBA">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CD41ECC">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E6912E">
            <w:pPr>
              <w:autoSpaceDE w:val="0"/>
              <w:snapToGrid w:val="0"/>
              <w:rPr>
                <w:rFonts w:hint="eastAsia" w:ascii="宋体" w:hAnsi="宋体" w:cs="宋体"/>
                <w:color w:val="auto"/>
                <w:sz w:val="24"/>
                <w:highlight w:val="none"/>
              </w:rPr>
            </w:pPr>
          </w:p>
        </w:tc>
      </w:tr>
      <w:tr w14:paraId="05A43416">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A67209">
            <w:pPr>
              <w:autoSpaceDE w:val="0"/>
              <w:snapToGrid w:val="0"/>
              <w:rPr>
                <w:rFonts w:hint="eastAsia" w:ascii="宋体" w:hAnsi="宋体" w:cs="宋体"/>
                <w:color w:val="auto"/>
                <w:sz w:val="24"/>
                <w:highlight w:val="none"/>
              </w:rPr>
            </w:pP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FB28F3">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6698994">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4274CC6">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1E4D8B">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3066EF2">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8EC7863">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31257A">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99A343">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FA641A">
            <w:pPr>
              <w:autoSpaceDE w:val="0"/>
              <w:snapToGrid w:val="0"/>
              <w:rPr>
                <w:rFonts w:hint="eastAsia" w:ascii="宋体" w:hAnsi="宋体" w:cs="宋体"/>
                <w:color w:val="auto"/>
                <w:sz w:val="24"/>
                <w:highlight w:val="none"/>
              </w:rPr>
            </w:pPr>
          </w:p>
        </w:tc>
      </w:tr>
      <w:tr w14:paraId="74B7BF4D">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700FC7">
            <w:pPr>
              <w:autoSpaceDE w:val="0"/>
              <w:snapToGrid w:val="0"/>
              <w:rPr>
                <w:rFonts w:hint="eastAsia" w:ascii="宋体" w:hAnsi="宋体" w:cs="宋体"/>
                <w:color w:val="auto"/>
                <w:sz w:val="24"/>
                <w:highlight w:val="none"/>
              </w:rPr>
            </w:pP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074D66">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662E6E">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0C09A1">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9D82FE">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177E5F">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779394">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F4F1FFB">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59CD3CB">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74C1079">
            <w:pPr>
              <w:autoSpaceDE w:val="0"/>
              <w:snapToGrid w:val="0"/>
              <w:rPr>
                <w:rFonts w:hint="eastAsia" w:ascii="宋体" w:hAnsi="宋体" w:cs="宋体"/>
                <w:color w:val="auto"/>
                <w:sz w:val="24"/>
                <w:highlight w:val="none"/>
              </w:rPr>
            </w:pPr>
          </w:p>
        </w:tc>
      </w:tr>
      <w:tr w14:paraId="0B9110FD">
        <w:tblPrEx>
          <w:tblCellMar>
            <w:top w:w="0" w:type="dxa"/>
            <w:left w:w="108" w:type="dxa"/>
            <w:bottom w:w="0" w:type="dxa"/>
            <w:right w:w="108" w:type="dxa"/>
          </w:tblCellMar>
        </w:tblPrEx>
        <w:trPr>
          <w:trHeight w:val="23" w:hRule="atLeast"/>
          <w:jc w:val="center"/>
        </w:trPr>
        <w:tc>
          <w:tcPr>
            <w:tcW w:w="9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14D772">
            <w:pPr>
              <w:autoSpaceDE w:val="0"/>
              <w:snapToGrid w:val="0"/>
              <w:rPr>
                <w:rFonts w:hint="eastAsia" w:ascii="宋体" w:hAnsi="宋体" w:cs="宋体"/>
                <w:color w:val="auto"/>
                <w:sz w:val="24"/>
                <w:highlight w:val="none"/>
              </w:rPr>
            </w:pPr>
          </w:p>
        </w:tc>
        <w:tc>
          <w:tcPr>
            <w:tcW w:w="6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7D23EB">
            <w:pPr>
              <w:autoSpaceDE w:val="0"/>
              <w:snapToGrid w:val="0"/>
              <w:rPr>
                <w:rFonts w:hint="eastAsia" w:ascii="宋体" w:hAnsi="宋体" w:cs="宋体"/>
                <w:color w:val="auto"/>
                <w:sz w:val="24"/>
                <w:highlight w:val="none"/>
              </w:rPr>
            </w:pPr>
          </w:p>
        </w:tc>
        <w:tc>
          <w:tcPr>
            <w:tcW w:w="80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1DB32D">
            <w:pPr>
              <w:autoSpaceDE w:val="0"/>
              <w:snapToGrid w:val="0"/>
              <w:rPr>
                <w:rFonts w:hint="eastAsia" w:ascii="宋体" w:hAnsi="宋体" w:cs="宋体"/>
                <w:color w:val="auto"/>
                <w:sz w:val="24"/>
                <w:highlight w:val="none"/>
              </w:rPr>
            </w:pPr>
          </w:p>
        </w:tc>
        <w:tc>
          <w:tcPr>
            <w:tcW w:w="7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069BE59">
            <w:pPr>
              <w:autoSpaceDE w:val="0"/>
              <w:snapToGrid w:val="0"/>
              <w:rPr>
                <w:rFonts w:hint="eastAsia" w:ascii="宋体" w:hAnsi="宋体" w:cs="宋体"/>
                <w:color w:val="auto"/>
                <w:sz w:val="24"/>
                <w:highlight w:val="none"/>
              </w:rPr>
            </w:pPr>
          </w:p>
        </w:tc>
        <w:tc>
          <w:tcPr>
            <w:tcW w:w="132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E62F42">
            <w:pPr>
              <w:autoSpaceDE w:val="0"/>
              <w:snapToGrid w:val="0"/>
              <w:rPr>
                <w:rFonts w:hint="eastAsia" w:ascii="宋体" w:hAnsi="宋体" w:cs="宋体"/>
                <w:color w:val="auto"/>
                <w:sz w:val="24"/>
                <w:highlight w:val="none"/>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E24E6D">
            <w:pPr>
              <w:autoSpaceDE w:val="0"/>
              <w:snapToGrid w:val="0"/>
              <w:rPr>
                <w:rFonts w:hint="eastAsia" w:ascii="宋体" w:hAnsi="宋体" w:cs="宋体"/>
                <w:color w:val="auto"/>
                <w:sz w:val="24"/>
                <w:highlight w:val="none"/>
              </w:rPr>
            </w:pPr>
          </w:p>
        </w:tc>
        <w:tc>
          <w:tcPr>
            <w:tcW w:w="12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9DE753">
            <w:pPr>
              <w:autoSpaceDE w:val="0"/>
              <w:snapToGrid w:val="0"/>
              <w:rPr>
                <w:rFonts w:hint="eastAsia" w:ascii="宋体" w:hAnsi="宋体" w:cs="宋体"/>
                <w:color w:val="auto"/>
                <w:sz w:val="24"/>
                <w:highlight w:val="none"/>
              </w:rPr>
            </w:pPr>
          </w:p>
        </w:tc>
        <w:tc>
          <w:tcPr>
            <w:tcW w:w="11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EDE2BF1">
            <w:pPr>
              <w:autoSpaceDE w:val="0"/>
              <w:snapToGrid w:val="0"/>
              <w:rPr>
                <w:rFonts w:hint="eastAsia" w:ascii="宋体" w:hAnsi="宋体" w:cs="宋体"/>
                <w:color w:val="auto"/>
                <w:sz w:val="24"/>
                <w:highlight w:val="none"/>
              </w:rPr>
            </w:pPr>
          </w:p>
        </w:tc>
        <w:tc>
          <w:tcPr>
            <w:tcW w:w="7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686EA9">
            <w:pPr>
              <w:autoSpaceDE w:val="0"/>
              <w:snapToGrid w:val="0"/>
              <w:rPr>
                <w:rFonts w:hint="eastAsia" w:ascii="宋体" w:hAnsi="宋体" w:cs="宋体"/>
                <w:color w:val="auto"/>
                <w:sz w:val="24"/>
                <w:highlight w:val="none"/>
              </w:rPr>
            </w:pPr>
          </w:p>
        </w:tc>
        <w:tc>
          <w:tcPr>
            <w:tcW w:w="7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FB1713">
            <w:pPr>
              <w:autoSpaceDE w:val="0"/>
              <w:snapToGrid w:val="0"/>
              <w:rPr>
                <w:rFonts w:hint="eastAsia" w:ascii="宋体" w:hAnsi="宋体" w:cs="宋体"/>
                <w:color w:val="auto"/>
                <w:sz w:val="24"/>
                <w:highlight w:val="none"/>
              </w:rPr>
            </w:pPr>
          </w:p>
        </w:tc>
      </w:tr>
    </w:tbl>
    <w:p w14:paraId="682EF2FD">
      <w:pPr>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注：本项目拟投入人员近3个月交纳社保记录情况表（以社保缴纳凭证作为附件）</w:t>
      </w:r>
    </w:p>
    <w:p w14:paraId="5BD5A328">
      <w:pPr>
        <w:spacing w:line="360" w:lineRule="auto"/>
        <w:jc w:val="left"/>
        <w:rPr>
          <w:rFonts w:hint="eastAsia" w:ascii="宋体" w:hAnsi="宋体" w:cs="宋体"/>
          <w:color w:val="auto"/>
          <w:sz w:val="24"/>
          <w:highlight w:val="none"/>
        </w:rPr>
      </w:pPr>
    </w:p>
    <w:p w14:paraId="2808E8B1">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投标</w:t>
      </w:r>
      <w:r>
        <w:rPr>
          <w:rFonts w:hint="eastAsia" w:ascii="宋体" w:hAnsi="宋体" w:cs="宋体"/>
          <w:color w:val="auto"/>
          <w:sz w:val="24"/>
          <w:highlight w:val="none"/>
        </w:rPr>
        <w:t>人</w:t>
      </w:r>
      <w:r>
        <w:rPr>
          <w:rFonts w:hint="eastAsia" w:ascii="宋体" w:hAnsi="宋体" w:cs="宋体"/>
          <w:color w:val="auto"/>
          <w:sz w:val="24"/>
          <w:highlight w:val="none"/>
          <w:lang w:val="zh-CN"/>
        </w:rPr>
        <w:t>名称(电子签名)：</w:t>
      </w:r>
    </w:p>
    <w:p w14:paraId="38F5B265">
      <w:pPr>
        <w:spacing w:line="360" w:lineRule="auto"/>
        <w:jc w:val="center"/>
        <w:rPr>
          <w:rFonts w:hint="eastAsia" w:ascii="宋体" w:hAnsi="宋体" w:cs="宋体"/>
          <w:b/>
          <w:color w:val="auto"/>
          <w:kern w:val="0"/>
          <w:sz w:val="32"/>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1A11FE70">
      <w:pPr>
        <w:rPr>
          <w:rFonts w:hint="eastAsia" w:ascii="宋体" w:hAnsi="宋体" w:cs="宋体"/>
          <w:b/>
          <w:color w:val="auto"/>
          <w:kern w:val="0"/>
          <w:sz w:val="28"/>
          <w:highlight w:val="none"/>
        </w:rPr>
      </w:pPr>
      <w:r>
        <w:rPr>
          <w:rFonts w:hint="eastAsia" w:ascii="宋体" w:hAnsi="宋体" w:cs="宋体"/>
          <w:b/>
          <w:color w:val="auto"/>
          <w:kern w:val="0"/>
          <w:sz w:val="28"/>
          <w:highlight w:val="none"/>
        </w:rPr>
        <w:br w:type="page"/>
      </w:r>
    </w:p>
    <w:p w14:paraId="774A3657">
      <w:pPr>
        <w:rPr>
          <w:rFonts w:hint="eastAsia" w:ascii="宋体" w:hAnsi="宋体" w:cs="宋体"/>
          <w:b/>
          <w:color w:val="auto"/>
          <w:kern w:val="0"/>
          <w:sz w:val="28"/>
          <w:highlight w:val="none"/>
        </w:rPr>
      </w:pPr>
      <w:r>
        <w:rPr>
          <w:rFonts w:hint="eastAsia" w:ascii="宋体" w:hAnsi="宋体" w:cs="宋体"/>
          <w:b/>
          <w:color w:val="auto"/>
          <w:kern w:val="0"/>
          <w:sz w:val="28"/>
          <w:highlight w:val="none"/>
        </w:rPr>
        <w:t>参考格式4</w:t>
      </w:r>
    </w:p>
    <w:p w14:paraId="070AC0F4">
      <w:pPr>
        <w:widowControl/>
        <w:jc w:val="center"/>
        <w:rPr>
          <w:rFonts w:hint="eastAsia" w:ascii="宋体" w:hAnsi="宋体" w:cs="宋体"/>
          <w:b/>
          <w:color w:val="auto"/>
          <w:kern w:val="0"/>
          <w:sz w:val="30"/>
          <w:highlight w:val="none"/>
        </w:rPr>
      </w:pPr>
      <w:r>
        <w:rPr>
          <w:rFonts w:hint="eastAsia" w:ascii="宋体" w:hAnsi="宋体" w:cs="宋体"/>
          <w:b/>
          <w:color w:val="auto"/>
          <w:kern w:val="0"/>
          <w:sz w:val="30"/>
          <w:highlight w:val="none"/>
        </w:rPr>
        <w:t>拟投入本项目的团队成员情况表</w:t>
      </w:r>
    </w:p>
    <w:tbl>
      <w:tblPr>
        <w:tblStyle w:val="20"/>
        <w:tblW w:w="90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300"/>
        <w:gridCol w:w="1118"/>
        <w:gridCol w:w="762"/>
        <w:gridCol w:w="688"/>
        <w:gridCol w:w="1127"/>
        <w:gridCol w:w="321"/>
        <w:gridCol w:w="1468"/>
        <w:gridCol w:w="1845"/>
      </w:tblGrid>
      <w:tr w14:paraId="5C0F3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9B341A">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姓</w:t>
            </w:r>
            <w:r>
              <w:rPr>
                <w:rFonts w:hint="eastAsia" w:ascii="宋体" w:hAnsi="宋体" w:cs="宋体"/>
                <w:color w:val="auto"/>
                <w:sz w:val="24"/>
                <w:highlight w:val="none"/>
              </w:rPr>
              <w:tab/>
            </w:r>
            <w:r>
              <w:rPr>
                <w:rFonts w:hint="eastAsia" w:ascii="宋体" w:hAnsi="宋体" w:cs="宋体"/>
                <w:color w:val="auto"/>
                <w:sz w:val="24"/>
                <w:highlight w:val="none"/>
              </w:rPr>
              <w:t>名</w:t>
            </w:r>
          </w:p>
        </w:tc>
        <w:tc>
          <w:tcPr>
            <w:tcW w:w="141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56CC9F7">
            <w:pPr>
              <w:pStyle w:val="45"/>
              <w:tabs>
                <w:tab w:val="left" w:pos="483"/>
              </w:tabs>
              <w:spacing w:before="104"/>
              <w:jc w:val="center"/>
              <w:rPr>
                <w:rFonts w:hint="eastAsia" w:ascii="宋体" w:hAnsi="宋体" w:cs="宋体"/>
                <w:color w:val="auto"/>
                <w:sz w:val="24"/>
                <w:highlight w:val="none"/>
              </w:rPr>
            </w:pPr>
          </w:p>
        </w:tc>
        <w:tc>
          <w:tcPr>
            <w:tcW w:w="145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60D95F">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性</w:t>
            </w:r>
            <w:r>
              <w:rPr>
                <w:rFonts w:hint="eastAsia" w:ascii="宋体" w:hAnsi="宋体" w:cs="宋体"/>
                <w:color w:val="auto"/>
                <w:sz w:val="24"/>
                <w:highlight w:val="none"/>
              </w:rPr>
              <w:tab/>
            </w:r>
            <w:r>
              <w:rPr>
                <w:rFonts w:hint="eastAsia" w:ascii="宋体" w:hAnsi="宋体" w:cs="宋体"/>
                <w:color w:val="auto"/>
                <w:sz w:val="24"/>
                <w:highlight w:val="none"/>
              </w:rPr>
              <w:t>别</w:t>
            </w:r>
          </w:p>
        </w:tc>
        <w:tc>
          <w:tcPr>
            <w:tcW w:w="144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823F666">
            <w:pPr>
              <w:pStyle w:val="45"/>
              <w:tabs>
                <w:tab w:val="left" w:pos="483"/>
              </w:tabs>
              <w:spacing w:before="104"/>
              <w:jc w:val="center"/>
              <w:rPr>
                <w:rFonts w:hint="eastAsia" w:ascii="宋体" w:hAnsi="宋体" w:cs="宋体"/>
                <w:color w:val="auto"/>
                <w:sz w:val="24"/>
                <w:highlight w:val="none"/>
              </w:rPr>
            </w:pPr>
          </w:p>
        </w:tc>
        <w:tc>
          <w:tcPr>
            <w:tcW w:w="146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43BB25">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rPr>
              <w:tab/>
            </w:r>
            <w:r>
              <w:rPr>
                <w:rFonts w:hint="eastAsia" w:ascii="宋体" w:hAnsi="宋体" w:cs="宋体"/>
                <w:color w:val="auto"/>
                <w:sz w:val="24"/>
                <w:highlight w:val="none"/>
              </w:rPr>
              <w:t>龄</w:t>
            </w: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A5F8D1">
            <w:pPr>
              <w:pStyle w:val="45"/>
              <w:tabs>
                <w:tab w:val="left" w:pos="483"/>
              </w:tabs>
              <w:spacing w:before="104"/>
              <w:jc w:val="center"/>
              <w:rPr>
                <w:rFonts w:hint="eastAsia" w:ascii="宋体" w:hAnsi="宋体" w:cs="宋体"/>
                <w:color w:val="auto"/>
                <w:sz w:val="24"/>
                <w:highlight w:val="none"/>
              </w:rPr>
            </w:pPr>
          </w:p>
        </w:tc>
      </w:tr>
      <w:tr w14:paraId="499D8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93ADC8">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身份证号码</w:t>
            </w:r>
          </w:p>
        </w:tc>
        <w:tc>
          <w:tcPr>
            <w:tcW w:w="4316" w:type="dxa"/>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97A87CD">
            <w:pPr>
              <w:pStyle w:val="45"/>
              <w:tabs>
                <w:tab w:val="left" w:pos="483"/>
              </w:tabs>
              <w:spacing w:before="104"/>
              <w:jc w:val="center"/>
              <w:rPr>
                <w:rFonts w:hint="eastAsia" w:ascii="宋体" w:hAnsi="宋体" w:cs="宋体"/>
                <w:color w:val="auto"/>
                <w:sz w:val="24"/>
                <w:highlight w:val="none"/>
              </w:rPr>
            </w:pPr>
          </w:p>
        </w:tc>
        <w:tc>
          <w:tcPr>
            <w:tcW w:w="146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E4502F">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学</w:t>
            </w:r>
            <w:r>
              <w:rPr>
                <w:rFonts w:hint="eastAsia" w:ascii="宋体" w:hAnsi="宋体" w:cs="宋体"/>
                <w:color w:val="auto"/>
                <w:sz w:val="24"/>
                <w:highlight w:val="none"/>
              </w:rPr>
              <w:tab/>
            </w:r>
            <w:r>
              <w:rPr>
                <w:rFonts w:hint="eastAsia" w:ascii="宋体" w:hAnsi="宋体" w:cs="宋体"/>
                <w:color w:val="auto"/>
                <w:sz w:val="24"/>
                <w:highlight w:val="none"/>
              </w:rPr>
              <w:t>历</w:t>
            </w: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CDDAEE">
            <w:pPr>
              <w:pStyle w:val="45"/>
              <w:tabs>
                <w:tab w:val="left" w:pos="483"/>
              </w:tabs>
              <w:spacing w:before="104"/>
              <w:jc w:val="center"/>
              <w:rPr>
                <w:rFonts w:hint="eastAsia" w:ascii="宋体" w:hAnsi="宋体" w:cs="宋体"/>
                <w:color w:val="auto"/>
                <w:sz w:val="24"/>
                <w:highlight w:val="none"/>
              </w:rPr>
            </w:pPr>
          </w:p>
        </w:tc>
      </w:tr>
      <w:tr w14:paraId="31208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232C207">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拟任职务</w:t>
            </w:r>
          </w:p>
        </w:tc>
        <w:tc>
          <w:tcPr>
            <w:tcW w:w="141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413504">
            <w:pPr>
              <w:pStyle w:val="45"/>
              <w:tabs>
                <w:tab w:val="left" w:pos="483"/>
              </w:tabs>
              <w:spacing w:before="104"/>
              <w:jc w:val="center"/>
              <w:rPr>
                <w:rFonts w:hint="eastAsia" w:ascii="宋体" w:hAnsi="宋体" w:cs="宋体"/>
                <w:color w:val="auto"/>
                <w:sz w:val="24"/>
                <w:highlight w:val="none"/>
              </w:rPr>
            </w:pPr>
          </w:p>
        </w:tc>
        <w:tc>
          <w:tcPr>
            <w:tcW w:w="145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00EDDC3">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职</w:t>
            </w:r>
            <w:r>
              <w:rPr>
                <w:rFonts w:hint="eastAsia" w:ascii="宋体" w:hAnsi="宋体" w:cs="宋体"/>
                <w:color w:val="auto"/>
                <w:sz w:val="24"/>
                <w:highlight w:val="none"/>
              </w:rPr>
              <w:tab/>
            </w:r>
            <w:r>
              <w:rPr>
                <w:rFonts w:hint="eastAsia" w:ascii="宋体" w:hAnsi="宋体" w:cs="宋体"/>
                <w:color w:val="auto"/>
                <w:sz w:val="24"/>
                <w:highlight w:val="none"/>
              </w:rPr>
              <w:t>称</w:t>
            </w:r>
          </w:p>
        </w:tc>
        <w:tc>
          <w:tcPr>
            <w:tcW w:w="144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9F4D76">
            <w:pPr>
              <w:pStyle w:val="45"/>
              <w:tabs>
                <w:tab w:val="left" w:pos="483"/>
              </w:tabs>
              <w:spacing w:before="104"/>
              <w:jc w:val="center"/>
              <w:rPr>
                <w:rFonts w:hint="eastAsia" w:ascii="宋体" w:hAnsi="宋体" w:cs="宋体"/>
                <w:color w:val="auto"/>
                <w:sz w:val="24"/>
                <w:highlight w:val="none"/>
              </w:rPr>
            </w:pPr>
          </w:p>
        </w:tc>
        <w:tc>
          <w:tcPr>
            <w:tcW w:w="146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56AED3">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证书编号</w:t>
            </w: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83C44A">
            <w:pPr>
              <w:pStyle w:val="45"/>
              <w:tabs>
                <w:tab w:val="left" w:pos="483"/>
              </w:tabs>
              <w:spacing w:before="104"/>
              <w:jc w:val="center"/>
              <w:rPr>
                <w:rFonts w:hint="eastAsia" w:ascii="宋体" w:hAnsi="宋体" w:cs="宋体"/>
                <w:color w:val="auto"/>
                <w:sz w:val="24"/>
                <w:highlight w:val="none"/>
              </w:rPr>
            </w:pPr>
          </w:p>
        </w:tc>
      </w:tr>
      <w:tr w14:paraId="7E09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0CD6DC">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执业证书</w:t>
            </w:r>
          </w:p>
        </w:tc>
        <w:tc>
          <w:tcPr>
            <w:tcW w:w="141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C7625D">
            <w:pPr>
              <w:pStyle w:val="45"/>
              <w:tabs>
                <w:tab w:val="left" w:pos="483"/>
              </w:tabs>
              <w:spacing w:before="104"/>
              <w:jc w:val="center"/>
              <w:rPr>
                <w:rFonts w:hint="eastAsia" w:ascii="宋体" w:hAnsi="宋体" w:cs="宋体"/>
                <w:color w:val="auto"/>
                <w:sz w:val="24"/>
                <w:highlight w:val="none"/>
              </w:rPr>
            </w:pPr>
          </w:p>
        </w:tc>
        <w:tc>
          <w:tcPr>
            <w:tcW w:w="145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7B7AECE">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证书编号</w:t>
            </w:r>
          </w:p>
        </w:tc>
        <w:tc>
          <w:tcPr>
            <w:tcW w:w="1448"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1B8697">
            <w:pPr>
              <w:pStyle w:val="45"/>
              <w:tabs>
                <w:tab w:val="left" w:pos="483"/>
              </w:tabs>
              <w:spacing w:before="104"/>
              <w:jc w:val="center"/>
              <w:rPr>
                <w:rFonts w:hint="eastAsia" w:ascii="宋体" w:hAnsi="宋体" w:cs="宋体"/>
                <w:color w:val="auto"/>
                <w:sz w:val="24"/>
                <w:highlight w:val="none"/>
              </w:rPr>
            </w:pPr>
          </w:p>
        </w:tc>
        <w:tc>
          <w:tcPr>
            <w:tcW w:w="146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DF7A09">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56B2BB">
            <w:pPr>
              <w:pStyle w:val="45"/>
              <w:tabs>
                <w:tab w:val="left" w:pos="483"/>
              </w:tabs>
              <w:spacing w:before="104"/>
              <w:jc w:val="center"/>
              <w:rPr>
                <w:rFonts w:hint="eastAsia" w:ascii="宋体" w:hAnsi="宋体" w:cs="宋体"/>
                <w:color w:val="auto"/>
                <w:sz w:val="24"/>
                <w:highlight w:val="none"/>
              </w:rPr>
            </w:pPr>
          </w:p>
        </w:tc>
      </w:tr>
      <w:tr w14:paraId="051CF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9076"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C74CED">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参加工作时间</w:t>
            </w:r>
          </w:p>
        </w:tc>
      </w:tr>
      <w:tr w14:paraId="06307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F6BA94">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起止时间</w:t>
            </w:r>
          </w:p>
        </w:tc>
        <w:tc>
          <w:tcPr>
            <w:tcW w:w="2568"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87B9B6">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任职单位</w:t>
            </w:r>
          </w:p>
        </w:tc>
        <w:tc>
          <w:tcPr>
            <w:tcW w:w="2916"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0ED5157">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职务</w:t>
            </w: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B6D306">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备注</w:t>
            </w:r>
          </w:p>
        </w:tc>
      </w:tr>
      <w:tr w14:paraId="7A909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CEA359">
            <w:pPr>
              <w:pStyle w:val="45"/>
              <w:tabs>
                <w:tab w:val="left" w:pos="483"/>
              </w:tabs>
              <w:spacing w:before="104"/>
              <w:jc w:val="center"/>
              <w:rPr>
                <w:rFonts w:hint="eastAsia" w:ascii="宋体" w:hAnsi="宋体" w:cs="宋体"/>
                <w:color w:val="auto"/>
                <w:sz w:val="24"/>
                <w:highlight w:val="none"/>
              </w:rPr>
            </w:pPr>
          </w:p>
        </w:tc>
        <w:tc>
          <w:tcPr>
            <w:tcW w:w="2568"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A6B7CB">
            <w:pPr>
              <w:pStyle w:val="45"/>
              <w:tabs>
                <w:tab w:val="left" w:pos="483"/>
              </w:tabs>
              <w:spacing w:before="104"/>
              <w:jc w:val="center"/>
              <w:rPr>
                <w:rFonts w:hint="eastAsia" w:ascii="宋体" w:hAnsi="宋体" w:cs="宋体"/>
                <w:color w:val="auto"/>
                <w:sz w:val="24"/>
                <w:highlight w:val="none"/>
              </w:rPr>
            </w:pPr>
          </w:p>
        </w:tc>
        <w:tc>
          <w:tcPr>
            <w:tcW w:w="2916"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392000">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D997D18">
            <w:pPr>
              <w:pStyle w:val="45"/>
              <w:tabs>
                <w:tab w:val="left" w:pos="483"/>
              </w:tabs>
              <w:spacing w:before="104"/>
              <w:jc w:val="center"/>
              <w:rPr>
                <w:rFonts w:hint="eastAsia" w:ascii="宋体" w:hAnsi="宋体" w:cs="宋体"/>
                <w:color w:val="auto"/>
                <w:sz w:val="24"/>
                <w:highlight w:val="none"/>
              </w:rPr>
            </w:pPr>
          </w:p>
        </w:tc>
      </w:tr>
      <w:tr w14:paraId="44692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FB33A5">
            <w:pPr>
              <w:pStyle w:val="45"/>
              <w:tabs>
                <w:tab w:val="left" w:pos="483"/>
              </w:tabs>
              <w:spacing w:before="104"/>
              <w:jc w:val="center"/>
              <w:rPr>
                <w:rFonts w:hint="eastAsia" w:ascii="宋体" w:hAnsi="宋体" w:cs="宋体"/>
                <w:color w:val="auto"/>
                <w:sz w:val="24"/>
                <w:highlight w:val="none"/>
              </w:rPr>
            </w:pPr>
          </w:p>
        </w:tc>
        <w:tc>
          <w:tcPr>
            <w:tcW w:w="2568"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D331BFF">
            <w:pPr>
              <w:pStyle w:val="45"/>
              <w:tabs>
                <w:tab w:val="left" w:pos="483"/>
              </w:tabs>
              <w:spacing w:before="104"/>
              <w:jc w:val="center"/>
              <w:rPr>
                <w:rFonts w:hint="eastAsia" w:ascii="宋体" w:hAnsi="宋体" w:cs="宋体"/>
                <w:color w:val="auto"/>
                <w:sz w:val="24"/>
                <w:highlight w:val="none"/>
              </w:rPr>
            </w:pPr>
          </w:p>
        </w:tc>
        <w:tc>
          <w:tcPr>
            <w:tcW w:w="2916"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E2A02C">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0AD0F2">
            <w:pPr>
              <w:pStyle w:val="45"/>
              <w:tabs>
                <w:tab w:val="left" w:pos="483"/>
              </w:tabs>
              <w:spacing w:before="104"/>
              <w:jc w:val="center"/>
              <w:rPr>
                <w:rFonts w:hint="eastAsia" w:ascii="宋体" w:hAnsi="宋体" w:cs="宋体"/>
                <w:color w:val="auto"/>
                <w:sz w:val="24"/>
                <w:highlight w:val="none"/>
              </w:rPr>
            </w:pPr>
          </w:p>
        </w:tc>
      </w:tr>
      <w:tr w14:paraId="63FB1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076"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241E8D">
            <w:pPr>
              <w:pStyle w:val="45"/>
              <w:tabs>
                <w:tab w:val="left" w:pos="483"/>
              </w:tabs>
              <w:spacing w:before="104"/>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已成功实施的类似项目情况</w:t>
            </w:r>
          </w:p>
        </w:tc>
      </w:tr>
      <w:tr w14:paraId="035A2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87B25C">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EBED894">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采购人</w:t>
            </w: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18B1BF">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起止年月</w:t>
            </w: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C09DC5">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该项目中任职</w:t>
            </w: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EF02B1">
            <w:pPr>
              <w:pStyle w:val="45"/>
              <w:tabs>
                <w:tab w:val="left" w:pos="483"/>
              </w:tabs>
              <w:spacing w:before="104"/>
              <w:jc w:val="center"/>
              <w:rPr>
                <w:rFonts w:hint="eastAsia" w:ascii="宋体" w:hAnsi="宋体" w:cs="宋体"/>
                <w:color w:val="auto"/>
                <w:sz w:val="24"/>
                <w:highlight w:val="none"/>
              </w:rPr>
            </w:pPr>
            <w:r>
              <w:rPr>
                <w:rFonts w:hint="eastAsia" w:ascii="宋体" w:hAnsi="宋体" w:cs="宋体"/>
                <w:color w:val="auto"/>
                <w:sz w:val="24"/>
                <w:highlight w:val="none"/>
              </w:rPr>
              <w:t>项目类型</w:t>
            </w:r>
          </w:p>
        </w:tc>
      </w:tr>
      <w:tr w14:paraId="371DA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339612">
            <w:pPr>
              <w:pStyle w:val="45"/>
              <w:tabs>
                <w:tab w:val="left" w:pos="483"/>
              </w:tabs>
              <w:spacing w:before="104"/>
              <w:jc w:val="center"/>
              <w:rPr>
                <w:rFonts w:hint="eastAsia" w:ascii="宋体" w:hAnsi="宋体" w:cs="宋体"/>
                <w:color w:val="auto"/>
                <w:sz w:val="24"/>
                <w:highlight w:val="none"/>
              </w:rPr>
            </w:pP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A83CDB7">
            <w:pPr>
              <w:pStyle w:val="45"/>
              <w:tabs>
                <w:tab w:val="left" w:pos="483"/>
              </w:tabs>
              <w:spacing w:before="104"/>
              <w:jc w:val="center"/>
              <w:rPr>
                <w:rFonts w:hint="eastAsia" w:ascii="宋体" w:hAnsi="宋体" w:cs="宋体"/>
                <w:color w:val="auto"/>
                <w:sz w:val="24"/>
                <w:highlight w:val="none"/>
              </w:rPr>
            </w:pP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9CE992">
            <w:pPr>
              <w:pStyle w:val="45"/>
              <w:tabs>
                <w:tab w:val="left" w:pos="483"/>
              </w:tabs>
              <w:spacing w:before="104"/>
              <w:jc w:val="center"/>
              <w:rPr>
                <w:rFonts w:hint="eastAsia" w:ascii="宋体" w:hAnsi="宋体" w:cs="宋体"/>
                <w:color w:val="auto"/>
                <w:sz w:val="24"/>
                <w:highlight w:val="none"/>
              </w:rPr>
            </w:pP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53D8A2">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DB0CEF">
            <w:pPr>
              <w:pStyle w:val="45"/>
              <w:tabs>
                <w:tab w:val="left" w:pos="483"/>
              </w:tabs>
              <w:spacing w:before="104"/>
              <w:jc w:val="center"/>
              <w:rPr>
                <w:rFonts w:hint="eastAsia" w:ascii="宋体" w:hAnsi="宋体" w:cs="宋体"/>
                <w:color w:val="auto"/>
                <w:sz w:val="24"/>
                <w:highlight w:val="none"/>
              </w:rPr>
            </w:pPr>
          </w:p>
        </w:tc>
      </w:tr>
      <w:tr w14:paraId="2438D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86DE7D">
            <w:pPr>
              <w:pStyle w:val="45"/>
              <w:tabs>
                <w:tab w:val="left" w:pos="483"/>
              </w:tabs>
              <w:spacing w:before="104"/>
              <w:jc w:val="center"/>
              <w:rPr>
                <w:rFonts w:hint="eastAsia" w:ascii="宋体" w:hAnsi="宋体" w:cs="宋体"/>
                <w:color w:val="auto"/>
                <w:sz w:val="24"/>
                <w:highlight w:val="none"/>
              </w:rPr>
            </w:pP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CEFD123">
            <w:pPr>
              <w:pStyle w:val="45"/>
              <w:tabs>
                <w:tab w:val="left" w:pos="483"/>
              </w:tabs>
              <w:spacing w:before="104"/>
              <w:jc w:val="center"/>
              <w:rPr>
                <w:rFonts w:hint="eastAsia" w:ascii="宋体" w:hAnsi="宋体" w:cs="宋体"/>
                <w:color w:val="auto"/>
                <w:sz w:val="24"/>
                <w:highlight w:val="none"/>
              </w:rPr>
            </w:pP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1A5CF5B">
            <w:pPr>
              <w:pStyle w:val="45"/>
              <w:tabs>
                <w:tab w:val="left" w:pos="483"/>
              </w:tabs>
              <w:spacing w:before="104"/>
              <w:jc w:val="center"/>
              <w:rPr>
                <w:rFonts w:hint="eastAsia" w:ascii="宋体" w:hAnsi="宋体" w:cs="宋体"/>
                <w:color w:val="auto"/>
                <w:sz w:val="24"/>
                <w:highlight w:val="none"/>
              </w:rPr>
            </w:pP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9FFE55">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B72887C">
            <w:pPr>
              <w:pStyle w:val="45"/>
              <w:tabs>
                <w:tab w:val="left" w:pos="483"/>
              </w:tabs>
              <w:spacing w:before="104"/>
              <w:jc w:val="center"/>
              <w:rPr>
                <w:rFonts w:hint="eastAsia" w:ascii="宋体" w:hAnsi="宋体" w:cs="宋体"/>
                <w:color w:val="auto"/>
                <w:sz w:val="24"/>
                <w:highlight w:val="none"/>
              </w:rPr>
            </w:pPr>
          </w:p>
        </w:tc>
      </w:tr>
      <w:tr w14:paraId="5E590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3E745ED">
            <w:pPr>
              <w:pStyle w:val="45"/>
              <w:tabs>
                <w:tab w:val="left" w:pos="483"/>
              </w:tabs>
              <w:spacing w:before="104"/>
              <w:jc w:val="center"/>
              <w:rPr>
                <w:rFonts w:hint="eastAsia" w:ascii="宋体" w:hAnsi="宋体" w:cs="宋体"/>
                <w:color w:val="auto"/>
                <w:sz w:val="24"/>
                <w:highlight w:val="none"/>
              </w:rPr>
            </w:pP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CEC9B0">
            <w:pPr>
              <w:pStyle w:val="45"/>
              <w:tabs>
                <w:tab w:val="left" w:pos="483"/>
              </w:tabs>
              <w:spacing w:before="104"/>
              <w:jc w:val="center"/>
              <w:rPr>
                <w:rFonts w:hint="eastAsia" w:ascii="宋体" w:hAnsi="宋体" w:cs="宋体"/>
                <w:color w:val="auto"/>
                <w:sz w:val="24"/>
                <w:highlight w:val="none"/>
              </w:rPr>
            </w:pP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E4CC86">
            <w:pPr>
              <w:pStyle w:val="45"/>
              <w:tabs>
                <w:tab w:val="left" w:pos="483"/>
              </w:tabs>
              <w:spacing w:before="104"/>
              <w:jc w:val="center"/>
              <w:rPr>
                <w:rFonts w:hint="eastAsia" w:ascii="宋体" w:hAnsi="宋体" w:cs="宋体"/>
                <w:color w:val="auto"/>
                <w:sz w:val="24"/>
                <w:highlight w:val="none"/>
              </w:rPr>
            </w:pP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C1B3FD">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48FB54">
            <w:pPr>
              <w:pStyle w:val="45"/>
              <w:tabs>
                <w:tab w:val="left" w:pos="483"/>
              </w:tabs>
              <w:spacing w:before="104"/>
              <w:jc w:val="center"/>
              <w:rPr>
                <w:rFonts w:hint="eastAsia" w:ascii="宋体" w:hAnsi="宋体" w:cs="宋体"/>
                <w:color w:val="auto"/>
                <w:sz w:val="24"/>
                <w:highlight w:val="none"/>
              </w:rPr>
            </w:pPr>
          </w:p>
        </w:tc>
      </w:tr>
      <w:tr w14:paraId="6F016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88E5F2">
            <w:pPr>
              <w:pStyle w:val="45"/>
              <w:tabs>
                <w:tab w:val="left" w:pos="483"/>
              </w:tabs>
              <w:spacing w:before="104"/>
              <w:jc w:val="center"/>
              <w:rPr>
                <w:rFonts w:hint="eastAsia" w:ascii="宋体" w:hAnsi="宋体" w:cs="宋体"/>
                <w:color w:val="auto"/>
                <w:sz w:val="24"/>
                <w:highlight w:val="none"/>
              </w:rPr>
            </w:pP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BED761">
            <w:pPr>
              <w:pStyle w:val="45"/>
              <w:tabs>
                <w:tab w:val="left" w:pos="483"/>
              </w:tabs>
              <w:spacing w:before="104"/>
              <w:jc w:val="center"/>
              <w:rPr>
                <w:rFonts w:hint="eastAsia" w:ascii="宋体" w:hAnsi="宋体" w:cs="宋体"/>
                <w:color w:val="auto"/>
                <w:sz w:val="24"/>
                <w:highlight w:val="none"/>
              </w:rPr>
            </w:pP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907C9A">
            <w:pPr>
              <w:pStyle w:val="45"/>
              <w:tabs>
                <w:tab w:val="left" w:pos="483"/>
              </w:tabs>
              <w:spacing w:before="104"/>
              <w:jc w:val="center"/>
              <w:rPr>
                <w:rFonts w:hint="eastAsia" w:ascii="宋体" w:hAnsi="宋体" w:cs="宋体"/>
                <w:color w:val="auto"/>
                <w:sz w:val="24"/>
                <w:highlight w:val="none"/>
              </w:rPr>
            </w:pP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197AEFC">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37FCD02">
            <w:pPr>
              <w:pStyle w:val="45"/>
              <w:tabs>
                <w:tab w:val="left" w:pos="483"/>
              </w:tabs>
              <w:spacing w:before="104"/>
              <w:jc w:val="center"/>
              <w:rPr>
                <w:rFonts w:hint="eastAsia" w:ascii="宋体" w:hAnsi="宋体" w:cs="宋体"/>
                <w:color w:val="auto"/>
                <w:sz w:val="24"/>
                <w:highlight w:val="none"/>
              </w:rPr>
            </w:pPr>
          </w:p>
        </w:tc>
      </w:tr>
      <w:tr w14:paraId="2AE71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4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8A4735">
            <w:pPr>
              <w:pStyle w:val="45"/>
              <w:tabs>
                <w:tab w:val="left" w:pos="483"/>
              </w:tabs>
              <w:spacing w:before="104"/>
              <w:jc w:val="center"/>
              <w:rPr>
                <w:rFonts w:hint="eastAsia" w:ascii="宋体" w:hAnsi="宋体" w:cs="宋体"/>
                <w:color w:val="auto"/>
                <w:sz w:val="24"/>
                <w:highlight w:val="none"/>
              </w:rPr>
            </w:pPr>
          </w:p>
        </w:tc>
        <w:tc>
          <w:tcPr>
            <w:tcW w:w="18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78BE74">
            <w:pPr>
              <w:pStyle w:val="45"/>
              <w:tabs>
                <w:tab w:val="left" w:pos="483"/>
              </w:tabs>
              <w:spacing w:before="104"/>
              <w:jc w:val="center"/>
              <w:rPr>
                <w:rFonts w:hint="eastAsia" w:ascii="宋体" w:hAnsi="宋体" w:cs="宋体"/>
                <w:color w:val="auto"/>
                <w:sz w:val="24"/>
                <w:highlight w:val="none"/>
              </w:rPr>
            </w:pPr>
          </w:p>
        </w:tc>
        <w:tc>
          <w:tcPr>
            <w:tcW w:w="18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C86A55">
            <w:pPr>
              <w:pStyle w:val="45"/>
              <w:tabs>
                <w:tab w:val="left" w:pos="483"/>
              </w:tabs>
              <w:spacing w:before="104"/>
              <w:jc w:val="center"/>
              <w:rPr>
                <w:rFonts w:hint="eastAsia" w:ascii="宋体" w:hAnsi="宋体" w:cs="宋体"/>
                <w:color w:val="auto"/>
                <w:sz w:val="24"/>
                <w:highlight w:val="none"/>
              </w:rPr>
            </w:pPr>
          </w:p>
        </w:tc>
        <w:tc>
          <w:tcPr>
            <w:tcW w:w="1789"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33BD60D">
            <w:pPr>
              <w:pStyle w:val="45"/>
              <w:tabs>
                <w:tab w:val="left" w:pos="483"/>
              </w:tabs>
              <w:spacing w:before="104"/>
              <w:jc w:val="center"/>
              <w:rPr>
                <w:rFonts w:hint="eastAsia" w:ascii="宋体" w:hAnsi="宋体" w:cs="宋体"/>
                <w:color w:val="auto"/>
                <w:sz w:val="24"/>
                <w:highlight w:val="none"/>
              </w:rPr>
            </w:pPr>
          </w:p>
        </w:tc>
        <w:tc>
          <w:tcPr>
            <w:tcW w:w="184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73BD01">
            <w:pPr>
              <w:pStyle w:val="45"/>
              <w:tabs>
                <w:tab w:val="left" w:pos="483"/>
              </w:tabs>
              <w:spacing w:before="104"/>
              <w:jc w:val="center"/>
              <w:rPr>
                <w:rFonts w:hint="eastAsia" w:ascii="宋体" w:hAnsi="宋体" w:cs="宋体"/>
                <w:color w:val="auto"/>
                <w:sz w:val="24"/>
                <w:highlight w:val="none"/>
              </w:rPr>
            </w:pPr>
          </w:p>
        </w:tc>
      </w:tr>
    </w:tbl>
    <w:p w14:paraId="77607B60">
      <w:pPr>
        <w:jc w:val="left"/>
        <w:rPr>
          <w:rFonts w:hint="eastAsia" w:ascii="宋体" w:hAnsi="宋体" w:cs="宋体"/>
          <w:b/>
          <w:color w:val="auto"/>
          <w:sz w:val="24"/>
          <w:highlight w:val="none"/>
        </w:rPr>
      </w:pPr>
    </w:p>
    <w:p w14:paraId="4F0BE9E8">
      <w:pPr>
        <w:spacing w:line="360" w:lineRule="auto"/>
        <w:jc w:val="left"/>
        <w:rPr>
          <w:rFonts w:hint="eastAsia" w:ascii="宋体" w:hAnsi="宋体" w:cs="宋体"/>
          <w:b/>
          <w:color w:val="auto"/>
          <w:kern w:val="0"/>
          <w:sz w:val="32"/>
          <w:szCs w:val="32"/>
          <w:highlight w:val="none"/>
        </w:rPr>
      </w:pPr>
      <w:r>
        <w:rPr>
          <w:rFonts w:hint="eastAsia" w:ascii="宋体" w:hAnsi="宋体" w:cs="宋体"/>
          <w:b/>
          <w:color w:val="auto"/>
          <w:sz w:val="24"/>
          <w:highlight w:val="none"/>
        </w:rPr>
        <w:t>参考格式，可酌情调整补充</w:t>
      </w:r>
    </w:p>
    <w:p w14:paraId="288736DF">
      <w:pPr>
        <w:snapToGrid w:val="0"/>
        <w:spacing w:line="360" w:lineRule="auto"/>
        <w:ind w:firstLine="576"/>
        <w:jc w:val="center"/>
        <w:rPr>
          <w:rFonts w:hint="eastAsia" w:ascii="宋体" w:hAnsi="宋体" w:cs="宋体"/>
          <w:color w:val="auto"/>
          <w:sz w:val="24"/>
          <w:highlight w:val="none"/>
          <w:lang w:val="zh-CN"/>
        </w:rPr>
      </w:pPr>
    </w:p>
    <w:p w14:paraId="2553B04D">
      <w:pPr>
        <w:snapToGrid w:val="0"/>
        <w:spacing w:line="360" w:lineRule="auto"/>
        <w:ind w:firstLine="576"/>
        <w:jc w:val="center"/>
        <w:rPr>
          <w:rFonts w:hint="eastAsia" w:ascii="宋体" w:hAnsi="宋体" w:cs="宋体"/>
          <w:color w:val="auto"/>
          <w:sz w:val="24"/>
          <w:highlight w:val="none"/>
          <w:lang w:val="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投标供应商名称(电子签名)：</w:t>
      </w:r>
    </w:p>
    <w:p w14:paraId="00B8B94C">
      <w:pPr>
        <w:snapToGrid w:val="0"/>
        <w:spacing w:line="360" w:lineRule="auto"/>
        <w:ind w:firstLine="4800" w:firstLineChars="2000"/>
        <w:rPr>
          <w:rFonts w:hint="eastAsia" w:ascii="宋体" w:hAnsi="宋体" w:cs="宋体"/>
          <w:b/>
          <w:color w:val="auto"/>
          <w:kern w:val="0"/>
          <w:sz w:val="32"/>
          <w:szCs w:val="32"/>
          <w:highlight w:val="none"/>
        </w:rPr>
      </w:pP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2CAABCE2">
      <w:pPr>
        <w:jc w:val="center"/>
        <w:rPr>
          <w:rFonts w:hint="eastAsia" w:ascii="宋体" w:hAnsi="宋体" w:cs="宋体"/>
          <w:b/>
          <w:color w:val="auto"/>
          <w:kern w:val="0"/>
          <w:sz w:val="32"/>
          <w:szCs w:val="32"/>
          <w:highlight w:val="none"/>
        </w:rPr>
      </w:pPr>
    </w:p>
    <w:p w14:paraId="5EF8A9B2">
      <w:pPr>
        <w:jc w:val="center"/>
        <w:rPr>
          <w:rFonts w:hint="eastAsia" w:ascii="宋体" w:hAnsi="宋体" w:cs="宋体"/>
          <w:b/>
          <w:color w:val="auto"/>
          <w:kern w:val="0"/>
          <w:sz w:val="32"/>
          <w:szCs w:val="32"/>
          <w:highlight w:val="none"/>
        </w:rPr>
      </w:pPr>
    </w:p>
    <w:p w14:paraId="5A61880F">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3CB3B55">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六、投标标的清单</w:t>
      </w:r>
    </w:p>
    <w:tbl>
      <w:tblPr>
        <w:tblStyle w:val="2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06"/>
        <w:gridCol w:w="1365"/>
        <w:gridCol w:w="1365"/>
        <w:gridCol w:w="1365"/>
        <w:gridCol w:w="1366"/>
        <w:gridCol w:w="2206"/>
      </w:tblGrid>
      <w:tr w14:paraId="5D45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AA2947E">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806" w:type="dxa"/>
            <w:tcBorders>
              <w:top w:val="single" w:color="auto" w:sz="4" w:space="0"/>
              <w:left w:val="single" w:color="auto" w:sz="4" w:space="0"/>
              <w:bottom w:val="single" w:color="auto" w:sz="4" w:space="0"/>
              <w:right w:val="single" w:color="auto" w:sz="4" w:space="0"/>
            </w:tcBorders>
            <w:vAlign w:val="center"/>
          </w:tcPr>
          <w:p w14:paraId="6A8A8C3B">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365" w:type="dxa"/>
            <w:tcBorders>
              <w:top w:val="single" w:color="auto" w:sz="4" w:space="0"/>
              <w:left w:val="single" w:color="auto" w:sz="4" w:space="0"/>
              <w:bottom w:val="single" w:color="auto" w:sz="4" w:space="0"/>
              <w:right w:val="single" w:color="auto" w:sz="4" w:space="0"/>
            </w:tcBorders>
          </w:tcPr>
          <w:p w14:paraId="39187A67">
            <w:pPr>
              <w:spacing w:line="360" w:lineRule="auto"/>
              <w:jc w:val="center"/>
              <w:rPr>
                <w:rFonts w:hint="eastAsia" w:ascii="宋体" w:hAnsi="宋体" w:cs="宋体"/>
                <w:b/>
                <w:color w:val="auto"/>
                <w:sz w:val="24"/>
                <w:highlight w:val="none"/>
              </w:rPr>
            </w:pPr>
          </w:p>
          <w:p w14:paraId="7E4FF849">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服务范围</w:t>
            </w:r>
          </w:p>
        </w:tc>
        <w:tc>
          <w:tcPr>
            <w:tcW w:w="1365" w:type="dxa"/>
            <w:tcBorders>
              <w:top w:val="single" w:color="auto" w:sz="4" w:space="0"/>
              <w:left w:val="single" w:color="auto" w:sz="4" w:space="0"/>
              <w:bottom w:val="single" w:color="auto" w:sz="4" w:space="0"/>
              <w:right w:val="single" w:color="auto" w:sz="4" w:space="0"/>
            </w:tcBorders>
            <w:vAlign w:val="center"/>
          </w:tcPr>
          <w:p w14:paraId="4A6D419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服务要求</w:t>
            </w:r>
          </w:p>
        </w:tc>
        <w:tc>
          <w:tcPr>
            <w:tcW w:w="1365" w:type="dxa"/>
            <w:tcBorders>
              <w:top w:val="single" w:color="auto" w:sz="4" w:space="0"/>
              <w:left w:val="single" w:color="auto" w:sz="4" w:space="0"/>
              <w:bottom w:val="single" w:color="auto" w:sz="4" w:space="0"/>
              <w:right w:val="single" w:color="auto" w:sz="4" w:space="0"/>
            </w:tcBorders>
            <w:vAlign w:val="center"/>
          </w:tcPr>
          <w:p w14:paraId="2CD75D98">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服务时间</w:t>
            </w:r>
          </w:p>
        </w:tc>
        <w:tc>
          <w:tcPr>
            <w:tcW w:w="1366" w:type="dxa"/>
            <w:tcBorders>
              <w:top w:val="single" w:color="auto" w:sz="4" w:space="0"/>
              <w:left w:val="single" w:color="auto" w:sz="4" w:space="0"/>
              <w:bottom w:val="single" w:color="auto" w:sz="4" w:space="0"/>
              <w:right w:val="single" w:color="auto" w:sz="4" w:space="0"/>
            </w:tcBorders>
            <w:vAlign w:val="center"/>
          </w:tcPr>
          <w:p w14:paraId="6441EB4B">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服务标准</w:t>
            </w:r>
          </w:p>
        </w:tc>
        <w:tc>
          <w:tcPr>
            <w:tcW w:w="2206" w:type="dxa"/>
            <w:tcBorders>
              <w:top w:val="single" w:color="auto" w:sz="4" w:space="0"/>
              <w:left w:val="single" w:color="auto" w:sz="4" w:space="0"/>
              <w:bottom w:val="single" w:color="auto" w:sz="4" w:space="0"/>
              <w:right w:val="single" w:color="auto" w:sz="4" w:space="0"/>
            </w:tcBorders>
            <w:vAlign w:val="center"/>
          </w:tcPr>
          <w:p w14:paraId="6848AD37">
            <w:pPr>
              <w:spacing w:line="360" w:lineRule="auto"/>
              <w:jc w:val="center"/>
              <w:rPr>
                <w:rFonts w:hint="eastAsia" w:ascii="宋体" w:hAnsi="宋体" w:cs="宋体"/>
                <w:b/>
                <w:color w:val="auto"/>
                <w:sz w:val="24"/>
                <w:highlight w:val="none"/>
              </w:rPr>
            </w:pPr>
          </w:p>
          <w:p w14:paraId="0D7F6B2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备注（如果有）</w:t>
            </w:r>
          </w:p>
          <w:p w14:paraId="7C9A26FA">
            <w:pPr>
              <w:spacing w:line="360" w:lineRule="auto"/>
              <w:jc w:val="center"/>
              <w:rPr>
                <w:rFonts w:hint="eastAsia" w:ascii="宋体" w:hAnsi="宋体" w:cs="宋体"/>
                <w:b/>
                <w:color w:val="auto"/>
                <w:sz w:val="24"/>
                <w:highlight w:val="none"/>
              </w:rPr>
            </w:pPr>
          </w:p>
        </w:tc>
      </w:tr>
      <w:tr w14:paraId="67D3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47E66A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806" w:type="dxa"/>
            <w:tcBorders>
              <w:top w:val="single" w:color="auto" w:sz="4" w:space="0"/>
              <w:left w:val="single" w:color="auto" w:sz="4" w:space="0"/>
              <w:bottom w:val="single" w:color="auto" w:sz="4" w:space="0"/>
              <w:right w:val="single" w:color="auto" w:sz="4" w:space="0"/>
            </w:tcBorders>
            <w:vAlign w:val="center"/>
          </w:tcPr>
          <w:p w14:paraId="7A66AA40">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775E22A">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206D8CB0">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5101A424">
            <w:pPr>
              <w:spacing w:line="360" w:lineRule="auto"/>
              <w:jc w:val="center"/>
              <w:rPr>
                <w:rFonts w:hint="eastAsia" w:ascii="宋体" w:hAnsi="宋体" w:cs="宋体"/>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14:paraId="6342B194">
            <w:pPr>
              <w:spacing w:line="360" w:lineRule="auto"/>
              <w:jc w:val="center"/>
              <w:rPr>
                <w:rFonts w:hint="eastAsia" w:ascii="宋体" w:hAnsi="宋体" w:cs="宋体"/>
                <w:color w:val="auto"/>
                <w:sz w:val="24"/>
                <w:highlight w:val="none"/>
              </w:rPr>
            </w:pPr>
          </w:p>
        </w:tc>
        <w:tc>
          <w:tcPr>
            <w:tcW w:w="2206" w:type="dxa"/>
            <w:tcBorders>
              <w:top w:val="single" w:color="auto" w:sz="4" w:space="0"/>
              <w:left w:val="single" w:color="auto" w:sz="4" w:space="0"/>
              <w:bottom w:val="single" w:color="auto" w:sz="4" w:space="0"/>
              <w:right w:val="single" w:color="auto" w:sz="4" w:space="0"/>
            </w:tcBorders>
            <w:vAlign w:val="center"/>
          </w:tcPr>
          <w:p w14:paraId="0FF89021">
            <w:pPr>
              <w:spacing w:line="360" w:lineRule="auto"/>
              <w:jc w:val="center"/>
              <w:rPr>
                <w:rFonts w:hint="eastAsia" w:ascii="宋体" w:hAnsi="宋体" w:cs="宋体"/>
                <w:color w:val="auto"/>
                <w:sz w:val="24"/>
                <w:highlight w:val="none"/>
              </w:rPr>
            </w:pPr>
          </w:p>
        </w:tc>
      </w:tr>
      <w:tr w14:paraId="78C0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7AEFCAF">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806" w:type="dxa"/>
            <w:tcBorders>
              <w:top w:val="single" w:color="auto" w:sz="4" w:space="0"/>
              <w:left w:val="single" w:color="auto" w:sz="4" w:space="0"/>
              <w:bottom w:val="single" w:color="auto" w:sz="4" w:space="0"/>
              <w:right w:val="single" w:color="auto" w:sz="4" w:space="0"/>
            </w:tcBorders>
            <w:vAlign w:val="center"/>
          </w:tcPr>
          <w:p w14:paraId="208B04C9">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30782B0B">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0394BBFA">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3F147C5B">
            <w:pPr>
              <w:spacing w:line="360" w:lineRule="auto"/>
              <w:jc w:val="center"/>
              <w:rPr>
                <w:rFonts w:hint="eastAsia" w:ascii="宋体" w:hAnsi="宋体" w:cs="宋体"/>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14:paraId="3E7F8B36">
            <w:pPr>
              <w:spacing w:line="360" w:lineRule="auto"/>
              <w:jc w:val="center"/>
              <w:rPr>
                <w:rFonts w:hint="eastAsia" w:ascii="宋体" w:hAnsi="宋体" w:cs="宋体"/>
                <w:color w:val="auto"/>
                <w:sz w:val="24"/>
                <w:highlight w:val="none"/>
              </w:rPr>
            </w:pPr>
          </w:p>
        </w:tc>
        <w:tc>
          <w:tcPr>
            <w:tcW w:w="2206" w:type="dxa"/>
            <w:tcBorders>
              <w:top w:val="single" w:color="auto" w:sz="4" w:space="0"/>
              <w:left w:val="single" w:color="auto" w:sz="4" w:space="0"/>
              <w:bottom w:val="single" w:color="auto" w:sz="4" w:space="0"/>
              <w:right w:val="single" w:color="auto" w:sz="4" w:space="0"/>
            </w:tcBorders>
            <w:vAlign w:val="center"/>
          </w:tcPr>
          <w:p w14:paraId="49CC6F07">
            <w:pPr>
              <w:spacing w:line="360" w:lineRule="auto"/>
              <w:jc w:val="center"/>
              <w:rPr>
                <w:rFonts w:hint="eastAsia" w:ascii="宋体" w:hAnsi="宋体" w:cs="宋体"/>
                <w:color w:val="auto"/>
                <w:sz w:val="24"/>
                <w:highlight w:val="none"/>
              </w:rPr>
            </w:pPr>
          </w:p>
        </w:tc>
      </w:tr>
      <w:tr w14:paraId="2BBE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7EBF62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806" w:type="dxa"/>
            <w:tcBorders>
              <w:top w:val="single" w:color="auto" w:sz="4" w:space="0"/>
              <w:left w:val="single" w:color="auto" w:sz="4" w:space="0"/>
              <w:bottom w:val="single" w:color="auto" w:sz="4" w:space="0"/>
              <w:right w:val="single" w:color="auto" w:sz="4" w:space="0"/>
            </w:tcBorders>
            <w:vAlign w:val="center"/>
          </w:tcPr>
          <w:p w14:paraId="5DAA2B55">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2E01987">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3113BA09">
            <w:pPr>
              <w:snapToGrid w:val="0"/>
              <w:spacing w:line="360" w:lineRule="auto"/>
              <w:jc w:val="center"/>
              <w:rPr>
                <w:rFonts w:hint="eastAsia" w:ascii="宋体" w:hAnsi="宋体" w:cs="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48FDB081">
            <w:pPr>
              <w:spacing w:line="360" w:lineRule="auto"/>
              <w:jc w:val="center"/>
              <w:rPr>
                <w:rFonts w:hint="eastAsia" w:ascii="宋体" w:hAnsi="宋体" w:cs="宋体"/>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14:paraId="768E925B">
            <w:pPr>
              <w:spacing w:line="360" w:lineRule="auto"/>
              <w:jc w:val="center"/>
              <w:rPr>
                <w:rFonts w:hint="eastAsia" w:ascii="宋体" w:hAnsi="宋体" w:cs="宋体"/>
                <w:color w:val="auto"/>
                <w:sz w:val="24"/>
                <w:highlight w:val="none"/>
              </w:rPr>
            </w:pPr>
          </w:p>
        </w:tc>
        <w:tc>
          <w:tcPr>
            <w:tcW w:w="2206" w:type="dxa"/>
            <w:tcBorders>
              <w:top w:val="single" w:color="auto" w:sz="4" w:space="0"/>
              <w:left w:val="single" w:color="auto" w:sz="4" w:space="0"/>
              <w:bottom w:val="single" w:color="auto" w:sz="4" w:space="0"/>
              <w:right w:val="single" w:color="auto" w:sz="4" w:space="0"/>
            </w:tcBorders>
            <w:vAlign w:val="center"/>
          </w:tcPr>
          <w:p w14:paraId="1C2D9B0E">
            <w:pPr>
              <w:spacing w:line="360" w:lineRule="auto"/>
              <w:jc w:val="center"/>
              <w:rPr>
                <w:rFonts w:hint="eastAsia" w:ascii="宋体" w:hAnsi="宋体" w:cs="宋体"/>
                <w:color w:val="auto"/>
                <w:sz w:val="24"/>
                <w:highlight w:val="none"/>
              </w:rPr>
            </w:pPr>
          </w:p>
        </w:tc>
      </w:tr>
    </w:tbl>
    <w:p w14:paraId="204B1EA3">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2E31E85C">
      <w:pPr>
        <w:jc w:val="center"/>
        <w:rPr>
          <w:rFonts w:hint="eastAsia" w:ascii="宋体" w:hAnsi="宋体" w:cs="宋体"/>
          <w:b/>
          <w:color w:val="auto"/>
          <w:kern w:val="0"/>
          <w:sz w:val="32"/>
          <w:szCs w:val="32"/>
          <w:highlight w:val="none"/>
        </w:rPr>
      </w:pPr>
    </w:p>
    <w:p w14:paraId="4B476188">
      <w:pPr>
        <w:jc w:val="center"/>
        <w:rPr>
          <w:rFonts w:hint="eastAsia" w:ascii="宋体" w:hAnsi="宋体" w:cs="宋体"/>
          <w:b/>
          <w:color w:val="auto"/>
          <w:kern w:val="0"/>
          <w:sz w:val="32"/>
          <w:szCs w:val="32"/>
          <w:highlight w:val="none"/>
        </w:rPr>
      </w:pPr>
    </w:p>
    <w:p w14:paraId="62919A78">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kern w:val="0"/>
          <w:sz w:val="32"/>
          <w:szCs w:val="32"/>
          <w:highlight w:val="none"/>
        </w:rPr>
        <w:t>七、商务技术偏离表</w:t>
      </w:r>
    </w:p>
    <w:tbl>
      <w:tblPr>
        <w:tblStyle w:val="21"/>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98"/>
        <w:gridCol w:w="3498"/>
        <w:gridCol w:w="1436"/>
      </w:tblGrid>
      <w:tr w14:paraId="523E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4F84B122">
            <w:pPr>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3498" w:type="dxa"/>
          </w:tcPr>
          <w:p w14:paraId="436EAEA3">
            <w:pPr>
              <w:jc w:val="center"/>
              <w:rPr>
                <w:rFonts w:hint="eastAsia"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498" w:type="dxa"/>
          </w:tcPr>
          <w:p w14:paraId="1FBC49FB">
            <w:pPr>
              <w:jc w:val="center"/>
              <w:rPr>
                <w:rFonts w:hint="eastAsia"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436" w:type="dxa"/>
          </w:tcPr>
          <w:p w14:paraId="74043FBA">
            <w:pPr>
              <w:jc w:val="center"/>
              <w:rPr>
                <w:rFonts w:hint="eastAsia" w:ascii="宋体" w:hAnsi="宋体" w:cs="宋体"/>
                <w:b/>
                <w:bCs/>
                <w:color w:val="auto"/>
                <w:sz w:val="24"/>
                <w:highlight w:val="none"/>
              </w:rPr>
            </w:pPr>
            <w:r>
              <w:rPr>
                <w:rFonts w:hint="eastAsia" w:ascii="宋体" w:hAnsi="宋体" w:cs="宋体"/>
                <w:b/>
                <w:bCs/>
                <w:color w:val="auto"/>
                <w:sz w:val="24"/>
                <w:highlight w:val="none"/>
              </w:rPr>
              <w:t>偏离说明</w:t>
            </w:r>
          </w:p>
        </w:tc>
      </w:tr>
      <w:tr w14:paraId="7532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50963BE4">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498" w:type="dxa"/>
          </w:tcPr>
          <w:p w14:paraId="07128BC3">
            <w:pPr>
              <w:jc w:val="center"/>
              <w:rPr>
                <w:rFonts w:hint="eastAsia" w:ascii="宋体" w:hAnsi="宋体" w:cs="宋体"/>
                <w:b/>
                <w:color w:val="auto"/>
                <w:kern w:val="0"/>
                <w:sz w:val="32"/>
                <w:szCs w:val="32"/>
                <w:highlight w:val="none"/>
              </w:rPr>
            </w:pPr>
          </w:p>
        </w:tc>
        <w:tc>
          <w:tcPr>
            <w:tcW w:w="3498" w:type="dxa"/>
          </w:tcPr>
          <w:p w14:paraId="66F53ED5">
            <w:pPr>
              <w:jc w:val="center"/>
              <w:rPr>
                <w:rFonts w:hint="eastAsia" w:ascii="宋体" w:hAnsi="宋体" w:cs="宋体"/>
                <w:b/>
                <w:color w:val="auto"/>
                <w:kern w:val="0"/>
                <w:sz w:val="32"/>
                <w:szCs w:val="32"/>
                <w:highlight w:val="none"/>
              </w:rPr>
            </w:pPr>
          </w:p>
        </w:tc>
        <w:tc>
          <w:tcPr>
            <w:tcW w:w="1436" w:type="dxa"/>
          </w:tcPr>
          <w:p w14:paraId="49750294">
            <w:pPr>
              <w:jc w:val="center"/>
              <w:rPr>
                <w:rFonts w:hint="eastAsia" w:ascii="宋体" w:hAnsi="宋体" w:cs="宋体"/>
                <w:b/>
                <w:color w:val="auto"/>
                <w:kern w:val="0"/>
                <w:sz w:val="32"/>
                <w:szCs w:val="32"/>
                <w:highlight w:val="none"/>
              </w:rPr>
            </w:pPr>
          </w:p>
        </w:tc>
      </w:tr>
      <w:tr w14:paraId="7494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9D6AA07">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498" w:type="dxa"/>
          </w:tcPr>
          <w:p w14:paraId="490134FE">
            <w:pPr>
              <w:jc w:val="center"/>
              <w:rPr>
                <w:rFonts w:hint="eastAsia" w:ascii="宋体" w:hAnsi="宋体" w:cs="宋体"/>
                <w:b/>
                <w:color w:val="auto"/>
                <w:kern w:val="0"/>
                <w:sz w:val="32"/>
                <w:szCs w:val="32"/>
                <w:highlight w:val="none"/>
              </w:rPr>
            </w:pPr>
          </w:p>
        </w:tc>
        <w:tc>
          <w:tcPr>
            <w:tcW w:w="3498" w:type="dxa"/>
          </w:tcPr>
          <w:p w14:paraId="1F6649B6">
            <w:pPr>
              <w:jc w:val="center"/>
              <w:rPr>
                <w:rFonts w:hint="eastAsia" w:ascii="宋体" w:hAnsi="宋体" w:cs="宋体"/>
                <w:b/>
                <w:color w:val="auto"/>
                <w:kern w:val="0"/>
                <w:sz w:val="32"/>
                <w:szCs w:val="32"/>
                <w:highlight w:val="none"/>
              </w:rPr>
            </w:pPr>
          </w:p>
        </w:tc>
        <w:tc>
          <w:tcPr>
            <w:tcW w:w="1436" w:type="dxa"/>
          </w:tcPr>
          <w:p w14:paraId="66E6693D">
            <w:pPr>
              <w:jc w:val="center"/>
              <w:rPr>
                <w:rFonts w:hint="eastAsia" w:ascii="宋体" w:hAnsi="宋体" w:cs="宋体"/>
                <w:b/>
                <w:color w:val="auto"/>
                <w:kern w:val="0"/>
                <w:sz w:val="32"/>
                <w:szCs w:val="32"/>
                <w:highlight w:val="none"/>
              </w:rPr>
            </w:pPr>
          </w:p>
        </w:tc>
      </w:tr>
      <w:tr w14:paraId="1D97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14451C32">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498" w:type="dxa"/>
          </w:tcPr>
          <w:p w14:paraId="5FFD41B5">
            <w:pPr>
              <w:jc w:val="center"/>
              <w:rPr>
                <w:rFonts w:hint="eastAsia" w:ascii="宋体" w:hAnsi="宋体" w:cs="宋体"/>
                <w:b/>
                <w:color w:val="auto"/>
                <w:kern w:val="0"/>
                <w:sz w:val="32"/>
                <w:szCs w:val="32"/>
                <w:highlight w:val="none"/>
              </w:rPr>
            </w:pPr>
          </w:p>
        </w:tc>
        <w:tc>
          <w:tcPr>
            <w:tcW w:w="3498" w:type="dxa"/>
          </w:tcPr>
          <w:p w14:paraId="75CA9130">
            <w:pPr>
              <w:jc w:val="center"/>
              <w:rPr>
                <w:rFonts w:hint="eastAsia" w:ascii="宋体" w:hAnsi="宋体" w:cs="宋体"/>
                <w:b/>
                <w:color w:val="auto"/>
                <w:kern w:val="0"/>
                <w:sz w:val="32"/>
                <w:szCs w:val="32"/>
                <w:highlight w:val="none"/>
              </w:rPr>
            </w:pPr>
          </w:p>
        </w:tc>
        <w:tc>
          <w:tcPr>
            <w:tcW w:w="1436" w:type="dxa"/>
          </w:tcPr>
          <w:p w14:paraId="4C305675">
            <w:pPr>
              <w:jc w:val="center"/>
              <w:rPr>
                <w:rFonts w:hint="eastAsia" w:ascii="宋体" w:hAnsi="宋体" w:cs="宋体"/>
                <w:b/>
                <w:color w:val="auto"/>
                <w:kern w:val="0"/>
                <w:sz w:val="32"/>
                <w:szCs w:val="32"/>
                <w:highlight w:val="none"/>
              </w:rPr>
            </w:pPr>
          </w:p>
        </w:tc>
      </w:tr>
    </w:tbl>
    <w:p w14:paraId="1F548053">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2889BA9D">
      <w:pPr>
        <w:jc w:val="center"/>
        <w:rPr>
          <w:rFonts w:hint="eastAsia" w:ascii="宋体" w:hAnsi="宋体" w:cs="宋体"/>
          <w:b/>
          <w:color w:val="auto"/>
          <w:kern w:val="0"/>
          <w:sz w:val="32"/>
          <w:szCs w:val="32"/>
          <w:highlight w:val="none"/>
        </w:rPr>
      </w:pPr>
    </w:p>
    <w:p w14:paraId="5E25CC3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2B1FD37">
      <w:pPr>
        <w:ind w:firstLine="1911" w:firstLineChars="595"/>
        <w:rPr>
          <w:rFonts w:hint="eastAsia" w:ascii="宋体" w:hAnsi="宋体" w:cs="宋体"/>
          <w:b/>
          <w:bCs/>
          <w:color w:val="auto"/>
          <w:sz w:val="32"/>
          <w:szCs w:val="32"/>
          <w:highlight w:val="none"/>
        </w:rPr>
      </w:pPr>
    </w:p>
    <w:p w14:paraId="7038F159">
      <w:pPr>
        <w:ind w:firstLine="1911" w:firstLineChars="595"/>
        <w:rPr>
          <w:rFonts w:hint="eastAsia" w:ascii="宋体" w:hAnsi="宋体" w:cs="宋体"/>
          <w:b/>
          <w:bCs/>
          <w:color w:val="auto"/>
          <w:sz w:val="32"/>
          <w:szCs w:val="32"/>
          <w:highlight w:val="none"/>
        </w:rPr>
      </w:pPr>
    </w:p>
    <w:p w14:paraId="2CA3A5B1">
      <w:pPr>
        <w:ind w:firstLine="1911" w:firstLineChars="595"/>
        <w:rPr>
          <w:rFonts w:hint="eastAsia" w:ascii="宋体" w:hAnsi="宋体" w:cs="宋体"/>
          <w:b/>
          <w:bCs/>
          <w:color w:val="auto"/>
          <w:sz w:val="32"/>
          <w:szCs w:val="32"/>
          <w:highlight w:val="none"/>
        </w:rPr>
      </w:pPr>
    </w:p>
    <w:p w14:paraId="01F0FD4A">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62CBB136">
      <w:pPr>
        <w:pStyle w:val="5"/>
        <w:rPr>
          <w:rFonts w:hint="eastAsia" w:ascii="宋体" w:hAnsi="宋体" w:eastAsia="宋体" w:cs="宋体"/>
          <w:b w:val="0"/>
          <w:color w:val="auto"/>
          <w:kern w:val="0"/>
          <w:sz w:val="32"/>
          <w:szCs w:val="32"/>
          <w:highlight w:val="none"/>
        </w:rPr>
      </w:pPr>
      <w:r>
        <w:rPr>
          <w:rFonts w:hint="eastAsia" w:ascii="宋体" w:hAnsi="宋体" w:eastAsia="宋体" w:cs="宋体"/>
          <w:bCs/>
          <w:color w:val="auto"/>
          <w:sz w:val="32"/>
          <w:szCs w:val="32"/>
          <w:highlight w:val="none"/>
        </w:rPr>
        <w:t>八、</w:t>
      </w:r>
      <w:r>
        <w:rPr>
          <w:rFonts w:hint="eastAsia" w:ascii="宋体" w:hAnsi="宋体" w:eastAsia="宋体" w:cs="宋体"/>
          <w:color w:val="auto"/>
          <w:kern w:val="0"/>
          <w:sz w:val="32"/>
          <w:szCs w:val="32"/>
          <w:highlight w:val="none"/>
          <w:lang w:val="zh-CN"/>
        </w:rPr>
        <w:t>政府采购供应商廉洁自律承诺书</w:t>
      </w:r>
    </w:p>
    <w:p w14:paraId="2E6A6438">
      <w:pPr>
        <w:adjustRightInd w:val="0"/>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r>
        <w:rPr>
          <w:rFonts w:hint="eastAsia" w:ascii="宋体" w:hAnsi="宋体" w:cs="宋体"/>
          <w:color w:val="auto"/>
          <w:kern w:val="0"/>
          <w:sz w:val="24"/>
          <w:highlight w:val="none"/>
          <w:lang w:val="zh-CN"/>
        </w:rPr>
        <w:t>：</w:t>
      </w:r>
    </w:p>
    <w:p w14:paraId="0A28225C">
      <w:pPr>
        <w:autoSpaceDE w:val="0"/>
        <w:autoSpaceDN w:val="0"/>
        <w:adjustRightInd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59245F13">
      <w:pPr>
        <w:autoSpaceDE w:val="0"/>
        <w:autoSpaceDN w:val="0"/>
        <w:adjustRightInd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6B03C8A">
      <w:pPr>
        <w:autoSpaceDE w:val="0"/>
        <w:autoSpaceDN w:val="0"/>
        <w:adjustRightInd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04B8E21">
      <w:pPr>
        <w:autoSpaceDE w:val="0"/>
        <w:autoSpaceDN w:val="0"/>
        <w:adjustRightInd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687CF78A">
      <w:pPr>
        <w:autoSpaceDE w:val="0"/>
        <w:autoSpaceDN w:val="0"/>
        <w:adjustRightInd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7CC66CD9">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5C845126">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5EFC8B2">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7F2F04FB">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C90DC21">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1DE4C060">
      <w:pPr>
        <w:autoSpaceDE w:val="0"/>
        <w:autoSpaceDN w:val="0"/>
        <w:spacing w:line="360" w:lineRule="auto"/>
        <w:ind w:left="420"/>
        <w:jc w:val="left"/>
        <w:rPr>
          <w:rFonts w:hint="eastAsia" w:ascii="宋体" w:hAnsi="宋体" w:cs="宋体"/>
          <w:color w:val="auto"/>
          <w:kern w:val="0"/>
          <w:sz w:val="24"/>
          <w:highlight w:val="none"/>
          <w:lang w:val="zh-CN"/>
        </w:rPr>
      </w:pPr>
    </w:p>
    <w:p w14:paraId="6E60DF72">
      <w:pPr>
        <w:autoSpaceDE w:val="0"/>
        <w:autoSpaceDN w:val="0"/>
        <w:spacing w:line="360" w:lineRule="auto"/>
        <w:ind w:left="420"/>
        <w:jc w:val="left"/>
        <w:rPr>
          <w:rFonts w:hint="eastAsia" w:ascii="宋体" w:hAnsi="宋体" w:cs="宋体"/>
          <w:color w:val="auto"/>
          <w:kern w:val="0"/>
          <w:sz w:val="24"/>
          <w:highlight w:val="none"/>
          <w:lang w:val="zh-CN"/>
        </w:rPr>
      </w:pPr>
    </w:p>
    <w:p w14:paraId="279A296B">
      <w:pPr>
        <w:autoSpaceDE w:val="0"/>
        <w:autoSpaceDN w:val="0"/>
        <w:spacing w:line="360" w:lineRule="auto"/>
        <w:ind w:left="420"/>
        <w:jc w:val="left"/>
        <w:rPr>
          <w:rFonts w:hint="eastAsia" w:ascii="宋体" w:hAnsi="宋体" w:cs="宋体"/>
          <w:color w:val="auto"/>
          <w:kern w:val="0"/>
          <w:sz w:val="24"/>
          <w:highlight w:val="none"/>
          <w:lang w:val="zh-CN"/>
        </w:rPr>
      </w:pPr>
    </w:p>
    <w:p w14:paraId="4BF8D8A6">
      <w:pPr>
        <w:autoSpaceDE w:val="0"/>
        <w:autoSpaceDN w:val="0"/>
        <w:spacing w:line="360" w:lineRule="auto"/>
        <w:ind w:left="2" w:leftChars="1" w:right="1120" w:firstLine="4560" w:firstLineChars="19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B8D7448">
      <w:pPr>
        <w:spacing w:line="360" w:lineRule="auto"/>
        <w:ind w:left="4620" w:leftChars="2200"/>
        <w:rPr>
          <w:rFonts w:hint="eastAsia"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22E26C67">
      <w:pPr>
        <w:spacing w:line="360" w:lineRule="auto"/>
        <w:jc w:val="center"/>
        <w:rPr>
          <w:rFonts w:hint="eastAsia" w:ascii="宋体" w:hAnsi="宋体" w:cs="宋体"/>
          <w:b/>
          <w:bCs/>
          <w:color w:val="auto"/>
          <w:sz w:val="24"/>
          <w:highlight w:val="none"/>
        </w:rPr>
      </w:pPr>
    </w:p>
    <w:p w14:paraId="1F31A1F9">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322D7DD">
      <w:pPr>
        <w:pStyle w:val="10"/>
        <w:rPr>
          <w:rFonts w:hint="eastAsia" w:hAnsi="宋体" w:cs="宋体"/>
          <w:color w:val="auto"/>
          <w:highlight w:val="none"/>
          <w:lang w:val="en-US"/>
        </w:rPr>
      </w:pPr>
    </w:p>
    <w:p w14:paraId="465EB423">
      <w:pPr>
        <w:pStyle w:val="19"/>
        <w:rPr>
          <w:rFonts w:hint="eastAsia" w:hAnsi="宋体" w:cs="宋体"/>
          <w:color w:val="auto"/>
          <w:highlight w:val="none"/>
          <w:lang w:val="en-US"/>
        </w:rPr>
      </w:pPr>
    </w:p>
    <w:p w14:paraId="3C3CF6EC">
      <w:pPr>
        <w:rPr>
          <w:rFonts w:hint="eastAsia" w:ascii="宋体" w:hAnsi="宋体" w:cs="宋体"/>
          <w:color w:val="auto"/>
          <w:highlight w:val="none"/>
        </w:rPr>
      </w:pPr>
    </w:p>
    <w:p w14:paraId="7CD4C465">
      <w:pPr>
        <w:pStyle w:val="10"/>
        <w:rPr>
          <w:rFonts w:hint="eastAsia" w:hAnsi="宋体" w:cs="宋体"/>
          <w:color w:val="auto"/>
          <w:highlight w:val="none"/>
          <w:lang w:val="en-US"/>
        </w:rPr>
      </w:pPr>
    </w:p>
    <w:p w14:paraId="5EA91F34">
      <w:pPr>
        <w:pStyle w:val="19"/>
        <w:rPr>
          <w:rFonts w:hint="eastAsia" w:hAnsi="宋体" w:cs="宋体"/>
          <w:color w:val="auto"/>
          <w:highlight w:val="none"/>
          <w:lang w:val="en-US"/>
        </w:rPr>
      </w:pPr>
    </w:p>
    <w:p w14:paraId="269A9CE5">
      <w:pPr>
        <w:pStyle w:val="4"/>
        <w:ind w:left="420"/>
        <w:jc w:val="center"/>
        <w:rPr>
          <w:rFonts w:hint="eastAsia" w:ascii="宋体" w:hAnsi="宋体" w:eastAsia="宋体"/>
          <w:b w:val="0"/>
          <w:color w:val="auto"/>
          <w:kern w:val="0"/>
          <w:sz w:val="36"/>
          <w:szCs w:val="36"/>
          <w:highlight w:val="none"/>
        </w:rPr>
      </w:pPr>
      <w:r>
        <w:rPr>
          <w:rFonts w:hint="eastAsia" w:ascii="宋体" w:hAnsi="宋体" w:eastAsia="宋体"/>
          <w:color w:val="auto"/>
          <w:kern w:val="0"/>
          <w:sz w:val="36"/>
          <w:szCs w:val="36"/>
          <w:highlight w:val="none"/>
        </w:rPr>
        <w:t>报价文件部分</w:t>
      </w:r>
    </w:p>
    <w:p w14:paraId="6F1D54F9">
      <w:pPr>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4E21823">
      <w:pPr>
        <w:numPr>
          <w:ilvl w:val="0"/>
          <w:numId w:val="14"/>
        </w:numPr>
        <w:snapToGrid w:val="0"/>
        <w:spacing w:line="360" w:lineRule="auto"/>
        <w:ind w:left="42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32D8B985">
      <w:pPr>
        <w:numPr>
          <w:ilvl w:val="0"/>
          <w:numId w:val="14"/>
        </w:numPr>
        <w:snapToGrid w:val="0"/>
        <w:spacing w:line="360" w:lineRule="auto"/>
        <w:ind w:left="42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报价明细表…………………………………………………………………（页码）</w:t>
      </w:r>
    </w:p>
    <w:p w14:paraId="7E33E730">
      <w:pPr>
        <w:numPr>
          <w:ilvl w:val="0"/>
          <w:numId w:val="14"/>
        </w:numPr>
        <w:snapToGrid w:val="0"/>
        <w:spacing w:line="360" w:lineRule="auto"/>
        <w:ind w:left="420" w:leftChars="0" w:firstLine="0" w:firstLineChars="0"/>
        <w:rPr>
          <w:rFonts w:hint="eastAsia" w:ascii="宋体" w:hAnsi="宋体" w:cs="宋体"/>
          <w:color w:val="auto"/>
          <w:sz w:val="24"/>
          <w:highlight w:val="none"/>
        </w:rPr>
      </w:pPr>
      <w:r>
        <w:rPr>
          <w:rFonts w:hint="eastAsia" w:ascii="宋体" w:hAnsi="宋体" w:cs="宋体"/>
          <w:color w:val="auto"/>
          <w:sz w:val="24"/>
          <w:szCs w:val="24"/>
          <w:highlight w:val="none"/>
        </w:rPr>
        <w:t>报价情况说明</w:t>
      </w:r>
      <w:r>
        <w:rPr>
          <w:rFonts w:hint="eastAsia" w:ascii="宋体" w:hAnsi="宋体" w:cs="宋体"/>
          <w:color w:val="auto"/>
          <w:sz w:val="24"/>
          <w:highlight w:val="none"/>
        </w:rPr>
        <w:t>………………………………………………………………（页码）</w:t>
      </w:r>
    </w:p>
    <w:p w14:paraId="37DDB1A1">
      <w:pPr>
        <w:numPr>
          <w:ilvl w:val="0"/>
          <w:numId w:val="14"/>
        </w:numPr>
        <w:snapToGrid w:val="0"/>
        <w:spacing w:line="360" w:lineRule="auto"/>
        <w:ind w:left="42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中小企业声明函……………………………………………………………（页码）</w:t>
      </w:r>
    </w:p>
    <w:p w14:paraId="1242E850">
      <w:pPr>
        <w:snapToGrid w:val="0"/>
        <w:spacing w:line="360" w:lineRule="auto"/>
        <w:ind w:right="480"/>
        <w:jc w:val="center"/>
        <w:rPr>
          <w:rFonts w:hint="eastAsia" w:ascii="宋体" w:hAnsi="宋体" w:cs="宋体"/>
          <w:b/>
          <w:color w:val="auto"/>
          <w:kern w:val="0"/>
          <w:sz w:val="32"/>
          <w:szCs w:val="32"/>
          <w:highlight w:val="none"/>
        </w:rPr>
      </w:pPr>
    </w:p>
    <w:p w14:paraId="066639C8">
      <w:pPr>
        <w:snapToGrid w:val="0"/>
        <w:spacing w:line="360" w:lineRule="auto"/>
        <w:ind w:right="480"/>
        <w:jc w:val="center"/>
        <w:rPr>
          <w:rFonts w:hint="eastAsia" w:ascii="宋体" w:hAnsi="宋体" w:cs="宋体"/>
          <w:b/>
          <w:color w:val="auto"/>
          <w:kern w:val="0"/>
          <w:sz w:val="32"/>
          <w:szCs w:val="32"/>
          <w:highlight w:val="none"/>
        </w:rPr>
      </w:pPr>
    </w:p>
    <w:p w14:paraId="66848380">
      <w:pPr>
        <w:snapToGrid w:val="0"/>
        <w:spacing w:line="360" w:lineRule="auto"/>
        <w:ind w:right="480"/>
        <w:jc w:val="center"/>
        <w:rPr>
          <w:rFonts w:hint="eastAsia" w:ascii="宋体" w:hAnsi="宋体" w:cs="宋体"/>
          <w:b/>
          <w:color w:val="auto"/>
          <w:kern w:val="0"/>
          <w:sz w:val="32"/>
          <w:szCs w:val="32"/>
          <w:highlight w:val="none"/>
        </w:rPr>
      </w:pPr>
    </w:p>
    <w:p w14:paraId="3E4E8899">
      <w:pPr>
        <w:snapToGrid w:val="0"/>
        <w:spacing w:line="360" w:lineRule="auto"/>
        <w:ind w:right="480"/>
        <w:jc w:val="center"/>
        <w:rPr>
          <w:rFonts w:hint="eastAsia" w:ascii="宋体" w:hAnsi="宋体" w:cs="宋体"/>
          <w:b/>
          <w:color w:val="auto"/>
          <w:kern w:val="0"/>
          <w:sz w:val="32"/>
          <w:szCs w:val="32"/>
          <w:highlight w:val="none"/>
        </w:rPr>
      </w:pPr>
    </w:p>
    <w:p w14:paraId="69406F10">
      <w:pPr>
        <w:snapToGrid w:val="0"/>
        <w:spacing w:line="360" w:lineRule="auto"/>
        <w:ind w:right="480"/>
        <w:jc w:val="center"/>
        <w:rPr>
          <w:rFonts w:hint="eastAsia" w:ascii="宋体" w:hAnsi="宋体" w:cs="宋体"/>
          <w:b/>
          <w:color w:val="auto"/>
          <w:kern w:val="0"/>
          <w:sz w:val="32"/>
          <w:szCs w:val="32"/>
          <w:highlight w:val="none"/>
        </w:rPr>
      </w:pPr>
    </w:p>
    <w:p w14:paraId="3F921E36">
      <w:pPr>
        <w:snapToGrid w:val="0"/>
        <w:spacing w:line="360" w:lineRule="auto"/>
        <w:ind w:right="480"/>
        <w:jc w:val="center"/>
        <w:rPr>
          <w:rFonts w:hint="eastAsia" w:ascii="宋体" w:hAnsi="宋体" w:cs="宋体"/>
          <w:b/>
          <w:color w:val="auto"/>
          <w:kern w:val="0"/>
          <w:sz w:val="32"/>
          <w:szCs w:val="32"/>
          <w:highlight w:val="none"/>
        </w:rPr>
      </w:pPr>
    </w:p>
    <w:p w14:paraId="206E7BC4">
      <w:pPr>
        <w:snapToGrid w:val="0"/>
        <w:spacing w:line="360" w:lineRule="auto"/>
        <w:ind w:right="480"/>
        <w:jc w:val="center"/>
        <w:rPr>
          <w:rFonts w:hint="eastAsia" w:ascii="宋体" w:hAnsi="宋体" w:cs="宋体"/>
          <w:b/>
          <w:color w:val="auto"/>
          <w:kern w:val="0"/>
          <w:sz w:val="32"/>
          <w:szCs w:val="32"/>
          <w:highlight w:val="none"/>
        </w:rPr>
      </w:pPr>
    </w:p>
    <w:p w14:paraId="32DD3C68">
      <w:pPr>
        <w:snapToGrid w:val="0"/>
        <w:spacing w:line="360" w:lineRule="auto"/>
        <w:ind w:right="480"/>
        <w:jc w:val="center"/>
        <w:rPr>
          <w:rFonts w:hint="eastAsia" w:ascii="宋体" w:hAnsi="宋体" w:cs="宋体"/>
          <w:b/>
          <w:color w:val="auto"/>
          <w:kern w:val="0"/>
          <w:sz w:val="32"/>
          <w:szCs w:val="32"/>
          <w:highlight w:val="none"/>
        </w:rPr>
      </w:pPr>
    </w:p>
    <w:p w14:paraId="3C6BB770">
      <w:pPr>
        <w:snapToGrid w:val="0"/>
        <w:spacing w:line="360" w:lineRule="auto"/>
        <w:ind w:right="480"/>
        <w:jc w:val="center"/>
        <w:rPr>
          <w:rFonts w:hint="eastAsia" w:ascii="宋体" w:hAnsi="宋体" w:cs="宋体"/>
          <w:b/>
          <w:color w:val="auto"/>
          <w:kern w:val="0"/>
          <w:sz w:val="32"/>
          <w:szCs w:val="32"/>
          <w:highlight w:val="none"/>
        </w:rPr>
      </w:pPr>
    </w:p>
    <w:p w14:paraId="16CCC92D">
      <w:pPr>
        <w:snapToGrid w:val="0"/>
        <w:spacing w:line="360" w:lineRule="auto"/>
        <w:ind w:right="480"/>
        <w:jc w:val="center"/>
        <w:rPr>
          <w:rFonts w:hint="eastAsia" w:ascii="宋体" w:hAnsi="宋体" w:cs="宋体"/>
          <w:b/>
          <w:color w:val="auto"/>
          <w:kern w:val="0"/>
          <w:sz w:val="32"/>
          <w:szCs w:val="32"/>
          <w:highlight w:val="none"/>
        </w:rPr>
      </w:pPr>
    </w:p>
    <w:p w14:paraId="0819C274">
      <w:pPr>
        <w:snapToGrid w:val="0"/>
        <w:spacing w:line="360" w:lineRule="auto"/>
        <w:ind w:right="480"/>
        <w:jc w:val="center"/>
        <w:rPr>
          <w:rFonts w:hint="eastAsia" w:ascii="宋体" w:hAnsi="宋体" w:cs="宋体"/>
          <w:b/>
          <w:color w:val="auto"/>
          <w:kern w:val="0"/>
          <w:sz w:val="32"/>
          <w:szCs w:val="32"/>
          <w:highlight w:val="none"/>
        </w:rPr>
      </w:pPr>
    </w:p>
    <w:p w14:paraId="113172A2">
      <w:pPr>
        <w:snapToGrid w:val="0"/>
        <w:spacing w:line="360" w:lineRule="auto"/>
        <w:ind w:right="480"/>
        <w:jc w:val="center"/>
        <w:rPr>
          <w:rFonts w:hint="eastAsia" w:ascii="宋体" w:hAnsi="宋体" w:cs="宋体"/>
          <w:b/>
          <w:color w:val="auto"/>
          <w:kern w:val="0"/>
          <w:sz w:val="32"/>
          <w:szCs w:val="32"/>
          <w:highlight w:val="none"/>
        </w:rPr>
      </w:pPr>
    </w:p>
    <w:p w14:paraId="0717F5E1">
      <w:pPr>
        <w:snapToGrid w:val="0"/>
        <w:spacing w:line="360" w:lineRule="auto"/>
        <w:ind w:right="480"/>
        <w:jc w:val="center"/>
        <w:rPr>
          <w:rFonts w:hint="eastAsia" w:ascii="宋体" w:hAnsi="宋体" w:cs="宋体"/>
          <w:b/>
          <w:color w:val="auto"/>
          <w:kern w:val="0"/>
          <w:sz w:val="32"/>
          <w:szCs w:val="32"/>
          <w:highlight w:val="none"/>
        </w:rPr>
      </w:pPr>
    </w:p>
    <w:p w14:paraId="0DD20FDD">
      <w:pPr>
        <w:snapToGrid w:val="0"/>
        <w:spacing w:line="360" w:lineRule="auto"/>
        <w:ind w:right="480"/>
        <w:jc w:val="center"/>
        <w:rPr>
          <w:rFonts w:hint="eastAsia" w:ascii="宋体" w:hAnsi="宋体" w:cs="宋体"/>
          <w:b/>
          <w:color w:val="auto"/>
          <w:kern w:val="0"/>
          <w:sz w:val="32"/>
          <w:szCs w:val="32"/>
          <w:highlight w:val="none"/>
        </w:rPr>
      </w:pPr>
    </w:p>
    <w:p w14:paraId="6F528AFC">
      <w:pPr>
        <w:snapToGrid w:val="0"/>
        <w:spacing w:line="360" w:lineRule="auto"/>
        <w:ind w:right="480"/>
        <w:jc w:val="center"/>
        <w:rPr>
          <w:rFonts w:hint="eastAsia" w:ascii="宋体" w:hAnsi="宋体" w:cs="宋体"/>
          <w:b/>
          <w:color w:val="auto"/>
          <w:kern w:val="0"/>
          <w:sz w:val="32"/>
          <w:szCs w:val="32"/>
          <w:highlight w:val="none"/>
        </w:rPr>
      </w:pPr>
    </w:p>
    <w:p w14:paraId="50C73197">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14:paraId="7CE085CF">
      <w:pPr>
        <w:pStyle w:val="46"/>
        <w:keepNext w:val="0"/>
        <w:pageBreakBefore w:val="0"/>
        <w:tabs>
          <w:tab w:val="clear" w:pos="720"/>
        </w:tabs>
        <w:snapToGrid w:val="0"/>
        <w:spacing w:before="120" w:after="120"/>
        <w:ind w:firstLine="643"/>
        <w:outlineLvl w:val="2"/>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5FE7A932">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r>
        <w:rPr>
          <w:rFonts w:hint="eastAsia" w:ascii="宋体" w:hAnsi="宋体" w:cs="宋体"/>
          <w:color w:val="auto"/>
          <w:kern w:val="0"/>
          <w:sz w:val="24"/>
          <w:highlight w:val="none"/>
          <w:lang w:val="zh-CN"/>
        </w:rPr>
        <w:t>：</w:t>
      </w:r>
    </w:p>
    <w:p w14:paraId="7B1678CE">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w:t>
      </w:r>
      <w:r>
        <w:rPr>
          <w:rFonts w:hint="eastAsia" w:ascii="宋体" w:hAnsi="宋体" w:cs="宋体"/>
          <w:color w:val="auto"/>
          <w:kern w:val="0"/>
          <w:sz w:val="24"/>
          <w:highlight w:val="none"/>
          <w:u w:val="single"/>
          <w:lang w:val="zh-CN"/>
        </w:rPr>
        <w:t>本投标文件签字方</w:t>
      </w:r>
      <w:r>
        <w:rPr>
          <w:rFonts w:hint="eastAsia" w:ascii="宋体" w:hAnsi="宋体" w:cs="宋体"/>
          <w:color w:val="auto"/>
          <w:kern w:val="0"/>
          <w:sz w:val="24"/>
          <w:highlight w:val="none"/>
          <w:lang w:val="zh-CN"/>
        </w:rPr>
        <w:t>，谨此向你方发出要约如下：如你方接受本投标，我方承诺按照如下开标一览表（报价表）的价格完成</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00A1196A">
      <w:pPr>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2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23"/>
        <w:gridCol w:w="1484"/>
        <w:gridCol w:w="713"/>
        <w:gridCol w:w="741"/>
        <w:gridCol w:w="1077"/>
        <w:gridCol w:w="894"/>
        <w:gridCol w:w="1259"/>
        <w:gridCol w:w="1259"/>
      </w:tblGrid>
      <w:tr w14:paraId="62ED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25" w:type="dxa"/>
            <w:vAlign w:val="center"/>
          </w:tcPr>
          <w:p w14:paraId="1EA4C65D">
            <w:pPr>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623" w:type="dxa"/>
            <w:vAlign w:val="center"/>
          </w:tcPr>
          <w:p w14:paraId="14FF6F9A">
            <w:pPr>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484" w:type="dxa"/>
            <w:vAlign w:val="center"/>
          </w:tcPr>
          <w:p w14:paraId="6191B19D">
            <w:pPr>
              <w:jc w:val="center"/>
              <w:rPr>
                <w:rFonts w:hint="eastAsia" w:ascii="宋体" w:hAnsi="宋体" w:cs="宋体"/>
                <w:b/>
                <w:color w:val="auto"/>
                <w:sz w:val="24"/>
                <w:highlight w:val="none"/>
              </w:rPr>
            </w:pPr>
            <w:r>
              <w:rPr>
                <w:rFonts w:hint="eastAsia" w:ascii="宋体" w:hAnsi="宋体" w:cs="宋体"/>
                <w:b/>
                <w:color w:val="auto"/>
                <w:sz w:val="24"/>
                <w:highlight w:val="none"/>
              </w:rPr>
              <w:t>具体服务</w:t>
            </w:r>
          </w:p>
        </w:tc>
        <w:tc>
          <w:tcPr>
            <w:tcW w:w="713" w:type="dxa"/>
            <w:vAlign w:val="center"/>
          </w:tcPr>
          <w:p w14:paraId="6F279D6C">
            <w:pPr>
              <w:jc w:val="center"/>
              <w:rPr>
                <w:rFonts w:hint="eastAsia" w:ascii="宋体" w:hAnsi="宋体" w:cs="宋体"/>
                <w:b/>
                <w:color w:val="auto"/>
                <w:sz w:val="24"/>
                <w:highlight w:val="none"/>
              </w:rPr>
            </w:pPr>
            <w:r>
              <w:rPr>
                <w:rFonts w:hint="eastAsia" w:ascii="宋体" w:hAnsi="宋体" w:cs="宋体"/>
                <w:b/>
                <w:color w:val="auto"/>
                <w:sz w:val="24"/>
                <w:highlight w:val="none"/>
              </w:rPr>
              <w:t>单位</w:t>
            </w:r>
          </w:p>
        </w:tc>
        <w:tc>
          <w:tcPr>
            <w:tcW w:w="741" w:type="dxa"/>
            <w:vAlign w:val="center"/>
          </w:tcPr>
          <w:p w14:paraId="09B70D45">
            <w:pPr>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077" w:type="dxa"/>
            <w:vAlign w:val="center"/>
          </w:tcPr>
          <w:p w14:paraId="094EB118">
            <w:pPr>
              <w:jc w:val="center"/>
              <w:rPr>
                <w:rFonts w:hint="eastAsia" w:ascii="宋体" w:hAnsi="宋体" w:cs="宋体"/>
                <w:b/>
                <w:color w:val="auto"/>
                <w:sz w:val="24"/>
                <w:highlight w:val="none"/>
              </w:rPr>
            </w:pPr>
            <w:r>
              <w:rPr>
                <w:rFonts w:hint="eastAsia" w:ascii="宋体" w:hAnsi="宋体" w:cs="宋体"/>
                <w:b/>
                <w:color w:val="auto"/>
                <w:sz w:val="24"/>
                <w:highlight w:val="none"/>
              </w:rPr>
              <w:t>综合单价(元)</w:t>
            </w:r>
          </w:p>
        </w:tc>
        <w:tc>
          <w:tcPr>
            <w:tcW w:w="894" w:type="dxa"/>
            <w:vAlign w:val="center"/>
          </w:tcPr>
          <w:p w14:paraId="33458DF2">
            <w:pPr>
              <w:jc w:val="center"/>
              <w:rPr>
                <w:rFonts w:hint="eastAsia" w:ascii="宋体" w:hAnsi="宋体" w:cs="宋体"/>
                <w:b/>
                <w:color w:val="auto"/>
                <w:sz w:val="24"/>
                <w:highlight w:val="none"/>
              </w:rPr>
            </w:pPr>
            <w:r>
              <w:rPr>
                <w:rFonts w:hint="eastAsia" w:ascii="宋体" w:hAnsi="宋体" w:cs="宋体"/>
                <w:b/>
                <w:color w:val="auto"/>
                <w:sz w:val="24"/>
                <w:highlight w:val="none"/>
              </w:rPr>
              <w:t>总价（元）</w:t>
            </w:r>
          </w:p>
        </w:tc>
        <w:tc>
          <w:tcPr>
            <w:tcW w:w="1259" w:type="dxa"/>
            <w:vAlign w:val="center"/>
          </w:tcPr>
          <w:p w14:paraId="5B320C6E">
            <w:pPr>
              <w:jc w:val="center"/>
              <w:rPr>
                <w:rFonts w:hint="eastAsia" w:ascii="宋体" w:hAnsi="宋体" w:cs="宋体"/>
                <w:b/>
                <w:color w:val="auto"/>
                <w:sz w:val="24"/>
                <w:highlight w:val="none"/>
              </w:rPr>
            </w:pPr>
            <w:r>
              <w:rPr>
                <w:rFonts w:hint="eastAsia" w:ascii="宋体" w:hAnsi="宋体" w:cs="宋体"/>
                <w:b/>
                <w:color w:val="auto"/>
                <w:sz w:val="24"/>
                <w:highlight w:val="none"/>
              </w:rPr>
              <w:t>服务要求（年限）</w:t>
            </w:r>
          </w:p>
        </w:tc>
        <w:tc>
          <w:tcPr>
            <w:tcW w:w="1259" w:type="dxa"/>
            <w:vAlign w:val="center"/>
          </w:tcPr>
          <w:p w14:paraId="1E08E339">
            <w:pPr>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项目经理</w:t>
            </w:r>
          </w:p>
        </w:tc>
      </w:tr>
      <w:tr w14:paraId="7106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25" w:type="dxa"/>
            <w:vAlign w:val="center"/>
          </w:tcPr>
          <w:p w14:paraId="4E0ED066">
            <w:pPr>
              <w:snapToGrid w:val="0"/>
              <w:jc w:val="center"/>
              <w:rPr>
                <w:rFonts w:hint="eastAsia" w:ascii="宋体" w:hAnsi="宋体" w:cs="宋体"/>
                <w:color w:val="auto"/>
                <w:sz w:val="24"/>
                <w:highlight w:val="none"/>
              </w:rPr>
            </w:pPr>
            <w:r>
              <w:rPr>
                <w:rFonts w:hint="eastAsia" w:ascii="宋体" w:hAnsi="宋体" w:cs="宋体"/>
                <w:color w:val="auto"/>
                <w:sz w:val="24"/>
                <w:highlight w:val="none"/>
              </w:rPr>
              <w:t>一</w:t>
            </w:r>
          </w:p>
        </w:tc>
        <w:tc>
          <w:tcPr>
            <w:tcW w:w="1623" w:type="dxa"/>
            <w:vAlign w:val="center"/>
          </w:tcPr>
          <w:p w14:paraId="75327ECE">
            <w:pPr>
              <w:snapToGrid w:val="0"/>
              <w:jc w:val="center"/>
              <w:rPr>
                <w:rFonts w:hint="eastAsia" w:ascii="宋体" w:hAnsi="宋体" w:cs="宋体"/>
                <w:color w:val="auto"/>
                <w:sz w:val="24"/>
                <w:highlight w:val="none"/>
              </w:rPr>
            </w:pPr>
            <w:r>
              <w:rPr>
                <w:rFonts w:hint="eastAsia" w:ascii="宋体" w:hAnsi="宋体" w:cs="宋体"/>
                <w:color w:val="auto"/>
                <w:sz w:val="24"/>
                <w:highlight w:val="none"/>
              </w:rPr>
              <w:t>泵站运行维护</w:t>
            </w:r>
          </w:p>
        </w:tc>
        <w:tc>
          <w:tcPr>
            <w:tcW w:w="1484" w:type="dxa"/>
            <w:vAlign w:val="center"/>
          </w:tcPr>
          <w:p w14:paraId="06897C1D">
            <w:pPr>
              <w:snapToGrid w:val="0"/>
              <w:jc w:val="center"/>
              <w:rPr>
                <w:rFonts w:hint="eastAsia" w:ascii="宋体" w:hAnsi="宋体" w:cs="宋体"/>
                <w:color w:val="auto"/>
                <w:sz w:val="24"/>
                <w:highlight w:val="none"/>
              </w:rPr>
            </w:pPr>
          </w:p>
        </w:tc>
        <w:tc>
          <w:tcPr>
            <w:tcW w:w="713" w:type="dxa"/>
            <w:vAlign w:val="center"/>
          </w:tcPr>
          <w:p w14:paraId="30A6465D">
            <w:pPr>
              <w:snapToGrid w:val="0"/>
              <w:jc w:val="center"/>
              <w:rPr>
                <w:rFonts w:hint="eastAsia" w:ascii="宋体" w:hAnsi="宋体" w:cs="宋体"/>
                <w:color w:val="auto"/>
                <w:sz w:val="24"/>
                <w:highlight w:val="none"/>
              </w:rPr>
            </w:pPr>
            <w:r>
              <w:rPr>
                <w:rFonts w:hint="eastAsia" w:ascii="宋体" w:hAnsi="宋体" w:cs="宋体"/>
                <w:color w:val="auto"/>
                <w:sz w:val="24"/>
                <w:highlight w:val="none"/>
              </w:rPr>
              <w:t>项</w:t>
            </w:r>
          </w:p>
        </w:tc>
        <w:tc>
          <w:tcPr>
            <w:tcW w:w="741" w:type="dxa"/>
            <w:vAlign w:val="center"/>
          </w:tcPr>
          <w:p w14:paraId="53BD9DE3">
            <w:pPr>
              <w:snapToGrid w:val="0"/>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077" w:type="dxa"/>
            <w:vAlign w:val="center"/>
          </w:tcPr>
          <w:p w14:paraId="6ABA3F1B">
            <w:pPr>
              <w:jc w:val="center"/>
              <w:rPr>
                <w:rFonts w:hint="eastAsia" w:ascii="宋体" w:hAnsi="宋体" w:cs="宋体"/>
                <w:color w:val="auto"/>
                <w:sz w:val="24"/>
                <w:highlight w:val="none"/>
              </w:rPr>
            </w:pPr>
          </w:p>
        </w:tc>
        <w:tc>
          <w:tcPr>
            <w:tcW w:w="894" w:type="dxa"/>
            <w:vAlign w:val="center"/>
          </w:tcPr>
          <w:p w14:paraId="4263D396">
            <w:pPr>
              <w:jc w:val="center"/>
              <w:rPr>
                <w:rFonts w:hint="eastAsia" w:ascii="宋体" w:hAnsi="宋体" w:cs="宋体"/>
                <w:color w:val="auto"/>
                <w:sz w:val="24"/>
                <w:highlight w:val="none"/>
              </w:rPr>
            </w:pPr>
          </w:p>
        </w:tc>
        <w:tc>
          <w:tcPr>
            <w:tcW w:w="1259" w:type="dxa"/>
            <w:vAlign w:val="center"/>
          </w:tcPr>
          <w:p w14:paraId="4192492B">
            <w:pPr>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1259" w:type="dxa"/>
            <w:vMerge w:val="restart"/>
            <w:vAlign w:val="center"/>
          </w:tcPr>
          <w:p w14:paraId="268C3125">
            <w:pPr>
              <w:jc w:val="center"/>
              <w:rPr>
                <w:rFonts w:hint="eastAsia" w:ascii="宋体" w:hAnsi="宋体" w:cs="宋体"/>
                <w:color w:val="auto"/>
                <w:sz w:val="24"/>
                <w:highlight w:val="none"/>
              </w:rPr>
            </w:pPr>
          </w:p>
        </w:tc>
      </w:tr>
      <w:tr w14:paraId="4019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25" w:type="dxa"/>
            <w:vAlign w:val="center"/>
          </w:tcPr>
          <w:p w14:paraId="4DA82E4C">
            <w:pPr>
              <w:snapToGrid w:val="0"/>
              <w:jc w:val="center"/>
              <w:rPr>
                <w:rFonts w:hint="eastAsia" w:ascii="宋体" w:hAnsi="宋体" w:cs="宋体"/>
                <w:color w:val="auto"/>
                <w:sz w:val="24"/>
                <w:highlight w:val="none"/>
              </w:rPr>
            </w:pPr>
            <w:r>
              <w:rPr>
                <w:rFonts w:hint="eastAsia" w:ascii="宋体" w:hAnsi="宋体" w:cs="宋体"/>
                <w:color w:val="auto"/>
                <w:sz w:val="24"/>
                <w:highlight w:val="none"/>
              </w:rPr>
              <w:t>二</w:t>
            </w:r>
          </w:p>
        </w:tc>
        <w:tc>
          <w:tcPr>
            <w:tcW w:w="1623" w:type="dxa"/>
            <w:vAlign w:val="center"/>
          </w:tcPr>
          <w:p w14:paraId="0A490FD5">
            <w:pPr>
              <w:snapToGrid w:val="0"/>
              <w:jc w:val="center"/>
              <w:rPr>
                <w:rFonts w:hint="eastAsia" w:ascii="宋体" w:hAnsi="宋体" w:cs="宋体"/>
                <w:color w:val="auto"/>
                <w:sz w:val="24"/>
                <w:highlight w:val="none"/>
              </w:rPr>
            </w:pPr>
            <w:r>
              <w:rPr>
                <w:rFonts w:hint="eastAsia" w:ascii="宋体" w:hAnsi="宋体" w:cs="宋体"/>
                <w:color w:val="auto"/>
                <w:sz w:val="24"/>
                <w:highlight w:val="none"/>
              </w:rPr>
              <w:t>专项维护</w:t>
            </w:r>
          </w:p>
        </w:tc>
        <w:tc>
          <w:tcPr>
            <w:tcW w:w="1484" w:type="dxa"/>
            <w:vAlign w:val="center"/>
          </w:tcPr>
          <w:p w14:paraId="04B5F681">
            <w:pPr>
              <w:snapToGrid w:val="0"/>
              <w:jc w:val="center"/>
              <w:rPr>
                <w:rFonts w:hint="eastAsia" w:ascii="宋体" w:hAnsi="宋体" w:cs="宋体"/>
                <w:color w:val="auto"/>
                <w:sz w:val="24"/>
                <w:highlight w:val="none"/>
              </w:rPr>
            </w:pPr>
          </w:p>
        </w:tc>
        <w:tc>
          <w:tcPr>
            <w:tcW w:w="713" w:type="dxa"/>
            <w:vAlign w:val="center"/>
          </w:tcPr>
          <w:p w14:paraId="0AE77E68">
            <w:pPr>
              <w:snapToGrid w:val="0"/>
              <w:jc w:val="center"/>
              <w:rPr>
                <w:rFonts w:hint="eastAsia" w:ascii="宋体" w:hAnsi="宋体" w:cs="宋体"/>
                <w:color w:val="auto"/>
                <w:sz w:val="24"/>
                <w:highlight w:val="none"/>
              </w:rPr>
            </w:pPr>
            <w:r>
              <w:rPr>
                <w:rFonts w:hint="eastAsia" w:ascii="宋体" w:hAnsi="宋体" w:cs="宋体"/>
                <w:color w:val="auto"/>
                <w:sz w:val="24"/>
                <w:highlight w:val="none"/>
              </w:rPr>
              <w:t>项</w:t>
            </w:r>
          </w:p>
        </w:tc>
        <w:tc>
          <w:tcPr>
            <w:tcW w:w="741" w:type="dxa"/>
            <w:vAlign w:val="center"/>
          </w:tcPr>
          <w:p w14:paraId="1DC41C2B">
            <w:pPr>
              <w:snapToGrid w:val="0"/>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077" w:type="dxa"/>
            <w:vAlign w:val="center"/>
          </w:tcPr>
          <w:p w14:paraId="69E9F916">
            <w:pPr>
              <w:jc w:val="center"/>
              <w:rPr>
                <w:rFonts w:hint="eastAsia" w:ascii="宋体" w:hAnsi="宋体" w:cs="宋体"/>
                <w:color w:val="auto"/>
                <w:sz w:val="24"/>
                <w:highlight w:val="none"/>
              </w:rPr>
            </w:pPr>
          </w:p>
        </w:tc>
        <w:tc>
          <w:tcPr>
            <w:tcW w:w="894" w:type="dxa"/>
            <w:vAlign w:val="center"/>
          </w:tcPr>
          <w:p w14:paraId="2DEAF83B">
            <w:pPr>
              <w:jc w:val="center"/>
              <w:rPr>
                <w:rFonts w:hint="eastAsia" w:ascii="宋体" w:hAnsi="宋体" w:cs="宋体"/>
                <w:color w:val="auto"/>
                <w:sz w:val="24"/>
                <w:highlight w:val="none"/>
              </w:rPr>
            </w:pPr>
          </w:p>
        </w:tc>
        <w:tc>
          <w:tcPr>
            <w:tcW w:w="1259" w:type="dxa"/>
            <w:vAlign w:val="center"/>
          </w:tcPr>
          <w:p w14:paraId="3846EF1D">
            <w:pPr>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1259" w:type="dxa"/>
            <w:vMerge w:val="continue"/>
            <w:vAlign w:val="center"/>
          </w:tcPr>
          <w:p w14:paraId="6F0A750C">
            <w:pPr>
              <w:jc w:val="center"/>
              <w:rPr>
                <w:rFonts w:hint="eastAsia" w:ascii="宋体" w:hAnsi="宋体" w:cs="宋体"/>
                <w:color w:val="auto"/>
                <w:sz w:val="24"/>
                <w:highlight w:val="none"/>
              </w:rPr>
            </w:pPr>
          </w:p>
        </w:tc>
      </w:tr>
      <w:tr w14:paraId="0F8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25" w:type="dxa"/>
            <w:vAlign w:val="center"/>
          </w:tcPr>
          <w:p w14:paraId="629888FC">
            <w:pPr>
              <w:snapToGrid w:val="0"/>
              <w:jc w:val="center"/>
              <w:rPr>
                <w:rFonts w:hint="eastAsia" w:ascii="宋体" w:hAnsi="宋体" w:cs="宋体"/>
                <w:color w:val="auto"/>
                <w:sz w:val="24"/>
                <w:highlight w:val="none"/>
              </w:rPr>
            </w:pPr>
            <w:r>
              <w:rPr>
                <w:rFonts w:hint="eastAsia" w:ascii="宋体" w:hAnsi="宋体" w:cs="宋体"/>
                <w:color w:val="auto"/>
                <w:sz w:val="24"/>
                <w:highlight w:val="none"/>
              </w:rPr>
              <w:t>三</w:t>
            </w:r>
          </w:p>
        </w:tc>
        <w:tc>
          <w:tcPr>
            <w:tcW w:w="1623" w:type="dxa"/>
            <w:vAlign w:val="center"/>
          </w:tcPr>
          <w:p w14:paraId="1535D10C">
            <w:pPr>
              <w:snapToGrid w:val="0"/>
              <w:jc w:val="center"/>
              <w:rPr>
                <w:rFonts w:hint="eastAsia" w:ascii="宋体" w:hAnsi="宋体" w:cs="宋体"/>
                <w:color w:val="auto"/>
                <w:sz w:val="24"/>
                <w:highlight w:val="none"/>
              </w:rPr>
            </w:pPr>
            <w:r>
              <w:rPr>
                <w:rFonts w:hint="eastAsia" w:ascii="宋体" w:hAnsi="宋体" w:cs="宋体"/>
                <w:color w:val="auto"/>
                <w:sz w:val="24"/>
                <w:highlight w:val="none"/>
              </w:rPr>
              <w:t>室外环境养护</w:t>
            </w:r>
          </w:p>
        </w:tc>
        <w:tc>
          <w:tcPr>
            <w:tcW w:w="1484" w:type="dxa"/>
            <w:vAlign w:val="center"/>
          </w:tcPr>
          <w:p w14:paraId="4CCCA467">
            <w:pPr>
              <w:snapToGrid w:val="0"/>
              <w:jc w:val="center"/>
              <w:rPr>
                <w:rFonts w:hint="eastAsia" w:ascii="宋体" w:hAnsi="宋体" w:cs="宋体"/>
                <w:color w:val="auto"/>
                <w:sz w:val="24"/>
                <w:highlight w:val="none"/>
              </w:rPr>
            </w:pPr>
          </w:p>
        </w:tc>
        <w:tc>
          <w:tcPr>
            <w:tcW w:w="713" w:type="dxa"/>
            <w:vAlign w:val="center"/>
          </w:tcPr>
          <w:p w14:paraId="563E0404">
            <w:pPr>
              <w:snapToGrid w:val="0"/>
              <w:jc w:val="center"/>
              <w:rPr>
                <w:rFonts w:hint="eastAsia" w:ascii="宋体" w:hAnsi="宋体" w:cs="宋体"/>
                <w:color w:val="auto"/>
                <w:sz w:val="24"/>
                <w:highlight w:val="none"/>
              </w:rPr>
            </w:pPr>
            <w:r>
              <w:rPr>
                <w:rFonts w:hint="eastAsia" w:ascii="宋体" w:hAnsi="宋体" w:cs="宋体"/>
                <w:color w:val="auto"/>
                <w:sz w:val="24"/>
                <w:highlight w:val="none"/>
              </w:rPr>
              <w:t>项</w:t>
            </w:r>
          </w:p>
        </w:tc>
        <w:tc>
          <w:tcPr>
            <w:tcW w:w="741" w:type="dxa"/>
            <w:vAlign w:val="center"/>
          </w:tcPr>
          <w:p w14:paraId="67AAC432">
            <w:pPr>
              <w:snapToGrid w:val="0"/>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077" w:type="dxa"/>
            <w:vAlign w:val="center"/>
          </w:tcPr>
          <w:p w14:paraId="3636D3AE">
            <w:pPr>
              <w:jc w:val="center"/>
              <w:rPr>
                <w:rFonts w:hint="eastAsia" w:ascii="宋体" w:hAnsi="宋体" w:cs="宋体"/>
                <w:color w:val="auto"/>
                <w:sz w:val="24"/>
                <w:highlight w:val="none"/>
              </w:rPr>
            </w:pPr>
          </w:p>
        </w:tc>
        <w:tc>
          <w:tcPr>
            <w:tcW w:w="894" w:type="dxa"/>
            <w:vAlign w:val="center"/>
          </w:tcPr>
          <w:p w14:paraId="7658098F">
            <w:pPr>
              <w:jc w:val="center"/>
              <w:rPr>
                <w:rFonts w:hint="eastAsia" w:ascii="宋体" w:hAnsi="宋体" w:cs="宋体"/>
                <w:color w:val="auto"/>
                <w:sz w:val="24"/>
                <w:highlight w:val="none"/>
              </w:rPr>
            </w:pPr>
          </w:p>
        </w:tc>
        <w:tc>
          <w:tcPr>
            <w:tcW w:w="1259" w:type="dxa"/>
            <w:vAlign w:val="center"/>
          </w:tcPr>
          <w:p w14:paraId="4E948ED5">
            <w:pPr>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1259" w:type="dxa"/>
            <w:vMerge w:val="continue"/>
            <w:vAlign w:val="center"/>
          </w:tcPr>
          <w:p w14:paraId="0F60FCB1">
            <w:pPr>
              <w:jc w:val="center"/>
              <w:rPr>
                <w:rFonts w:hint="eastAsia" w:ascii="宋体" w:hAnsi="宋体" w:cs="宋体"/>
                <w:color w:val="auto"/>
                <w:sz w:val="24"/>
                <w:highlight w:val="none"/>
              </w:rPr>
            </w:pPr>
          </w:p>
        </w:tc>
      </w:tr>
      <w:tr w14:paraId="7605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732" w:type="dxa"/>
            <w:gridSpan w:val="3"/>
            <w:vAlign w:val="center"/>
          </w:tcPr>
          <w:p w14:paraId="41B10AE7">
            <w:pPr>
              <w:jc w:val="center"/>
              <w:rPr>
                <w:rFonts w:hint="eastAsia" w:ascii="宋体" w:hAnsi="宋体" w:cs="宋体"/>
                <w:b/>
                <w:color w:val="auto"/>
                <w:sz w:val="24"/>
                <w:highlight w:val="none"/>
              </w:rPr>
            </w:pPr>
            <w:r>
              <w:rPr>
                <w:rFonts w:hint="eastAsia" w:ascii="宋体" w:hAnsi="宋体" w:cs="宋体"/>
                <w:b/>
                <w:color w:val="auto"/>
                <w:sz w:val="24"/>
                <w:highlight w:val="none"/>
              </w:rPr>
              <w:t>投标报价（小写）</w:t>
            </w:r>
          </w:p>
        </w:tc>
        <w:tc>
          <w:tcPr>
            <w:tcW w:w="5943" w:type="dxa"/>
            <w:gridSpan w:val="6"/>
            <w:vAlign w:val="center"/>
          </w:tcPr>
          <w:p w14:paraId="461347B2">
            <w:pPr>
              <w:jc w:val="center"/>
              <w:rPr>
                <w:rFonts w:hint="eastAsia" w:ascii="宋体" w:hAnsi="宋体" w:cs="宋体"/>
                <w:color w:val="auto"/>
                <w:sz w:val="24"/>
                <w:highlight w:val="none"/>
              </w:rPr>
            </w:pPr>
          </w:p>
        </w:tc>
      </w:tr>
      <w:tr w14:paraId="2A0B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732" w:type="dxa"/>
            <w:gridSpan w:val="3"/>
            <w:vAlign w:val="center"/>
          </w:tcPr>
          <w:p w14:paraId="5EC89DAD">
            <w:pPr>
              <w:jc w:val="center"/>
              <w:rPr>
                <w:rFonts w:hint="eastAsia" w:ascii="宋体" w:hAnsi="宋体" w:cs="宋体"/>
                <w:b/>
                <w:color w:val="auto"/>
                <w:sz w:val="24"/>
                <w:highlight w:val="none"/>
              </w:rPr>
            </w:pPr>
            <w:r>
              <w:rPr>
                <w:rFonts w:hint="eastAsia" w:ascii="宋体" w:hAnsi="宋体" w:cs="宋体"/>
                <w:b/>
                <w:color w:val="auto"/>
                <w:sz w:val="24"/>
                <w:highlight w:val="none"/>
              </w:rPr>
              <w:t>投标报价（大写）</w:t>
            </w:r>
          </w:p>
        </w:tc>
        <w:tc>
          <w:tcPr>
            <w:tcW w:w="5943" w:type="dxa"/>
            <w:gridSpan w:val="6"/>
            <w:vAlign w:val="center"/>
          </w:tcPr>
          <w:p w14:paraId="13B65FC7">
            <w:pPr>
              <w:jc w:val="center"/>
              <w:rPr>
                <w:rFonts w:hint="eastAsia" w:ascii="宋体" w:hAnsi="宋体" w:cs="宋体"/>
                <w:color w:val="auto"/>
                <w:sz w:val="24"/>
                <w:highlight w:val="none"/>
              </w:rPr>
            </w:pPr>
          </w:p>
        </w:tc>
      </w:tr>
    </w:tbl>
    <w:p w14:paraId="0C10E5AF">
      <w:pPr>
        <w:snapToGrid w:val="0"/>
        <w:spacing w:line="360" w:lineRule="auto"/>
        <w:ind w:left="420"/>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014B4493">
      <w:pPr>
        <w:spacing w:line="360" w:lineRule="auto"/>
        <w:ind w:left="-2" w:leftChars="-1"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p>
    <w:p w14:paraId="20B94886">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bCs/>
          <w:color w:val="auto"/>
          <w:kern w:val="0"/>
          <w:sz w:val="24"/>
          <w:highlight w:val="none"/>
          <w:lang w:val="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18BCAD43">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79235BC">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8668A9">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5、项目负责人应与商务技术文件中一致</w:t>
      </w:r>
      <w:r>
        <w:rPr>
          <w:rFonts w:hint="eastAsia" w:ascii="宋体" w:hAnsi="宋体" w:cs="宋体"/>
          <w:color w:val="auto"/>
          <w:kern w:val="0"/>
          <w:sz w:val="24"/>
          <w:highlight w:val="none"/>
          <w:lang w:val="zh-CN"/>
        </w:rPr>
        <w:t>。</w:t>
      </w:r>
    </w:p>
    <w:p w14:paraId="4121FEA0">
      <w:pPr>
        <w:pStyle w:val="46"/>
        <w:keepNext w:val="0"/>
        <w:pageBreakBefore w:val="0"/>
        <w:tabs>
          <w:tab w:val="clear" w:pos="720"/>
        </w:tabs>
        <w:snapToGrid w:val="0"/>
        <w:spacing w:before="120" w:after="120"/>
        <w:outlineLvl w:val="2"/>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二、报价明细表</w:t>
      </w:r>
    </w:p>
    <w:p w14:paraId="2BAC6D67">
      <w:pPr>
        <w:pStyle w:val="46"/>
        <w:keepNext w:val="0"/>
        <w:pageBreakBefore w:val="0"/>
        <w:tabs>
          <w:tab w:val="clear" w:pos="720"/>
        </w:tabs>
        <w:snapToGrid w:val="0"/>
        <w:spacing w:before="120" w:after="120"/>
        <w:outlineLvl w:val="9"/>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（对</w:t>
      </w:r>
      <w:r>
        <w:rPr>
          <w:rFonts w:hint="eastAsia" w:ascii="宋体" w:hAnsi="宋体" w:eastAsia="宋体" w:cs="宋体"/>
          <w:color w:val="auto"/>
          <w:kern w:val="2"/>
          <w:sz w:val="28"/>
          <w:szCs w:val="28"/>
          <w:highlight w:val="none"/>
          <w:lang w:val="zh-CN"/>
        </w:rPr>
        <w:t>开标一览表报价组成做补充说明，</w:t>
      </w:r>
      <w:r>
        <w:rPr>
          <w:rFonts w:hint="eastAsia" w:ascii="宋体" w:hAnsi="宋体" w:eastAsia="宋体" w:cs="宋体"/>
          <w:color w:val="auto"/>
          <w:kern w:val="2"/>
          <w:sz w:val="28"/>
          <w:szCs w:val="28"/>
          <w:highlight w:val="none"/>
        </w:rPr>
        <w:t>格式可自拟）</w:t>
      </w:r>
    </w:p>
    <w:p w14:paraId="42DB8034">
      <w:pPr>
        <w:rPr>
          <w:rFonts w:hint="eastAsia" w:ascii="宋体" w:hAnsi="宋体" w:cs="宋体"/>
          <w:b/>
          <w:color w:val="auto"/>
          <w:sz w:val="30"/>
          <w:szCs w:val="30"/>
          <w:highlight w:val="none"/>
        </w:rPr>
      </w:pPr>
    </w:p>
    <w:p w14:paraId="7658BC13">
      <w:pPr>
        <w:spacing w:line="420" w:lineRule="auto"/>
        <w:ind w:left="540" w:leftChars="257" w:firstLine="2920" w:firstLineChars="808"/>
        <w:rPr>
          <w:rFonts w:hint="eastAsia" w:ascii="宋体" w:hAnsi="宋体" w:cs="宋体"/>
          <w:b/>
          <w:color w:val="auto"/>
          <w:sz w:val="36"/>
          <w:highlight w:val="none"/>
        </w:rPr>
      </w:pPr>
      <w:r>
        <w:rPr>
          <w:rFonts w:hint="eastAsia" w:ascii="宋体" w:hAnsi="宋体" w:cs="宋体"/>
          <w:b/>
          <w:color w:val="auto"/>
          <w:sz w:val="36"/>
          <w:highlight w:val="none"/>
        </w:rPr>
        <w:t>报价明细表</w:t>
      </w:r>
    </w:p>
    <w:p w14:paraId="407E760B">
      <w:pPr>
        <w:spacing w:line="420" w:lineRule="auto"/>
        <w:ind w:left="540" w:leftChars="257" w:firstLine="7148" w:firstLineChars="3404"/>
        <w:rPr>
          <w:rFonts w:hint="eastAsia" w:ascii="宋体" w:hAnsi="宋体" w:cs="宋体"/>
          <w:color w:val="auto"/>
          <w:highlight w:val="none"/>
        </w:rPr>
      </w:pPr>
      <w:r>
        <w:rPr>
          <w:rFonts w:hint="eastAsia" w:ascii="宋体" w:hAnsi="宋体" w:cs="宋体"/>
          <w:color w:val="auto"/>
          <w:highlight w:val="none"/>
        </w:rPr>
        <w:t>单位：元</w:t>
      </w:r>
    </w:p>
    <w:tbl>
      <w:tblPr>
        <w:tblStyle w:val="20"/>
        <w:tblW w:w="9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8"/>
        <w:gridCol w:w="3465"/>
        <w:gridCol w:w="751"/>
        <w:gridCol w:w="651"/>
        <w:gridCol w:w="761"/>
        <w:gridCol w:w="862"/>
        <w:gridCol w:w="2149"/>
      </w:tblGrid>
      <w:tr w14:paraId="54DEB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0" w:hRule="atLeast"/>
          <w:tblHeader/>
          <w:jc w:val="center"/>
        </w:trPr>
        <w:tc>
          <w:tcPr>
            <w:tcW w:w="838" w:type="dxa"/>
            <w:vAlign w:val="center"/>
          </w:tcPr>
          <w:p w14:paraId="5525AA64">
            <w:pPr>
              <w:snapToGrid w:val="0"/>
              <w:jc w:val="center"/>
              <w:rPr>
                <w:rFonts w:hint="eastAsia" w:ascii="宋体" w:hAnsi="宋体" w:cs="宋体"/>
                <w:b/>
                <w:bCs/>
                <w:color w:val="auto"/>
                <w:highlight w:val="none"/>
              </w:rPr>
            </w:pPr>
            <w:r>
              <w:rPr>
                <w:rFonts w:hint="eastAsia" w:ascii="宋体" w:hAnsi="宋体" w:cs="宋体"/>
                <w:b/>
                <w:bCs/>
                <w:color w:val="auto"/>
                <w:highlight w:val="none"/>
              </w:rPr>
              <w:t>序号</w:t>
            </w:r>
          </w:p>
        </w:tc>
        <w:tc>
          <w:tcPr>
            <w:tcW w:w="3465" w:type="dxa"/>
            <w:vAlign w:val="center"/>
          </w:tcPr>
          <w:p w14:paraId="2482B368">
            <w:pPr>
              <w:snapToGrid w:val="0"/>
              <w:jc w:val="center"/>
              <w:rPr>
                <w:rFonts w:hint="eastAsia" w:ascii="宋体" w:hAnsi="宋体" w:cs="宋体"/>
                <w:b/>
                <w:bCs/>
                <w:color w:val="auto"/>
                <w:highlight w:val="none"/>
              </w:rPr>
            </w:pPr>
            <w:r>
              <w:rPr>
                <w:rFonts w:hint="eastAsia" w:ascii="宋体" w:hAnsi="宋体" w:cs="宋体"/>
                <w:b/>
                <w:bCs/>
                <w:color w:val="auto"/>
                <w:highlight w:val="none"/>
              </w:rPr>
              <w:t>项 目</w:t>
            </w:r>
          </w:p>
        </w:tc>
        <w:tc>
          <w:tcPr>
            <w:tcW w:w="751" w:type="dxa"/>
            <w:vAlign w:val="center"/>
          </w:tcPr>
          <w:p w14:paraId="39A6ECC7">
            <w:pPr>
              <w:snapToGrid w:val="0"/>
              <w:jc w:val="center"/>
              <w:rPr>
                <w:rFonts w:hint="eastAsia" w:ascii="宋体" w:hAnsi="宋体" w:cs="宋体"/>
                <w:b/>
                <w:bCs/>
                <w:color w:val="auto"/>
                <w:highlight w:val="none"/>
              </w:rPr>
            </w:pPr>
            <w:r>
              <w:rPr>
                <w:rFonts w:hint="eastAsia" w:ascii="宋体" w:hAnsi="宋体" w:cs="宋体"/>
                <w:b/>
                <w:bCs/>
                <w:color w:val="auto"/>
                <w:highlight w:val="none"/>
              </w:rPr>
              <w:t>单位</w:t>
            </w:r>
          </w:p>
        </w:tc>
        <w:tc>
          <w:tcPr>
            <w:tcW w:w="651" w:type="dxa"/>
            <w:vAlign w:val="center"/>
          </w:tcPr>
          <w:p w14:paraId="725A1DDF">
            <w:pPr>
              <w:snapToGrid w:val="0"/>
              <w:jc w:val="center"/>
              <w:rPr>
                <w:rFonts w:hint="eastAsia" w:ascii="宋体" w:hAnsi="宋体" w:cs="宋体"/>
                <w:b/>
                <w:bCs/>
                <w:color w:val="auto"/>
                <w:highlight w:val="none"/>
              </w:rPr>
            </w:pPr>
            <w:r>
              <w:rPr>
                <w:rFonts w:hint="eastAsia" w:ascii="宋体" w:hAnsi="宋体" w:cs="宋体"/>
                <w:b/>
                <w:bCs/>
                <w:color w:val="auto"/>
                <w:highlight w:val="none"/>
              </w:rPr>
              <w:t>数量</w:t>
            </w:r>
          </w:p>
        </w:tc>
        <w:tc>
          <w:tcPr>
            <w:tcW w:w="761" w:type="dxa"/>
            <w:vAlign w:val="center"/>
          </w:tcPr>
          <w:p w14:paraId="0EE6D43C">
            <w:pPr>
              <w:snapToGrid w:val="0"/>
              <w:jc w:val="center"/>
              <w:rPr>
                <w:rFonts w:hint="eastAsia" w:ascii="宋体" w:hAnsi="宋体" w:cs="宋体"/>
                <w:b/>
                <w:bCs/>
                <w:color w:val="auto"/>
                <w:highlight w:val="none"/>
              </w:rPr>
            </w:pPr>
            <w:r>
              <w:rPr>
                <w:rFonts w:hint="eastAsia" w:ascii="宋体" w:hAnsi="宋体" w:cs="宋体"/>
                <w:b/>
                <w:bCs/>
                <w:color w:val="auto"/>
                <w:highlight w:val="none"/>
              </w:rPr>
              <w:t>单价</w:t>
            </w:r>
          </w:p>
          <w:p w14:paraId="1FA25E5B">
            <w:pPr>
              <w:snapToGrid w:val="0"/>
              <w:jc w:val="center"/>
              <w:rPr>
                <w:rFonts w:hint="eastAsia" w:ascii="宋体" w:hAnsi="宋体" w:cs="宋体"/>
                <w:b/>
                <w:bCs/>
                <w:color w:val="auto"/>
                <w:highlight w:val="none"/>
              </w:rPr>
            </w:pPr>
            <w:r>
              <w:rPr>
                <w:rFonts w:hint="eastAsia" w:ascii="宋体" w:hAnsi="宋体" w:cs="宋体"/>
                <w:b/>
                <w:bCs/>
                <w:color w:val="auto"/>
                <w:highlight w:val="none"/>
              </w:rPr>
              <w:t>（元）</w:t>
            </w:r>
          </w:p>
        </w:tc>
        <w:tc>
          <w:tcPr>
            <w:tcW w:w="862" w:type="dxa"/>
            <w:vAlign w:val="center"/>
          </w:tcPr>
          <w:p w14:paraId="47E52929">
            <w:pPr>
              <w:snapToGrid w:val="0"/>
              <w:jc w:val="center"/>
              <w:rPr>
                <w:rFonts w:hint="eastAsia" w:ascii="宋体" w:hAnsi="宋体" w:cs="宋体"/>
                <w:b/>
                <w:bCs/>
                <w:color w:val="auto"/>
                <w:highlight w:val="none"/>
              </w:rPr>
            </w:pPr>
            <w:r>
              <w:rPr>
                <w:rFonts w:hint="eastAsia" w:ascii="宋体" w:hAnsi="宋体" w:cs="宋体"/>
                <w:b/>
                <w:bCs/>
                <w:color w:val="auto"/>
                <w:highlight w:val="none"/>
              </w:rPr>
              <w:t>合价</w:t>
            </w:r>
          </w:p>
          <w:p w14:paraId="0BF4A94D">
            <w:pPr>
              <w:snapToGrid w:val="0"/>
              <w:jc w:val="center"/>
              <w:rPr>
                <w:rFonts w:hint="eastAsia" w:ascii="宋体" w:hAnsi="宋体" w:cs="宋体"/>
                <w:b/>
                <w:bCs/>
                <w:color w:val="auto"/>
                <w:highlight w:val="none"/>
              </w:rPr>
            </w:pPr>
            <w:r>
              <w:rPr>
                <w:rFonts w:hint="eastAsia" w:ascii="宋体" w:hAnsi="宋体" w:cs="宋体"/>
                <w:b/>
                <w:bCs/>
                <w:color w:val="auto"/>
                <w:highlight w:val="none"/>
              </w:rPr>
              <w:t>（元）</w:t>
            </w:r>
          </w:p>
        </w:tc>
        <w:tc>
          <w:tcPr>
            <w:tcW w:w="2149" w:type="dxa"/>
            <w:vAlign w:val="center"/>
          </w:tcPr>
          <w:p w14:paraId="52EF61D4">
            <w:pPr>
              <w:snapToGrid w:val="0"/>
              <w:jc w:val="center"/>
              <w:rPr>
                <w:rFonts w:hint="eastAsia" w:ascii="宋体" w:hAnsi="宋体" w:cs="宋体"/>
                <w:b/>
                <w:bCs/>
                <w:color w:val="auto"/>
                <w:highlight w:val="none"/>
              </w:rPr>
            </w:pPr>
            <w:r>
              <w:rPr>
                <w:rFonts w:hint="eastAsia" w:ascii="宋体" w:hAnsi="宋体" w:cs="宋体"/>
                <w:b/>
                <w:bCs/>
                <w:color w:val="auto"/>
                <w:highlight w:val="none"/>
              </w:rPr>
              <w:t>备注</w:t>
            </w:r>
          </w:p>
        </w:tc>
      </w:tr>
      <w:tr w14:paraId="3D665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6BF366F3">
            <w:pPr>
              <w:widowControl/>
              <w:jc w:val="center"/>
              <w:textAlignment w:val="center"/>
              <w:rPr>
                <w:rFonts w:hint="eastAsia" w:ascii="宋体" w:hAnsi="宋体" w:cs="宋体"/>
                <w:b/>
                <w:bCs/>
                <w:color w:val="auto"/>
                <w:highlight w:val="none"/>
              </w:rPr>
            </w:pPr>
            <w:r>
              <w:rPr>
                <w:rFonts w:hint="eastAsia" w:ascii="宋体" w:hAnsi="宋体" w:cs="宋体"/>
                <w:b/>
                <w:bCs/>
                <w:color w:val="auto"/>
                <w:kern w:val="0"/>
                <w:sz w:val="24"/>
                <w:szCs w:val="24"/>
                <w:highlight w:val="none"/>
              </w:rPr>
              <w:t>一</w:t>
            </w:r>
          </w:p>
        </w:tc>
        <w:tc>
          <w:tcPr>
            <w:tcW w:w="3465" w:type="dxa"/>
            <w:vAlign w:val="center"/>
          </w:tcPr>
          <w:p w14:paraId="6FD3B33A">
            <w:pPr>
              <w:widowControl/>
              <w:jc w:val="center"/>
              <w:textAlignment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泵站运行维护</w:t>
            </w:r>
          </w:p>
        </w:tc>
        <w:tc>
          <w:tcPr>
            <w:tcW w:w="751" w:type="dxa"/>
            <w:vAlign w:val="center"/>
          </w:tcPr>
          <w:p w14:paraId="79F0FAFD">
            <w:pPr>
              <w:widowControl/>
              <w:jc w:val="center"/>
              <w:textAlignment w:val="center"/>
              <w:rPr>
                <w:rFonts w:hint="eastAsia" w:ascii="宋体" w:hAnsi="宋体" w:cs="宋体"/>
                <w:color w:val="auto"/>
                <w:kern w:val="0"/>
                <w:sz w:val="22"/>
                <w:highlight w:val="none"/>
              </w:rPr>
            </w:pPr>
          </w:p>
        </w:tc>
        <w:tc>
          <w:tcPr>
            <w:tcW w:w="651" w:type="dxa"/>
            <w:vAlign w:val="center"/>
          </w:tcPr>
          <w:p w14:paraId="571F2466">
            <w:pPr>
              <w:widowControl/>
              <w:jc w:val="center"/>
              <w:textAlignment w:val="center"/>
              <w:rPr>
                <w:rFonts w:hint="eastAsia" w:ascii="宋体" w:hAnsi="宋体" w:cs="宋体"/>
                <w:color w:val="auto"/>
                <w:kern w:val="0"/>
                <w:sz w:val="22"/>
                <w:highlight w:val="none"/>
              </w:rPr>
            </w:pPr>
          </w:p>
        </w:tc>
        <w:tc>
          <w:tcPr>
            <w:tcW w:w="761" w:type="dxa"/>
            <w:vAlign w:val="center"/>
          </w:tcPr>
          <w:p w14:paraId="5B4D92BE">
            <w:pPr>
              <w:widowControl/>
              <w:jc w:val="center"/>
              <w:textAlignment w:val="center"/>
              <w:rPr>
                <w:rFonts w:hint="eastAsia" w:ascii="宋体" w:hAnsi="宋体" w:cs="宋体"/>
                <w:color w:val="auto"/>
                <w:kern w:val="0"/>
                <w:sz w:val="22"/>
                <w:highlight w:val="none"/>
              </w:rPr>
            </w:pPr>
          </w:p>
        </w:tc>
        <w:tc>
          <w:tcPr>
            <w:tcW w:w="862" w:type="dxa"/>
            <w:vAlign w:val="center"/>
          </w:tcPr>
          <w:p w14:paraId="6BFA35E0">
            <w:pPr>
              <w:widowControl/>
              <w:jc w:val="center"/>
              <w:textAlignment w:val="center"/>
              <w:rPr>
                <w:rFonts w:hint="eastAsia" w:ascii="宋体" w:hAnsi="宋体" w:cs="宋体"/>
                <w:color w:val="auto"/>
                <w:kern w:val="0"/>
                <w:sz w:val="22"/>
                <w:highlight w:val="none"/>
              </w:rPr>
            </w:pPr>
          </w:p>
        </w:tc>
        <w:tc>
          <w:tcPr>
            <w:tcW w:w="2149" w:type="dxa"/>
            <w:vAlign w:val="center"/>
          </w:tcPr>
          <w:p w14:paraId="68CAC659">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最高</w:t>
            </w:r>
            <w:r>
              <w:rPr>
                <w:rFonts w:hint="eastAsia" w:ascii="宋体" w:hAnsi="宋体" w:cs="宋体"/>
                <w:color w:val="auto"/>
                <w:kern w:val="0"/>
                <w:sz w:val="22"/>
                <w:highlight w:val="none"/>
              </w:rPr>
              <w:t>限价7950000元</w:t>
            </w:r>
          </w:p>
        </w:tc>
      </w:tr>
      <w:tr w14:paraId="10ECC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20E7FECF">
            <w:pPr>
              <w:widowControl/>
              <w:jc w:val="center"/>
              <w:textAlignment w:val="center"/>
              <w:rPr>
                <w:rFonts w:hint="eastAsia" w:ascii="宋体" w:hAnsi="宋体" w:cs="宋体"/>
                <w:b/>
                <w:bCs/>
                <w:color w:val="auto"/>
                <w:kern w:val="0"/>
                <w:sz w:val="24"/>
                <w:szCs w:val="24"/>
                <w:highlight w:val="none"/>
              </w:rPr>
            </w:pPr>
            <w:r>
              <w:rPr>
                <w:rFonts w:hint="eastAsia" w:ascii="宋体" w:hAnsi="宋体" w:cs="宋体"/>
                <w:color w:val="auto"/>
                <w:kern w:val="0"/>
                <w:sz w:val="24"/>
                <w:szCs w:val="24"/>
                <w:highlight w:val="none"/>
              </w:rPr>
              <w:t>1</w:t>
            </w:r>
          </w:p>
        </w:tc>
        <w:tc>
          <w:tcPr>
            <w:tcW w:w="3465" w:type="dxa"/>
            <w:vAlign w:val="center"/>
          </w:tcPr>
          <w:p w14:paraId="588F87BE">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泵站运行</w:t>
            </w:r>
          </w:p>
        </w:tc>
        <w:tc>
          <w:tcPr>
            <w:tcW w:w="751" w:type="dxa"/>
            <w:vAlign w:val="center"/>
          </w:tcPr>
          <w:p w14:paraId="11AE6E31">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7DB2D57D">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188CE26A">
            <w:pPr>
              <w:widowControl/>
              <w:jc w:val="center"/>
              <w:textAlignment w:val="center"/>
              <w:rPr>
                <w:rFonts w:hint="eastAsia" w:ascii="宋体" w:hAnsi="宋体" w:cs="宋体"/>
                <w:color w:val="auto"/>
                <w:kern w:val="0"/>
                <w:sz w:val="22"/>
                <w:highlight w:val="none"/>
              </w:rPr>
            </w:pPr>
          </w:p>
        </w:tc>
        <w:tc>
          <w:tcPr>
            <w:tcW w:w="862" w:type="dxa"/>
            <w:vAlign w:val="center"/>
          </w:tcPr>
          <w:p w14:paraId="2791C443">
            <w:pPr>
              <w:widowControl/>
              <w:jc w:val="center"/>
              <w:textAlignment w:val="center"/>
              <w:rPr>
                <w:rFonts w:hint="eastAsia" w:ascii="宋体" w:hAnsi="宋体" w:cs="宋体"/>
                <w:color w:val="auto"/>
                <w:kern w:val="0"/>
                <w:sz w:val="22"/>
                <w:highlight w:val="none"/>
              </w:rPr>
            </w:pPr>
          </w:p>
        </w:tc>
        <w:tc>
          <w:tcPr>
            <w:tcW w:w="2149" w:type="dxa"/>
            <w:vAlign w:val="center"/>
          </w:tcPr>
          <w:p w14:paraId="286BA2A0">
            <w:pPr>
              <w:widowControl/>
              <w:jc w:val="center"/>
              <w:textAlignment w:val="center"/>
              <w:rPr>
                <w:rFonts w:hint="eastAsia" w:ascii="宋体" w:hAnsi="宋体" w:cs="宋体"/>
                <w:color w:val="auto"/>
                <w:kern w:val="0"/>
                <w:sz w:val="22"/>
                <w:highlight w:val="none"/>
              </w:rPr>
            </w:pPr>
          </w:p>
        </w:tc>
      </w:tr>
      <w:tr w14:paraId="51B2F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38" w:type="dxa"/>
            <w:vAlign w:val="center"/>
          </w:tcPr>
          <w:p w14:paraId="0E7E1B5E">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2"/>
                <w:highlight w:val="none"/>
              </w:rPr>
              <w:t>2</w:t>
            </w:r>
          </w:p>
        </w:tc>
        <w:tc>
          <w:tcPr>
            <w:tcW w:w="3465" w:type="dxa"/>
            <w:vAlign w:val="center"/>
          </w:tcPr>
          <w:p w14:paraId="11F888CC">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日常维护</w:t>
            </w:r>
          </w:p>
        </w:tc>
        <w:tc>
          <w:tcPr>
            <w:tcW w:w="751" w:type="dxa"/>
            <w:vAlign w:val="center"/>
          </w:tcPr>
          <w:p w14:paraId="73E7EBB2">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499D007E">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13235D56">
            <w:pPr>
              <w:widowControl/>
              <w:jc w:val="center"/>
              <w:textAlignment w:val="center"/>
              <w:rPr>
                <w:rFonts w:hint="eastAsia" w:ascii="宋体" w:hAnsi="宋体" w:cs="宋体"/>
                <w:color w:val="auto"/>
                <w:kern w:val="0"/>
                <w:sz w:val="22"/>
                <w:highlight w:val="none"/>
              </w:rPr>
            </w:pPr>
          </w:p>
        </w:tc>
        <w:tc>
          <w:tcPr>
            <w:tcW w:w="862" w:type="dxa"/>
            <w:vAlign w:val="center"/>
          </w:tcPr>
          <w:p w14:paraId="1E7CCBA7">
            <w:pPr>
              <w:widowControl/>
              <w:jc w:val="center"/>
              <w:textAlignment w:val="center"/>
              <w:rPr>
                <w:rFonts w:hint="eastAsia" w:ascii="宋体" w:hAnsi="宋体" w:cs="宋体"/>
                <w:color w:val="auto"/>
                <w:kern w:val="0"/>
                <w:sz w:val="22"/>
                <w:highlight w:val="none"/>
              </w:rPr>
            </w:pPr>
          </w:p>
        </w:tc>
        <w:tc>
          <w:tcPr>
            <w:tcW w:w="2149" w:type="dxa"/>
            <w:vAlign w:val="center"/>
          </w:tcPr>
          <w:p w14:paraId="5FAB327A">
            <w:pPr>
              <w:widowControl/>
              <w:jc w:val="center"/>
              <w:textAlignment w:val="center"/>
              <w:rPr>
                <w:rFonts w:hint="eastAsia" w:ascii="宋体" w:hAnsi="宋体" w:cs="宋体"/>
                <w:color w:val="auto"/>
                <w:kern w:val="0"/>
                <w:sz w:val="22"/>
                <w:highlight w:val="none"/>
              </w:rPr>
            </w:pPr>
          </w:p>
        </w:tc>
      </w:tr>
      <w:tr w14:paraId="10508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5E759163">
            <w:pPr>
              <w:widowControl/>
              <w:jc w:val="center"/>
              <w:textAlignment w:val="center"/>
              <w:rPr>
                <w:rFonts w:hint="eastAsia" w:ascii="宋体" w:hAnsi="宋体" w:cs="宋体"/>
                <w:b/>
                <w:bCs/>
                <w:color w:val="auto"/>
                <w:kern w:val="0"/>
                <w:sz w:val="24"/>
                <w:szCs w:val="24"/>
                <w:highlight w:val="none"/>
              </w:rPr>
            </w:pPr>
            <w:r>
              <w:rPr>
                <w:rFonts w:hint="eastAsia" w:ascii="宋体" w:hAnsi="宋体" w:cs="宋体"/>
                <w:color w:val="auto"/>
                <w:kern w:val="0"/>
                <w:sz w:val="24"/>
                <w:szCs w:val="24"/>
                <w:highlight w:val="none"/>
              </w:rPr>
              <w:t>二</w:t>
            </w:r>
          </w:p>
        </w:tc>
        <w:tc>
          <w:tcPr>
            <w:tcW w:w="3465" w:type="dxa"/>
            <w:vAlign w:val="center"/>
          </w:tcPr>
          <w:p w14:paraId="2AA14A5B">
            <w:pPr>
              <w:widowControl/>
              <w:jc w:val="center"/>
              <w:textAlignment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专项维护</w:t>
            </w:r>
          </w:p>
        </w:tc>
        <w:tc>
          <w:tcPr>
            <w:tcW w:w="751" w:type="dxa"/>
            <w:vAlign w:val="center"/>
          </w:tcPr>
          <w:p w14:paraId="6175472F">
            <w:pPr>
              <w:widowControl/>
              <w:jc w:val="center"/>
              <w:textAlignment w:val="center"/>
              <w:rPr>
                <w:rFonts w:hint="eastAsia" w:ascii="宋体" w:hAnsi="宋体" w:cs="宋体"/>
                <w:color w:val="auto"/>
                <w:kern w:val="0"/>
                <w:sz w:val="22"/>
                <w:highlight w:val="none"/>
              </w:rPr>
            </w:pPr>
          </w:p>
        </w:tc>
        <w:tc>
          <w:tcPr>
            <w:tcW w:w="651" w:type="dxa"/>
            <w:vAlign w:val="center"/>
          </w:tcPr>
          <w:p w14:paraId="5B19DACE">
            <w:pPr>
              <w:widowControl/>
              <w:jc w:val="center"/>
              <w:textAlignment w:val="center"/>
              <w:rPr>
                <w:rFonts w:hint="eastAsia" w:ascii="宋体" w:hAnsi="宋体" w:cs="宋体"/>
                <w:color w:val="auto"/>
                <w:kern w:val="0"/>
                <w:sz w:val="22"/>
                <w:highlight w:val="none"/>
              </w:rPr>
            </w:pPr>
          </w:p>
        </w:tc>
        <w:tc>
          <w:tcPr>
            <w:tcW w:w="761" w:type="dxa"/>
            <w:vAlign w:val="center"/>
          </w:tcPr>
          <w:p w14:paraId="38E3944E">
            <w:pPr>
              <w:widowControl/>
              <w:jc w:val="center"/>
              <w:textAlignment w:val="center"/>
              <w:rPr>
                <w:rFonts w:hint="eastAsia" w:ascii="宋体" w:hAnsi="宋体" w:cs="宋体"/>
                <w:color w:val="auto"/>
                <w:kern w:val="0"/>
                <w:sz w:val="22"/>
                <w:highlight w:val="none"/>
              </w:rPr>
            </w:pPr>
          </w:p>
        </w:tc>
        <w:tc>
          <w:tcPr>
            <w:tcW w:w="862" w:type="dxa"/>
            <w:vAlign w:val="center"/>
          </w:tcPr>
          <w:p w14:paraId="581E6947">
            <w:pPr>
              <w:widowControl/>
              <w:jc w:val="center"/>
              <w:textAlignment w:val="center"/>
              <w:rPr>
                <w:rFonts w:hint="eastAsia" w:ascii="宋体" w:hAnsi="宋体" w:cs="宋体"/>
                <w:color w:val="auto"/>
                <w:kern w:val="0"/>
                <w:sz w:val="22"/>
                <w:highlight w:val="none"/>
              </w:rPr>
            </w:pPr>
          </w:p>
        </w:tc>
        <w:tc>
          <w:tcPr>
            <w:tcW w:w="2149" w:type="dxa"/>
            <w:vAlign w:val="center"/>
          </w:tcPr>
          <w:p w14:paraId="75C3B101">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最高</w:t>
            </w:r>
            <w:r>
              <w:rPr>
                <w:rFonts w:hint="eastAsia" w:ascii="宋体" w:hAnsi="宋体" w:cs="宋体"/>
                <w:color w:val="auto"/>
                <w:kern w:val="0"/>
                <w:sz w:val="22"/>
                <w:highlight w:val="none"/>
              </w:rPr>
              <w:t>限价1</w:t>
            </w:r>
            <w:r>
              <w:rPr>
                <w:rFonts w:hint="eastAsia" w:ascii="宋体" w:hAnsi="宋体" w:cs="宋体"/>
                <w:color w:val="auto"/>
                <w:kern w:val="0"/>
                <w:sz w:val="22"/>
                <w:highlight w:val="none"/>
                <w:lang w:val="en-US" w:eastAsia="zh-CN"/>
              </w:rPr>
              <w:t>80</w:t>
            </w:r>
            <w:r>
              <w:rPr>
                <w:rFonts w:hint="eastAsia" w:ascii="宋体" w:hAnsi="宋体" w:cs="宋体"/>
                <w:color w:val="auto"/>
                <w:kern w:val="0"/>
                <w:sz w:val="22"/>
                <w:highlight w:val="none"/>
              </w:rPr>
              <w:t>0000元</w:t>
            </w:r>
          </w:p>
        </w:tc>
      </w:tr>
      <w:tr w14:paraId="31A96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61A58995">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3465" w:type="dxa"/>
            <w:vAlign w:val="center"/>
          </w:tcPr>
          <w:p w14:paraId="6D3EA5F0">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电气预防性试验</w:t>
            </w:r>
          </w:p>
        </w:tc>
        <w:tc>
          <w:tcPr>
            <w:tcW w:w="751" w:type="dxa"/>
            <w:vAlign w:val="center"/>
          </w:tcPr>
          <w:p w14:paraId="34363478">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3FA73FB8">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2830683D">
            <w:pPr>
              <w:widowControl/>
              <w:jc w:val="center"/>
              <w:textAlignment w:val="center"/>
              <w:rPr>
                <w:rFonts w:hint="eastAsia" w:ascii="宋体" w:hAnsi="宋体" w:cs="宋体"/>
                <w:color w:val="auto"/>
                <w:kern w:val="0"/>
                <w:sz w:val="22"/>
                <w:highlight w:val="none"/>
              </w:rPr>
            </w:pPr>
          </w:p>
        </w:tc>
        <w:tc>
          <w:tcPr>
            <w:tcW w:w="862" w:type="dxa"/>
            <w:vAlign w:val="center"/>
          </w:tcPr>
          <w:p w14:paraId="0B41D76A">
            <w:pPr>
              <w:widowControl/>
              <w:jc w:val="center"/>
              <w:textAlignment w:val="center"/>
              <w:rPr>
                <w:rFonts w:hint="eastAsia" w:ascii="宋体" w:hAnsi="宋体" w:cs="宋体"/>
                <w:color w:val="auto"/>
                <w:kern w:val="0"/>
                <w:sz w:val="22"/>
                <w:highlight w:val="none"/>
              </w:rPr>
            </w:pPr>
          </w:p>
        </w:tc>
        <w:tc>
          <w:tcPr>
            <w:tcW w:w="2149" w:type="dxa"/>
            <w:vAlign w:val="center"/>
          </w:tcPr>
          <w:p w14:paraId="4C61F97B">
            <w:pPr>
              <w:widowControl/>
              <w:jc w:val="center"/>
              <w:textAlignment w:val="center"/>
              <w:rPr>
                <w:rFonts w:hint="default" w:ascii="宋体" w:hAnsi="宋体" w:eastAsia="宋体" w:cs="宋体"/>
                <w:color w:val="auto"/>
                <w:kern w:val="0"/>
                <w:sz w:val="22"/>
                <w:highlight w:val="none"/>
                <w:lang w:val="en-US" w:eastAsia="zh-CN"/>
              </w:rPr>
            </w:pPr>
          </w:p>
        </w:tc>
      </w:tr>
      <w:tr w14:paraId="2F7C2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6F771B9D">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3465" w:type="dxa"/>
            <w:vAlign w:val="center"/>
          </w:tcPr>
          <w:p w14:paraId="286201BB">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桥机特种设备检测维护</w:t>
            </w:r>
          </w:p>
        </w:tc>
        <w:tc>
          <w:tcPr>
            <w:tcW w:w="751" w:type="dxa"/>
            <w:vAlign w:val="center"/>
          </w:tcPr>
          <w:p w14:paraId="0B9A4F14">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513A732B">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73A751D1">
            <w:pPr>
              <w:widowControl/>
              <w:jc w:val="center"/>
              <w:textAlignment w:val="center"/>
              <w:rPr>
                <w:rFonts w:hint="eastAsia" w:ascii="宋体" w:hAnsi="宋体" w:cs="宋体"/>
                <w:color w:val="auto"/>
                <w:kern w:val="0"/>
                <w:sz w:val="22"/>
                <w:highlight w:val="none"/>
              </w:rPr>
            </w:pPr>
          </w:p>
        </w:tc>
        <w:tc>
          <w:tcPr>
            <w:tcW w:w="862" w:type="dxa"/>
            <w:vAlign w:val="center"/>
          </w:tcPr>
          <w:p w14:paraId="5C1BB36E">
            <w:pPr>
              <w:widowControl/>
              <w:jc w:val="center"/>
              <w:textAlignment w:val="center"/>
              <w:rPr>
                <w:rFonts w:hint="eastAsia" w:ascii="宋体" w:hAnsi="宋体" w:cs="宋体"/>
                <w:color w:val="auto"/>
                <w:kern w:val="0"/>
                <w:sz w:val="22"/>
                <w:highlight w:val="none"/>
              </w:rPr>
            </w:pPr>
          </w:p>
        </w:tc>
        <w:tc>
          <w:tcPr>
            <w:tcW w:w="2149" w:type="dxa"/>
            <w:vAlign w:val="center"/>
          </w:tcPr>
          <w:p w14:paraId="553E3CEF">
            <w:pPr>
              <w:widowControl/>
              <w:jc w:val="center"/>
              <w:textAlignment w:val="center"/>
              <w:rPr>
                <w:rFonts w:hint="eastAsia" w:ascii="宋体" w:hAnsi="宋体" w:cs="宋体"/>
                <w:color w:val="auto"/>
                <w:kern w:val="0"/>
                <w:sz w:val="22"/>
                <w:highlight w:val="none"/>
              </w:rPr>
            </w:pPr>
          </w:p>
        </w:tc>
      </w:tr>
      <w:tr w14:paraId="1DB8C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29EA009F">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3465" w:type="dxa"/>
            <w:vAlign w:val="center"/>
          </w:tcPr>
          <w:p w14:paraId="7F38C1C5">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安全用具检测</w:t>
            </w:r>
          </w:p>
        </w:tc>
        <w:tc>
          <w:tcPr>
            <w:tcW w:w="751" w:type="dxa"/>
            <w:vAlign w:val="center"/>
          </w:tcPr>
          <w:p w14:paraId="6E02B8C2">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46EF51C2">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7E2832C9">
            <w:pPr>
              <w:widowControl/>
              <w:jc w:val="center"/>
              <w:textAlignment w:val="center"/>
              <w:rPr>
                <w:rFonts w:hint="eastAsia" w:ascii="宋体" w:hAnsi="宋体" w:cs="宋体"/>
                <w:color w:val="auto"/>
                <w:kern w:val="0"/>
                <w:sz w:val="22"/>
                <w:highlight w:val="none"/>
              </w:rPr>
            </w:pPr>
          </w:p>
        </w:tc>
        <w:tc>
          <w:tcPr>
            <w:tcW w:w="862" w:type="dxa"/>
            <w:vAlign w:val="center"/>
          </w:tcPr>
          <w:p w14:paraId="643DE400">
            <w:pPr>
              <w:widowControl/>
              <w:jc w:val="center"/>
              <w:textAlignment w:val="center"/>
              <w:rPr>
                <w:rFonts w:hint="eastAsia" w:ascii="宋体" w:hAnsi="宋体" w:cs="宋体"/>
                <w:color w:val="auto"/>
                <w:kern w:val="0"/>
                <w:sz w:val="22"/>
                <w:highlight w:val="none"/>
              </w:rPr>
            </w:pPr>
          </w:p>
        </w:tc>
        <w:tc>
          <w:tcPr>
            <w:tcW w:w="2149" w:type="dxa"/>
            <w:vAlign w:val="center"/>
          </w:tcPr>
          <w:p w14:paraId="5EBF014C">
            <w:pPr>
              <w:widowControl/>
              <w:jc w:val="center"/>
              <w:textAlignment w:val="center"/>
              <w:rPr>
                <w:rFonts w:hint="eastAsia" w:ascii="宋体" w:hAnsi="宋体" w:cs="宋体"/>
                <w:color w:val="auto"/>
                <w:kern w:val="0"/>
                <w:sz w:val="22"/>
                <w:highlight w:val="none"/>
              </w:rPr>
            </w:pPr>
          </w:p>
        </w:tc>
      </w:tr>
      <w:tr w14:paraId="48657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38" w:type="dxa"/>
            <w:vAlign w:val="center"/>
          </w:tcPr>
          <w:p w14:paraId="730F68FC">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p>
        </w:tc>
        <w:tc>
          <w:tcPr>
            <w:tcW w:w="3465" w:type="dxa"/>
            <w:vAlign w:val="center"/>
          </w:tcPr>
          <w:p w14:paraId="21645729">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水工建筑物安全监测维护及资料分析</w:t>
            </w:r>
          </w:p>
        </w:tc>
        <w:tc>
          <w:tcPr>
            <w:tcW w:w="751" w:type="dxa"/>
            <w:vAlign w:val="center"/>
          </w:tcPr>
          <w:p w14:paraId="10950385">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14B72470">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258C2A96">
            <w:pPr>
              <w:widowControl/>
              <w:jc w:val="center"/>
              <w:textAlignment w:val="center"/>
              <w:rPr>
                <w:rFonts w:hint="eastAsia" w:ascii="宋体" w:hAnsi="宋体" w:cs="宋体"/>
                <w:color w:val="auto"/>
                <w:kern w:val="0"/>
                <w:sz w:val="22"/>
                <w:highlight w:val="none"/>
              </w:rPr>
            </w:pPr>
          </w:p>
        </w:tc>
        <w:tc>
          <w:tcPr>
            <w:tcW w:w="862" w:type="dxa"/>
            <w:vAlign w:val="center"/>
          </w:tcPr>
          <w:p w14:paraId="74DD36D8">
            <w:pPr>
              <w:widowControl/>
              <w:jc w:val="center"/>
              <w:textAlignment w:val="center"/>
              <w:rPr>
                <w:rFonts w:hint="eastAsia" w:ascii="宋体" w:hAnsi="宋体" w:cs="宋体"/>
                <w:color w:val="auto"/>
                <w:kern w:val="0"/>
                <w:sz w:val="22"/>
                <w:highlight w:val="none"/>
              </w:rPr>
            </w:pPr>
          </w:p>
        </w:tc>
        <w:tc>
          <w:tcPr>
            <w:tcW w:w="2149" w:type="dxa"/>
            <w:vAlign w:val="center"/>
          </w:tcPr>
          <w:p w14:paraId="4086744A">
            <w:pPr>
              <w:widowControl/>
              <w:jc w:val="center"/>
              <w:textAlignment w:val="center"/>
              <w:rPr>
                <w:rFonts w:hint="eastAsia" w:ascii="宋体" w:hAnsi="宋体" w:cs="宋体"/>
                <w:color w:val="auto"/>
                <w:kern w:val="0"/>
                <w:sz w:val="22"/>
                <w:highlight w:val="none"/>
              </w:rPr>
            </w:pPr>
          </w:p>
        </w:tc>
      </w:tr>
      <w:tr w14:paraId="03ACC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4C787547">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w:t>
            </w:r>
          </w:p>
        </w:tc>
        <w:tc>
          <w:tcPr>
            <w:tcW w:w="3465" w:type="dxa"/>
            <w:vAlign w:val="center"/>
          </w:tcPr>
          <w:p w14:paraId="5DA96231">
            <w:pPr>
              <w:widowControl/>
              <w:jc w:val="center"/>
              <w:textAlignment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eastAsia="zh-CN"/>
              </w:rPr>
              <w:t>水文设施维护及资料整理分析</w:t>
            </w:r>
          </w:p>
        </w:tc>
        <w:tc>
          <w:tcPr>
            <w:tcW w:w="751" w:type="dxa"/>
            <w:vAlign w:val="center"/>
          </w:tcPr>
          <w:p w14:paraId="75001432">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62282EA4">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3456F1DB">
            <w:pPr>
              <w:widowControl/>
              <w:jc w:val="center"/>
              <w:textAlignment w:val="center"/>
              <w:rPr>
                <w:rFonts w:hint="eastAsia" w:ascii="宋体" w:hAnsi="宋体" w:cs="宋体"/>
                <w:color w:val="auto"/>
                <w:kern w:val="0"/>
                <w:sz w:val="22"/>
                <w:highlight w:val="none"/>
              </w:rPr>
            </w:pPr>
          </w:p>
        </w:tc>
        <w:tc>
          <w:tcPr>
            <w:tcW w:w="862" w:type="dxa"/>
            <w:vAlign w:val="center"/>
          </w:tcPr>
          <w:p w14:paraId="035DC63E">
            <w:pPr>
              <w:widowControl/>
              <w:jc w:val="center"/>
              <w:textAlignment w:val="center"/>
              <w:rPr>
                <w:rFonts w:hint="eastAsia" w:ascii="宋体" w:hAnsi="宋体" w:cs="宋体"/>
                <w:color w:val="auto"/>
                <w:kern w:val="0"/>
                <w:sz w:val="22"/>
                <w:highlight w:val="none"/>
              </w:rPr>
            </w:pPr>
          </w:p>
        </w:tc>
        <w:tc>
          <w:tcPr>
            <w:tcW w:w="2149" w:type="dxa"/>
            <w:vAlign w:val="center"/>
          </w:tcPr>
          <w:p w14:paraId="260BD92F">
            <w:pPr>
              <w:widowControl/>
              <w:jc w:val="center"/>
              <w:textAlignment w:val="center"/>
              <w:rPr>
                <w:rFonts w:hint="eastAsia" w:ascii="宋体" w:hAnsi="宋体" w:cs="宋体"/>
                <w:color w:val="auto"/>
                <w:kern w:val="0"/>
                <w:sz w:val="22"/>
                <w:highlight w:val="none"/>
              </w:rPr>
            </w:pPr>
          </w:p>
        </w:tc>
      </w:tr>
      <w:tr w14:paraId="2D858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53A97EE5">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w:t>
            </w:r>
          </w:p>
        </w:tc>
        <w:tc>
          <w:tcPr>
            <w:tcW w:w="3465" w:type="dxa"/>
            <w:vAlign w:val="center"/>
          </w:tcPr>
          <w:p w14:paraId="41A7F752">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变电设施维护</w:t>
            </w:r>
          </w:p>
        </w:tc>
        <w:tc>
          <w:tcPr>
            <w:tcW w:w="751" w:type="dxa"/>
            <w:vAlign w:val="center"/>
          </w:tcPr>
          <w:p w14:paraId="312AA920">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2CFB24F7">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0DBA3AD9">
            <w:pPr>
              <w:widowControl/>
              <w:jc w:val="center"/>
              <w:textAlignment w:val="center"/>
              <w:rPr>
                <w:rFonts w:hint="eastAsia" w:ascii="宋体" w:hAnsi="宋体" w:cs="宋体"/>
                <w:color w:val="auto"/>
                <w:kern w:val="0"/>
                <w:sz w:val="22"/>
                <w:highlight w:val="none"/>
              </w:rPr>
            </w:pPr>
          </w:p>
        </w:tc>
        <w:tc>
          <w:tcPr>
            <w:tcW w:w="862" w:type="dxa"/>
            <w:vAlign w:val="center"/>
          </w:tcPr>
          <w:p w14:paraId="403D80D0">
            <w:pPr>
              <w:widowControl/>
              <w:jc w:val="center"/>
              <w:textAlignment w:val="center"/>
              <w:rPr>
                <w:rFonts w:hint="eastAsia" w:ascii="宋体" w:hAnsi="宋体" w:cs="宋体"/>
                <w:color w:val="auto"/>
                <w:kern w:val="0"/>
                <w:sz w:val="22"/>
                <w:highlight w:val="none"/>
              </w:rPr>
            </w:pPr>
          </w:p>
        </w:tc>
        <w:tc>
          <w:tcPr>
            <w:tcW w:w="2149" w:type="dxa"/>
            <w:vAlign w:val="center"/>
          </w:tcPr>
          <w:p w14:paraId="3CFCD0F6">
            <w:pPr>
              <w:widowControl/>
              <w:jc w:val="center"/>
              <w:textAlignment w:val="center"/>
              <w:rPr>
                <w:rFonts w:hint="eastAsia" w:ascii="宋体" w:hAnsi="宋体" w:cs="宋体"/>
                <w:color w:val="auto"/>
                <w:kern w:val="0"/>
                <w:sz w:val="22"/>
                <w:highlight w:val="none"/>
              </w:rPr>
            </w:pPr>
          </w:p>
        </w:tc>
      </w:tr>
      <w:tr w14:paraId="2CA1E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38" w:type="dxa"/>
            <w:vAlign w:val="center"/>
          </w:tcPr>
          <w:p w14:paraId="2586CCC0">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w:t>
            </w:r>
          </w:p>
        </w:tc>
        <w:tc>
          <w:tcPr>
            <w:tcW w:w="3465" w:type="dxa"/>
            <w:vAlign w:val="center"/>
          </w:tcPr>
          <w:p w14:paraId="3B80C4FF">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自动化控制系统</w:t>
            </w:r>
            <w:r>
              <w:rPr>
                <w:rFonts w:hint="eastAsia" w:ascii="宋体" w:hAnsi="宋体" w:cs="宋体"/>
                <w:color w:val="auto"/>
                <w:kern w:val="0"/>
                <w:sz w:val="22"/>
                <w:highlight w:val="none"/>
                <w:lang w:val="en-US" w:eastAsia="zh-CN"/>
              </w:rPr>
              <w:t>及</w:t>
            </w:r>
            <w:r>
              <w:rPr>
                <w:rFonts w:hint="eastAsia" w:ascii="宋体" w:hAnsi="宋体" w:cs="宋体"/>
                <w:color w:val="auto"/>
                <w:kern w:val="0"/>
                <w:sz w:val="22"/>
                <w:highlight w:val="none"/>
              </w:rPr>
              <w:t>信息化平台专业巡检维护</w:t>
            </w:r>
          </w:p>
        </w:tc>
        <w:tc>
          <w:tcPr>
            <w:tcW w:w="751" w:type="dxa"/>
            <w:vAlign w:val="center"/>
          </w:tcPr>
          <w:p w14:paraId="719BF03A">
            <w:pPr>
              <w:widowControl/>
              <w:jc w:val="center"/>
              <w:textAlignment w:val="center"/>
              <w:rPr>
                <w:rFonts w:hint="eastAsia" w:ascii="宋体" w:hAnsi="宋体" w:cs="宋体"/>
                <w:color w:val="auto"/>
                <w:kern w:val="0"/>
                <w:sz w:val="22"/>
                <w:highlight w:val="none"/>
              </w:rPr>
            </w:pPr>
          </w:p>
        </w:tc>
        <w:tc>
          <w:tcPr>
            <w:tcW w:w="651" w:type="dxa"/>
            <w:vAlign w:val="center"/>
          </w:tcPr>
          <w:p w14:paraId="366C50EA">
            <w:pPr>
              <w:widowControl/>
              <w:jc w:val="center"/>
              <w:textAlignment w:val="center"/>
              <w:rPr>
                <w:rFonts w:hint="eastAsia" w:ascii="宋体" w:hAnsi="宋体" w:cs="宋体"/>
                <w:color w:val="auto"/>
                <w:kern w:val="0"/>
                <w:sz w:val="22"/>
                <w:highlight w:val="none"/>
              </w:rPr>
            </w:pPr>
          </w:p>
        </w:tc>
        <w:tc>
          <w:tcPr>
            <w:tcW w:w="761" w:type="dxa"/>
            <w:vAlign w:val="center"/>
          </w:tcPr>
          <w:p w14:paraId="2C39ADC7">
            <w:pPr>
              <w:widowControl/>
              <w:jc w:val="center"/>
              <w:textAlignment w:val="center"/>
              <w:rPr>
                <w:rFonts w:hint="eastAsia" w:ascii="宋体" w:hAnsi="宋体" w:cs="宋体"/>
                <w:color w:val="auto"/>
                <w:kern w:val="0"/>
                <w:sz w:val="22"/>
                <w:highlight w:val="none"/>
              </w:rPr>
            </w:pPr>
          </w:p>
        </w:tc>
        <w:tc>
          <w:tcPr>
            <w:tcW w:w="862" w:type="dxa"/>
            <w:vAlign w:val="center"/>
          </w:tcPr>
          <w:p w14:paraId="110A2450">
            <w:pPr>
              <w:widowControl/>
              <w:jc w:val="center"/>
              <w:textAlignment w:val="center"/>
              <w:rPr>
                <w:rFonts w:hint="eastAsia" w:ascii="宋体" w:hAnsi="宋体" w:cs="宋体"/>
                <w:color w:val="auto"/>
                <w:kern w:val="0"/>
                <w:sz w:val="22"/>
                <w:highlight w:val="none"/>
              </w:rPr>
            </w:pPr>
          </w:p>
        </w:tc>
        <w:tc>
          <w:tcPr>
            <w:tcW w:w="2149" w:type="dxa"/>
            <w:vAlign w:val="center"/>
          </w:tcPr>
          <w:p w14:paraId="11B7DABE">
            <w:pPr>
              <w:widowControl/>
              <w:jc w:val="center"/>
              <w:textAlignment w:val="center"/>
              <w:rPr>
                <w:rFonts w:hint="eastAsia" w:ascii="宋体" w:hAnsi="宋体" w:cs="宋体"/>
                <w:color w:val="auto"/>
                <w:kern w:val="0"/>
                <w:sz w:val="22"/>
                <w:highlight w:val="none"/>
              </w:rPr>
            </w:pPr>
          </w:p>
        </w:tc>
      </w:tr>
      <w:tr w14:paraId="7B6E5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3595973A">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7.1</w:t>
            </w:r>
          </w:p>
        </w:tc>
        <w:tc>
          <w:tcPr>
            <w:tcW w:w="3465" w:type="dxa"/>
            <w:vAlign w:val="center"/>
          </w:tcPr>
          <w:p w14:paraId="1EAFE2F8">
            <w:pPr>
              <w:widowControl/>
              <w:jc w:val="center"/>
              <w:textAlignment w:val="center"/>
              <w:rPr>
                <w:rFonts w:hint="eastAsia" w:ascii="宋体" w:hAnsi="宋体" w:cs="宋体"/>
                <w:color w:val="auto"/>
                <w:kern w:val="0"/>
                <w:sz w:val="22"/>
                <w:highlight w:val="none"/>
              </w:rPr>
            </w:pPr>
            <w:r>
              <w:rPr>
                <w:rFonts w:hint="eastAsia" w:ascii="宋体" w:hAnsi="宋体" w:eastAsia="宋体" w:cs="宋体"/>
                <w:color w:val="auto"/>
                <w:sz w:val="24"/>
                <w:szCs w:val="24"/>
                <w:highlight w:val="none"/>
              </w:rPr>
              <w:t>自动化控制系统专业巡检维护</w:t>
            </w:r>
          </w:p>
        </w:tc>
        <w:tc>
          <w:tcPr>
            <w:tcW w:w="751" w:type="dxa"/>
            <w:vAlign w:val="center"/>
          </w:tcPr>
          <w:p w14:paraId="04C32E54">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6A4319BB">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359E956B">
            <w:pPr>
              <w:widowControl/>
              <w:jc w:val="center"/>
              <w:textAlignment w:val="center"/>
              <w:rPr>
                <w:rFonts w:hint="eastAsia" w:ascii="宋体" w:hAnsi="宋体" w:cs="宋体"/>
                <w:color w:val="auto"/>
                <w:kern w:val="0"/>
                <w:sz w:val="22"/>
                <w:highlight w:val="none"/>
              </w:rPr>
            </w:pPr>
          </w:p>
        </w:tc>
        <w:tc>
          <w:tcPr>
            <w:tcW w:w="862" w:type="dxa"/>
            <w:vAlign w:val="center"/>
          </w:tcPr>
          <w:p w14:paraId="04BECBFA">
            <w:pPr>
              <w:widowControl/>
              <w:jc w:val="center"/>
              <w:textAlignment w:val="center"/>
              <w:rPr>
                <w:rFonts w:hint="eastAsia" w:ascii="宋体" w:hAnsi="宋体" w:cs="宋体"/>
                <w:color w:val="auto"/>
                <w:kern w:val="0"/>
                <w:sz w:val="22"/>
                <w:highlight w:val="none"/>
              </w:rPr>
            </w:pPr>
          </w:p>
        </w:tc>
        <w:tc>
          <w:tcPr>
            <w:tcW w:w="2149" w:type="dxa"/>
            <w:vAlign w:val="center"/>
          </w:tcPr>
          <w:p w14:paraId="0F87C565">
            <w:pPr>
              <w:widowControl/>
              <w:jc w:val="center"/>
              <w:textAlignment w:val="center"/>
              <w:rPr>
                <w:rFonts w:hint="eastAsia" w:ascii="宋体" w:hAnsi="宋体" w:cs="宋体"/>
                <w:color w:val="auto"/>
                <w:kern w:val="0"/>
                <w:sz w:val="22"/>
                <w:highlight w:val="none"/>
              </w:rPr>
            </w:pPr>
          </w:p>
        </w:tc>
      </w:tr>
      <w:tr w14:paraId="04AF0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26D7DC69">
            <w:pPr>
              <w:widowControl/>
              <w:jc w:val="center"/>
              <w:textAlignment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7.2</w:t>
            </w:r>
          </w:p>
        </w:tc>
        <w:tc>
          <w:tcPr>
            <w:tcW w:w="3465" w:type="dxa"/>
            <w:vAlign w:val="center"/>
          </w:tcPr>
          <w:p w14:paraId="35785963">
            <w:pPr>
              <w:widowControl/>
              <w:jc w:val="center"/>
              <w:textAlignment w:val="center"/>
              <w:rPr>
                <w:rFonts w:hint="eastAsia" w:ascii="宋体" w:hAnsi="宋体" w:cs="宋体"/>
                <w:color w:val="auto"/>
                <w:kern w:val="0"/>
                <w:sz w:val="22"/>
                <w:highlight w:val="none"/>
              </w:rPr>
            </w:pPr>
            <w:r>
              <w:rPr>
                <w:rFonts w:hint="eastAsia" w:ascii="宋体" w:hAnsi="宋体" w:eastAsia="宋体" w:cs="宋体"/>
                <w:color w:val="auto"/>
                <w:sz w:val="24"/>
                <w:szCs w:val="24"/>
                <w:highlight w:val="none"/>
                <w:lang w:val="en-US" w:eastAsia="zh-CN"/>
              </w:rPr>
              <w:t>信息</w:t>
            </w:r>
            <w:r>
              <w:rPr>
                <w:rFonts w:hint="eastAsia" w:ascii="宋体" w:hAnsi="宋体" w:eastAsia="宋体" w:cs="宋体"/>
                <w:color w:val="auto"/>
                <w:sz w:val="24"/>
                <w:szCs w:val="24"/>
                <w:highlight w:val="none"/>
              </w:rPr>
              <w:t>化平台专业巡检维护</w:t>
            </w:r>
          </w:p>
        </w:tc>
        <w:tc>
          <w:tcPr>
            <w:tcW w:w="751" w:type="dxa"/>
            <w:vAlign w:val="center"/>
          </w:tcPr>
          <w:p w14:paraId="4F29A499">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009ED075">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012813F9">
            <w:pPr>
              <w:widowControl/>
              <w:jc w:val="center"/>
              <w:textAlignment w:val="center"/>
              <w:rPr>
                <w:rFonts w:hint="eastAsia" w:ascii="宋体" w:hAnsi="宋体" w:cs="宋体"/>
                <w:color w:val="auto"/>
                <w:kern w:val="0"/>
                <w:sz w:val="22"/>
                <w:highlight w:val="none"/>
              </w:rPr>
            </w:pPr>
          </w:p>
        </w:tc>
        <w:tc>
          <w:tcPr>
            <w:tcW w:w="862" w:type="dxa"/>
            <w:vAlign w:val="center"/>
          </w:tcPr>
          <w:p w14:paraId="210B8620">
            <w:pPr>
              <w:widowControl/>
              <w:jc w:val="center"/>
              <w:textAlignment w:val="center"/>
              <w:rPr>
                <w:rFonts w:hint="eastAsia" w:ascii="宋体" w:hAnsi="宋体" w:cs="宋体"/>
                <w:color w:val="auto"/>
                <w:kern w:val="0"/>
                <w:sz w:val="22"/>
                <w:highlight w:val="none"/>
              </w:rPr>
            </w:pPr>
          </w:p>
        </w:tc>
        <w:tc>
          <w:tcPr>
            <w:tcW w:w="2149" w:type="dxa"/>
            <w:vAlign w:val="center"/>
          </w:tcPr>
          <w:p w14:paraId="31A07E70">
            <w:pPr>
              <w:widowControl/>
              <w:jc w:val="center"/>
              <w:textAlignment w:val="center"/>
              <w:rPr>
                <w:rFonts w:hint="eastAsia" w:ascii="宋体" w:hAnsi="宋体" w:cs="宋体"/>
                <w:color w:val="auto"/>
                <w:kern w:val="0"/>
                <w:sz w:val="22"/>
                <w:highlight w:val="none"/>
              </w:rPr>
            </w:pPr>
          </w:p>
        </w:tc>
      </w:tr>
      <w:tr w14:paraId="4555F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3D169F42">
            <w:pPr>
              <w:widowControl/>
              <w:jc w:val="center"/>
              <w:textAlignment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7.3</w:t>
            </w:r>
          </w:p>
        </w:tc>
        <w:tc>
          <w:tcPr>
            <w:tcW w:w="3465" w:type="dxa"/>
            <w:vAlign w:val="center"/>
          </w:tcPr>
          <w:p w14:paraId="57ABD85F">
            <w:pPr>
              <w:widowControl/>
              <w:jc w:val="center"/>
              <w:textAlignment w:val="center"/>
              <w:rPr>
                <w:rFonts w:hint="eastAsia" w:ascii="宋体" w:hAnsi="宋体" w:cs="宋体"/>
                <w:color w:val="auto"/>
                <w:kern w:val="0"/>
                <w:sz w:val="22"/>
                <w:highlight w:val="none"/>
              </w:rPr>
            </w:pPr>
            <w:r>
              <w:rPr>
                <w:rFonts w:hint="eastAsia" w:ascii="宋体" w:hAnsi="宋体" w:eastAsia="宋体" w:cs="宋体"/>
                <w:color w:val="auto"/>
                <w:sz w:val="24"/>
                <w:szCs w:val="24"/>
                <w:highlight w:val="none"/>
              </w:rPr>
              <w:t>一体化平台网络安全等保测评</w:t>
            </w:r>
          </w:p>
        </w:tc>
        <w:tc>
          <w:tcPr>
            <w:tcW w:w="751" w:type="dxa"/>
            <w:vAlign w:val="center"/>
          </w:tcPr>
          <w:p w14:paraId="08B06E3A">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192B1B11">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0061C1E7">
            <w:pPr>
              <w:widowControl/>
              <w:jc w:val="center"/>
              <w:textAlignment w:val="center"/>
              <w:rPr>
                <w:rFonts w:hint="eastAsia" w:ascii="宋体" w:hAnsi="宋体" w:cs="宋体"/>
                <w:color w:val="auto"/>
                <w:kern w:val="0"/>
                <w:sz w:val="22"/>
                <w:highlight w:val="none"/>
              </w:rPr>
            </w:pPr>
          </w:p>
        </w:tc>
        <w:tc>
          <w:tcPr>
            <w:tcW w:w="862" w:type="dxa"/>
            <w:vAlign w:val="center"/>
          </w:tcPr>
          <w:p w14:paraId="00E0F26F">
            <w:pPr>
              <w:widowControl/>
              <w:jc w:val="center"/>
              <w:textAlignment w:val="center"/>
              <w:rPr>
                <w:rFonts w:hint="eastAsia" w:ascii="宋体" w:hAnsi="宋体" w:cs="宋体"/>
                <w:color w:val="auto"/>
                <w:kern w:val="0"/>
                <w:sz w:val="22"/>
                <w:highlight w:val="none"/>
              </w:rPr>
            </w:pPr>
          </w:p>
        </w:tc>
        <w:tc>
          <w:tcPr>
            <w:tcW w:w="2149" w:type="dxa"/>
            <w:vAlign w:val="center"/>
          </w:tcPr>
          <w:p w14:paraId="5F1B10CD">
            <w:pPr>
              <w:widowControl/>
              <w:jc w:val="center"/>
              <w:textAlignment w:val="center"/>
              <w:rPr>
                <w:rFonts w:hint="eastAsia" w:ascii="宋体" w:hAnsi="宋体" w:cs="宋体"/>
                <w:color w:val="auto"/>
                <w:kern w:val="0"/>
                <w:sz w:val="22"/>
                <w:highlight w:val="none"/>
              </w:rPr>
            </w:pPr>
          </w:p>
        </w:tc>
      </w:tr>
      <w:tr w14:paraId="2A222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006E0787">
            <w:pPr>
              <w:widowControl/>
              <w:jc w:val="center"/>
              <w:textAlignment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7.4</w:t>
            </w:r>
          </w:p>
        </w:tc>
        <w:tc>
          <w:tcPr>
            <w:tcW w:w="3465" w:type="dxa"/>
            <w:vAlign w:val="center"/>
          </w:tcPr>
          <w:p w14:paraId="233D2CE9">
            <w:pPr>
              <w:widowControl/>
              <w:jc w:val="center"/>
              <w:textAlignment w:val="center"/>
              <w:rPr>
                <w:rFonts w:hint="eastAsia" w:ascii="宋体" w:hAnsi="宋体" w:cs="宋体"/>
                <w:color w:val="auto"/>
                <w:kern w:val="0"/>
                <w:sz w:val="22"/>
                <w:highlight w:val="none"/>
              </w:rPr>
            </w:pPr>
            <w:r>
              <w:rPr>
                <w:rFonts w:hint="eastAsia" w:ascii="宋体" w:hAnsi="宋体" w:eastAsia="宋体" w:cs="宋体"/>
                <w:color w:val="auto"/>
                <w:sz w:val="24"/>
                <w:szCs w:val="24"/>
                <w:highlight w:val="none"/>
              </w:rPr>
              <w:t>安防运行维护及网络安全服务</w:t>
            </w:r>
          </w:p>
        </w:tc>
        <w:tc>
          <w:tcPr>
            <w:tcW w:w="751" w:type="dxa"/>
            <w:vAlign w:val="center"/>
          </w:tcPr>
          <w:p w14:paraId="31A2187D">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6C207267">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4568091F">
            <w:pPr>
              <w:widowControl/>
              <w:jc w:val="center"/>
              <w:textAlignment w:val="center"/>
              <w:rPr>
                <w:rFonts w:hint="eastAsia" w:ascii="宋体" w:hAnsi="宋体" w:cs="宋体"/>
                <w:color w:val="auto"/>
                <w:kern w:val="0"/>
                <w:sz w:val="22"/>
                <w:highlight w:val="none"/>
              </w:rPr>
            </w:pPr>
          </w:p>
        </w:tc>
        <w:tc>
          <w:tcPr>
            <w:tcW w:w="862" w:type="dxa"/>
            <w:vAlign w:val="center"/>
          </w:tcPr>
          <w:p w14:paraId="44AA2781">
            <w:pPr>
              <w:widowControl/>
              <w:jc w:val="center"/>
              <w:textAlignment w:val="center"/>
              <w:rPr>
                <w:rFonts w:hint="eastAsia" w:ascii="宋体" w:hAnsi="宋体" w:cs="宋体"/>
                <w:color w:val="auto"/>
                <w:kern w:val="0"/>
                <w:sz w:val="22"/>
                <w:highlight w:val="none"/>
              </w:rPr>
            </w:pPr>
          </w:p>
        </w:tc>
        <w:tc>
          <w:tcPr>
            <w:tcW w:w="2149" w:type="dxa"/>
            <w:vAlign w:val="center"/>
          </w:tcPr>
          <w:p w14:paraId="77F07569">
            <w:pPr>
              <w:widowControl/>
              <w:jc w:val="center"/>
              <w:textAlignment w:val="center"/>
              <w:rPr>
                <w:rFonts w:hint="eastAsia" w:ascii="宋体" w:hAnsi="宋体" w:cs="宋体"/>
                <w:color w:val="auto"/>
                <w:kern w:val="0"/>
                <w:sz w:val="22"/>
                <w:highlight w:val="none"/>
              </w:rPr>
            </w:pPr>
          </w:p>
        </w:tc>
      </w:tr>
      <w:tr w14:paraId="2570E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38" w:type="dxa"/>
            <w:vAlign w:val="center"/>
          </w:tcPr>
          <w:p w14:paraId="4304F738">
            <w:pPr>
              <w:widowControl/>
              <w:jc w:val="center"/>
              <w:textAlignment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三</w:t>
            </w:r>
          </w:p>
        </w:tc>
        <w:tc>
          <w:tcPr>
            <w:tcW w:w="3465" w:type="dxa"/>
            <w:vAlign w:val="center"/>
          </w:tcPr>
          <w:p w14:paraId="18FF2D90">
            <w:pPr>
              <w:widowControl/>
              <w:jc w:val="center"/>
              <w:textAlignment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室外环境养护</w:t>
            </w:r>
          </w:p>
        </w:tc>
        <w:tc>
          <w:tcPr>
            <w:tcW w:w="751" w:type="dxa"/>
            <w:vAlign w:val="center"/>
          </w:tcPr>
          <w:p w14:paraId="7B40FA5E">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项</w:t>
            </w:r>
          </w:p>
        </w:tc>
        <w:tc>
          <w:tcPr>
            <w:tcW w:w="651" w:type="dxa"/>
            <w:vAlign w:val="center"/>
          </w:tcPr>
          <w:p w14:paraId="6A628C15">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61" w:type="dxa"/>
            <w:vAlign w:val="center"/>
          </w:tcPr>
          <w:p w14:paraId="2DC668FE">
            <w:pPr>
              <w:widowControl/>
              <w:jc w:val="center"/>
              <w:textAlignment w:val="center"/>
              <w:rPr>
                <w:rFonts w:hint="eastAsia" w:ascii="宋体" w:hAnsi="宋体" w:cs="宋体"/>
                <w:color w:val="auto"/>
                <w:kern w:val="0"/>
                <w:sz w:val="22"/>
                <w:highlight w:val="none"/>
              </w:rPr>
            </w:pPr>
          </w:p>
        </w:tc>
        <w:tc>
          <w:tcPr>
            <w:tcW w:w="862" w:type="dxa"/>
            <w:vAlign w:val="center"/>
          </w:tcPr>
          <w:p w14:paraId="046EA02C">
            <w:pPr>
              <w:widowControl/>
              <w:jc w:val="center"/>
              <w:textAlignment w:val="center"/>
              <w:rPr>
                <w:rFonts w:hint="eastAsia" w:ascii="宋体" w:hAnsi="宋体" w:cs="宋体"/>
                <w:color w:val="auto"/>
                <w:kern w:val="0"/>
                <w:sz w:val="22"/>
                <w:highlight w:val="none"/>
              </w:rPr>
            </w:pPr>
          </w:p>
        </w:tc>
        <w:tc>
          <w:tcPr>
            <w:tcW w:w="2149" w:type="dxa"/>
            <w:vAlign w:val="center"/>
          </w:tcPr>
          <w:p w14:paraId="23CE8679">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最高</w:t>
            </w:r>
            <w:r>
              <w:rPr>
                <w:rFonts w:hint="eastAsia" w:ascii="宋体" w:hAnsi="宋体" w:cs="宋体"/>
                <w:color w:val="auto"/>
                <w:kern w:val="0"/>
                <w:sz w:val="22"/>
                <w:highlight w:val="none"/>
              </w:rPr>
              <w:t>限价2</w:t>
            </w:r>
            <w:r>
              <w:rPr>
                <w:rFonts w:hint="eastAsia" w:ascii="宋体" w:hAnsi="宋体" w:cs="宋体"/>
                <w:color w:val="auto"/>
                <w:kern w:val="0"/>
                <w:sz w:val="22"/>
                <w:highlight w:val="none"/>
                <w:lang w:val="en-US" w:eastAsia="zh-CN"/>
              </w:rPr>
              <w:t>40</w:t>
            </w:r>
            <w:r>
              <w:rPr>
                <w:rFonts w:hint="eastAsia" w:ascii="宋体" w:hAnsi="宋体" w:cs="宋体"/>
                <w:color w:val="auto"/>
                <w:kern w:val="0"/>
                <w:sz w:val="22"/>
                <w:highlight w:val="none"/>
              </w:rPr>
              <w:t>0000元</w:t>
            </w:r>
          </w:p>
        </w:tc>
      </w:tr>
      <w:tr w14:paraId="1D712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38" w:type="dxa"/>
            <w:vAlign w:val="center"/>
          </w:tcPr>
          <w:p w14:paraId="605F58C5">
            <w:pPr>
              <w:widowControl/>
              <w:jc w:val="center"/>
              <w:textAlignment w:val="center"/>
              <w:rPr>
                <w:rFonts w:hint="eastAsia" w:ascii="宋体" w:hAnsi="宋体" w:cs="宋体"/>
                <w:b/>
                <w:bCs/>
                <w:color w:val="auto"/>
                <w:highlight w:val="none"/>
              </w:rPr>
            </w:pPr>
            <w:r>
              <w:rPr>
                <w:rFonts w:hint="eastAsia" w:ascii="宋体" w:hAnsi="宋体" w:cs="宋体"/>
                <w:color w:val="auto"/>
                <w:kern w:val="0"/>
                <w:sz w:val="24"/>
                <w:szCs w:val="24"/>
                <w:highlight w:val="none"/>
              </w:rPr>
              <w:t>四</w:t>
            </w:r>
          </w:p>
        </w:tc>
        <w:tc>
          <w:tcPr>
            <w:tcW w:w="3465" w:type="dxa"/>
            <w:vAlign w:val="center"/>
          </w:tcPr>
          <w:p w14:paraId="09C40B20">
            <w:pPr>
              <w:widowControl/>
              <w:jc w:val="center"/>
              <w:textAlignment w:val="center"/>
              <w:rPr>
                <w:rFonts w:hint="eastAsia" w:ascii="宋体" w:hAnsi="宋体" w:cs="宋体"/>
                <w:color w:val="auto"/>
                <w:kern w:val="0"/>
                <w:sz w:val="22"/>
                <w:highlight w:val="none"/>
              </w:rPr>
            </w:pPr>
            <w:r>
              <w:rPr>
                <w:rFonts w:hint="eastAsia" w:ascii="宋体" w:hAnsi="宋体" w:cs="宋体"/>
                <w:color w:val="auto"/>
                <w:kern w:val="0"/>
                <w:sz w:val="22"/>
                <w:highlight w:val="none"/>
              </w:rPr>
              <w:t>合计</w:t>
            </w:r>
          </w:p>
        </w:tc>
        <w:tc>
          <w:tcPr>
            <w:tcW w:w="751" w:type="dxa"/>
            <w:vAlign w:val="center"/>
          </w:tcPr>
          <w:p w14:paraId="79A6F793">
            <w:pPr>
              <w:widowControl/>
              <w:jc w:val="center"/>
              <w:textAlignment w:val="center"/>
              <w:rPr>
                <w:rFonts w:hint="eastAsia" w:ascii="宋体" w:hAnsi="宋体" w:cs="宋体"/>
                <w:color w:val="auto"/>
                <w:kern w:val="0"/>
                <w:sz w:val="22"/>
                <w:highlight w:val="none"/>
              </w:rPr>
            </w:pPr>
          </w:p>
        </w:tc>
        <w:tc>
          <w:tcPr>
            <w:tcW w:w="651" w:type="dxa"/>
            <w:vAlign w:val="center"/>
          </w:tcPr>
          <w:p w14:paraId="7E892316">
            <w:pPr>
              <w:widowControl/>
              <w:jc w:val="center"/>
              <w:textAlignment w:val="center"/>
              <w:rPr>
                <w:rFonts w:hint="eastAsia" w:ascii="宋体" w:hAnsi="宋体" w:cs="宋体"/>
                <w:color w:val="auto"/>
                <w:kern w:val="0"/>
                <w:sz w:val="22"/>
                <w:highlight w:val="none"/>
              </w:rPr>
            </w:pPr>
          </w:p>
        </w:tc>
        <w:tc>
          <w:tcPr>
            <w:tcW w:w="761" w:type="dxa"/>
            <w:vAlign w:val="center"/>
          </w:tcPr>
          <w:p w14:paraId="35326783">
            <w:pPr>
              <w:widowControl/>
              <w:jc w:val="center"/>
              <w:textAlignment w:val="center"/>
              <w:rPr>
                <w:rFonts w:hint="eastAsia" w:ascii="宋体" w:hAnsi="宋体" w:cs="宋体"/>
                <w:color w:val="auto"/>
                <w:kern w:val="0"/>
                <w:sz w:val="22"/>
                <w:highlight w:val="none"/>
              </w:rPr>
            </w:pPr>
          </w:p>
        </w:tc>
        <w:tc>
          <w:tcPr>
            <w:tcW w:w="862" w:type="dxa"/>
            <w:vAlign w:val="center"/>
          </w:tcPr>
          <w:p w14:paraId="6981647C">
            <w:pPr>
              <w:widowControl/>
              <w:jc w:val="center"/>
              <w:textAlignment w:val="center"/>
              <w:rPr>
                <w:rFonts w:hint="eastAsia" w:ascii="宋体" w:hAnsi="宋体" w:cs="宋体"/>
                <w:color w:val="auto"/>
                <w:kern w:val="0"/>
                <w:sz w:val="22"/>
                <w:highlight w:val="none"/>
              </w:rPr>
            </w:pPr>
          </w:p>
        </w:tc>
        <w:tc>
          <w:tcPr>
            <w:tcW w:w="2149" w:type="dxa"/>
            <w:vAlign w:val="center"/>
          </w:tcPr>
          <w:p w14:paraId="217B04D1">
            <w:pPr>
              <w:widowControl/>
              <w:jc w:val="center"/>
              <w:textAlignment w:val="center"/>
              <w:rPr>
                <w:rFonts w:hint="eastAsia" w:ascii="宋体" w:hAnsi="宋体" w:cs="宋体"/>
                <w:color w:val="auto"/>
                <w:kern w:val="0"/>
                <w:sz w:val="22"/>
                <w:highlight w:val="none"/>
              </w:rPr>
            </w:pPr>
          </w:p>
        </w:tc>
      </w:tr>
    </w:tbl>
    <w:p w14:paraId="0761935D">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7AD2CF4">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21B88DC">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215BEA31">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5B86327F">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796DDA8F">
      <w:pPr>
        <w:pStyle w:val="46"/>
        <w:keepNext w:val="0"/>
        <w:pageBreakBefore w:val="0"/>
        <w:tabs>
          <w:tab w:val="clear" w:pos="720"/>
        </w:tabs>
        <w:snapToGrid w:val="0"/>
        <w:spacing w:before="120" w:after="120"/>
        <w:outlineLvl w:val="2"/>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三、报价情况说明</w:t>
      </w:r>
      <w:r>
        <w:rPr>
          <w:rFonts w:hint="eastAsia" w:ascii="宋体" w:hAnsi="宋体" w:eastAsia="宋体" w:cs="宋体"/>
          <w:color w:val="auto"/>
          <w:sz w:val="32"/>
          <w:szCs w:val="32"/>
          <w:highlight w:val="none"/>
        </w:rPr>
        <w:t>（如果有）</w:t>
      </w:r>
    </w:p>
    <w:p w14:paraId="10901FE1">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0A1C27F7">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5C3085AE">
      <w:pPr>
        <w:pStyle w:val="4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57E1C1FF">
      <w:pPr>
        <w:pStyle w:val="46"/>
        <w:keepNext w:val="0"/>
        <w:pageBreakBefore w:val="0"/>
        <w:tabs>
          <w:tab w:val="clear" w:pos="720"/>
        </w:tabs>
        <w:snapToGrid w:val="0"/>
        <w:spacing w:before="120" w:after="120"/>
        <w:outlineLvl w:val="2"/>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四、中小企业声明函（如果有）</w:t>
      </w:r>
    </w:p>
    <w:p w14:paraId="33C417AD">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42DB1D6">
      <w:pPr>
        <w:spacing w:line="360" w:lineRule="auto"/>
        <w:ind w:right="420" w:firstLine="3614" w:firstLineChars="1000"/>
        <w:rPr>
          <w:rFonts w:hint="eastAsia" w:ascii="宋体" w:hAnsi="宋体" w:cs="宋体"/>
          <w:b/>
          <w:color w:val="auto"/>
          <w:kern w:val="0"/>
          <w:sz w:val="36"/>
          <w:szCs w:val="36"/>
          <w:highlight w:val="none"/>
        </w:rPr>
      </w:pPr>
    </w:p>
    <w:p w14:paraId="08860183">
      <w:pPr>
        <w:pStyle w:val="10"/>
        <w:rPr>
          <w:rFonts w:hint="eastAsia" w:ascii="宋体" w:hAnsi="宋体" w:cs="宋体"/>
          <w:b/>
          <w:color w:val="auto"/>
          <w:kern w:val="0"/>
          <w:sz w:val="36"/>
          <w:szCs w:val="36"/>
          <w:highlight w:val="none"/>
        </w:rPr>
      </w:pPr>
    </w:p>
    <w:p w14:paraId="0530653A">
      <w:pPr>
        <w:pStyle w:val="19"/>
        <w:rPr>
          <w:rFonts w:hint="eastAsia" w:ascii="宋体" w:hAnsi="宋体" w:cs="宋体"/>
          <w:b/>
          <w:color w:val="auto"/>
          <w:kern w:val="0"/>
          <w:sz w:val="36"/>
          <w:szCs w:val="36"/>
          <w:highlight w:val="none"/>
        </w:rPr>
      </w:pPr>
    </w:p>
    <w:p w14:paraId="2B0D6A19">
      <w:pPr>
        <w:rPr>
          <w:rFonts w:hint="eastAsia" w:ascii="宋体" w:hAnsi="宋体" w:cs="宋体"/>
          <w:b/>
          <w:color w:val="auto"/>
          <w:kern w:val="0"/>
          <w:sz w:val="36"/>
          <w:szCs w:val="36"/>
          <w:highlight w:val="none"/>
        </w:rPr>
      </w:pPr>
    </w:p>
    <w:p w14:paraId="5DB8CB72">
      <w:pPr>
        <w:pStyle w:val="10"/>
        <w:rPr>
          <w:rFonts w:hint="eastAsia" w:ascii="宋体" w:hAnsi="宋体" w:cs="宋体"/>
          <w:b/>
          <w:color w:val="auto"/>
          <w:kern w:val="0"/>
          <w:sz w:val="36"/>
          <w:szCs w:val="36"/>
          <w:highlight w:val="none"/>
        </w:rPr>
      </w:pPr>
    </w:p>
    <w:p w14:paraId="43E61216">
      <w:pPr>
        <w:pStyle w:val="19"/>
        <w:rPr>
          <w:rFonts w:hint="eastAsia" w:ascii="宋体" w:hAnsi="宋体" w:cs="宋体"/>
          <w:b/>
          <w:color w:val="auto"/>
          <w:kern w:val="0"/>
          <w:sz w:val="36"/>
          <w:szCs w:val="36"/>
          <w:highlight w:val="none"/>
        </w:rPr>
      </w:pPr>
    </w:p>
    <w:p w14:paraId="2D4236DD">
      <w:pPr>
        <w:rPr>
          <w:rFonts w:hint="eastAsia" w:ascii="宋体" w:hAnsi="宋体" w:cs="宋体"/>
          <w:b/>
          <w:color w:val="auto"/>
          <w:kern w:val="0"/>
          <w:sz w:val="36"/>
          <w:szCs w:val="36"/>
          <w:highlight w:val="none"/>
        </w:rPr>
      </w:pPr>
    </w:p>
    <w:p w14:paraId="2EFBAF42">
      <w:pPr>
        <w:pStyle w:val="10"/>
        <w:rPr>
          <w:rFonts w:hint="eastAsia"/>
          <w:color w:val="auto"/>
          <w:highlight w:val="none"/>
        </w:rPr>
      </w:pPr>
    </w:p>
    <w:p w14:paraId="3FFEB84B">
      <w:pPr>
        <w:rPr>
          <w:rFonts w:hint="eastAsia" w:ascii="宋体" w:hAnsi="宋体"/>
          <w:color w:val="auto"/>
          <w:highlight w:val="none"/>
        </w:rPr>
      </w:pPr>
    </w:p>
    <w:p w14:paraId="6776ECEE">
      <w:pPr>
        <w:rPr>
          <w:rFonts w:hint="eastAsia" w:ascii="宋体" w:hAnsi="宋体"/>
          <w:color w:val="auto"/>
          <w:highlight w:val="none"/>
        </w:rPr>
      </w:pPr>
    </w:p>
    <w:p w14:paraId="03187D58">
      <w:pPr>
        <w:rPr>
          <w:color w:val="auto"/>
          <w:highlight w:val="none"/>
        </w:rPr>
      </w:pPr>
    </w:p>
    <w:p w14:paraId="151CAAD5">
      <w:pPr>
        <w:rPr>
          <w:rFonts w:hint="eastAsia" w:ascii="宋体" w:hAnsi="宋体" w:eastAsia="宋体"/>
          <w:color w:val="auto"/>
          <w:highlight w:val="none"/>
        </w:rPr>
      </w:pPr>
      <w:r>
        <w:rPr>
          <w:rFonts w:hint="eastAsia" w:ascii="宋体" w:hAnsi="宋体" w:eastAsia="宋体"/>
          <w:color w:val="auto"/>
          <w:highlight w:val="none"/>
        </w:rPr>
        <w:br w:type="page"/>
      </w:r>
    </w:p>
    <w:p w14:paraId="2E405235">
      <w:pPr>
        <w:pStyle w:val="4"/>
        <w:ind w:left="0"/>
        <w:rPr>
          <w:rFonts w:hint="eastAsia" w:ascii="宋体" w:hAnsi="宋体" w:eastAsia="宋体"/>
          <w:color w:val="auto"/>
          <w:highlight w:val="none"/>
        </w:rPr>
      </w:pPr>
      <w:r>
        <w:rPr>
          <w:rFonts w:hint="eastAsia" w:ascii="宋体" w:hAnsi="宋体" w:eastAsia="宋体"/>
          <w:color w:val="auto"/>
          <w:highlight w:val="none"/>
        </w:rPr>
        <w:t>附件</w:t>
      </w:r>
    </w:p>
    <w:p w14:paraId="05F66DFD">
      <w:pPr>
        <w:pStyle w:val="5"/>
        <w:rPr>
          <w:rFonts w:hint="eastAsia" w:ascii="宋体" w:hAnsi="宋体" w:eastAsia="宋体" w:cs="宋体"/>
          <w:color w:val="auto"/>
          <w:spacing w:val="6"/>
          <w:sz w:val="32"/>
          <w:szCs w:val="32"/>
          <w:highlight w:val="none"/>
        </w:rPr>
      </w:pPr>
      <w:r>
        <w:rPr>
          <w:rFonts w:hint="eastAsia" w:ascii="宋体" w:hAnsi="宋体" w:eastAsia="宋体" w:cs="宋体"/>
          <w:color w:val="auto"/>
          <w:spacing w:val="6"/>
          <w:sz w:val="32"/>
          <w:szCs w:val="32"/>
          <w:highlight w:val="none"/>
        </w:rPr>
        <w:t>附件1：残疾人福利性单位声明函</w:t>
      </w:r>
    </w:p>
    <w:p w14:paraId="01ECD2D0">
      <w:pPr>
        <w:spacing w:line="360" w:lineRule="auto"/>
        <w:jc w:val="center"/>
        <w:rPr>
          <w:rFonts w:hint="eastAsia" w:ascii="宋体" w:hAnsi="宋体" w:cs="宋体"/>
          <w:b/>
          <w:color w:val="auto"/>
          <w:spacing w:val="6"/>
          <w:sz w:val="32"/>
          <w:szCs w:val="32"/>
          <w:highlight w:val="none"/>
        </w:rPr>
      </w:pPr>
      <w:bookmarkStart w:id="458" w:name="OLE_LINK13"/>
      <w:bookmarkStart w:id="459" w:name="OLE_LINK14"/>
      <w:r>
        <w:rPr>
          <w:rFonts w:hint="eastAsia" w:ascii="宋体" w:hAnsi="宋体" w:cs="宋体"/>
          <w:b/>
          <w:color w:val="auto"/>
          <w:spacing w:val="6"/>
          <w:sz w:val="32"/>
          <w:szCs w:val="32"/>
          <w:highlight w:val="none"/>
        </w:rPr>
        <w:t>残疾人福利性单位声明函</w:t>
      </w:r>
    </w:p>
    <w:bookmarkEnd w:id="458"/>
    <w:bookmarkEnd w:id="459"/>
    <w:p w14:paraId="1E2520D0">
      <w:pPr>
        <w:spacing w:line="360" w:lineRule="auto"/>
        <w:rPr>
          <w:rFonts w:hint="eastAsia" w:ascii="宋体" w:hAnsi="宋体" w:cs="宋体"/>
          <w:b/>
          <w:color w:val="auto"/>
          <w:spacing w:val="6"/>
          <w:sz w:val="30"/>
          <w:szCs w:val="30"/>
          <w:highlight w:val="none"/>
        </w:rPr>
      </w:pPr>
    </w:p>
    <w:p w14:paraId="5F51E9E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rPr>
        <w:t xml:space="preserve"> 杭州市南排工程建设管理服务中心（杭州市水利科普馆） </w:t>
      </w:r>
      <w:r>
        <w:rPr>
          <w:rFonts w:hint="eastAsia" w:ascii="宋体" w:hAnsi="宋体" w:cs="宋体"/>
          <w:color w:val="auto"/>
          <w:sz w:val="24"/>
          <w:highlight w:val="none"/>
        </w:rPr>
        <w:t>的</w:t>
      </w:r>
      <w:r>
        <w:rPr>
          <w:rFonts w:hint="eastAsia" w:ascii="宋体" w:hAnsi="宋体" w:cs="宋体"/>
          <w:color w:val="auto"/>
          <w:sz w:val="24"/>
          <w:highlight w:val="none"/>
          <w:u w:val="single"/>
          <w:lang w:eastAsia="zh-CN"/>
        </w:rPr>
        <w:t>八堡排水泵站运行和日常维修养护项目</w:t>
      </w:r>
      <w:r>
        <w:rPr>
          <w:rFonts w:hint="eastAsia" w:ascii="宋体" w:hAnsi="宋体" w:cs="宋体"/>
          <w:color w:val="auto"/>
          <w:sz w:val="24"/>
          <w:highlight w:val="none"/>
        </w:rPr>
        <w:t>采购活动提供本单位制造的货物（由本单位承担工程/提供服务），或者提供其他残疾人福利性单位制造的货物（不包括使用非残疾人福利性单位注册商标的货物）。</w:t>
      </w:r>
    </w:p>
    <w:p w14:paraId="6574E8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A72C620">
      <w:pPr>
        <w:spacing w:line="360" w:lineRule="auto"/>
        <w:ind w:firstLine="480" w:firstLineChars="200"/>
        <w:rPr>
          <w:rFonts w:hint="eastAsia" w:ascii="宋体" w:hAnsi="宋体" w:cs="宋体"/>
          <w:color w:val="auto"/>
          <w:sz w:val="24"/>
          <w:highlight w:val="none"/>
        </w:rPr>
      </w:pPr>
    </w:p>
    <w:p w14:paraId="5479214E">
      <w:pPr>
        <w:spacing w:line="360" w:lineRule="auto"/>
        <w:ind w:firstLine="480" w:firstLineChars="200"/>
        <w:rPr>
          <w:rFonts w:hint="eastAsia" w:ascii="宋体" w:hAnsi="宋体" w:cs="宋体"/>
          <w:color w:val="auto"/>
          <w:sz w:val="24"/>
          <w:highlight w:val="none"/>
        </w:rPr>
      </w:pPr>
    </w:p>
    <w:p w14:paraId="44728984">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2BC6B49C">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    年   月   日</w:t>
      </w:r>
    </w:p>
    <w:p w14:paraId="023BAC0F">
      <w:pPr>
        <w:pStyle w:val="5"/>
        <w:rPr>
          <w:rFonts w:hint="eastAsia" w:ascii="宋体" w:hAnsi="宋体" w:eastAsia="宋体" w:cs="宋体"/>
          <w:b w:val="0"/>
          <w:color w:val="auto"/>
          <w:spacing w:val="6"/>
          <w:sz w:val="32"/>
          <w:szCs w:val="32"/>
          <w:highlight w:val="none"/>
        </w:rPr>
      </w:pPr>
      <w:r>
        <w:rPr>
          <w:rFonts w:hint="eastAsia" w:ascii="宋体" w:hAnsi="宋体" w:eastAsia="宋体" w:cs="宋体"/>
          <w:color w:val="auto"/>
          <w:spacing w:val="6"/>
          <w:sz w:val="32"/>
          <w:szCs w:val="32"/>
          <w:highlight w:val="none"/>
        </w:rPr>
        <w:t>附件2：质疑函范本及制作说明</w:t>
      </w:r>
    </w:p>
    <w:p w14:paraId="0D89E39D">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18D593ED">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F7A74C7">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01C8B7A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F26DF9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FD45BF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A7F616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30B3E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43974D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0E521C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398990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09613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B70377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0AF79AB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0555B4C6">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0CB08D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E2D813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A2A15EB">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199D5F5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ECE2B5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F6728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6740CE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56DB14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672CF1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6322068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2F4FDC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A5FC3F1">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17FE1AF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796C3DA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0C61F0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110A12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787E8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861F87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E35404">
      <w:pPr>
        <w:widowControl/>
        <w:spacing w:line="360" w:lineRule="auto"/>
        <w:ind w:firstLine="600" w:firstLineChars="200"/>
        <w:jc w:val="left"/>
        <w:rPr>
          <w:rFonts w:ascii="宋体" w:hAnsi="宋体" w:cs="宋体"/>
          <w:color w:val="auto"/>
          <w:sz w:val="30"/>
          <w:szCs w:val="30"/>
          <w:highlight w:val="none"/>
        </w:rPr>
      </w:pPr>
    </w:p>
    <w:p w14:paraId="7DD96783">
      <w:pPr>
        <w:spacing w:line="360" w:lineRule="auto"/>
        <w:jc w:val="center"/>
        <w:rPr>
          <w:rFonts w:ascii="宋体" w:hAnsi="宋体" w:cs="宋体"/>
          <w:b/>
          <w:color w:val="auto"/>
          <w:spacing w:val="6"/>
          <w:sz w:val="32"/>
          <w:szCs w:val="32"/>
          <w:highlight w:val="none"/>
        </w:rPr>
      </w:pPr>
    </w:p>
    <w:p w14:paraId="4796C07D">
      <w:pPr>
        <w:spacing w:line="360" w:lineRule="auto"/>
        <w:jc w:val="center"/>
        <w:rPr>
          <w:rFonts w:ascii="宋体" w:hAnsi="宋体" w:cs="宋体"/>
          <w:b/>
          <w:color w:val="auto"/>
          <w:spacing w:val="6"/>
          <w:sz w:val="32"/>
          <w:szCs w:val="32"/>
          <w:highlight w:val="none"/>
        </w:rPr>
      </w:pPr>
    </w:p>
    <w:p w14:paraId="34ABC162">
      <w:pPr>
        <w:spacing w:line="360" w:lineRule="auto"/>
        <w:jc w:val="center"/>
        <w:rPr>
          <w:rFonts w:ascii="宋体" w:hAnsi="宋体" w:cs="宋体"/>
          <w:b/>
          <w:color w:val="auto"/>
          <w:spacing w:val="6"/>
          <w:sz w:val="32"/>
          <w:szCs w:val="32"/>
          <w:highlight w:val="none"/>
        </w:rPr>
      </w:pPr>
    </w:p>
    <w:p w14:paraId="4D8C628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7E4EDDD9">
      <w:pPr>
        <w:spacing w:line="360" w:lineRule="auto"/>
        <w:jc w:val="center"/>
        <w:rPr>
          <w:rFonts w:ascii="宋体" w:hAnsi="宋体" w:cs="宋体"/>
          <w:b/>
          <w:color w:val="auto"/>
          <w:sz w:val="24"/>
          <w:highlight w:val="none"/>
        </w:rPr>
      </w:pPr>
    </w:p>
    <w:p w14:paraId="05942B32">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12C493C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A0C500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48D014B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6483F6B">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9375B93">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5F7162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97F4AEF">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3D5C1F56">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34F9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86B2A0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1D544D">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584F4C2F">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AE9790D">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C22ABC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2A23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8F3DD2">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3C5949A">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0683C5DA">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CDFC2D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235188D">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09F927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401EE8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0C3B546">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6D848F90">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F68C9D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2BD79D4">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561A8435">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D566C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D162C80">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9ED69F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A5AD91F">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91A149E">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DC5E9F8">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109CAD8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3F69D35">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E251556">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4B99AD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BB97F2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1C42003">
      <w:pPr>
        <w:spacing w:line="360" w:lineRule="auto"/>
        <w:rPr>
          <w:rFonts w:hint="eastAsia" w:ascii="宋体" w:hAnsi="宋体" w:cs="宋体"/>
          <w:b/>
          <w:color w:val="auto"/>
          <w:sz w:val="24"/>
          <w:highlight w:val="none"/>
        </w:rPr>
      </w:pPr>
    </w:p>
    <w:p w14:paraId="40AA60DE">
      <w:pPr>
        <w:spacing w:line="360" w:lineRule="auto"/>
        <w:rPr>
          <w:rFonts w:hint="eastAsia" w:ascii="宋体" w:hAnsi="宋体" w:cs="宋体"/>
          <w:b/>
          <w:color w:val="auto"/>
          <w:sz w:val="24"/>
          <w:highlight w:val="none"/>
        </w:rPr>
      </w:pPr>
    </w:p>
    <w:p w14:paraId="434D9D0F">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14:paraId="33A939E7">
      <w:pPr>
        <w:widowControl/>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1125C064">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22F72551">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1E708DF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29F98BE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6BE8FA8A">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31657EF">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92AAE65">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17DADC8C">
      <w:pPr>
        <w:pStyle w:val="5"/>
        <w:rPr>
          <w:rFonts w:hint="eastAsia" w:ascii="宋体" w:hAnsi="宋体" w:eastAsia="宋体" w:cs="宋体"/>
          <w:b w:val="0"/>
          <w:bCs/>
          <w:color w:val="auto"/>
          <w:sz w:val="32"/>
          <w:szCs w:val="32"/>
          <w:highlight w:val="none"/>
        </w:rPr>
      </w:pPr>
      <w:r>
        <w:rPr>
          <w:rFonts w:hint="eastAsia" w:ascii="宋体" w:hAnsi="宋体" w:eastAsia="宋体" w:cs="宋体"/>
          <w:color w:val="auto"/>
          <w:spacing w:val="6"/>
          <w:sz w:val="32"/>
          <w:szCs w:val="32"/>
          <w:highlight w:val="none"/>
        </w:rPr>
        <w:t>附件4：</w:t>
      </w:r>
      <w:r>
        <w:rPr>
          <w:rFonts w:hint="eastAsia" w:ascii="宋体" w:hAnsi="宋体" w:eastAsia="宋体" w:cs="宋体"/>
          <w:bCs/>
          <w:color w:val="auto"/>
          <w:sz w:val="32"/>
          <w:szCs w:val="32"/>
          <w:highlight w:val="none"/>
        </w:rPr>
        <w:t>业务专用章使用说明函</w:t>
      </w:r>
    </w:p>
    <w:p w14:paraId="5F046BAF">
      <w:pPr>
        <w:spacing w:line="360" w:lineRule="auto"/>
        <w:rPr>
          <w:rFonts w:hint="eastAsia" w:ascii="宋体" w:hAnsi="宋体" w:cs="宋体"/>
          <w:color w:val="auto"/>
          <w:sz w:val="24"/>
          <w:highlight w:val="none"/>
          <w:u w:val="single"/>
        </w:rPr>
      </w:pPr>
    </w:p>
    <w:p w14:paraId="31A79DF8">
      <w:pPr>
        <w:spacing w:line="360" w:lineRule="auto"/>
        <w:rPr>
          <w:rFonts w:hint="eastAsia" w:ascii="宋体" w:hAnsi="宋体" w:cs="宋体"/>
          <w:color w:val="auto"/>
          <w:sz w:val="24"/>
          <w:highlight w:val="none"/>
        </w:rPr>
      </w:pPr>
      <w:r>
        <w:rPr>
          <w:rFonts w:hint="eastAsia" w:ascii="宋体" w:hAnsi="宋体" w:cs="宋体"/>
          <w:color w:val="auto"/>
          <w:sz w:val="24"/>
          <w:highlight w:val="none"/>
        </w:rPr>
        <w:t>杭州市南排工程建设管理服务中心（杭州市水利科普馆）、浙江省建设工程设备招标有限公司：</w:t>
      </w:r>
    </w:p>
    <w:p w14:paraId="4C0D21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AB607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特此说明。</w:t>
      </w:r>
    </w:p>
    <w:p w14:paraId="66DCC8DC">
      <w:pPr>
        <w:spacing w:line="360" w:lineRule="auto"/>
        <w:ind w:firstLine="494"/>
        <w:rPr>
          <w:rFonts w:hint="eastAsia" w:ascii="宋体" w:hAnsi="宋体" w:cs="宋体"/>
          <w:color w:val="auto"/>
          <w:sz w:val="24"/>
          <w:highlight w:val="none"/>
        </w:rPr>
      </w:pPr>
    </w:p>
    <w:p w14:paraId="7EE6C7CD">
      <w:pPr>
        <w:spacing w:line="360" w:lineRule="auto"/>
        <w:ind w:firstLine="494"/>
        <w:rPr>
          <w:rFonts w:hint="eastAsia" w:ascii="宋体" w:hAnsi="宋体" w:cs="宋体"/>
          <w:color w:val="auto"/>
          <w:sz w:val="24"/>
          <w:highlight w:val="none"/>
        </w:rPr>
      </w:pPr>
    </w:p>
    <w:p w14:paraId="610BFA76">
      <w:pPr>
        <w:spacing w:line="360" w:lineRule="auto"/>
        <w:ind w:firstLine="494"/>
        <w:rPr>
          <w:rFonts w:hint="eastAsia" w:ascii="宋体" w:hAnsi="宋体" w:cs="宋体"/>
          <w:color w:val="auto"/>
          <w:sz w:val="24"/>
          <w:highlight w:val="none"/>
        </w:rPr>
      </w:pPr>
    </w:p>
    <w:p w14:paraId="5FA4AA86">
      <w:pPr>
        <w:spacing w:line="360" w:lineRule="auto"/>
        <w:ind w:firstLine="494"/>
        <w:rPr>
          <w:rFonts w:hint="eastAsia" w:ascii="宋体" w:hAnsi="宋体" w:cs="宋体"/>
          <w:color w:val="auto"/>
          <w:sz w:val="24"/>
          <w:highlight w:val="none"/>
        </w:rPr>
      </w:pPr>
    </w:p>
    <w:p w14:paraId="1BC6F615">
      <w:pPr>
        <w:spacing w:line="360" w:lineRule="auto"/>
        <w:ind w:right="480" w:firstLine="4560" w:firstLineChars="19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775E1A38">
      <w:pPr>
        <w:ind w:right="1440" w:firstLine="494"/>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60CCCB30">
      <w:pPr>
        <w:rPr>
          <w:rFonts w:hint="eastAsia" w:ascii="宋体" w:hAnsi="宋体" w:cs="宋体"/>
          <w:color w:val="auto"/>
          <w:sz w:val="24"/>
          <w:highlight w:val="none"/>
        </w:rPr>
      </w:pPr>
      <w:r>
        <w:rPr>
          <w:rFonts w:hint="eastAsia" w:ascii="宋体" w:hAnsi="宋体" w:cs="宋体"/>
          <w:b/>
          <w:bCs/>
          <w:color w:val="auto"/>
          <w:sz w:val="24"/>
          <w:highlight w:val="none"/>
        </w:rPr>
        <w:t>附：</w:t>
      </w:r>
    </w:p>
    <w:p w14:paraId="7C026135">
      <w:pPr>
        <w:spacing w:line="360" w:lineRule="auto"/>
        <w:rPr>
          <w:rFonts w:hint="eastAsia"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7564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238.9pt;margin-top:28.05pt;height:177.45pt;width:212.95pt;z-index:-25164083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HP+MHYAAAACgEAAA8AAAAA&#10;AAAAAQAgAAAAIgAAAGRycy9kb3ducmV2LnhtbFBLAQIUABQAAAAIAIdO4kCCNCKb2wEAANMDAAAO&#10;AAAAAAAAAAEAIAAAACcBAABkcnMvZTJvRG9jLnhtbFBLBQYAAAAABgAGAFkBAAB0BQAAAAA=&#10;">
                <v:fill on="t" focussize="0,0"/>
                <v:stroke color="#000000"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7667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7.2pt;margin-top:30.3pt;height:177.45pt;width:208.5pt;z-index:-25163980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07BY2AAAAAoBAAAPAAAA&#10;AAAAAAEAIAAAACIAAABkcnMvZG93bnJldi54bWxQSwECFAAUAAAACACHTuJAdGzyW9wBAADTAwAA&#10;DgAAAAAAAAABACAAAAAnAQAAZHJzL2Uyb0RvYy54bWxQSwUGAAAAAAYABgBZAQAAdQUAAAAA&#10;">
                <v:fill on="t" focussize="0,0"/>
                <v:stroke color="#000000"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0DC7DFAB">
      <w:pPr>
        <w:autoSpaceDE w:val="0"/>
        <w:autoSpaceDN w:val="0"/>
        <w:jc w:val="center"/>
        <w:rPr>
          <w:rFonts w:hint="eastAsia" w:ascii="宋体" w:hAnsi="宋体" w:cs="宋体"/>
          <w:b/>
          <w:color w:val="auto"/>
          <w:spacing w:val="6"/>
          <w:sz w:val="32"/>
          <w:szCs w:val="32"/>
          <w:highlight w:val="none"/>
        </w:rPr>
      </w:pPr>
    </w:p>
    <w:p w14:paraId="67A43205">
      <w:pPr>
        <w:autoSpaceDE w:val="0"/>
        <w:autoSpaceDN w:val="0"/>
        <w:jc w:val="center"/>
        <w:rPr>
          <w:rFonts w:hint="eastAsia" w:ascii="宋体" w:hAnsi="宋体" w:cs="宋体"/>
          <w:b/>
          <w:color w:val="auto"/>
          <w:spacing w:val="6"/>
          <w:sz w:val="32"/>
          <w:szCs w:val="32"/>
          <w:highlight w:val="none"/>
        </w:rPr>
      </w:pPr>
    </w:p>
    <w:p w14:paraId="54109DF5">
      <w:pPr>
        <w:autoSpaceDE w:val="0"/>
        <w:autoSpaceDN w:val="0"/>
        <w:jc w:val="center"/>
        <w:rPr>
          <w:rFonts w:hint="eastAsia" w:ascii="宋体" w:hAnsi="宋体" w:cs="宋体"/>
          <w:b/>
          <w:color w:val="auto"/>
          <w:spacing w:val="6"/>
          <w:sz w:val="32"/>
          <w:szCs w:val="32"/>
          <w:highlight w:val="none"/>
        </w:rPr>
      </w:pPr>
    </w:p>
    <w:p w14:paraId="3D4BE39E">
      <w:pPr>
        <w:autoSpaceDE w:val="0"/>
        <w:autoSpaceDN w:val="0"/>
        <w:jc w:val="center"/>
        <w:rPr>
          <w:rFonts w:hint="eastAsia" w:ascii="宋体" w:hAnsi="宋体" w:cs="宋体"/>
          <w:b/>
          <w:color w:val="auto"/>
          <w:spacing w:val="6"/>
          <w:sz w:val="32"/>
          <w:szCs w:val="32"/>
          <w:highlight w:val="none"/>
        </w:rPr>
      </w:pPr>
    </w:p>
    <w:p w14:paraId="12925A3E">
      <w:pPr>
        <w:autoSpaceDE w:val="0"/>
        <w:autoSpaceDN w:val="0"/>
        <w:jc w:val="center"/>
        <w:rPr>
          <w:rFonts w:hint="eastAsia" w:ascii="宋体" w:hAnsi="宋体" w:cs="宋体"/>
          <w:b/>
          <w:color w:val="auto"/>
          <w:spacing w:val="6"/>
          <w:sz w:val="32"/>
          <w:szCs w:val="32"/>
          <w:highlight w:val="none"/>
        </w:rPr>
      </w:pPr>
    </w:p>
    <w:p w14:paraId="78313FB5">
      <w:pPr>
        <w:autoSpaceDE w:val="0"/>
        <w:autoSpaceDN w:val="0"/>
        <w:jc w:val="center"/>
        <w:rPr>
          <w:rFonts w:hint="eastAsia" w:ascii="宋体" w:hAnsi="宋体" w:cs="宋体"/>
          <w:b/>
          <w:color w:val="auto"/>
          <w:spacing w:val="6"/>
          <w:sz w:val="32"/>
          <w:szCs w:val="32"/>
          <w:highlight w:val="none"/>
        </w:rPr>
      </w:pPr>
    </w:p>
    <w:p w14:paraId="5E9B490D">
      <w:pPr>
        <w:autoSpaceDE w:val="0"/>
        <w:autoSpaceDN w:val="0"/>
        <w:jc w:val="center"/>
        <w:rPr>
          <w:rFonts w:hint="eastAsia" w:ascii="宋体" w:hAnsi="宋体" w:cs="宋体"/>
          <w:b/>
          <w:color w:val="auto"/>
          <w:spacing w:val="6"/>
          <w:sz w:val="32"/>
          <w:szCs w:val="32"/>
          <w:highlight w:val="none"/>
        </w:rPr>
      </w:pPr>
    </w:p>
    <w:p w14:paraId="24DA8AA5">
      <w:pPr>
        <w:autoSpaceDE w:val="0"/>
        <w:autoSpaceDN w:val="0"/>
        <w:jc w:val="center"/>
        <w:rPr>
          <w:rFonts w:hint="eastAsia" w:ascii="宋体" w:hAnsi="宋体" w:cs="宋体"/>
          <w:b/>
          <w:color w:val="auto"/>
          <w:spacing w:val="6"/>
          <w:sz w:val="32"/>
          <w:szCs w:val="32"/>
          <w:highlight w:val="none"/>
        </w:rPr>
      </w:pPr>
    </w:p>
    <w:p w14:paraId="61EF87A8">
      <w:pPr>
        <w:autoSpaceDE w:val="0"/>
        <w:autoSpaceDN w:val="0"/>
        <w:jc w:val="center"/>
        <w:rPr>
          <w:rFonts w:hint="eastAsia" w:ascii="宋体" w:hAnsi="宋体" w:cs="宋体"/>
          <w:b/>
          <w:color w:val="auto"/>
          <w:spacing w:val="6"/>
          <w:sz w:val="32"/>
          <w:szCs w:val="32"/>
          <w:highlight w:val="none"/>
        </w:rPr>
      </w:pPr>
    </w:p>
    <w:p w14:paraId="7C792003">
      <w:pPr>
        <w:autoSpaceDE w:val="0"/>
        <w:autoSpaceDN w:val="0"/>
        <w:jc w:val="center"/>
        <w:rPr>
          <w:rFonts w:hint="eastAsia" w:ascii="宋体" w:hAnsi="宋体" w:cs="宋体"/>
          <w:b/>
          <w:color w:val="auto"/>
          <w:spacing w:val="6"/>
          <w:sz w:val="32"/>
          <w:szCs w:val="32"/>
          <w:highlight w:val="none"/>
        </w:rPr>
      </w:pPr>
    </w:p>
    <w:p w14:paraId="1AFC9445">
      <w:pPr>
        <w:autoSpaceDE w:val="0"/>
        <w:autoSpaceDN w:val="0"/>
        <w:jc w:val="center"/>
        <w:rPr>
          <w:rFonts w:hint="eastAsia" w:ascii="宋体" w:hAnsi="宋体" w:cs="宋体"/>
          <w:b/>
          <w:color w:val="auto"/>
          <w:spacing w:val="6"/>
          <w:sz w:val="32"/>
          <w:szCs w:val="32"/>
          <w:highlight w:val="none"/>
        </w:rPr>
      </w:pPr>
    </w:p>
    <w:p w14:paraId="604A05EC">
      <w:pPr>
        <w:autoSpaceDE w:val="0"/>
        <w:autoSpaceDN w:val="0"/>
        <w:rPr>
          <w:rFonts w:hint="eastAsia" w:ascii="宋体" w:hAnsi="宋体" w:cs="宋体"/>
          <w:b/>
          <w:color w:val="auto"/>
          <w:spacing w:val="6"/>
          <w:sz w:val="32"/>
          <w:szCs w:val="32"/>
          <w:highlight w:val="none"/>
        </w:rPr>
      </w:pPr>
    </w:p>
    <w:p w14:paraId="245D5104">
      <w:pPr>
        <w:autoSpaceDE w:val="0"/>
        <w:autoSpaceDN w:val="0"/>
        <w:jc w:val="center"/>
        <w:rPr>
          <w:rFonts w:hint="eastAsia" w:ascii="宋体" w:hAnsi="宋体" w:cs="宋体"/>
          <w:b/>
          <w:color w:val="auto"/>
          <w:spacing w:val="6"/>
          <w:sz w:val="32"/>
          <w:szCs w:val="32"/>
          <w:highlight w:val="none"/>
        </w:rPr>
      </w:pPr>
    </w:p>
    <w:p w14:paraId="30DAE29E">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45C39B51">
      <w:pPr>
        <w:pStyle w:val="5"/>
        <w:rPr>
          <w:rFonts w:hint="eastAsia" w:ascii="宋体" w:hAnsi="宋体" w:eastAsia="宋体" w:cs="宋体"/>
          <w:b w:val="0"/>
          <w:color w:val="auto"/>
          <w:kern w:val="0"/>
          <w:sz w:val="32"/>
          <w:szCs w:val="32"/>
          <w:highlight w:val="none"/>
          <w:lang w:val="zh-CN"/>
        </w:rPr>
      </w:pPr>
      <w:r>
        <w:rPr>
          <w:rFonts w:hint="eastAsia" w:ascii="宋体" w:hAnsi="宋体" w:eastAsia="宋体" w:cs="宋体"/>
          <w:color w:val="auto"/>
          <w:spacing w:val="6"/>
          <w:sz w:val="32"/>
          <w:szCs w:val="32"/>
          <w:highlight w:val="none"/>
        </w:rPr>
        <w:t>附件5：</w:t>
      </w:r>
      <w:r>
        <w:rPr>
          <w:rFonts w:hint="eastAsia" w:ascii="宋体" w:hAnsi="宋体" w:eastAsia="宋体" w:cs="宋体"/>
          <w:color w:val="auto"/>
          <w:kern w:val="0"/>
          <w:sz w:val="32"/>
          <w:szCs w:val="32"/>
          <w:highlight w:val="none"/>
          <w:lang w:val="zh-CN"/>
        </w:rPr>
        <w:t>联合协议</w:t>
      </w:r>
    </w:p>
    <w:p w14:paraId="7023C024">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3945848">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3CBF0E7E">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03C187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w:t>
      </w:r>
      <w:r>
        <w:rPr>
          <w:rFonts w:hint="eastAsia" w:ascii="宋体" w:hAnsi="宋体" w:cs="宋体"/>
          <w:color w:val="auto"/>
          <w:kern w:val="0"/>
          <w:sz w:val="24"/>
          <w:highlight w:val="none"/>
          <w:lang w:val="en-US" w:eastAsia="zh-CN"/>
        </w:rPr>
        <w:t>响</w:t>
      </w:r>
      <w:r>
        <w:rPr>
          <w:rFonts w:hint="eastAsia" w:ascii="宋体" w:hAnsi="宋体" w:cs="宋体"/>
          <w:color w:val="auto"/>
          <w:kern w:val="0"/>
          <w:sz w:val="24"/>
          <w:highlight w:val="none"/>
          <w:lang w:val="zh-CN"/>
        </w:rPr>
        <w:t>应等均对联合投标各方产生约束力。</w:t>
      </w:r>
    </w:p>
    <w:p w14:paraId="2D03D68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C4770EE">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w:t>
      </w:r>
    </w:p>
    <w:p w14:paraId="2EFB6BD4">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（联合体成员2）</w:t>
      </w:r>
      <w:r>
        <w:rPr>
          <w:rFonts w:hint="eastAsia" w:ascii="宋体" w:hAnsi="宋体" w:cs="宋体"/>
          <w:color w:val="auto"/>
          <w:kern w:val="0"/>
          <w:sz w:val="24"/>
          <w:highlight w:val="none"/>
          <w:lang w:val="zh-CN"/>
        </w:rPr>
        <w:t>承担的工作和义务为：</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w:t>
      </w:r>
    </w:p>
    <w:p w14:paraId="16DF17B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1178DBB9">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6E3CDF5D">
      <w:pPr>
        <w:snapToGrid w:val="0"/>
        <w:spacing w:line="360" w:lineRule="auto"/>
        <w:ind w:firstLine="576"/>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460" w:name="_Hlk101131882"/>
      <w:r>
        <w:rPr>
          <w:rFonts w:hint="eastAsia" w:ascii="宋体" w:hAnsi="宋体" w:cs="宋体"/>
          <w:color w:val="auto"/>
          <w:kern w:val="0"/>
          <w:sz w:val="24"/>
          <w:highlight w:val="none"/>
          <w:u w:val="single"/>
        </w:rPr>
        <w:t>联合体成员X,……</w:t>
      </w:r>
      <w:bookmarkEnd w:id="460"/>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461" w:name="_Hlk101133598"/>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461"/>
      <w:r>
        <w:rPr>
          <w:rFonts w:hint="eastAsia" w:ascii="宋体" w:hAnsi="宋体" w:cs="宋体"/>
          <w:b/>
          <w:color w:val="auto"/>
          <w:kern w:val="0"/>
          <w:sz w:val="24"/>
          <w:highlight w:val="none"/>
          <w:lang w:val="zh-CN"/>
        </w:rPr>
        <w:t>）</w:t>
      </w:r>
    </w:p>
    <w:p w14:paraId="20997FB1">
      <w:pPr>
        <w:spacing w:line="360" w:lineRule="auto"/>
        <w:ind w:firstLine="480" w:firstLineChars="200"/>
        <w:rPr>
          <w:rFonts w:hint="eastAsia" w:ascii="宋体" w:hAnsi="宋体" w:cs="宋体"/>
          <w:b/>
          <w:bCs/>
          <w:color w:val="auto"/>
          <w:kern w:val="0"/>
          <w:sz w:val="24"/>
          <w:highlight w:val="none"/>
          <w:lang w:val="zh-CN"/>
        </w:rPr>
      </w:pPr>
      <w:r>
        <w:rPr>
          <w:rFonts w:hint="eastAsia" w:ascii="宋体" w:hAnsi="宋体" w:cs="宋体"/>
          <w:color w:val="auto"/>
          <w:sz w:val="24"/>
          <w:highlight w:val="none"/>
        </w:rPr>
        <w:t>2、</w:t>
      </w:r>
      <w:bookmarkStart w:id="46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62"/>
    </w:p>
    <w:p w14:paraId="55D233C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036E45A9">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4CA6CF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3FF2630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4D8E694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3671A7DA">
      <w:pPr>
        <w:snapToGrid w:val="0"/>
        <w:spacing w:line="360" w:lineRule="auto"/>
        <w:ind w:firstLine="4320" w:firstLineChars="18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1184B6B">
      <w:pPr>
        <w:snapToGrid w:val="0"/>
        <w:spacing w:line="360" w:lineRule="auto"/>
        <w:ind w:firstLine="4320" w:firstLineChars="18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1A7095F">
      <w:pPr>
        <w:snapToGrid w:val="0"/>
        <w:spacing w:line="360" w:lineRule="auto"/>
        <w:ind w:firstLine="4320" w:firstLineChars="18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1D1B7B13">
      <w:pPr>
        <w:spacing w:line="360" w:lineRule="auto"/>
        <w:ind w:right="420"/>
        <w:rPr>
          <w:rFonts w:hint="eastAsia" w:ascii="宋体" w:hAnsi="宋体" w:cs="宋体"/>
          <w:color w:val="auto"/>
          <w:kern w:val="0"/>
          <w:sz w:val="24"/>
          <w:highlight w:val="none"/>
          <w:lang w:val="zh-CN"/>
        </w:rPr>
      </w:pPr>
      <w:r>
        <w:rPr>
          <w:rFonts w:hint="eastAsia" w:ascii="宋体" w:hAnsi="宋体" w:cs="宋体"/>
          <w:color w:val="auto"/>
          <w:sz w:val="24"/>
          <w:highlight w:val="none"/>
        </w:rPr>
        <w:t xml:space="preserve">注：按本格式和要求提供。            </w:t>
      </w:r>
      <w:r>
        <w:rPr>
          <w:rFonts w:hint="eastAsia" w:ascii="宋体" w:hAnsi="宋体" w:cs="宋体"/>
          <w:color w:val="auto"/>
          <w:kern w:val="0"/>
          <w:sz w:val="24"/>
          <w:highlight w:val="none"/>
          <w:lang w:val="zh-CN"/>
        </w:rPr>
        <w:t>日期：</w:t>
      </w:r>
      <w:r>
        <w:rPr>
          <w:rFonts w:hint="eastAsia" w:ascii="宋体" w:hAnsi="宋体" w:cs="宋体"/>
          <w:color w:val="auto"/>
          <w:sz w:val="24"/>
          <w:highlight w:val="none"/>
        </w:rPr>
        <w:t xml:space="preserve">    年   月   日</w:t>
      </w:r>
    </w:p>
    <w:p w14:paraId="5E79E13D">
      <w:pPr>
        <w:rPr>
          <w:rFonts w:hint="eastAsia" w:ascii="宋体" w:hAnsi="宋体" w:eastAsia="宋体" w:cs="宋体"/>
          <w:color w:val="auto"/>
          <w:spacing w:val="6"/>
          <w:sz w:val="32"/>
          <w:szCs w:val="32"/>
          <w:highlight w:val="none"/>
        </w:rPr>
      </w:pPr>
      <w:r>
        <w:rPr>
          <w:rFonts w:hint="eastAsia" w:ascii="宋体" w:hAnsi="宋体" w:eastAsia="宋体" w:cs="宋体"/>
          <w:color w:val="auto"/>
          <w:spacing w:val="6"/>
          <w:sz w:val="32"/>
          <w:szCs w:val="32"/>
          <w:highlight w:val="none"/>
        </w:rPr>
        <w:br w:type="page"/>
      </w:r>
    </w:p>
    <w:p w14:paraId="2E2D4ED2">
      <w:pPr>
        <w:pStyle w:val="5"/>
        <w:rPr>
          <w:rFonts w:hint="eastAsia" w:ascii="宋体" w:hAnsi="宋体" w:eastAsia="宋体" w:cs="宋体"/>
          <w:b w:val="0"/>
          <w:color w:val="auto"/>
          <w:kern w:val="0"/>
          <w:sz w:val="32"/>
          <w:szCs w:val="32"/>
          <w:highlight w:val="none"/>
        </w:rPr>
      </w:pPr>
      <w:r>
        <w:rPr>
          <w:rFonts w:hint="eastAsia" w:ascii="宋体" w:hAnsi="宋体" w:eastAsia="宋体" w:cs="宋体"/>
          <w:color w:val="auto"/>
          <w:spacing w:val="6"/>
          <w:sz w:val="32"/>
          <w:szCs w:val="32"/>
          <w:highlight w:val="none"/>
        </w:rPr>
        <w:t>附件6：</w:t>
      </w:r>
      <w:r>
        <w:rPr>
          <w:rFonts w:hint="eastAsia" w:ascii="宋体" w:hAnsi="宋体" w:eastAsia="宋体" w:cs="宋体"/>
          <w:color w:val="auto"/>
          <w:kern w:val="0"/>
          <w:sz w:val="32"/>
          <w:szCs w:val="32"/>
          <w:highlight w:val="none"/>
        </w:rPr>
        <w:t>分包意向协议</w:t>
      </w:r>
    </w:p>
    <w:p w14:paraId="598CEDD2">
      <w:pPr>
        <w:widowControl/>
        <w:spacing w:line="312"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3A733C90">
      <w:pPr>
        <w:snapToGrid w:val="0"/>
        <w:spacing w:line="312"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八堡排水泵站运行和日常维修养护项目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5EB89B3B">
      <w:pPr>
        <w:snapToGrid w:val="0"/>
        <w:spacing w:line="312"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4AEE1BB">
      <w:pPr>
        <w:snapToGrid w:val="0"/>
        <w:spacing w:line="312"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4B033944">
      <w:pPr>
        <w:rPr>
          <w:rFonts w:hint="eastAsia" w:ascii="宋体" w:hAnsi="宋体" w:cs="宋体"/>
          <w:color w:val="auto"/>
          <w:highlight w:val="none"/>
        </w:rPr>
      </w:pPr>
      <w:r>
        <w:rPr>
          <w:rFonts w:hint="eastAsia" w:ascii="宋体" w:hAnsi="宋体" w:cs="宋体"/>
          <w:color w:val="auto"/>
          <w:highlight w:val="none"/>
        </w:rPr>
        <w:t>……</w:t>
      </w:r>
    </w:p>
    <w:p w14:paraId="3389A133">
      <w:pPr>
        <w:spacing w:line="312"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D7F079A">
      <w:pPr>
        <w:snapToGrid w:val="0"/>
        <w:spacing w:line="312" w:lineRule="auto"/>
        <w:ind w:firstLine="576"/>
        <w:rPr>
          <w:rFonts w:hint="eastAsia" w:ascii="宋体" w:hAnsi="宋体" w:cs="宋体"/>
          <w:b/>
          <w:color w:val="auto"/>
          <w:kern w:val="0"/>
          <w:sz w:val="24"/>
          <w:highlight w:val="none"/>
          <w:lang w:val="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u w:val="single"/>
        </w:rPr>
        <w:t>（分包供应商X,……）提供的服务全部由小微企业承接，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3EF4601">
      <w:pPr>
        <w:spacing w:line="312" w:lineRule="auto"/>
        <w:ind w:firstLine="480" w:firstLineChars="200"/>
        <w:rPr>
          <w:rFonts w:hint="eastAsia"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099E4D59">
      <w:pPr>
        <w:snapToGrid w:val="0"/>
        <w:spacing w:line="288"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F90D1B8">
      <w:pPr>
        <w:snapToGrid w:val="0"/>
        <w:spacing w:line="288" w:lineRule="auto"/>
        <w:ind w:firstLine="576"/>
        <w:rPr>
          <w:rFonts w:hint="eastAsia" w:ascii="宋体" w:hAnsi="宋体" w:cs="宋体"/>
          <w:color w:val="auto"/>
          <w:highlight w:val="none"/>
          <w:u w:val="single"/>
        </w:rPr>
      </w:pPr>
    </w:p>
    <w:p w14:paraId="62883092">
      <w:pPr>
        <w:snapToGrid w:val="0"/>
        <w:spacing w:line="288"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6B3EC77">
      <w:pPr>
        <w:snapToGrid w:val="0"/>
        <w:spacing w:line="288" w:lineRule="auto"/>
        <w:ind w:firstLine="576"/>
        <w:rPr>
          <w:rFonts w:hint="eastAsia" w:ascii="宋体" w:hAnsi="宋体" w:cs="宋体"/>
          <w:color w:val="auto"/>
          <w:kern w:val="0"/>
          <w:sz w:val="24"/>
          <w:highlight w:val="none"/>
          <w:lang w:val="zh-CN"/>
        </w:rPr>
      </w:pPr>
    </w:p>
    <w:p w14:paraId="4E488D62">
      <w:pPr>
        <w:snapToGrid w:val="0"/>
        <w:spacing w:line="288"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19D3BD4">
      <w:pPr>
        <w:snapToGrid w:val="0"/>
        <w:spacing w:line="288" w:lineRule="auto"/>
        <w:ind w:left="573" w:leftChars="273"/>
        <w:rPr>
          <w:rFonts w:hint="eastAsia" w:ascii="宋体" w:hAnsi="宋体" w:cs="宋体"/>
          <w:color w:val="auto"/>
          <w:kern w:val="0"/>
          <w:sz w:val="24"/>
          <w:highlight w:val="none"/>
          <w:lang w:val="zh-CN"/>
        </w:rPr>
      </w:pPr>
    </w:p>
    <w:p w14:paraId="0D8CCA1F">
      <w:pPr>
        <w:snapToGrid w:val="0"/>
        <w:spacing w:line="288" w:lineRule="auto"/>
        <w:ind w:left="573" w:leftChars="273"/>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2D131F6">
      <w:pPr>
        <w:snapToGrid w:val="0"/>
        <w:spacing w:line="288" w:lineRule="auto"/>
        <w:ind w:firstLine="576"/>
        <w:rPr>
          <w:rFonts w:hint="eastAsia" w:ascii="宋体" w:hAnsi="宋体" w:cs="宋体"/>
          <w:color w:val="auto"/>
          <w:kern w:val="0"/>
          <w:sz w:val="24"/>
          <w:highlight w:val="none"/>
          <w:lang w:val="zh-CN"/>
        </w:rPr>
      </w:pPr>
    </w:p>
    <w:p w14:paraId="4507184A">
      <w:pPr>
        <w:snapToGrid w:val="0"/>
        <w:spacing w:line="288"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36C24231">
      <w:pPr>
        <w:snapToGrid w:val="0"/>
        <w:spacing w:line="288" w:lineRule="auto"/>
        <w:ind w:firstLine="576"/>
        <w:rPr>
          <w:rFonts w:hint="eastAsia" w:ascii="宋体" w:hAnsi="宋体" w:cs="宋体"/>
          <w:color w:val="auto"/>
          <w:kern w:val="0"/>
          <w:sz w:val="24"/>
          <w:highlight w:val="none"/>
          <w:lang w:val="zh-CN"/>
        </w:rPr>
      </w:pPr>
    </w:p>
    <w:p w14:paraId="32D5D5C6">
      <w:pPr>
        <w:snapToGrid w:val="0"/>
        <w:spacing w:line="288"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0FB8E041">
      <w:pPr>
        <w:snapToGrid w:val="0"/>
        <w:spacing w:line="288" w:lineRule="auto"/>
        <w:ind w:left="5758" w:leftChars="342" w:hanging="5040" w:hangingChars="2100"/>
        <w:jc w:val="left"/>
        <w:rPr>
          <w:rFonts w:hint="eastAsia"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投标人名称(电子签名)：</w:t>
      </w:r>
    </w:p>
    <w:p w14:paraId="745EB0B2">
      <w:pPr>
        <w:snapToGrid w:val="0"/>
        <w:spacing w:line="312"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33CDFC54">
      <w:pPr>
        <w:snapToGrid w:val="0"/>
        <w:spacing w:line="312"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16A4EED3">
      <w:pPr>
        <w:spacing w:line="312" w:lineRule="auto"/>
        <w:ind w:right="420"/>
        <w:rPr>
          <w:rFonts w:hint="eastAsia" w:ascii="宋体" w:hAnsi="宋体" w:cs="宋体"/>
          <w:color w:val="auto"/>
          <w:kern w:val="0"/>
          <w:sz w:val="24"/>
          <w:highlight w:val="none"/>
          <w:lang w:val="zh-CN"/>
        </w:rPr>
      </w:pPr>
      <w:r>
        <w:rPr>
          <w:rFonts w:hint="eastAsia" w:ascii="宋体" w:hAnsi="宋体" w:cs="宋体"/>
          <w:color w:val="auto"/>
          <w:sz w:val="24"/>
          <w:highlight w:val="none"/>
        </w:rPr>
        <w:t xml:space="preserve">注：按本格式和要求提供。                      </w:t>
      </w:r>
      <w:r>
        <w:rPr>
          <w:rFonts w:hint="eastAsia" w:ascii="宋体" w:hAnsi="宋体" w:cs="宋体"/>
          <w:color w:val="auto"/>
          <w:kern w:val="0"/>
          <w:sz w:val="24"/>
          <w:highlight w:val="none"/>
          <w:lang w:val="zh-CN"/>
        </w:rPr>
        <w:t>日期：</w:t>
      </w:r>
      <w:r>
        <w:rPr>
          <w:rFonts w:hint="eastAsia" w:ascii="宋体" w:hAnsi="宋体" w:cs="宋体"/>
          <w:color w:val="auto"/>
          <w:sz w:val="24"/>
          <w:highlight w:val="none"/>
        </w:rPr>
        <w:t xml:space="preserve">    年   月   日</w:t>
      </w:r>
    </w:p>
    <w:p w14:paraId="324B693F">
      <w:pPr>
        <w:pStyle w:val="5"/>
        <w:rPr>
          <w:rFonts w:hint="eastAsia" w:ascii="宋体" w:hAnsi="宋体" w:eastAsia="宋体" w:cs="宋体"/>
          <w:b w:val="0"/>
          <w:color w:val="auto"/>
          <w:sz w:val="32"/>
          <w:szCs w:val="32"/>
          <w:highlight w:val="none"/>
        </w:rPr>
      </w:pPr>
      <w:r>
        <w:rPr>
          <w:rFonts w:hint="eastAsia" w:ascii="宋体" w:hAnsi="宋体" w:eastAsia="宋体" w:cs="宋体"/>
          <w:color w:val="auto"/>
          <w:sz w:val="32"/>
          <w:szCs w:val="32"/>
          <w:highlight w:val="none"/>
        </w:rPr>
        <w:t>附件7：中小企业声明函（服务）</w:t>
      </w:r>
    </w:p>
    <w:p w14:paraId="25362C71">
      <w:pPr>
        <w:spacing w:line="336" w:lineRule="auto"/>
        <w:ind w:firstLine="360" w:firstLineChars="150"/>
        <w:jc w:val="left"/>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杭州市南排工程建设管理服务中心（杭州市水利科普馆） </w:t>
      </w:r>
      <w:r>
        <w:rPr>
          <w:rFonts w:hint="eastAsia" w:ascii="宋体" w:hAnsi="宋体" w:cs="宋体"/>
          <w:color w:val="auto"/>
          <w:sz w:val="24"/>
          <w:highlight w:val="none"/>
        </w:rPr>
        <w:t>的</w:t>
      </w:r>
      <w:r>
        <w:rPr>
          <w:rFonts w:hint="eastAsia" w:ascii="宋体" w:hAnsi="宋体" w:cs="宋体"/>
          <w:color w:val="auto"/>
          <w:sz w:val="24"/>
          <w:highlight w:val="none"/>
          <w:u w:val="single"/>
          <w:lang w:eastAsia="zh-CN"/>
        </w:rPr>
        <w:t>八堡排水泵站运行和日常维修养护项目</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4F9E3AB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lang w:eastAsia="zh-CN"/>
        </w:rPr>
        <w:t>八堡排水泵站运行和日常维修养护项目</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1528A28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10312E8A">
      <w:pPr>
        <w:spacing w:line="336"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p>
    <w:p w14:paraId="47165F29">
      <w:pPr>
        <w:spacing w:line="336"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0A68A7DB">
      <w:pPr>
        <w:spacing w:line="336"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B0F394C">
      <w:pPr>
        <w:spacing w:line="336" w:lineRule="auto"/>
        <w:ind w:right="1760"/>
        <w:jc w:val="right"/>
        <w:rPr>
          <w:rFonts w:hint="eastAsia" w:ascii="宋体" w:hAnsi="宋体" w:cs="宋体"/>
          <w:color w:val="auto"/>
          <w:sz w:val="24"/>
          <w:highlight w:val="none"/>
        </w:rPr>
      </w:pPr>
      <w:r>
        <w:rPr>
          <w:rFonts w:hint="eastAsia" w:ascii="宋体" w:hAnsi="宋体" w:cs="宋体"/>
          <w:color w:val="auto"/>
          <w:sz w:val="24"/>
          <w:highlight w:val="none"/>
        </w:rPr>
        <w:t xml:space="preserve">      投标人名称（电子签名）：</w:t>
      </w:r>
    </w:p>
    <w:p w14:paraId="6643F18C">
      <w:pPr>
        <w:spacing w:line="336" w:lineRule="auto"/>
        <w:ind w:right="1120" w:firstLine="4680" w:firstLineChars="1950"/>
        <w:rPr>
          <w:rFonts w:hint="eastAsia" w:ascii="宋体" w:hAnsi="宋体" w:cs="宋体"/>
          <w:color w:val="auto"/>
          <w:sz w:val="24"/>
          <w:highlight w:val="none"/>
        </w:rPr>
      </w:pPr>
      <w:r>
        <w:rPr>
          <w:rFonts w:hint="eastAsia" w:ascii="宋体" w:hAnsi="宋体" w:cs="宋体"/>
          <w:color w:val="auto"/>
          <w:sz w:val="24"/>
          <w:highlight w:val="none"/>
        </w:rPr>
        <w:t>日 期：    年   月   日</w:t>
      </w:r>
    </w:p>
    <w:p w14:paraId="59272775">
      <w:pPr>
        <w:spacing w:line="336" w:lineRule="auto"/>
        <w:ind w:firstLine="325" w:firstLineChars="147"/>
        <w:jc w:val="left"/>
        <w:rPr>
          <w:rFonts w:hint="eastAsia" w:ascii="宋体" w:hAnsi="宋体" w:cs="宋体"/>
          <w:b/>
          <w:color w:val="auto"/>
          <w:sz w:val="22"/>
          <w:highlight w:val="none"/>
        </w:rPr>
      </w:pPr>
      <w:r>
        <w:rPr>
          <w:rFonts w:hint="eastAsia" w:ascii="宋体" w:hAnsi="宋体" w:cs="宋体"/>
          <w:b/>
          <w:color w:val="auto"/>
          <w:sz w:val="22"/>
          <w:highlight w:val="none"/>
        </w:rPr>
        <w:t>从业人员、营业收入、资产总额填报上一年度数据，无上一年度数据的新成立企业可不填报。</w:t>
      </w:r>
    </w:p>
    <w:p w14:paraId="3BDCBE8C">
      <w:pPr>
        <w:spacing w:line="336" w:lineRule="auto"/>
        <w:ind w:right="420"/>
        <w:rPr>
          <w:rFonts w:hint="eastAsia" w:ascii="宋体" w:hAnsi="宋体" w:cs="宋体"/>
          <w:color w:val="auto"/>
          <w:sz w:val="24"/>
          <w:highlight w:val="none"/>
        </w:rPr>
      </w:pPr>
      <w:r>
        <w:rPr>
          <w:rFonts w:hint="eastAsia" w:ascii="宋体" w:hAnsi="宋体" w:cs="宋体"/>
          <w:color w:val="auto"/>
          <w:sz w:val="24"/>
          <w:highlight w:val="none"/>
        </w:rPr>
        <w:t xml:space="preserve">   注：</w:t>
      </w:r>
    </w:p>
    <w:p w14:paraId="70056AB9">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4F95FC92">
      <w:pPr>
        <w:spacing w:line="336" w:lineRule="auto"/>
        <w:ind w:right="420" w:firstLine="720" w:firstLineChars="300"/>
        <w:rPr>
          <w:rFonts w:hint="eastAsia" w:ascii="宋体" w:hAnsi="宋体" w:cs="宋体"/>
          <w:color w:val="auto"/>
          <w:sz w:val="24"/>
          <w:highlight w:val="none"/>
        </w:rPr>
      </w:pPr>
    </w:p>
    <w:p w14:paraId="065EBCAA">
      <w:pPr>
        <w:rPr>
          <w:rFonts w:hint="eastAsia" w:ascii="宋体" w:hAnsi="宋体" w:cs="宋体"/>
          <w:color w:val="auto"/>
          <w:sz w:val="24"/>
          <w:highlight w:val="none"/>
        </w:rPr>
      </w:pPr>
      <w:r>
        <w:rPr>
          <w:rFonts w:hint="eastAsia" w:ascii="宋体" w:hAnsi="宋体" w:cs="宋体"/>
          <w:color w:val="auto"/>
          <w:sz w:val="24"/>
          <w:highlight w:val="none"/>
        </w:rPr>
        <w:br w:type="page"/>
      </w:r>
    </w:p>
    <w:p w14:paraId="3B71A9A2">
      <w:pPr>
        <w:adjustRightInd w:val="0"/>
        <w:spacing w:line="360" w:lineRule="auto"/>
        <w:ind w:right="420"/>
        <w:jc w:val="left"/>
        <w:rPr>
          <w:rFonts w:hint="eastAsia" w:ascii="宋体" w:hAnsi="宋体" w:cs="宋体"/>
          <w:color w:val="auto"/>
          <w:sz w:val="24"/>
          <w:highlight w:val="none"/>
        </w:rPr>
      </w:pPr>
      <w:r>
        <w:rPr>
          <w:rFonts w:hint="eastAsia" w:ascii="宋体" w:hAnsi="宋体" w:cs="宋体"/>
          <w:color w:val="auto"/>
          <w:sz w:val="24"/>
          <w:highlight w:val="none"/>
        </w:rPr>
        <w:t>注：声明书可在开标后将下表发送到2842234586@qq.com；</w:t>
      </w:r>
    </w:p>
    <w:p w14:paraId="4A6C5371">
      <w:pPr>
        <w:adjustRightInd w:val="0"/>
        <w:spacing w:line="360" w:lineRule="auto"/>
        <w:ind w:right="420"/>
        <w:jc w:val="center"/>
        <w:rPr>
          <w:rFonts w:hint="eastAsia" w:ascii="宋体" w:hAnsi="宋体" w:cs="宋体"/>
          <w:b/>
          <w:bCs/>
          <w:color w:val="auto"/>
          <w:sz w:val="32"/>
          <w:highlight w:val="none"/>
        </w:rPr>
      </w:pPr>
      <w:r>
        <w:rPr>
          <w:rFonts w:hint="eastAsia" w:ascii="宋体" w:hAnsi="宋体" w:cs="宋体"/>
          <w:b/>
          <w:bCs/>
          <w:color w:val="auto"/>
          <w:sz w:val="32"/>
          <w:highlight w:val="none"/>
        </w:rPr>
        <w:t>政府采购活动现场确认声明书</w:t>
      </w:r>
    </w:p>
    <w:p w14:paraId="39FBD7A2">
      <w:pPr>
        <w:adjustRightInd w:val="0"/>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浙江省建设工程设备招标有限公司 :</w:t>
      </w:r>
    </w:p>
    <w:p w14:paraId="4C8BA241">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本人（授权代表姓名），经由</w:t>
      </w:r>
      <w:r>
        <w:rPr>
          <w:rFonts w:hint="eastAsia" w:ascii="宋体" w:hAnsi="宋体" w:cs="宋体"/>
          <w:color w:val="auto"/>
          <w:sz w:val="24"/>
          <w:highlight w:val="none"/>
          <w:u w:val="single"/>
        </w:rPr>
        <w:t xml:space="preserve">   (单位名称）   </w:t>
      </w:r>
      <w:r>
        <w:rPr>
          <w:rFonts w:hint="eastAsia" w:ascii="宋体" w:hAnsi="宋体" w:cs="宋体"/>
          <w:color w:val="auto"/>
          <w:sz w:val="24"/>
          <w:highlight w:val="none"/>
        </w:rPr>
        <w:t xml:space="preserve">（法定代表人姓名）合法授权参加 </w:t>
      </w:r>
      <w:r>
        <w:rPr>
          <w:rFonts w:hint="eastAsia" w:ascii="宋体" w:hAnsi="宋体" w:cs="宋体"/>
          <w:color w:val="auto"/>
          <w:sz w:val="24"/>
          <w:highlight w:val="none"/>
          <w:u w:val="single"/>
          <w:lang w:eastAsia="zh-CN"/>
        </w:rPr>
        <w:t>八堡排水泵站运行和日常维修养护项目</w:t>
      </w:r>
      <w:r>
        <w:rPr>
          <w:rFonts w:hint="eastAsia" w:ascii="宋体" w:hAnsi="宋体" w:cs="宋体"/>
          <w:color w:val="auto"/>
          <w:sz w:val="24"/>
          <w:highlight w:val="none"/>
        </w:rPr>
        <w:t xml:space="preserve">（项目编号： </w:t>
      </w:r>
      <w:r>
        <w:rPr>
          <w:rFonts w:hint="eastAsia" w:ascii="宋体" w:hAnsi="宋体" w:cs="宋体"/>
          <w:color w:val="auto"/>
          <w:sz w:val="24"/>
          <w:highlight w:val="none"/>
          <w:lang w:eastAsia="zh-CN"/>
        </w:rPr>
        <w:t>ZJZBC-25-GK-9032</w:t>
      </w:r>
      <w:r>
        <w:rPr>
          <w:rFonts w:hint="eastAsia" w:ascii="宋体" w:hAnsi="宋体" w:cs="宋体"/>
          <w:color w:val="auto"/>
          <w:sz w:val="24"/>
          <w:highlight w:val="none"/>
        </w:rPr>
        <w:t xml:space="preserve"> ）政府采购活动．经与本单位法人代表（负责人）联系确认，现就有关公平竞争事项郑重声明如下:</w:t>
      </w:r>
    </w:p>
    <w:p w14:paraId="3AD79A70">
      <w:pPr>
        <w:numPr>
          <w:ilvl w:val="0"/>
          <w:numId w:val="15"/>
        </w:numPr>
        <w:adjustRightInd w:val="0"/>
        <w:spacing w:line="360" w:lineRule="auto"/>
        <w:ind w:right="420"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 xml:space="preserve">本单位与采购人之间 </w:t>
      </w:r>
      <w:r>
        <w:rPr>
          <w:rFonts w:hint="eastAsia" w:ascii="宋体" w:hAnsi="宋体" w:cs="宋体"/>
          <w:b/>
          <w:bCs/>
          <w:color w:val="auto"/>
          <w:sz w:val="24"/>
          <w:highlight w:val="none"/>
        </w:rPr>
        <w:t>口不存在利害关系；口存在下列利害关系:</w:t>
      </w:r>
    </w:p>
    <w:p w14:paraId="20BD121E">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A．投资关系 B．行政隶属关系 C．业务指导关系D．其他可能影响采购公正的利害关系（如有，请如实说明）。</w:t>
      </w:r>
    </w:p>
    <w:p w14:paraId="19FD28F7">
      <w:pPr>
        <w:adjustRightInd w:val="0"/>
        <w:spacing w:line="360" w:lineRule="auto"/>
        <w:ind w:right="420"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 xml:space="preserve">二、现已清楚知道参加本项目采购活动的其他所有供应商名称，本单位 </w:t>
      </w:r>
      <w:r>
        <w:rPr>
          <w:rFonts w:hint="eastAsia" w:ascii="宋体" w:hAnsi="宋体" w:cs="宋体"/>
          <w:b/>
          <w:bCs/>
          <w:color w:val="auto"/>
          <w:sz w:val="24"/>
          <w:highlight w:val="none"/>
        </w:rPr>
        <w:t>口与其他所有供应商之间均不存在利害关系； 口与______________（供应商名称）之间存在下列利害关系:</w:t>
      </w:r>
    </w:p>
    <w:p w14:paraId="741CAB56">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A．法定代表人或负责人或实际控制人是同一人</w:t>
      </w:r>
    </w:p>
    <w:p w14:paraId="1D16172A">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B．法定代表人或负责人或实际控制人是夫妻关系</w:t>
      </w:r>
    </w:p>
    <w:p w14:paraId="63B35481">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C．法定代表人或负责人或实际控制人是直系血亲关系</w:t>
      </w:r>
    </w:p>
    <w:p w14:paraId="4AA2FCE9">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D．法定代表人或负责人或实际控制人存在三代以内旁系血亲关系</w:t>
      </w:r>
    </w:p>
    <w:p w14:paraId="222A8AA9">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E．法定代表人或负责人或实际控制人存在近姻亲关系</w:t>
      </w:r>
    </w:p>
    <w:p w14:paraId="51B47F41">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F．法定代表人或负责人或实际控制人存在股份控制或实际控制关系G．存在共同直接或间接投资设立子公司、联营企业和合营企业情况</w:t>
      </w:r>
    </w:p>
    <w:p w14:paraId="5151030F">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H．存在分级代理或代销关系、同一生产制造商关系、管理关系、重要业务（占主营业务收入 50 ％以上）或重要财务往来关系（如融资）等其他实质性控制关系</w:t>
      </w:r>
    </w:p>
    <w:p w14:paraId="75D6C353">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I．其他利害关系情况 ________________________________________。</w:t>
      </w:r>
    </w:p>
    <w:p w14:paraId="0C939302">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三、现已清楚知道并严格遵守政府采购法律法规和现场纪律。</w:t>
      </w:r>
    </w:p>
    <w:p w14:paraId="7B648E0C">
      <w:pPr>
        <w:adjustRightInd w:val="0"/>
        <w:spacing w:line="360" w:lineRule="auto"/>
        <w:ind w:right="42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四、我发现 ____________________供应商之间存在或可能存在上述第二条第 ____________项利害关系。</w:t>
      </w:r>
    </w:p>
    <w:p w14:paraId="76B4CC14">
      <w:pPr>
        <w:adjustRightInd w:val="0"/>
        <w:spacing w:line="360" w:lineRule="auto"/>
        <w:ind w:right="420" w:firstLine="480" w:firstLineChars="200"/>
        <w:jc w:val="left"/>
        <w:rPr>
          <w:rFonts w:hint="eastAsia" w:ascii="宋体" w:hAnsi="宋体" w:cs="宋体"/>
          <w:color w:val="auto"/>
          <w:sz w:val="24"/>
          <w:highlight w:val="none"/>
        </w:rPr>
      </w:pPr>
    </w:p>
    <w:p w14:paraId="08D98BD9">
      <w:pPr>
        <w:adjustRightInd w:val="0"/>
        <w:spacing w:line="360" w:lineRule="auto"/>
        <w:ind w:right="420" w:firstLine="480" w:firstLineChars="200"/>
        <w:jc w:val="right"/>
        <w:rPr>
          <w:rFonts w:hint="eastAsia" w:ascii="宋体" w:hAnsi="宋体" w:cs="宋体"/>
          <w:color w:val="auto"/>
          <w:sz w:val="24"/>
          <w:highlight w:val="none"/>
        </w:rPr>
      </w:pPr>
      <w:r>
        <w:rPr>
          <w:rFonts w:hint="eastAsia" w:ascii="宋体" w:hAnsi="宋体" w:cs="宋体"/>
          <w:color w:val="auto"/>
          <w:sz w:val="24"/>
          <w:highlight w:val="none"/>
        </w:rPr>
        <w:t>（供应商代表签名）:</w:t>
      </w:r>
    </w:p>
    <w:p w14:paraId="23B04664">
      <w:pPr>
        <w:adjustRightInd w:val="0"/>
        <w:spacing w:line="360" w:lineRule="auto"/>
        <w:ind w:right="420" w:firstLine="480" w:firstLineChars="200"/>
        <w:jc w:val="center"/>
        <w:rPr>
          <w:rFonts w:hint="eastAsia" w:ascii="宋体" w:hAnsi="宋体" w:cs="宋体"/>
          <w:color w:val="auto"/>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2025年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日</w:t>
      </w:r>
    </w:p>
    <w:p w14:paraId="2BB3E397">
      <w:pPr>
        <w:rPr>
          <w:color w:val="auto"/>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775C6C-90EC-4ACF-903E-36C029F0A525}"/>
  </w:font>
  <w:font w:name="Arial">
    <w:panose1 w:val="020B0604020202020204"/>
    <w:charset w:val="01"/>
    <w:family w:val="swiss"/>
    <w:pitch w:val="default"/>
    <w:sig w:usb0="E0002EFF" w:usb1="C000785B" w:usb2="00000009" w:usb3="00000000" w:csb0="400001FF" w:csb1="FFFF0000"/>
    <w:embedRegular r:id="rId2" w:fontKey="{87CC8A88-47E1-47A5-B284-7B7520463882}"/>
  </w:font>
  <w:font w:name="黑体">
    <w:panose1 w:val="02010609060101010101"/>
    <w:charset w:val="86"/>
    <w:family w:val="auto"/>
    <w:pitch w:val="default"/>
    <w:sig w:usb0="800002BF" w:usb1="38CF7CFA" w:usb2="00000016" w:usb3="00000000" w:csb0="00040001" w:csb1="00000000"/>
    <w:embedRegular r:id="rId3" w:fontKey="{66A09F79-2857-4DAD-BBC5-3EB9874149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B0CF90F-DC37-402E-9EFA-1EA2F709A653}"/>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5" w:fontKey="{0D4A7945-300E-42D6-B205-C7C2BE5D07BB}"/>
  </w:font>
  <w:font w:name="仿宋">
    <w:panose1 w:val="02010609060101010101"/>
    <w:charset w:val="86"/>
    <w:family w:val="modern"/>
    <w:pitch w:val="default"/>
    <w:sig w:usb0="800002BF" w:usb1="38CF7CFA" w:usb2="00000016" w:usb3="00000000" w:csb0="00040001" w:csb1="00000000"/>
    <w:embedRegular r:id="rId6" w:fontKey="{0DB279C2-3744-4B83-9777-A0FD7FA26B8D}"/>
  </w:font>
  <w:font w:name="Century Gothic">
    <w:altName w:val="Arial"/>
    <w:panose1 w:val="020B0502020202020204"/>
    <w:charset w:val="00"/>
    <w:family w:val="swiss"/>
    <w:pitch w:val="default"/>
    <w:sig w:usb0="00000000" w:usb1="00000000" w:usb2="00000000" w:usb3="00000000" w:csb0="2000009F" w:csb1="DFD70000"/>
  </w:font>
  <w:font w:name="Wingdings 2">
    <w:altName w:val="Webdings"/>
    <w:panose1 w:val="05020102010507070707"/>
    <w:charset w:val="02"/>
    <w:family w:val="roman"/>
    <w:pitch w:val="default"/>
    <w:sig w:usb0="00000000" w:usb1="00000000" w:usb2="00000000" w:usb3="00000000" w:csb0="80000000" w:csb1="00000000"/>
    <w:embedRegular r:id="rId7" w:fontKey="{75DF9897-52B3-4C1A-BC48-E41280CD196D}"/>
  </w:font>
  <w:font w:name="Webdings">
    <w:panose1 w:val="05030102010509060703"/>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BB30C">
    <w:pPr>
      <w:pStyle w:val="14"/>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704D3A">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7B704D3A">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58A7E841">
                          <w:pPr>
                            <w:pStyle w:val="14"/>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Hihjc8BAACrAwAADgAAAAAAAAABACAAAAAfAQAAZHJz&#10;L2Uyb0RvYy54bWxQSwUGAAAAAAYABgBZAQAAYAUAAAAA&#10;">
              <v:fill on="f" focussize="0,0"/>
              <v:stroke on="f"/>
              <v:imagedata o:title=""/>
              <o:lock v:ext="edit" aspectratio="f"/>
              <v:textbox inset="0mm,0mm,0mm,0mm" style="mso-fit-shape-to-text:t;">
                <w:txbxContent>
                  <w:p w14:paraId="58A7E841">
                    <w:pPr>
                      <w:pStyle w:val="14"/>
                    </w:pP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B01F0">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矩形 410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1A9C7C65">
                          <w:pPr>
                            <w:pStyle w:val="14"/>
                          </w:pPr>
                          <w:r>
                            <w:fldChar w:fldCharType="begin"/>
                          </w:r>
                          <w:r>
                            <w:instrText xml:space="preserve"> PAGE  \* MERGEFORMAT </w:instrText>
                          </w:r>
                          <w:r>
                            <w:fldChar w:fldCharType="separate"/>
                          </w:r>
                          <w:r>
                            <w:t>- 105 -</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8zWWM8BAACrAwAADgAAAAAAAAABACAAAAAfAQAAZHJz&#10;L2Uyb0RvYy54bWxQSwUGAAAAAAYABgBZAQAAYAUAAAAA&#10;">
              <v:fill on="f" focussize="0,0"/>
              <v:stroke on="f"/>
              <v:imagedata o:title=""/>
              <o:lock v:ext="edit" aspectratio="f"/>
              <v:textbox inset="0mm,0mm,0mm,0mm" style="mso-fit-shape-to-text:t;">
                <w:txbxContent>
                  <w:p w14:paraId="1A9C7C65">
                    <w:pPr>
                      <w:pStyle w:val="14"/>
                    </w:pPr>
                    <w:r>
                      <w:fldChar w:fldCharType="begin"/>
                    </w:r>
                    <w:r>
                      <w:instrText xml:space="preserve"> PAGE  \* MERGEFORMAT </w:instrText>
                    </w:r>
                    <w:r>
                      <w:fldChar w:fldCharType="separate"/>
                    </w:r>
                    <w:r>
                      <w:t>- 105 -</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4B6CC">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4CB56E">
                          <w:pPr>
                            <w:pStyle w:val="14"/>
                          </w:pPr>
                          <w:r>
                            <w:fldChar w:fldCharType="begin"/>
                          </w:r>
                          <w:r>
                            <w:instrText xml:space="preserve"> PAGE  \* MERGEFORMAT </w:instrText>
                          </w:r>
                          <w:r>
                            <w:fldChar w:fldCharType="separate"/>
                          </w:r>
                          <w:r>
                            <w:t>- 99 -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5B4CB56E">
                    <w:pPr>
                      <w:pStyle w:val="14"/>
                    </w:pPr>
                    <w:r>
                      <w:fldChar w:fldCharType="begin"/>
                    </w:r>
                    <w:r>
                      <w:instrText xml:space="preserve"> PAGE  \* MERGEFORMAT </w:instrText>
                    </w:r>
                    <w:r>
                      <w:fldChar w:fldCharType="separate"/>
                    </w:r>
                    <w:r>
                      <w:t>- 99 -</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矩形 410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1B257E9">
                          <w:pPr>
                            <w:pStyle w:val="14"/>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EDxdfM8BAACrAwAADgAAAAAAAAABACAAAAAfAQAAZHJz&#10;L2Uyb0RvYy54bWxQSwUGAAAAAAYABgBZAQAAYAUAAAAA&#10;">
              <v:fill on="f" focussize="0,0"/>
              <v:stroke on="f"/>
              <v:imagedata o:title=""/>
              <o:lock v:ext="edit" aspectratio="f"/>
              <v:textbox inset="0mm,0mm,0mm,0mm" style="mso-fit-shape-to-text:t;">
                <w:txbxContent>
                  <w:p w14:paraId="71B257E9">
                    <w:pPr>
                      <w:pStyle w:val="14"/>
                    </w:pP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9AC8C">
    <w:pPr>
      <w:pStyle w:val="14"/>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46C9887">
                          <w:pPr>
                            <w:pStyle w:val="14"/>
                          </w:pPr>
                          <w:r>
                            <w:fldChar w:fldCharType="begin"/>
                          </w:r>
                          <w:r>
                            <w:instrText xml:space="preserve"> PAGE  \* MERGEFORMAT </w:instrText>
                          </w:r>
                          <w:r>
                            <w:fldChar w:fldCharType="separate"/>
                          </w:r>
                          <w:r>
                            <w:t>- 118 -</w:t>
                          </w:r>
                          <w:r>
                            <w:fldChar w:fldCharType="end"/>
                          </w:r>
                        </w:p>
                      </w:txbxContent>
                    </wps:txbx>
                    <wps:bodyPr vert="horz" wrap="none" lIns="0" tIns="0" rIns="0" bIns="0" anchor="t" anchorCtr="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CL2nNtsBAAC6AwAADgAAAAAAAAAB&#10;ACAAAAAfAQAAZHJzL2Uyb0RvYy54bWxQSwUGAAAAAAYABgBZAQAAbAUAAAAA&#10;">
              <v:fill on="f" focussize="0,0"/>
              <v:stroke on="f"/>
              <v:imagedata o:title=""/>
              <o:lock v:ext="edit" aspectratio="f"/>
              <v:textbox inset="0mm,0mm,0mm,0mm" style="mso-fit-shape-to-text:t;">
                <w:txbxContent>
                  <w:p w14:paraId="446C9887">
                    <w:pPr>
                      <w:pStyle w:val="14"/>
                    </w:pPr>
                    <w:r>
                      <w:fldChar w:fldCharType="begin"/>
                    </w:r>
                    <w:r>
                      <w:instrText xml:space="preserve"> PAGE  \* MERGEFORMAT </w:instrText>
                    </w:r>
                    <w:r>
                      <w:fldChar w:fldCharType="separate"/>
                    </w:r>
                    <w:r>
                      <w:t>- 118 -</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D07E">
    <w:pPr>
      <w:pStyle w:val="14"/>
      <w:framePr w:wrap="around" w:vAnchor="text" w:hAnchor="margin" w:xAlign="right" w:y="1"/>
      <w:rPr>
        <w:rStyle w:val="24"/>
      </w:rPr>
    </w:pPr>
    <w:r>
      <w:fldChar w:fldCharType="begin"/>
    </w:r>
    <w:r>
      <w:rPr>
        <w:rStyle w:val="24"/>
      </w:rPr>
      <w:instrText xml:space="preserve">PAGE  </w:instrText>
    </w:r>
    <w:r>
      <w:fldChar w:fldCharType="end"/>
    </w:r>
  </w:p>
  <w:p w14:paraId="0BA8A942">
    <w:pPr>
      <w:pStyle w:val="14"/>
      <w:ind w:right="360"/>
    </w:pPr>
  </w:p>
  <w:p w14:paraId="39AC8924"/>
  <w:p w14:paraId="65696C94"/>
  <w:p w14:paraId="1BC3AA0D"/>
  <w:p w14:paraId="1BB96B65"/>
  <w:p w14:paraId="5960A281"/>
  <w:p w14:paraId="5033706D"/>
  <w:p w14:paraId="27143F9C"/>
  <w:p w14:paraId="4380018E"/>
  <w:p w14:paraId="1F79E006"/>
  <w:p w14:paraId="7734C6F5"/>
  <w:p w14:paraId="7CC30ADF"/>
  <w:p w14:paraId="692BF0BF"/>
  <w:p w14:paraId="442BBE7C"/>
  <w:p w14:paraId="75BB3A01"/>
  <w:p w14:paraId="77CBE8F1"/>
  <w:p w14:paraId="0F53DF3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40F7F">
    <w:pPr>
      <w:pStyle w:val="14"/>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8E9F105">
                          <w:pPr>
                            <w:pStyle w:val="14"/>
                          </w:pPr>
                          <w:r>
                            <w:fldChar w:fldCharType="begin"/>
                          </w:r>
                          <w:r>
                            <w:instrText xml:space="preserve"> PAGE  \* MERGEFORMAT </w:instrText>
                          </w:r>
                          <w:r>
                            <w:fldChar w:fldCharType="separate"/>
                          </w:r>
                          <w:r>
                            <w:t>- 106 -</w:t>
                          </w:r>
                          <w:r>
                            <w:fldChar w:fldCharType="end"/>
                          </w:r>
                        </w:p>
                      </w:txbxContent>
                    </wps:txbx>
                    <wps:bodyPr vert="horz" wrap="none" lIns="0" tIns="0" rIns="0" bIns="0" anchor="t" anchorCtr="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Wx9+WtsBAAC6AwAADgAAAAAAAAAB&#10;ACAAAAAfAQAAZHJzL2Uyb0RvYy54bWxQSwUGAAAAAAYABgBZAQAAbAUAAAAA&#10;">
              <v:fill on="f" focussize="0,0"/>
              <v:stroke on="f"/>
              <v:imagedata o:title=""/>
              <o:lock v:ext="edit" aspectratio="f"/>
              <v:textbox inset="0mm,0mm,0mm,0mm" style="mso-fit-shape-to-text:t;">
                <w:txbxContent>
                  <w:p w14:paraId="78E9F105">
                    <w:pPr>
                      <w:pStyle w:val="14"/>
                    </w:pPr>
                    <w:r>
                      <w:fldChar w:fldCharType="begin"/>
                    </w:r>
                    <w:r>
                      <w:instrText xml:space="preserve"> PAGE  \* MERGEFORMAT </w:instrText>
                    </w:r>
                    <w:r>
                      <w:fldChar w:fldCharType="separate"/>
                    </w:r>
                    <w:r>
                      <w:t>- 106 -</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F530">
    <w:pPr>
      <w:pStyle w:val="14"/>
      <w:framePr w:wrap="around" w:vAnchor="text" w:hAnchor="margin" w:xAlign="right" w:y="1"/>
      <w:rPr>
        <w:rStyle w:val="24"/>
      </w:rPr>
    </w:pPr>
    <w:r>
      <w:fldChar w:fldCharType="begin"/>
    </w:r>
    <w:r>
      <w:rPr>
        <w:rStyle w:val="24"/>
      </w:rPr>
      <w:instrText xml:space="preserve">PAGE  </w:instrText>
    </w:r>
    <w:r>
      <w:fldChar w:fldCharType="separate"/>
    </w:r>
    <w:r>
      <w:rPr>
        <w:rStyle w:val="24"/>
      </w:rPr>
      <w:t>34</w:t>
    </w:r>
    <w:r>
      <w:fldChar w:fldCharType="end"/>
    </w:r>
  </w:p>
  <w:p w14:paraId="5C0AA144">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B4C5">
    <w:pPr>
      <w:pStyle w:val="14"/>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51782"/>
                          </w:sdtPr>
                          <w:sdtContent>
                            <w:sdt>
                              <w:sdtPr>
                                <w:id w:val="1728636285"/>
                              </w:sdtPr>
                              <w:sdtContent>
                                <w:p w14:paraId="52FF29B8">
                                  <w:pPr>
                                    <w:pStyle w:val="14"/>
                                    <w:jc w:val="center"/>
                                  </w:pPr>
                                </w:p>
                              </w:sdtContent>
                            </w:sdt>
                          </w:sdtContent>
                        </w:sdt>
                        <w:p w14:paraId="0CB84A45">
                          <w:pPr>
                            <w:pStyle w:val="4"/>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sdt>
                    <w:sdtPr>
                      <w:id w:val="147451782"/>
                    </w:sdtPr>
                    <w:sdtContent>
                      <w:sdt>
                        <w:sdtPr>
                          <w:id w:val="1728636285"/>
                        </w:sdtPr>
                        <w:sdtContent>
                          <w:p w14:paraId="52FF29B8">
                            <w:pPr>
                              <w:pStyle w:val="14"/>
                              <w:jc w:val="center"/>
                            </w:pPr>
                          </w:p>
                        </w:sdtContent>
                      </w:sdt>
                    </w:sdtContent>
                  </w:sdt>
                  <w:p w14:paraId="0CB84A45">
                    <w:pPr>
                      <w:pStyle w:val="4"/>
                      <w:rPr>
                        <w:rFonts w:hint="eastAsia"/>
                      </w:rPr>
                    </w:pPr>
                  </w:p>
                </w:txbxContent>
              </v:textbox>
            </v:shape>
          </w:pict>
        </mc:Fallback>
      </mc:AlternateContent>
    </w:r>
  </w:p>
  <w:p w14:paraId="506FF322">
    <w:pPr>
      <w:pStyle w:val="14"/>
      <w:tabs>
        <w:tab w:val="center" w:pos="4535"/>
        <w:tab w:val="clear" w:pos="4153"/>
        <w:tab w:val="clear" w:pos="8306"/>
      </w:tabs>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A1E6">
    <w:pPr>
      <w:pStyle w:val="14"/>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823C1A">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17823C1A">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260EAA2F">
                          <w:pPr>
                            <w:pStyle w:val="14"/>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O/YPe7NAQAApwMAAA4AAAAAAAAAAQAgAAAAHwEAAGRycy9l&#10;Mm9Eb2MueG1sUEsFBgAAAAAGAAYAWQEAAF4FAAAAAA==&#10;">
              <v:fill on="f" focussize="0,0"/>
              <v:stroke on="f"/>
              <v:imagedata o:title=""/>
              <o:lock v:ext="edit" aspectratio="f"/>
              <v:textbox inset="0mm,0mm,0mm,0mm" style="mso-fit-shape-to-text:t;">
                <w:txbxContent>
                  <w:p w14:paraId="260EAA2F">
                    <w:pPr>
                      <w:pStyle w:val="14"/>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990A">
    <w:pPr>
      <w:pStyle w:val="1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82033"/>
                          </w:sdtPr>
                          <w:sdtContent>
                            <w:sdt>
                              <w:sdtPr>
                                <w:id w:val="147468869"/>
                              </w:sdtPr>
                              <w:sdtContent>
                                <w:p w14:paraId="2E4BB2D0">
                                  <w:pPr>
                                    <w:pStyle w:val="14"/>
                                    <w:jc w:val="center"/>
                                  </w:pPr>
                                </w:p>
                              </w:sdtContent>
                            </w:sdt>
                          </w:sdtContent>
                        </w:sdt>
                        <w:p w14:paraId="4B1AAE22">
                          <w:pPr>
                            <w:pStyle w:val="4"/>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sdt>
                    <w:sdtPr>
                      <w:id w:val="147482033"/>
                    </w:sdtPr>
                    <w:sdtContent>
                      <w:sdt>
                        <w:sdtPr>
                          <w:id w:val="147468869"/>
                        </w:sdtPr>
                        <w:sdtContent>
                          <w:p w14:paraId="2E4BB2D0">
                            <w:pPr>
                              <w:pStyle w:val="14"/>
                              <w:jc w:val="center"/>
                            </w:pPr>
                          </w:p>
                        </w:sdtContent>
                      </w:sdt>
                    </w:sdtContent>
                  </w:sdt>
                  <w:p w14:paraId="4B1AAE22">
                    <w:pPr>
                      <w:pStyle w:val="4"/>
                      <w:rPr>
                        <w:rFonts w:hint="eastAsia"/>
                      </w:rPr>
                    </w:pPr>
                  </w:p>
                </w:txbxContent>
              </v:textbox>
            </v:shape>
          </w:pict>
        </mc:Fallback>
      </mc:AlternateContent>
    </w:r>
  </w:p>
  <w:p w14:paraId="1AC96535">
    <w:pPr>
      <w:pStyle w:val="14"/>
      <w:tabs>
        <w:tab w:val="center" w:pos="4535"/>
        <w:tab w:val="clear" w:pos="4153"/>
        <w:tab w:val="clear" w:pos="8306"/>
      </w:tabs>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4B1B">
    <w:pPr>
      <w:pStyle w:val="14"/>
      <w:rPr>
        <w:rFonts w:ascii="仿宋_GB2312" w:eastAsia="仿宋_GB2312"/>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467154">
                          <w:pPr>
                            <w:pStyle w:val="14"/>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15467154">
                    <w:pPr>
                      <w:pStyle w:val="14"/>
                    </w:pPr>
                    <w:r>
                      <w:fldChar w:fldCharType="begin"/>
                    </w:r>
                    <w:r>
                      <w:instrText xml:space="preserve"> PAGE  \* MERGEFORMAT </w:instrText>
                    </w:r>
                    <w:r>
                      <w:fldChar w:fldCharType="separate"/>
                    </w:r>
                    <w:r>
                      <w:t>- 23 -</w:t>
                    </w:r>
                    <w:r>
                      <w:fldChar w:fldCharType="end"/>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矩形 1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E1F33C6">
                          <w:pPr>
                            <w:pStyle w:val="14"/>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ErgTlTNAQAApwMAAA4AAAAAAAAAAQAgAAAAHwEAAGRycy9l&#10;Mm9Eb2MueG1sUEsFBgAAAAAGAAYAWQEAAF4FAAAAAA==&#10;">
              <v:fill on="f" focussize="0,0"/>
              <v:stroke on="f"/>
              <v:imagedata o:title=""/>
              <o:lock v:ext="edit" aspectratio="f"/>
              <v:textbox inset="0mm,0mm,0mm,0mm" style="mso-fit-shape-to-text:t;">
                <w:txbxContent>
                  <w:p w14:paraId="7E1F33C6">
                    <w:pPr>
                      <w:pStyle w:val="14"/>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0629">
    <w:pPr>
      <w:pStyle w:val="14"/>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4C7023">
                          <w:pPr>
                            <w:pStyle w:val="14"/>
                          </w:pPr>
                          <w:r>
                            <w:fldChar w:fldCharType="begin"/>
                          </w:r>
                          <w:r>
                            <w:instrText xml:space="preserve"> PAGE  \* MERGEFORMAT </w:instrText>
                          </w:r>
                          <w:r>
                            <w:fldChar w:fldCharType="separate"/>
                          </w:r>
                          <w:r>
                            <w:t>- 79 -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354C7023">
                    <w:pPr>
                      <w:pStyle w:val="14"/>
                    </w:pPr>
                    <w:r>
                      <w:fldChar w:fldCharType="begin"/>
                    </w:r>
                    <w:r>
                      <w:instrText xml:space="preserve"> PAGE  \* MERGEFORMAT </w:instrText>
                    </w:r>
                    <w:r>
                      <w:fldChar w:fldCharType="separate"/>
                    </w:r>
                    <w:r>
                      <w:t>- 79 -</w:t>
                    </w:r>
                    <w: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63376"/>
                          </w:sdtPr>
                          <w:sdtContent>
                            <w:sdt>
                              <w:sdtPr>
                                <w:id w:val="246851754"/>
                              </w:sdtPr>
                              <w:sdtContent>
                                <w:p w14:paraId="11DBEE9E">
                                  <w:pPr>
                                    <w:pStyle w:val="14"/>
                                    <w:jc w:val="center"/>
                                  </w:pPr>
                                </w:p>
                              </w:sdtContent>
                            </w:sdt>
                          </w:sdtContent>
                        </w:sdt>
                        <w:p w14:paraId="77CACD03">
                          <w:pPr>
                            <w:pStyle w:val="4"/>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sdt>
                    <w:sdtPr>
                      <w:id w:val="147463376"/>
                    </w:sdtPr>
                    <w:sdtContent>
                      <w:sdt>
                        <w:sdtPr>
                          <w:id w:val="246851754"/>
                        </w:sdtPr>
                        <w:sdtContent>
                          <w:p w14:paraId="11DBEE9E">
                            <w:pPr>
                              <w:pStyle w:val="14"/>
                              <w:jc w:val="center"/>
                            </w:pPr>
                          </w:p>
                        </w:sdtContent>
                      </w:sdt>
                    </w:sdtContent>
                  </w:sdt>
                  <w:p w14:paraId="77CACD03">
                    <w:pPr>
                      <w:pStyle w:val="4"/>
                      <w:rPr>
                        <w:rFonts w:hint="eastAsia"/>
                      </w:rPr>
                    </w:pPr>
                  </w:p>
                </w:txbxContent>
              </v:textbox>
            </v:shape>
          </w:pict>
        </mc:Fallback>
      </mc:AlternateContent>
    </w:r>
  </w:p>
  <w:p w14:paraId="56C2655C">
    <w:pPr>
      <w:pStyle w:val="14"/>
      <w:tabs>
        <w:tab w:val="center" w:pos="4535"/>
        <w:tab w:val="clear" w:pos="4153"/>
        <w:tab w:val="clear" w:pos="8306"/>
      </w:tabs>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3402">
    <w:pPr>
      <w:pStyle w:val="14"/>
      <w:jc w:val="center"/>
      <w:rPr>
        <w:rFonts w:ascii="Times New Roman" w:hAnsi="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A3A5C1">
                          <w:pPr>
                            <w:pStyle w:val="14"/>
                          </w:pPr>
                          <w:r>
                            <w:fldChar w:fldCharType="begin"/>
                          </w:r>
                          <w:r>
                            <w:instrText xml:space="preserve"> PAGE  \* MERGEFORMAT </w:instrText>
                          </w:r>
                          <w:r>
                            <w:fldChar w:fldCharType="separate"/>
                          </w:r>
                          <w:r>
                            <w:t>- 78 -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1A3A5C1">
                    <w:pPr>
                      <w:pStyle w:val="14"/>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2715">
    <w:pPr>
      <w:pStyle w:val="14"/>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6BB052">
                          <w:pPr>
                            <w:pStyle w:val="14"/>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D6BB052">
                    <w:pPr>
                      <w:pStyle w:val="14"/>
                    </w:pPr>
                    <w:r>
                      <w:fldChar w:fldCharType="begin"/>
                    </w:r>
                    <w:r>
                      <w:instrText xml:space="preserve"> PAGE  \* MERGEFORMAT </w:instrText>
                    </w:r>
                    <w:r>
                      <w:fldChar w:fldCharType="separate"/>
                    </w:r>
                    <w:r>
                      <w:t>- 96 -</w:t>
                    </w:r>
                    <w:r>
                      <w:fldChar w:fldCharType="end"/>
                    </w:r>
                  </w:p>
                </w:txbxContent>
              </v:textbox>
            </v:shape>
          </w:pict>
        </mc:Fallback>
      </mc:AlternateContent>
    </w:r>
  </w:p>
  <w:p w14:paraId="565E613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4317">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2589">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B56E0">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40B73">
    <w:pPr>
      <w:pStyle w:val="1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FC419">
    <w:pPr>
      <w:pStyle w:val="1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3A3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FD5BC">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7C057"/>
    <w:multiLevelType w:val="singleLevel"/>
    <w:tmpl w:val="8137C057"/>
    <w:lvl w:ilvl="0" w:tentative="0">
      <w:start w:val="1"/>
      <w:numFmt w:val="decimal"/>
      <w:suff w:val="nothing"/>
      <w:lvlText w:val="%1、"/>
      <w:lvlJc w:val="left"/>
    </w:lvl>
  </w:abstractNum>
  <w:abstractNum w:abstractNumId="1">
    <w:nsid w:val="8877B5A0"/>
    <w:multiLevelType w:val="singleLevel"/>
    <w:tmpl w:val="8877B5A0"/>
    <w:lvl w:ilvl="0" w:tentative="0">
      <w:start w:val="1"/>
      <w:numFmt w:val="decimal"/>
      <w:suff w:val="nothing"/>
      <w:lvlText w:val="%1）"/>
      <w:lvlJc w:val="left"/>
    </w:lvl>
  </w:abstractNum>
  <w:abstractNum w:abstractNumId="2">
    <w:nsid w:val="8E44813D"/>
    <w:multiLevelType w:val="singleLevel"/>
    <w:tmpl w:val="8E44813D"/>
    <w:lvl w:ilvl="0" w:tentative="0">
      <w:start w:val="1"/>
      <w:numFmt w:val="decimal"/>
      <w:suff w:val="nothing"/>
      <w:lvlText w:val="（%1）"/>
      <w:lvlJc w:val="left"/>
    </w:lvl>
  </w:abstractNum>
  <w:abstractNum w:abstractNumId="3">
    <w:nsid w:val="96A90A9C"/>
    <w:multiLevelType w:val="singleLevel"/>
    <w:tmpl w:val="96A90A9C"/>
    <w:lvl w:ilvl="0" w:tentative="0">
      <w:start w:val="1"/>
      <w:numFmt w:val="decimal"/>
      <w:suff w:val="nothing"/>
      <w:lvlText w:val="%1）"/>
      <w:lvlJc w:val="left"/>
    </w:lvl>
  </w:abstractNum>
  <w:abstractNum w:abstractNumId="4">
    <w:nsid w:val="9F247452"/>
    <w:multiLevelType w:val="singleLevel"/>
    <w:tmpl w:val="9F247452"/>
    <w:lvl w:ilvl="0" w:tentative="0">
      <w:start w:val="1"/>
      <w:numFmt w:val="decimal"/>
      <w:suff w:val="nothing"/>
      <w:lvlText w:val="（%1）"/>
      <w:lvlJc w:val="left"/>
    </w:lvl>
  </w:abstractNum>
  <w:abstractNum w:abstractNumId="5">
    <w:nsid w:val="E64BF467"/>
    <w:multiLevelType w:val="singleLevel"/>
    <w:tmpl w:val="E64BF467"/>
    <w:lvl w:ilvl="0" w:tentative="0">
      <w:start w:val="1"/>
      <w:numFmt w:val="decimal"/>
      <w:suff w:val="nothing"/>
      <w:lvlText w:val="%1、"/>
      <w:lvlJc w:val="left"/>
    </w:lvl>
  </w:abstractNum>
  <w:abstractNum w:abstractNumId="6">
    <w:nsid w:val="00000002"/>
    <w:multiLevelType w:val="singleLevel"/>
    <w:tmpl w:val="00000002"/>
    <w:lvl w:ilvl="0" w:tentative="0">
      <w:start w:val="1"/>
      <w:numFmt w:val="chineseCounting"/>
      <w:suff w:val="nothing"/>
      <w:lvlText w:val="%1、"/>
      <w:lvlJc w:val="left"/>
      <w:pPr>
        <w:ind w:left="167" w:firstLine="420"/>
      </w:pPr>
      <w:rPr>
        <w:rFonts w:hint="eastAsia"/>
      </w:rPr>
    </w:lvl>
  </w:abstractNum>
  <w:abstractNum w:abstractNumId="7">
    <w:nsid w:val="00000007"/>
    <w:multiLevelType w:val="singleLevel"/>
    <w:tmpl w:val="00000007"/>
    <w:lvl w:ilvl="0" w:tentative="0">
      <w:start w:val="1"/>
      <w:numFmt w:val="chineseCounting"/>
      <w:suff w:val="nothing"/>
      <w:lvlText w:val="%1、"/>
      <w:lvlJc w:val="left"/>
      <w:pPr>
        <w:ind w:left="0" w:firstLine="420"/>
      </w:pPr>
      <w:rPr>
        <w:rFonts w:hint="eastAsia"/>
      </w:rPr>
    </w:lvl>
  </w:abstractNum>
  <w:abstractNum w:abstractNumId="8">
    <w:nsid w:val="00000009"/>
    <w:multiLevelType w:val="singleLevel"/>
    <w:tmpl w:val="00000009"/>
    <w:lvl w:ilvl="0" w:tentative="0">
      <w:start w:val="1"/>
      <w:numFmt w:val="chineseCounting"/>
      <w:suff w:val="nothing"/>
      <w:lvlText w:val="%1、"/>
      <w:lvlJc w:val="left"/>
      <w:pPr>
        <w:ind w:left="0" w:firstLine="420"/>
      </w:pPr>
      <w:rPr>
        <w:rFonts w:hint="eastAsia"/>
      </w:rPr>
    </w:lvl>
  </w:abstractNum>
  <w:abstractNum w:abstractNumId="9">
    <w:nsid w:val="07131411"/>
    <w:multiLevelType w:val="singleLevel"/>
    <w:tmpl w:val="07131411"/>
    <w:lvl w:ilvl="0" w:tentative="0">
      <w:start w:val="1"/>
      <w:numFmt w:val="decimal"/>
      <w:suff w:val="nothing"/>
      <w:lvlText w:val="%1、"/>
      <w:lvlJc w:val="left"/>
    </w:lvl>
  </w:abstractNum>
  <w:abstractNum w:abstractNumId="10">
    <w:nsid w:val="232EBE4A"/>
    <w:multiLevelType w:val="singleLevel"/>
    <w:tmpl w:val="232EBE4A"/>
    <w:lvl w:ilvl="0" w:tentative="0">
      <w:start w:val="1"/>
      <w:numFmt w:val="chineseCounting"/>
      <w:suff w:val="nothing"/>
      <w:lvlText w:val="%1、"/>
      <w:lvlJc w:val="left"/>
      <w:rPr>
        <w:rFonts w:hint="eastAsia"/>
      </w:rPr>
    </w:lvl>
  </w:abstractNum>
  <w:abstractNum w:abstractNumId="11">
    <w:nsid w:val="269BEC23"/>
    <w:multiLevelType w:val="singleLevel"/>
    <w:tmpl w:val="269BEC23"/>
    <w:lvl w:ilvl="0" w:tentative="0">
      <w:start w:val="1"/>
      <w:numFmt w:val="decimal"/>
      <w:suff w:val="nothing"/>
      <w:lvlText w:val="（%1）"/>
      <w:lvlJc w:val="left"/>
    </w:lvl>
  </w:abstractNum>
  <w:abstractNum w:abstractNumId="12">
    <w:nsid w:val="31183697"/>
    <w:multiLevelType w:val="singleLevel"/>
    <w:tmpl w:val="31183697"/>
    <w:lvl w:ilvl="0" w:tentative="0">
      <w:start w:val="1"/>
      <w:numFmt w:val="decimal"/>
      <w:suff w:val="nothing"/>
      <w:lvlText w:val="%1）"/>
      <w:lvlJc w:val="left"/>
    </w:lvl>
  </w:abstractNum>
  <w:abstractNum w:abstractNumId="13">
    <w:nsid w:val="595F02DF"/>
    <w:multiLevelType w:val="singleLevel"/>
    <w:tmpl w:val="595F02DF"/>
    <w:lvl w:ilvl="0" w:tentative="0">
      <w:start w:val="1"/>
      <w:numFmt w:val="decimal"/>
      <w:suff w:val="nothing"/>
      <w:lvlText w:val="（%1）"/>
      <w:lvlJc w:val="left"/>
    </w:lvl>
  </w:abstractNum>
  <w:abstractNum w:abstractNumId="14">
    <w:nsid w:val="7F66430E"/>
    <w:multiLevelType w:val="multilevel"/>
    <w:tmpl w:val="7F66430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13"/>
  </w:num>
  <w:num w:numId="3">
    <w:abstractNumId w:val="11"/>
  </w:num>
  <w:num w:numId="4">
    <w:abstractNumId w:val="2"/>
  </w:num>
  <w:num w:numId="5">
    <w:abstractNumId w:val="14"/>
  </w:num>
  <w:num w:numId="6">
    <w:abstractNumId w:val="9"/>
  </w:num>
  <w:num w:numId="7">
    <w:abstractNumId w:val="5"/>
  </w:num>
  <w:num w:numId="8">
    <w:abstractNumId w:val="0"/>
  </w:num>
  <w:num w:numId="9">
    <w:abstractNumId w:val="12"/>
  </w:num>
  <w:num w:numId="10">
    <w:abstractNumId w:val="1"/>
  </w:num>
  <w:num w:numId="11">
    <w:abstractNumId w:val="3"/>
  </w:num>
  <w:num w:numId="12">
    <w:abstractNumId w:val="7"/>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saveSubsetFonts/>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lZWJkNjljNjI1ZDU2N2U1MTIyZmM3MGRmZWNkMDkifQ=="/>
    <w:docVar w:name="KSO_WPS_MARK_KEY" w:val="9edffeb0-5765-47be-9016-136933825d09"/>
  </w:docVars>
  <w:rsids>
    <w:rsidRoot w:val="00A70E6F"/>
    <w:rsid w:val="000021EA"/>
    <w:rsid w:val="00005DB8"/>
    <w:rsid w:val="000158D7"/>
    <w:rsid w:val="00031952"/>
    <w:rsid w:val="00041B43"/>
    <w:rsid w:val="000513C1"/>
    <w:rsid w:val="000522D5"/>
    <w:rsid w:val="00054115"/>
    <w:rsid w:val="000725D0"/>
    <w:rsid w:val="00073F85"/>
    <w:rsid w:val="000740D6"/>
    <w:rsid w:val="0008205D"/>
    <w:rsid w:val="0008244B"/>
    <w:rsid w:val="000838A8"/>
    <w:rsid w:val="000871E4"/>
    <w:rsid w:val="000872A0"/>
    <w:rsid w:val="00094A6A"/>
    <w:rsid w:val="00096960"/>
    <w:rsid w:val="000B3A02"/>
    <w:rsid w:val="000B40AE"/>
    <w:rsid w:val="000B79A8"/>
    <w:rsid w:val="000C07ED"/>
    <w:rsid w:val="000C692A"/>
    <w:rsid w:val="000D41EF"/>
    <w:rsid w:val="000E120F"/>
    <w:rsid w:val="000F1068"/>
    <w:rsid w:val="000F31AD"/>
    <w:rsid w:val="000F3745"/>
    <w:rsid w:val="00106727"/>
    <w:rsid w:val="00110370"/>
    <w:rsid w:val="00125528"/>
    <w:rsid w:val="001316F7"/>
    <w:rsid w:val="0013260A"/>
    <w:rsid w:val="001335A2"/>
    <w:rsid w:val="00135CA7"/>
    <w:rsid w:val="00144209"/>
    <w:rsid w:val="00145123"/>
    <w:rsid w:val="00150F6B"/>
    <w:rsid w:val="00166B19"/>
    <w:rsid w:val="001862AF"/>
    <w:rsid w:val="00186B6A"/>
    <w:rsid w:val="001931E9"/>
    <w:rsid w:val="001943CE"/>
    <w:rsid w:val="001A0CA7"/>
    <w:rsid w:val="001B027D"/>
    <w:rsid w:val="001B0D2E"/>
    <w:rsid w:val="001B211C"/>
    <w:rsid w:val="001C1713"/>
    <w:rsid w:val="001C25F6"/>
    <w:rsid w:val="001C3619"/>
    <w:rsid w:val="001D64CA"/>
    <w:rsid w:val="001D79DF"/>
    <w:rsid w:val="001E2468"/>
    <w:rsid w:val="0021272B"/>
    <w:rsid w:val="00214168"/>
    <w:rsid w:val="00220856"/>
    <w:rsid w:val="00223D7F"/>
    <w:rsid w:val="00224776"/>
    <w:rsid w:val="00225B5D"/>
    <w:rsid w:val="00231ADB"/>
    <w:rsid w:val="00241513"/>
    <w:rsid w:val="00244611"/>
    <w:rsid w:val="0026012E"/>
    <w:rsid w:val="00260A0C"/>
    <w:rsid w:val="00261517"/>
    <w:rsid w:val="00266D27"/>
    <w:rsid w:val="00277045"/>
    <w:rsid w:val="00281D4B"/>
    <w:rsid w:val="00294E14"/>
    <w:rsid w:val="0029776E"/>
    <w:rsid w:val="002B12C7"/>
    <w:rsid w:val="002B16CC"/>
    <w:rsid w:val="002C68DC"/>
    <w:rsid w:val="002F0DC5"/>
    <w:rsid w:val="002F29AE"/>
    <w:rsid w:val="002F5B01"/>
    <w:rsid w:val="00305E23"/>
    <w:rsid w:val="00315813"/>
    <w:rsid w:val="00320144"/>
    <w:rsid w:val="00321839"/>
    <w:rsid w:val="00327564"/>
    <w:rsid w:val="003350AE"/>
    <w:rsid w:val="00341CD8"/>
    <w:rsid w:val="00343733"/>
    <w:rsid w:val="0038035A"/>
    <w:rsid w:val="00383C4B"/>
    <w:rsid w:val="0038719C"/>
    <w:rsid w:val="00391622"/>
    <w:rsid w:val="003A0035"/>
    <w:rsid w:val="003A5528"/>
    <w:rsid w:val="003A6B66"/>
    <w:rsid w:val="003B46EF"/>
    <w:rsid w:val="003B501F"/>
    <w:rsid w:val="003C4BEC"/>
    <w:rsid w:val="003D1E83"/>
    <w:rsid w:val="003D74E6"/>
    <w:rsid w:val="003E0EE1"/>
    <w:rsid w:val="003F12AD"/>
    <w:rsid w:val="003F6EEB"/>
    <w:rsid w:val="00410354"/>
    <w:rsid w:val="0045038F"/>
    <w:rsid w:val="0045525C"/>
    <w:rsid w:val="004559C1"/>
    <w:rsid w:val="00476207"/>
    <w:rsid w:val="004827B6"/>
    <w:rsid w:val="00493F12"/>
    <w:rsid w:val="004A78FF"/>
    <w:rsid w:val="004C505D"/>
    <w:rsid w:val="004D41BE"/>
    <w:rsid w:val="004E27CC"/>
    <w:rsid w:val="004E42BC"/>
    <w:rsid w:val="004F621E"/>
    <w:rsid w:val="004F7BB2"/>
    <w:rsid w:val="00501AFC"/>
    <w:rsid w:val="005202BF"/>
    <w:rsid w:val="00536000"/>
    <w:rsid w:val="00541E00"/>
    <w:rsid w:val="00564358"/>
    <w:rsid w:val="00565AA5"/>
    <w:rsid w:val="00566A89"/>
    <w:rsid w:val="005670AC"/>
    <w:rsid w:val="005674F8"/>
    <w:rsid w:val="00576F85"/>
    <w:rsid w:val="005809E9"/>
    <w:rsid w:val="005844D1"/>
    <w:rsid w:val="00596284"/>
    <w:rsid w:val="005B050E"/>
    <w:rsid w:val="005B7E90"/>
    <w:rsid w:val="005B7ED3"/>
    <w:rsid w:val="005C538E"/>
    <w:rsid w:val="005D770D"/>
    <w:rsid w:val="005E2A18"/>
    <w:rsid w:val="00615832"/>
    <w:rsid w:val="0062685D"/>
    <w:rsid w:val="00647301"/>
    <w:rsid w:val="00647900"/>
    <w:rsid w:val="006576FA"/>
    <w:rsid w:val="0066464E"/>
    <w:rsid w:val="00665173"/>
    <w:rsid w:val="006733C3"/>
    <w:rsid w:val="00682AF8"/>
    <w:rsid w:val="006A0E9E"/>
    <w:rsid w:val="006B1DBE"/>
    <w:rsid w:val="006C1D02"/>
    <w:rsid w:val="006C2E1F"/>
    <w:rsid w:val="006C33DE"/>
    <w:rsid w:val="006C4F3F"/>
    <w:rsid w:val="006D5015"/>
    <w:rsid w:val="006E18C5"/>
    <w:rsid w:val="006E5834"/>
    <w:rsid w:val="007124D0"/>
    <w:rsid w:val="00712548"/>
    <w:rsid w:val="00725A1D"/>
    <w:rsid w:val="00725C63"/>
    <w:rsid w:val="00726FAB"/>
    <w:rsid w:val="00727552"/>
    <w:rsid w:val="00735444"/>
    <w:rsid w:val="00744CD6"/>
    <w:rsid w:val="007533BA"/>
    <w:rsid w:val="00757734"/>
    <w:rsid w:val="00775EF7"/>
    <w:rsid w:val="00776EEE"/>
    <w:rsid w:val="007902E0"/>
    <w:rsid w:val="00794153"/>
    <w:rsid w:val="00795D7E"/>
    <w:rsid w:val="007A656D"/>
    <w:rsid w:val="007A7224"/>
    <w:rsid w:val="007A780B"/>
    <w:rsid w:val="007B412C"/>
    <w:rsid w:val="007B4513"/>
    <w:rsid w:val="007C4D5F"/>
    <w:rsid w:val="007C4E80"/>
    <w:rsid w:val="007D1BFC"/>
    <w:rsid w:val="007D359C"/>
    <w:rsid w:val="007D7334"/>
    <w:rsid w:val="007E164B"/>
    <w:rsid w:val="007E39AE"/>
    <w:rsid w:val="007F354B"/>
    <w:rsid w:val="007F5ACB"/>
    <w:rsid w:val="007F68F7"/>
    <w:rsid w:val="00806F59"/>
    <w:rsid w:val="0081098A"/>
    <w:rsid w:val="008207A8"/>
    <w:rsid w:val="00831AEF"/>
    <w:rsid w:val="00851E2F"/>
    <w:rsid w:val="00853BC4"/>
    <w:rsid w:val="00862E20"/>
    <w:rsid w:val="008659C8"/>
    <w:rsid w:val="008744C1"/>
    <w:rsid w:val="00875B96"/>
    <w:rsid w:val="00876E57"/>
    <w:rsid w:val="00882FD5"/>
    <w:rsid w:val="00890C3D"/>
    <w:rsid w:val="008942C9"/>
    <w:rsid w:val="008A4C7A"/>
    <w:rsid w:val="008B0463"/>
    <w:rsid w:val="008C4893"/>
    <w:rsid w:val="008D2CCA"/>
    <w:rsid w:val="008D52ED"/>
    <w:rsid w:val="008D7C41"/>
    <w:rsid w:val="008E2118"/>
    <w:rsid w:val="008F0140"/>
    <w:rsid w:val="008F38F8"/>
    <w:rsid w:val="008F4F49"/>
    <w:rsid w:val="008F6E2D"/>
    <w:rsid w:val="00905B80"/>
    <w:rsid w:val="0090785A"/>
    <w:rsid w:val="00912450"/>
    <w:rsid w:val="00914FC7"/>
    <w:rsid w:val="00924201"/>
    <w:rsid w:val="00926621"/>
    <w:rsid w:val="00932BCD"/>
    <w:rsid w:val="0093515A"/>
    <w:rsid w:val="0094035D"/>
    <w:rsid w:val="00951931"/>
    <w:rsid w:val="00953F3D"/>
    <w:rsid w:val="00960B92"/>
    <w:rsid w:val="00966458"/>
    <w:rsid w:val="00984878"/>
    <w:rsid w:val="009900A9"/>
    <w:rsid w:val="00991E94"/>
    <w:rsid w:val="00993A57"/>
    <w:rsid w:val="0099523A"/>
    <w:rsid w:val="009C0BA4"/>
    <w:rsid w:val="009C7670"/>
    <w:rsid w:val="009E18D4"/>
    <w:rsid w:val="009F1A62"/>
    <w:rsid w:val="009F64CD"/>
    <w:rsid w:val="00A00490"/>
    <w:rsid w:val="00A02CB4"/>
    <w:rsid w:val="00A05F2A"/>
    <w:rsid w:val="00A129B2"/>
    <w:rsid w:val="00A22A49"/>
    <w:rsid w:val="00A50403"/>
    <w:rsid w:val="00A55AC1"/>
    <w:rsid w:val="00A64347"/>
    <w:rsid w:val="00A70C16"/>
    <w:rsid w:val="00A70E6F"/>
    <w:rsid w:val="00A9310D"/>
    <w:rsid w:val="00AA70E1"/>
    <w:rsid w:val="00AB64A3"/>
    <w:rsid w:val="00AC1DA9"/>
    <w:rsid w:val="00AD0A59"/>
    <w:rsid w:val="00AD3DE4"/>
    <w:rsid w:val="00AE06E0"/>
    <w:rsid w:val="00AE0A2D"/>
    <w:rsid w:val="00AF2BE3"/>
    <w:rsid w:val="00AF6CE5"/>
    <w:rsid w:val="00B16BB2"/>
    <w:rsid w:val="00B16C22"/>
    <w:rsid w:val="00B2365C"/>
    <w:rsid w:val="00B32FFA"/>
    <w:rsid w:val="00B360F8"/>
    <w:rsid w:val="00B4223E"/>
    <w:rsid w:val="00B44E82"/>
    <w:rsid w:val="00B51600"/>
    <w:rsid w:val="00B7196C"/>
    <w:rsid w:val="00B723E3"/>
    <w:rsid w:val="00B7467D"/>
    <w:rsid w:val="00B844D6"/>
    <w:rsid w:val="00B94CE1"/>
    <w:rsid w:val="00BC008F"/>
    <w:rsid w:val="00BC4F42"/>
    <w:rsid w:val="00BC5507"/>
    <w:rsid w:val="00BC6572"/>
    <w:rsid w:val="00BD1472"/>
    <w:rsid w:val="00BD2D16"/>
    <w:rsid w:val="00C02F6C"/>
    <w:rsid w:val="00C042F8"/>
    <w:rsid w:val="00C056C2"/>
    <w:rsid w:val="00C10CE3"/>
    <w:rsid w:val="00C41C1C"/>
    <w:rsid w:val="00C45F5D"/>
    <w:rsid w:val="00C5004E"/>
    <w:rsid w:val="00C6190E"/>
    <w:rsid w:val="00C6219D"/>
    <w:rsid w:val="00C64563"/>
    <w:rsid w:val="00C70AB9"/>
    <w:rsid w:val="00C72541"/>
    <w:rsid w:val="00C90416"/>
    <w:rsid w:val="00CA46B3"/>
    <w:rsid w:val="00CC47D7"/>
    <w:rsid w:val="00CD6EB7"/>
    <w:rsid w:val="00CF4213"/>
    <w:rsid w:val="00D011AC"/>
    <w:rsid w:val="00D0788F"/>
    <w:rsid w:val="00D13C5B"/>
    <w:rsid w:val="00D155EC"/>
    <w:rsid w:val="00D17738"/>
    <w:rsid w:val="00D2063F"/>
    <w:rsid w:val="00D24AA8"/>
    <w:rsid w:val="00D50140"/>
    <w:rsid w:val="00D51212"/>
    <w:rsid w:val="00D6402D"/>
    <w:rsid w:val="00D7469A"/>
    <w:rsid w:val="00D92B07"/>
    <w:rsid w:val="00D95E7B"/>
    <w:rsid w:val="00D966C6"/>
    <w:rsid w:val="00DA3D40"/>
    <w:rsid w:val="00DC4413"/>
    <w:rsid w:val="00DC5878"/>
    <w:rsid w:val="00DE2062"/>
    <w:rsid w:val="00DE31F9"/>
    <w:rsid w:val="00E0719D"/>
    <w:rsid w:val="00E158A2"/>
    <w:rsid w:val="00E265B8"/>
    <w:rsid w:val="00E26CF8"/>
    <w:rsid w:val="00E274D1"/>
    <w:rsid w:val="00E3030B"/>
    <w:rsid w:val="00E326C3"/>
    <w:rsid w:val="00E348FA"/>
    <w:rsid w:val="00E36E2F"/>
    <w:rsid w:val="00E43990"/>
    <w:rsid w:val="00E54A8D"/>
    <w:rsid w:val="00E55400"/>
    <w:rsid w:val="00E559E3"/>
    <w:rsid w:val="00E56F0D"/>
    <w:rsid w:val="00E60BBB"/>
    <w:rsid w:val="00E621AC"/>
    <w:rsid w:val="00E637D0"/>
    <w:rsid w:val="00E71BEB"/>
    <w:rsid w:val="00E71ECB"/>
    <w:rsid w:val="00E72E4B"/>
    <w:rsid w:val="00E76F79"/>
    <w:rsid w:val="00E860F8"/>
    <w:rsid w:val="00E86CD0"/>
    <w:rsid w:val="00E87324"/>
    <w:rsid w:val="00E879D4"/>
    <w:rsid w:val="00E922AB"/>
    <w:rsid w:val="00E92583"/>
    <w:rsid w:val="00E93770"/>
    <w:rsid w:val="00E955A2"/>
    <w:rsid w:val="00EA1A9C"/>
    <w:rsid w:val="00EB4B05"/>
    <w:rsid w:val="00EB6A2C"/>
    <w:rsid w:val="00ED0D83"/>
    <w:rsid w:val="00ED5F2A"/>
    <w:rsid w:val="00EF13FD"/>
    <w:rsid w:val="00F0387A"/>
    <w:rsid w:val="00F0652C"/>
    <w:rsid w:val="00F13D93"/>
    <w:rsid w:val="00F259C7"/>
    <w:rsid w:val="00F41F9A"/>
    <w:rsid w:val="00F42A9A"/>
    <w:rsid w:val="00F45E28"/>
    <w:rsid w:val="00F52AD2"/>
    <w:rsid w:val="00F6590E"/>
    <w:rsid w:val="00F7050F"/>
    <w:rsid w:val="00F80AC3"/>
    <w:rsid w:val="00F87232"/>
    <w:rsid w:val="00F923B1"/>
    <w:rsid w:val="00FA0EB2"/>
    <w:rsid w:val="00FC72F5"/>
    <w:rsid w:val="00FD2BD0"/>
    <w:rsid w:val="00FE1403"/>
    <w:rsid w:val="00FE67FF"/>
    <w:rsid w:val="00FE76FF"/>
    <w:rsid w:val="00FF03FA"/>
    <w:rsid w:val="00FF4D4E"/>
    <w:rsid w:val="00FF5DA2"/>
    <w:rsid w:val="00FF7C31"/>
    <w:rsid w:val="011B2836"/>
    <w:rsid w:val="016011B7"/>
    <w:rsid w:val="01AC17EE"/>
    <w:rsid w:val="021B6523"/>
    <w:rsid w:val="025065CD"/>
    <w:rsid w:val="02DA2C44"/>
    <w:rsid w:val="04B740E7"/>
    <w:rsid w:val="050A799C"/>
    <w:rsid w:val="05F87C80"/>
    <w:rsid w:val="05FC1018"/>
    <w:rsid w:val="06467A13"/>
    <w:rsid w:val="06725723"/>
    <w:rsid w:val="06756856"/>
    <w:rsid w:val="0722401D"/>
    <w:rsid w:val="07833FB5"/>
    <w:rsid w:val="07A51FFE"/>
    <w:rsid w:val="07F02590"/>
    <w:rsid w:val="084901AB"/>
    <w:rsid w:val="08695C47"/>
    <w:rsid w:val="08B048C1"/>
    <w:rsid w:val="092B5E19"/>
    <w:rsid w:val="097B56CA"/>
    <w:rsid w:val="098064E2"/>
    <w:rsid w:val="09975F8E"/>
    <w:rsid w:val="0A0045C6"/>
    <w:rsid w:val="0ACB4069"/>
    <w:rsid w:val="0AE70618"/>
    <w:rsid w:val="0B172B96"/>
    <w:rsid w:val="0B5B0684"/>
    <w:rsid w:val="0BF8389A"/>
    <w:rsid w:val="0C8956D3"/>
    <w:rsid w:val="0CF436BD"/>
    <w:rsid w:val="0E431BC9"/>
    <w:rsid w:val="0E4612AA"/>
    <w:rsid w:val="0E5C7765"/>
    <w:rsid w:val="0E7A7496"/>
    <w:rsid w:val="0E9E4764"/>
    <w:rsid w:val="0EC248F6"/>
    <w:rsid w:val="0EEF5584"/>
    <w:rsid w:val="0F3C1368"/>
    <w:rsid w:val="0FA01577"/>
    <w:rsid w:val="0FE95EB3"/>
    <w:rsid w:val="1066216A"/>
    <w:rsid w:val="10D91F2E"/>
    <w:rsid w:val="11666B9B"/>
    <w:rsid w:val="117B618A"/>
    <w:rsid w:val="11D21F61"/>
    <w:rsid w:val="11E608FC"/>
    <w:rsid w:val="12E110C3"/>
    <w:rsid w:val="12EB7C0F"/>
    <w:rsid w:val="132E223D"/>
    <w:rsid w:val="13975E9B"/>
    <w:rsid w:val="13D57270"/>
    <w:rsid w:val="13E7095B"/>
    <w:rsid w:val="13EF7F98"/>
    <w:rsid w:val="140038F1"/>
    <w:rsid w:val="142521B0"/>
    <w:rsid w:val="142A4A85"/>
    <w:rsid w:val="14356B84"/>
    <w:rsid w:val="1449501F"/>
    <w:rsid w:val="145943DD"/>
    <w:rsid w:val="149F2FE4"/>
    <w:rsid w:val="14CF38C9"/>
    <w:rsid w:val="14F73289"/>
    <w:rsid w:val="1535093B"/>
    <w:rsid w:val="158D142F"/>
    <w:rsid w:val="15B02ED1"/>
    <w:rsid w:val="15DB3330"/>
    <w:rsid w:val="15E966DB"/>
    <w:rsid w:val="16016E6E"/>
    <w:rsid w:val="16567FA4"/>
    <w:rsid w:val="16A843D2"/>
    <w:rsid w:val="16A9712A"/>
    <w:rsid w:val="16BD609A"/>
    <w:rsid w:val="16C84D3F"/>
    <w:rsid w:val="16CF309F"/>
    <w:rsid w:val="16E5635C"/>
    <w:rsid w:val="17C06A7D"/>
    <w:rsid w:val="184039D1"/>
    <w:rsid w:val="1864418D"/>
    <w:rsid w:val="18F74FD5"/>
    <w:rsid w:val="19893FBB"/>
    <w:rsid w:val="199D233A"/>
    <w:rsid w:val="1A144F1D"/>
    <w:rsid w:val="1B926040"/>
    <w:rsid w:val="1C0C0055"/>
    <w:rsid w:val="1C7B0984"/>
    <w:rsid w:val="1C7D1AC6"/>
    <w:rsid w:val="1D5C4168"/>
    <w:rsid w:val="1D7617D1"/>
    <w:rsid w:val="1D8A241C"/>
    <w:rsid w:val="1EF9750D"/>
    <w:rsid w:val="1F0F7066"/>
    <w:rsid w:val="1F3A6937"/>
    <w:rsid w:val="202B2591"/>
    <w:rsid w:val="203852C0"/>
    <w:rsid w:val="20554B43"/>
    <w:rsid w:val="205D3640"/>
    <w:rsid w:val="208319DF"/>
    <w:rsid w:val="21DB2C28"/>
    <w:rsid w:val="233A2E7F"/>
    <w:rsid w:val="23BD58B7"/>
    <w:rsid w:val="23E33EF7"/>
    <w:rsid w:val="24091E96"/>
    <w:rsid w:val="241A1A1E"/>
    <w:rsid w:val="24AB32DF"/>
    <w:rsid w:val="24BE6360"/>
    <w:rsid w:val="24C51CED"/>
    <w:rsid w:val="258B5013"/>
    <w:rsid w:val="25B052EC"/>
    <w:rsid w:val="25CF7214"/>
    <w:rsid w:val="25F211C5"/>
    <w:rsid w:val="261B52AC"/>
    <w:rsid w:val="265A7BF7"/>
    <w:rsid w:val="268F3CCF"/>
    <w:rsid w:val="26A1499A"/>
    <w:rsid w:val="26DF24AF"/>
    <w:rsid w:val="26E256DE"/>
    <w:rsid w:val="27066EBD"/>
    <w:rsid w:val="270B0629"/>
    <w:rsid w:val="273D709E"/>
    <w:rsid w:val="274B0436"/>
    <w:rsid w:val="279910F5"/>
    <w:rsid w:val="27E46587"/>
    <w:rsid w:val="27EF19C1"/>
    <w:rsid w:val="2848086C"/>
    <w:rsid w:val="288F376C"/>
    <w:rsid w:val="28B65EDD"/>
    <w:rsid w:val="291E3061"/>
    <w:rsid w:val="297509EB"/>
    <w:rsid w:val="29996C84"/>
    <w:rsid w:val="29C10069"/>
    <w:rsid w:val="29FD63A4"/>
    <w:rsid w:val="2A283EED"/>
    <w:rsid w:val="2B4B0515"/>
    <w:rsid w:val="2B515454"/>
    <w:rsid w:val="2B544E18"/>
    <w:rsid w:val="2BDD1918"/>
    <w:rsid w:val="2C6B4EB1"/>
    <w:rsid w:val="2C761DD5"/>
    <w:rsid w:val="2D557C0A"/>
    <w:rsid w:val="2D7B4196"/>
    <w:rsid w:val="2D826940"/>
    <w:rsid w:val="2D86362E"/>
    <w:rsid w:val="2DC24DA4"/>
    <w:rsid w:val="2DE709D9"/>
    <w:rsid w:val="2E564434"/>
    <w:rsid w:val="2E904443"/>
    <w:rsid w:val="2E91745E"/>
    <w:rsid w:val="2EC62136"/>
    <w:rsid w:val="2EE66870"/>
    <w:rsid w:val="2F65488E"/>
    <w:rsid w:val="30332B06"/>
    <w:rsid w:val="30780C72"/>
    <w:rsid w:val="308F13B7"/>
    <w:rsid w:val="310422C6"/>
    <w:rsid w:val="311F22C5"/>
    <w:rsid w:val="32021F9A"/>
    <w:rsid w:val="32180206"/>
    <w:rsid w:val="321D1044"/>
    <w:rsid w:val="323C405C"/>
    <w:rsid w:val="3244493F"/>
    <w:rsid w:val="32CE4D68"/>
    <w:rsid w:val="32F83A56"/>
    <w:rsid w:val="33705E1F"/>
    <w:rsid w:val="33BB36FB"/>
    <w:rsid w:val="33CB4D3C"/>
    <w:rsid w:val="3435194D"/>
    <w:rsid w:val="34A9116C"/>
    <w:rsid w:val="34E575A9"/>
    <w:rsid w:val="35015124"/>
    <w:rsid w:val="35430815"/>
    <w:rsid w:val="3597347E"/>
    <w:rsid w:val="3695083C"/>
    <w:rsid w:val="36AC538C"/>
    <w:rsid w:val="370F139B"/>
    <w:rsid w:val="37AD190A"/>
    <w:rsid w:val="37B81D99"/>
    <w:rsid w:val="37FF03AB"/>
    <w:rsid w:val="3818194D"/>
    <w:rsid w:val="38381C50"/>
    <w:rsid w:val="38574B01"/>
    <w:rsid w:val="387421C3"/>
    <w:rsid w:val="38A30A45"/>
    <w:rsid w:val="38DF5752"/>
    <w:rsid w:val="39023D1C"/>
    <w:rsid w:val="391334D5"/>
    <w:rsid w:val="39283988"/>
    <w:rsid w:val="397F0B6A"/>
    <w:rsid w:val="39917C14"/>
    <w:rsid w:val="39B349C4"/>
    <w:rsid w:val="39B45A17"/>
    <w:rsid w:val="39BD514C"/>
    <w:rsid w:val="39EC0F59"/>
    <w:rsid w:val="3A032F0F"/>
    <w:rsid w:val="3A345DE2"/>
    <w:rsid w:val="3A3F1591"/>
    <w:rsid w:val="3A6D30B9"/>
    <w:rsid w:val="3AF166D3"/>
    <w:rsid w:val="3B966D48"/>
    <w:rsid w:val="3BB0384D"/>
    <w:rsid w:val="3C575DCE"/>
    <w:rsid w:val="3C683897"/>
    <w:rsid w:val="3D656AAB"/>
    <w:rsid w:val="3DF95994"/>
    <w:rsid w:val="3E2C116A"/>
    <w:rsid w:val="3E5705EC"/>
    <w:rsid w:val="3EFF570A"/>
    <w:rsid w:val="3F377B07"/>
    <w:rsid w:val="3F4E6449"/>
    <w:rsid w:val="3F5D789B"/>
    <w:rsid w:val="3F6F0F14"/>
    <w:rsid w:val="40322CEE"/>
    <w:rsid w:val="408A7E59"/>
    <w:rsid w:val="408D0011"/>
    <w:rsid w:val="411C75E7"/>
    <w:rsid w:val="41241D87"/>
    <w:rsid w:val="419564C4"/>
    <w:rsid w:val="41F03361"/>
    <w:rsid w:val="42204B02"/>
    <w:rsid w:val="425E7DDB"/>
    <w:rsid w:val="43754D8C"/>
    <w:rsid w:val="43882A36"/>
    <w:rsid w:val="43F9521A"/>
    <w:rsid w:val="44412E25"/>
    <w:rsid w:val="446612A5"/>
    <w:rsid w:val="44662D67"/>
    <w:rsid w:val="44740206"/>
    <w:rsid w:val="44E977E0"/>
    <w:rsid w:val="453F2C83"/>
    <w:rsid w:val="45A706E8"/>
    <w:rsid w:val="45CA7003"/>
    <w:rsid w:val="45F42A76"/>
    <w:rsid w:val="46430217"/>
    <w:rsid w:val="46CE1383"/>
    <w:rsid w:val="46E110B6"/>
    <w:rsid w:val="47092E00"/>
    <w:rsid w:val="47495ACF"/>
    <w:rsid w:val="47BC742D"/>
    <w:rsid w:val="47EE422E"/>
    <w:rsid w:val="47F1647E"/>
    <w:rsid w:val="47F37A07"/>
    <w:rsid w:val="482A673E"/>
    <w:rsid w:val="483F758D"/>
    <w:rsid w:val="4842272E"/>
    <w:rsid w:val="484F32FA"/>
    <w:rsid w:val="485E5818"/>
    <w:rsid w:val="48A00225"/>
    <w:rsid w:val="48CF43A7"/>
    <w:rsid w:val="48EE631A"/>
    <w:rsid w:val="49144FC6"/>
    <w:rsid w:val="4998533C"/>
    <w:rsid w:val="49E0382C"/>
    <w:rsid w:val="4A771A20"/>
    <w:rsid w:val="4AB41779"/>
    <w:rsid w:val="4B053EF4"/>
    <w:rsid w:val="4B7F3080"/>
    <w:rsid w:val="4C3D2408"/>
    <w:rsid w:val="4C5D2861"/>
    <w:rsid w:val="4C751E3C"/>
    <w:rsid w:val="4D6771EE"/>
    <w:rsid w:val="4D8B49CD"/>
    <w:rsid w:val="4DCE1C69"/>
    <w:rsid w:val="4E000DB2"/>
    <w:rsid w:val="4E217FEA"/>
    <w:rsid w:val="4E3A302A"/>
    <w:rsid w:val="4E936887"/>
    <w:rsid w:val="4EBC35DA"/>
    <w:rsid w:val="4ED86A7B"/>
    <w:rsid w:val="4EDD10DA"/>
    <w:rsid w:val="4F0613E2"/>
    <w:rsid w:val="4F5231D0"/>
    <w:rsid w:val="4F744F76"/>
    <w:rsid w:val="4F835ABD"/>
    <w:rsid w:val="4F8627FB"/>
    <w:rsid w:val="4FB90FAB"/>
    <w:rsid w:val="4FD5765B"/>
    <w:rsid w:val="50A373DC"/>
    <w:rsid w:val="50D207B0"/>
    <w:rsid w:val="511B2E12"/>
    <w:rsid w:val="51776523"/>
    <w:rsid w:val="523F49DA"/>
    <w:rsid w:val="52546BE0"/>
    <w:rsid w:val="526C0908"/>
    <w:rsid w:val="527F4ACD"/>
    <w:rsid w:val="52F12C0B"/>
    <w:rsid w:val="539D0B39"/>
    <w:rsid w:val="53A81690"/>
    <w:rsid w:val="544B18C7"/>
    <w:rsid w:val="547C3048"/>
    <w:rsid w:val="551268DF"/>
    <w:rsid w:val="552A3C28"/>
    <w:rsid w:val="559F045C"/>
    <w:rsid w:val="55F34962"/>
    <w:rsid w:val="56420183"/>
    <w:rsid w:val="567E7F94"/>
    <w:rsid w:val="569128EB"/>
    <w:rsid w:val="56BC4D54"/>
    <w:rsid w:val="56DA2487"/>
    <w:rsid w:val="56E3132F"/>
    <w:rsid w:val="57270C06"/>
    <w:rsid w:val="57821E60"/>
    <w:rsid w:val="57B119F0"/>
    <w:rsid w:val="57B20C9F"/>
    <w:rsid w:val="57B54E79"/>
    <w:rsid w:val="57EBA9DD"/>
    <w:rsid w:val="57F10958"/>
    <w:rsid w:val="57FD034E"/>
    <w:rsid w:val="582E6D3D"/>
    <w:rsid w:val="583059FA"/>
    <w:rsid w:val="585E3021"/>
    <w:rsid w:val="58BF58DD"/>
    <w:rsid w:val="58EB4A63"/>
    <w:rsid w:val="58F266B0"/>
    <w:rsid w:val="594C40CB"/>
    <w:rsid w:val="59917807"/>
    <w:rsid w:val="5A525157"/>
    <w:rsid w:val="5A7F35D4"/>
    <w:rsid w:val="5AED696B"/>
    <w:rsid w:val="5B065188"/>
    <w:rsid w:val="5B982FBB"/>
    <w:rsid w:val="5C3009DC"/>
    <w:rsid w:val="5C643EC4"/>
    <w:rsid w:val="5D1030CF"/>
    <w:rsid w:val="5D18339A"/>
    <w:rsid w:val="5D231673"/>
    <w:rsid w:val="5E09664F"/>
    <w:rsid w:val="5E456647"/>
    <w:rsid w:val="5E831D50"/>
    <w:rsid w:val="5E922FD2"/>
    <w:rsid w:val="5EBA0F8E"/>
    <w:rsid w:val="5F40103E"/>
    <w:rsid w:val="5F465360"/>
    <w:rsid w:val="5F923EE4"/>
    <w:rsid w:val="5FCA7333"/>
    <w:rsid w:val="602F6291"/>
    <w:rsid w:val="609445B6"/>
    <w:rsid w:val="61134590"/>
    <w:rsid w:val="61430767"/>
    <w:rsid w:val="614657F7"/>
    <w:rsid w:val="61DE449B"/>
    <w:rsid w:val="61F03FC3"/>
    <w:rsid w:val="623546D3"/>
    <w:rsid w:val="62E42DEA"/>
    <w:rsid w:val="63442359"/>
    <w:rsid w:val="635A1B7D"/>
    <w:rsid w:val="63AE70CC"/>
    <w:rsid w:val="648F1B60"/>
    <w:rsid w:val="649D6E18"/>
    <w:rsid w:val="64D75DAF"/>
    <w:rsid w:val="650C11A9"/>
    <w:rsid w:val="656B6E54"/>
    <w:rsid w:val="65B328BB"/>
    <w:rsid w:val="65B8187B"/>
    <w:rsid w:val="65E144AD"/>
    <w:rsid w:val="65E322FD"/>
    <w:rsid w:val="66091638"/>
    <w:rsid w:val="660F2D5B"/>
    <w:rsid w:val="66590CC0"/>
    <w:rsid w:val="669C425A"/>
    <w:rsid w:val="66BA3FC9"/>
    <w:rsid w:val="66FA55D7"/>
    <w:rsid w:val="670E1A3D"/>
    <w:rsid w:val="672B425B"/>
    <w:rsid w:val="676E627A"/>
    <w:rsid w:val="67BA079E"/>
    <w:rsid w:val="67BA53FD"/>
    <w:rsid w:val="680053E9"/>
    <w:rsid w:val="683353DE"/>
    <w:rsid w:val="688D2E59"/>
    <w:rsid w:val="68DF5666"/>
    <w:rsid w:val="69BF5BAB"/>
    <w:rsid w:val="69CC69AB"/>
    <w:rsid w:val="69CF4947"/>
    <w:rsid w:val="69D22EED"/>
    <w:rsid w:val="6A077D1A"/>
    <w:rsid w:val="6A527A52"/>
    <w:rsid w:val="6A815B2D"/>
    <w:rsid w:val="6AA633AF"/>
    <w:rsid w:val="6C0639B2"/>
    <w:rsid w:val="6C066565"/>
    <w:rsid w:val="6C6A1197"/>
    <w:rsid w:val="6CCC6589"/>
    <w:rsid w:val="6CF54612"/>
    <w:rsid w:val="6D6C2BD8"/>
    <w:rsid w:val="6D812A5E"/>
    <w:rsid w:val="6DFD1FA2"/>
    <w:rsid w:val="6E16447B"/>
    <w:rsid w:val="6E202BFC"/>
    <w:rsid w:val="6E4708CF"/>
    <w:rsid w:val="6E6E2980"/>
    <w:rsid w:val="6EF47F2E"/>
    <w:rsid w:val="6F245F45"/>
    <w:rsid w:val="6F362620"/>
    <w:rsid w:val="6FC610C2"/>
    <w:rsid w:val="6FFF1D0E"/>
    <w:rsid w:val="700A00B0"/>
    <w:rsid w:val="70142E10"/>
    <w:rsid w:val="704113DB"/>
    <w:rsid w:val="70587444"/>
    <w:rsid w:val="70A3794F"/>
    <w:rsid w:val="714C335C"/>
    <w:rsid w:val="7157253C"/>
    <w:rsid w:val="71593474"/>
    <w:rsid w:val="71636D41"/>
    <w:rsid w:val="721A399F"/>
    <w:rsid w:val="721C7224"/>
    <w:rsid w:val="723824B6"/>
    <w:rsid w:val="730438B3"/>
    <w:rsid w:val="73781BAB"/>
    <w:rsid w:val="741915E0"/>
    <w:rsid w:val="7436188B"/>
    <w:rsid w:val="74AD702A"/>
    <w:rsid w:val="75BF6AC6"/>
    <w:rsid w:val="75C630A2"/>
    <w:rsid w:val="761756AB"/>
    <w:rsid w:val="769D0054"/>
    <w:rsid w:val="76B26B51"/>
    <w:rsid w:val="76BC3479"/>
    <w:rsid w:val="76FA5E62"/>
    <w:rsid w:val="771812E8"/>
    <w:rsid w:val="77605809"/>
    <w:rsid w:val="77DD6447"/>
    <w:rsid w:val="77E836A2"/>
    <w:rsid w:val="7822128F"/>
    <w:rsid w:val="78886026"/>
    <w:rsid w:val="788F6B7A"/>
    <w:rsid w:val="79925D54"/>
    <w:rsid w:val="79B0116E"/>
    <w:rsid w:val="79C93266"/>
    <w:rsid w:val="7BAA4093"/>
    <w:rsid w:val="7BAC2D3A"/>
    <w:rsid w:val="7D450BB5"/>
    <w:rsid w:val="7D561FF7"/>
    <w:rsid w:val="7D997846"/>
    <w:rsid w:val="7D9F6B1D"/>
    <w:rsid w:val="7E103090"/>
    <w:rsid w:val="7E6C3952"/>
    <w:rsid w:val="7E725B75"/>
    <w:rsid w:val="7E7E4724"/>
    <w:rsid w:val="7EA85A3A"/>
    <w:rsid w:val="7EAD3CD9"/>
    <w:rsid w:val="7EB75C7D"/>
    <w:rsid w:val="7EE03104"/>
    <w:rsid w:val="7EE66563"/>
    <w:rsid w:val="7EF01004"/>
    <w:rsid w:val="7F1639E3"/>
    <w:rsid w:val="7F5641E7"/>
    <w:rsid w:val="7F996E88"/>
    <w:rsid w:val="7FF229F2"/>
    <w:rsid w:val="84DBDC6E"/>
    <w:rsid w:val="DEDF64FE"/>
    <w:rsid w:val="EFDDCAFC"/>
    <w:rsid w:val="F9BD4C96"/>
    <w:rsid w:val="FAFFC954"/>
    <w:rsid w:val="FDEE5A81"/>
    <w:rsid w:val="FF8FD680"/>
    <w:rsid w:val="FFBF6B04"/>
    <w:rsid w:val="FFF7BD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9"/>
    <w:pPr>
      <w:keepNext/>
      <w:tabs>
        <w:tab w:val="left" w:pos="432"/>
      </w:tabs>
      <w:ind w:left="432"/>
      <w:outlineLvl w:val="1"/>
    </w:pPr>
    <w:rPr>
      <w:rFonts w:cs="宋体" w:asciiTheme="majorEastAsia" w:hAnsiTheme="majorEastAsia" w:eastAsiaTheme="majorEastAsia"/>
      <w:b/>
      <w:bCs/>
      <w:snapToGrid w:val="0"/>
      <w:sz w:val="28"/>
      <w:szCs w:val="28"/>
      <w:lang w:val="zh-CN"/>
    </w:rPr>
  </w:style>
  <w:style w:type="paragraph" w:styleId="5">
    <w:name w:val="heading 3"/>
    <w:basedOn w:val="1"/>
    <w:next w:val="6"/>
    <w:qFormat/>
    <w:uiPriority w:val="0"/>
    <w:pPr>
      <w:keepNext/>
      <w:snapToGrid w:val="0"/>
      <w:spacing w:before="260" w:after="260"/>
      <w:ind w:firstLine="422"/>
      <w:outlineLvl w:val="2"/>
    </w:pPr>
    <w:rPr>
      <w:rFonts w:asciiTheme="minorEastAsia" w:hAnsiTheme="minorEastAsia" w:eastAsiaTheme="minorEastAsia"/>
      <w:b/>
      <w:szCs w:val="21"/>
    </w:rPr>
  </w:style>
  <w:style w:type="paragraph" w:styleId="7">
    <w:name w:val="heading 4"/>
    <w:basedOn w:val="1"/>
    <w:next w:val="1"/>
    <w:link w:val="5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qFormat/>
    <w:uiPriority w:val="0"/>
    <w:pPr>
      <w:keepNext/>
      <w:keepLines/>
      <w:tabs>
        <w:tab w:val="left" w:pos="1008"/>
      </w:tabs>
      <w:spacing w:before="280" w:after="290" w:line="376" w:lineRule="auto"/>
      <w:ind w:left="1008" w:hanging="1008"/>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next w:val="1"/>
    <w:link w:val="48"/>
    <w:qFormat/>
    <w:uiPriority w:val="0"/>
    <w:pPr>
      <w:widowControl/>
      <w:snapToGrid w:val="0"/>
      <w:spacing w:line="480" w:lineRule="exact"/>
      <w:ind w:firstLine="567"/>
    </w:pPr>
    <w:rPr>
      <w:rFonts w:ascii="宋体"/>
      <w:snapToGrid w:val="0"/>
      <w:color w:val="000000"/>
      <w:kern w:val="28"/>
      <w:sz w:val="28"/>
      <w:szCs w:val="20"/>
    </w:rPr>
  </w:style>
  <w:style w:type="paragraph" w:styleId="9">
    <w:name w:val="annotation text"/>
    <w:basedOn w:val="1"/>
    <w:semiHidden/>
    <w:unhideWhenUsed/>
    <w:qFormat/>
    <w:uiPriority w:val="99"/>
    <w:pPr>
      <w:jc w:val="left"/>
    </w:pPr>
  </w:style>
  <w:style w:type="paragraph" w:styleId="10">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1">
    <w:name w:val="Body Text Indent"/>
    <w:basedOn w:val="1"/>
    <w:qFormat/>
    <w:uiPriority w:val="0"/>
    <w:pPr>
      <w:spacing w:line="480" w:lineRule="exact"/>
      <w:ind w:firstLine="480" w:firstLineChars="200"/>
    </w:pPr>
    <w:rPr>
      <w:rFonts w:ascii="宋体" w:hAnsi="宋体"/>
      <w:sz w:val="24"/>
    </w:rPr>
  </w:style>
  <w:style w:type="paragraph" w:styleId="12">
    <w:name w:val="Plain Text"/>
    <w:basedOn w:val="1"/>
    <w:qFormat/>
    <w:uiPriority w:val="0"/>
    <w:rPr>
      <w:rFonts w:ascii="宋体" w:hAnsi="Courier New" w:cs="Arial"/>
      <w:snapToGrid w:val="0"/>
      <w:szCs w:val="21"/>
    </w:rPr>
  </w:style>
  <w:style w:type="paragraph" w:styleId="13">
    <w:name w:val="Balloon Text"/>
    <w:basedOn w:val="1"/>
    <w:link w:val="31"/>
    <w:unhideWhenUsed/>
    <w:qFormat/>
    <w:uiPriority w:val="99"/>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6"/>
    <w:basedOn w:val="1"/>
    <w:next w:val="1"/>
    <w:qFormat/>
    <w:uiPriority w:val="0"/>
    <w:pPr>
      <w:ind w:left="2100" w:leftChars="1000"/>
    </w:pPr>
  </w:style>
  <w:style w:type="paragraph" w:styleId="17">
    <w:name w:val="Body Text 2"/>
    <w:basedOn w:val="1"/>
    <w:qFormat/>
    <w:uiPriority w:val="0"/>
    <w:rPr>
      <w:rFonts w:ascii="楷体_GB2312" w:eastAsia="黑体"/>
      <w:b/>
      <w:sz w:val="52"/>
      <w:szCs w:val="52"/>
    </w:rPr>
  </w:style>
  <w:style w:type="paragraph" w:styleId="18">
    <w:name w:val="Normal (Web)"/>
    <w:basedOn w:val="1"/>
    <w:qFormat/>
    <w:uiPriority w:val="99"/>
    <w:pPr>
      <w:widowControl/>
      <w:spacing w:before="100" w:beforeAutospacing="1" w:after="100" w:afterAutospacing="1"/>
      <w:jc w:val="left"/>
    </w:pPr>
    <w:rPr>
      <w:rFonts w:ascii="宋体" w:hAnsi="宋体"/>
      <w:kern w:val="0"/>
      <w:sz w:val="24"/>
    </w:rPr>
  </w:style>
  <w:style w:type="paragraph" w:styleId="19">
    <w:name w:val="Body Text First Indent"/>
    <w:basedOn w:val="10"/>
    <w:next w:val="1"/>
    <w:qFormat/>
    <w:uiPriority w:val="0"/>
    <w:pPr>
      <w:ind w:firstLine="420"/>
    </w:pPr>
    <w:rPr>
      <w:rFonts w:hAnsi="Calibri" w:cs="Times New Roman"/>
      <w:snapToGrid/>
      <w:szCs w:val="20"/>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rPr>
      <w:rFonts w:ascii="Arial" w:hAnsi="Arial" w:eastAsia="黑体" w:cs="Arial"/>
      <w:snapToGrid w:val="0"/>
      <w:kern w:val="0"/>
      <w:szCs w:val="21"/>
    </w:rPr>
  </w:style>
  <w:style w:type="character" w:styleId="25">
    <w:name w:val="Hyperlink"/>
    <w:qFormat/>
    <w:uiPriority w:val="99"/>
    <w:rPr>
      <w:rFonts w:ascii="Arial" w:hAnsi="Arial" w:eastAsia="黑体" w:cs="Arial"/>
      <w:snapToGrid w:val="0"/>
      <w:color w:val="000000"/>
      <w:kern w:val="0"/>
      <w:sz w:val="18"/>
      <w:szCs w:val="18"/>
      <w:u w:val="none"/>
    </w:rPr>
  </w:style>
  <w:style w:type="character" w:styleId="26">
    <w:name w:val="annotation reference"/>
    <w:qFormat/>
    <w:uiPriority w:val="0"/>
    <w:rPr>
      <w:sz w:val="21"/>
      <w:szCs w:val="21"/>
    </w:rPr>
  </w:style>
  <w:style w:type="paragraph" w:customStyle="1" w:styleId="27">
    <w:name w:val="Body Text First Indent1"/>
    <w:basedOn w:val="10"/>
    <w:qFormat/>
    <w:uiPriority w:val="0"/>
    <w:pPr>
      <w:tabs>
        <w:tab w:val="left" w:pos="1275"/>
      </w:tabs>
      <w:ind w:firstLine="420" w:firstLineChars="100"/>
    </w:pPr>
  </w:style>
  <w:style w:type="paragraph" w:customStyle="1" w:styleId="28">
    <w:name w:val="表格文字"/>
    <w:basedOn w:val="1"/>
    <w:next w:val="10"/>
    <w:qFormat/>
    <w:uiPriority w:val="0"/>
    <w:pPr>
      <w:adjustRightInd w:val="0"/>
      <w:spacing w:line="420" w:lineRule="atLeast"/>
      <w:textAlignment w:val="baseline"/>
    </w:pPr>
  </w:style>
  <w:style w:type="paragraph" w:customStyle="1" w:styleId="29">
    <w:name w:val="Default"/>
    <w:next w:val="3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31">
    <w:name w:val="批注框文本 字符"/>
    <w:link w:val="13"/>
    <w:semiHidden/>
    <w:qFormat/>
    <w:uiPriority w:val="99"/>
    <w:rPr>
      <w:sz w:val="18"/>
      <w:szCs w:val="18"/>
    </w:rPr>
  </w:style>
  <w:style w:type="character" w:customStyle="1" w:styleId="32">
    <w:name w:val="页脚 字符"/>
    <w:link w:val="14"/>
    <w:qFormat/>
    <w:uiPriority w:val="99"/>
    <w:rPr>
      <w:kern w:val="2"/>
      <w:sz w:val="18"/>
      <w:szCs w:val="18"/>
    </w:rPr>
  </w:style>
  <w:style w:type="character" w:customStyle="1" w:styleId="33">
    <w:name w:val="页眉 字符"/>
    <w:link w:val="15"/>
    <w:qFormat/>
    <w:uiPriority w:val="99"/>
    <w:rPr>
      <w:kern w:val="2"/>
      <w:sz w:val="18"/>
      <w:szCs w:val="18"/>
    </w:rPr>
  </w:style>
  <w:style w:type="paragraph" w:customStyle="1" w:styleId="34">
    <w:name w:val="正文文字"/>
    <w:basedOn w:val="1"/>
    <w:qFormat/>
    <w:uiPriority w:val="0"/>
    <w:pPr>
      <w:widowControl/>
      <w:spacing w:line="952" w:lineRule="atLeast"/>
      <w:ind w:firstLine="419"/>
      <w:textAlignment w:val="baseline"/>
    </w:pPr>
    <w:rPr>
      <w:b/>
      <w:color w:val="000000"/>
      <w:sz w:val="44"/>
    </w:rPr>
  </w:style>
  <w:style w:type="paragraph" w:customStyle="1" w:styleId="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36">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正文2"/>
    <w:basedOn w:val="1"/>
    <w:qFormat/>
    <w:uiPriority w:val="0"/>
    <w:pPr>
      <w:spacing w:before="156" w:line="360" w:lineRule="auto"/>
      <w:ind w:firstLine="510" w:firstLineChars="200"/>
    </w:pPr>
    <w:rPr>
      <w:sz w:val="24"/>
      <w:szCs w:val="20"/>
    </w:rPr>
  </w:style>
  <w:style w:type="paragraph" w:customStyle="1" w:styleId="3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9">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
    <w:name w:val="索引 11"/>
    <w:basedOn w:val="1"/>
    <w:next w:val="1"/>
    <w:qFormat/>
    <w:uiPriority w:val="99"/>
    <w:pPr>
      <w:spacing w:line="360" w:lineRule="auto"/>
    </w:pPr>
    <w:rPr>
      <w:rFonts w:ascii="仿宋_GB2312" w:eastAsia="仿宋_GB2312"/>
      <w:sz w:val="24"/>
      <w:szCs w:val="20"/>
    </w:rPr>
  </w:style>
  <w:style w:type="paragraph" w:customStyle="1" w:styleId="41">
    <w:name w:val="纯文本1"/>
    <w:basedOn w:val="1"/>
    <w:qFormat/>
    <w:uiPriority w:val="0"/>
    <w:rPr>
      <w:rFonts w:ascii="宋体" w:hAnsi="Courier New"/>
      <w:kern w:val="0"/>
      <w:sz w:val="20"/>
      <w:szCs w:val="20"/>
    </w:rPr>
  </w:style>
  <w:style w:type="paragraph" w:customStyle="1" w:styleId="42">
    <w:name w:val="text-tag"/>
    <w:basedOn w:val="1"/>
    <w:qFormat/>
    <w:uiPriority w:val="99"/>
    <w:pPr>
      <w:widowControl/>
      <w:spacing w:before="100" w:beforeAutospacing="1" w:after="100" w:afterAutospacing="1"/>
      <w:jc w:val="left"/>
    </w:pPr>
    <w:rPr>
      <w:rFonts w:ascii="宋体" w:hAnsi="宋体" w:cs="宋体"/>
      <w:kern w:val="0"/>
      <w:sz w:val="24"/>
    </w:rPr>
  </w:style>
  <w:style w:type="paragraph" w:customStyle="1" w:styleId="43">
    <w:name w:val="纯文本_0_0"/>
    <w:basedOn w:val="44"/>
    <w:qFormat/>
    <w:uiPriority w:val="0"/>
    <w:rPr>
      <w:rFonts w:ascii="宋体" w:hAnsi="Courier New"/>
      <w:szCs w:val="21"/>
    </w:rPr>
  </w:style>
  <w:style w:type="paragraph" w:customStyle="1" w:styleId="4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Table Paragraph"/>
    <w:basedOn w:val="1"/>
    <w:qFormat/>
    <w:uiPriority w:val="1"/>
    <w:pPr>
      <w:jc w:val="left"/>
    </w:pPr>
    <w:rPr>
      <w:kern w:val="0"/>
      <w:sz w:val="22"/>
      <w:lang w:eastAsia="en-US"/>
    </w:rPr>
  </w:style>
  <w:style w:type="paragraph" w:customStyle="1" w:styleId="4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47">
    <w:name w:val="font01"/>
    <w:basedOn w:val="22"/>
    <w:qFormat/>
    <w:uiPriority w:val="0"/>
    <w:rPr>
      <w:rFonts w:hint="eastAsia" w:ascii="仿宋" w:hAnsi="仿宋" w:eastAsia="仿宋" w:cs="仿宋"/>
      <w:color w:val="C00000"/>
      <w:sz w:val="24"/>
      <w:szCs w:val="24"/>
      <w:u w:val="none"/>
    </w:rPr>
  </w:style>
  <w:style w:type="character" w:customStyle="1" w:styleId="48">
    <w:name w:val="正文缩进 字符"/>
    <w:link w:val="6"/>
    <w:qFormat/>
    <w:uiPriority w:val="0"/>
    <w:rPr>
      <w:rFonts w:ascii="宋体" w:hAnsi="Calibri"/>
      <w:snapToGrid w:val="0"/>
      <w:color w:val="000000"/>
      <w:kern w:val="28"/>
      <w:sz w:val="28"/>
    </w:rPr>
  </w:style>
  <w:style w:type="character" w:customStyle="1" w:styleId="49">
    <w:name w:val="01正文 Char"/>
    <w:link w:val="50"/>
    <w:qFormat/>
    <w:uiPriority w:val="0"/>
    <w:rPr>
      <w:sz w:val="28"/>
    </w:rPr>
  </w:style>
  <w:style w:type="paragraph" w:customStyle="1" w:styleId="50">
    <w:name w:val="01正文"/>
    <w:basedOn w:val="1"/>
    <w:link w:val="49"/>
    <w:qFormat/>
    <w:uiPriority w:val="0"/>
    <w:pPr>
      <w:autoSpaceDE w:val="0"/>
      <w:autoSpaceDN w:val="0"/>
      <w:adjustRightInd w:val="0"/>
      <w:ind w:firstLine="567"/>
      <w:textAlignment w:val="baseline"/>
    </w:pPr>
    <w:rPr>
      <w:rFonts w:ascii="Times New Roman" w:hAnsi="Times New Roman"/>
      <w:kern w:val="0"/>
      <w:sz w:val="28"/>
      <w:szCs w:val="20"/>
    </w:rPr>
  </w:style>
  <w:style w:type="character" w:customStyle="1" w:styleId="51">
    <w:name w:val="标题 4 字符"/>
    <w:basedOn w:val="22"/>
    <w:link w:val="7"/>
    <w:semiHidden/>
    <w:qFormat/>
    <w:uiPriority w:val="9"/>
    <w:rPr>
      <w:rFonts w:asciiTheme="majorHAnsi" w:hAnsiTheme="majorHAnsi" w:eastAsiaTheme="majorEastAsia" w:cstheme="majorBidi"/>
      <w:b/>
      <w:bCs/>
      <w:kern w:val="2"/>
      <w:sz w:val="28"/>
      <w:szCs w:val="28"/>
    </w:rPr>
  </w:style>
  <w:style w:type="paragraph" w:styleId="52">
    <w:name w:val="List Paragraph"/>
    <w:basedOn w:val="1"/>
    <w:unhideWhenUsed/>
    <w:qFormat/>
    <w:uiPriority w:val="99"/>
    <w:pPr>
      <w:ind w:firstLine="420" w:firstLineChars="200"/>
    </w:pPr>
  </w:style>
  <w:style w:type="paragraph" w:customStyle="1" w:styleId="53">
    <w:name w:val="表3"/>
    <w:basedOn w:val="1"/>
    <w:qFormat/>
    <w:uiPriority w:val="0"/>
    <w:pPr>
      <w:autoSpaceDE w:val="0"/>
      <w:autoSpaceDN w:val="0"/>
      <w:adjustRightInd w:val="0"/>
      <w:jc w:val="center"/>
      <w:textAlignment w:val="baseline"/>
    </w:pPr>
    <w:rPr>
      <w:rFonts w:ascii="宋体" w:hAnsi="宋体"/>
      <w:b/>
      <w:bCs/>
      <w:kern w:val="0"/>
      <w:sz w:val="28"/>
      <w:szCs w:val="20"/>
    </w:rPr>
  </w:style>
  <w:style w:type="paragraph" w:customStyle="1" w:styleId="54">
    <w:name w:val="列表段落1"/>
    <w:basedOn w:val="1"/>
    <w:qFormat/>
    <w:uiPriority w:val="0"/>
    <w:pPr>
      <w:ind w:firstLine="420" w:firstLineChars="200"/>
    </w:pPr>
  </w:style>
  <w:style w:type="paragraph" w:customStyle="1" w:styleId="55">
    <w:name w:val="表"/>
    <w:qFormat/>
    <w:uiPriority w:val="0"/>
    <w:pPr>
      <w:jc w:val="center"/>
    </w:pPr>
    <w:rPr>
      <w:rFonts w:ascii="Times New Roman" w:hAnsi="Times New Roman" w:eastAsia="微软雅黑" w:cs="Times New Roman"/>
      <w:sz w:val="16"/>
      <w:szCs w:val="21"/>
      <w:lang w:val="en-US" w:eastAsia="zh-CN" w:bidi="ar-SA"/>
    </w:rPr>
  </w:style>
  <w:style w:type="paragraph" w:customStyle="1" w:styleId="56">
    <w:name w:val="p0"/>
    <w:basedOn w:val="1"/>
    <w:unhideWhenUsed/>
    <w:qFormat/>
    <w:uiPriority w:val="0"/>
    <w:pPr>
      <w:widowControl/>
      <w:autoSpaceDE w:val="0"/>
      <w:autoSpaceDN w:val="0"/>
      <w:adjustRightInd w:val="0"/>
      <w:textAlignment w:val="baseline"/>
    </w:pPr>
    <w:rPr>
      <w:rFonts w:hint="eastAsia" w:ascii="Times New Roman" w:hAnsi="Times New Roman"/>
      <w:kern w:val="0"/>
      <w:sz w:val="24"/>
      <w:szCs w:val="20"/>
    </w:rPr>
  </w:style>
  <w:style w:type="paragraph" w:customStyle="1" w:styleId="57">
    <w:name w:val="修订1"/>
    <w:hidden/>
    <w:unhideWhenUsed/>
    <w:qFormat/>
    <w:uiPriority w:val="99"/>
    <w:rPr>
      <w:rFonts w:ascii="Calibri" w:hAnsi="Calibri" w:eastAsia="宋体" w:cs="Times New Roman"/>
      <w:kern w:val="2"/>
      <w:sz w:val="21"/>
      <w:szCs w:val="22"/>
      <w:lang w:val="en-US" w:eastAsia="zh-CN" w:bidi="ar-SA"/>
    </w:rPr>
  </w:style>
  <w:style w:type="paragraph" w:customStyle="1" w:styleId="58">
    <w:name w:val="Revision"/>
    <w:hidden/>
    <w:unhideWhenUsed/>
    <w:qFormat/>
    <w:uiPriority w:val="99"/>
    <w:rPr>
      <w:rFonts w:ascii="Calibri" w:hAnsi="Calibri" w:eastAsia="宋体" w:cs="Times New Roman"/>
      <w:kern w:val="2"/>
      <w:sz w:val="21"/>
      <w:szCs w:val="22"/>
      <w:lang w:val="en-US" w:eastAsia="zh-CN" w:bidi="ar-SA"/>
    </w:rPr>
  </w:style>
  <w:style w:type="paragraph" w:customStyle="1" w:styleId="59">
    <w:name w:val="纯文本2"/>
    <w:basedOn w:val="1"/>
    <w:qFormat/>
    <w:uiPriority w:val="0"/>
    <w:pPr>
      <w:adjustRightInd/>
      <w:snapToGrid w:val="0"/>
      <w:jc w:val="left"/>
    </w:pPr>
    <w:rPr>
      <w:rFonts w:ascii="Century Gothic" w:hAnsi="楷体_GB2312" w:eastAsia="Century Gothic"/>
      <w:szCs w:val="20"/>
    </w:rPr>
  </w:style>
  <w:style w:type="paragraph" w:customStyle="1" w:styleId="60">
    <w:name w:val="缩进_正文"/>
    <w:basedOn w:val="1"/>
    <w:qFormat/>
    <w:uiPriority w:val="0"/>
    <w:pPr>
      <w:spacing w:line="360" w:lineRule="auto"/>
      <w:ind w:firstLine="200" w:firstLineChars="200"/>
    </w:pPr>
    <w:rPr>
      <w:rFonts w:ascii="Times New Roman" w:hAnsi="Times New Roman"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126</Pages>
  <Words>33229</Words>
  <Characters>36060</Characters>
  <Lines>1</Lines>
  <Paragraphs>1</Paragraphs>
  <TotalTime>0</TotalTime>
  <ScaleCrop>false</ScaleCrop>
  <LinksUpToDate>false</LinksUpToDate>
  <CharactersWithSpaces>36337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2013-06-16T09:40:00Z</dcterms:created>
  <dc:creator>NTKO</dc:creator>
  <cp:lastModifiedBy>呱呱</cp:lastModifiedBy>
  <cp:lastPrinted>2024-05-11T18:28:00Z</cp:lastPrinted>
  <dcterms:modified xsi:type="dcterms:W3CDTF">2025-05-27T09:59:16Z</dcterms:modified>
  <dc:title>市建委2024年信息化运维项目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55E60E9CD1DF41E6B4C8788B3DB6672D_13</vt:lpwstr>
  </property>
  <property fmtid="{D5CDD505-2E9C-101B-9397-08002B2CF9AE}" pid="4" name="KSOTemplateDocerSaveRecord">
    <vt:lpwstr>eyJoZGlkIjoiZmM1NGQ3ZDIwMzgyZTI3MDhlYjI2M2RlN2Q5M2I4YTUiLCJ1c2VySWQiOiI0NDg3MDg0OTkifQ==</vt:lpwstr>
  </property>
</Properties>
</file>