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pStyle w:val="972"/>
        <w:spacing w:line="760" w:lineRule="exact"/>
        <w:rPr>
          <w:rFonts w:ascii="宋体" w:eastAsia="宋体"/>
          <w:color w:val="auto"/>
          <w:sz w:val="72"/>
          <w:szCs w:val="72"/>
          <w:highlight w:val="none"/>
        </w:rPr>
      </w:pPr>
    </w:p>
    <w:p>
      <w:pPr>
        <w:jc w:val="center"/>
        <w:rPr>
          <w:rFonts w:hint="default"/>
          <w:b/>
          <w:bCs/>
          <w:color w:val="auto"/>
          <w:sz w:val="44"/>
          <w:szCs w:val="44"/>
          <w:highlight w:val="none"/>
          <w:lang w:val="en-US" w:eastAsia="zh-CN"/>
        </w:rPr>
      </w:pPr>
      <w:r>
        <w:rPr>
          <w:rFonts w:hint="eastAsia"/>
          <w:b/>
          <w:bCs/>
          <w:color w:val="auto"/>
          <w:sz w:val="44"/>
          <w:szCs w:val="44"/>
          <w:highlight w:val="none"/>
          <w:lang w:val="en-US" w:eastAsia="zh-CN"/>
        </w:rPr>
        <w:t>杭州萧山环城建设开发有限公司2024年度社会风险评估服务采购项目</w:t>
      </w:r>
    </w:p>
    <w:p>
      <w:pPr>
        <w:adjustRightInd/>
        <w:spacing w:line="360" w:lineRule="auto"/>
        <w:jc w:val="center"/>
        <w:rPr>
          <w:rFonts w:ascii="宋体" w:hAnsi="宋体" w:cs="宋体"/>
          <w:b/>
          <w:bCs/>
          <w:color w:val="auto"/>
          <w:sz w:val="72"/>
          <w:szCs w:val="72"/>
          <w:highlight w:val="none"/>
        </w:rPr>
      </w:pPr>
      <w:bookmarkStart w:id="396" w:name="_GoBack"/>
      <w:bookmarkEnd w:id="396"/>
    </w:p>
    <w:p>
      <w:pPr>
        <w:adjustRightInd/>
        <w:spacing w:line="360" w:lineRule="auto"/>
        <w:jc w:val="center"/>
        <w:rPr>
          <w:rFonts w:hint="eastAsia" w:ascii="宋体" w:hAnsi="宋体" w:cs="宋体"/>
          <w:b/>
          <w:bCs/>
          <w:color w:val="auto"/>
          <w:sz w:val="72"/>
          <w:szCs w:val="72"/>
          <w:highlight w:val="none"/>
        </w:rPr>
      </w:pPr>
    </w:p>
    <w:p>
      <w:pPr>
        <w:adjustRightInd/>
        <w:spacing w:line="36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公开竞争文件</w:t>
      </w:r>
    </w:p>
    <w:p>
      <w:pPr>
        <w:adjustRightInd/>
        <w:spacing w:line="360" w:lineRule="auto"/>
        <w:jc w:val="center"/>
        <w:rPr>
          <w:rFonts w:ascii="宋体" w:hAnsi="宋体" w:cs="宋体"/>
          <w:b/>
          <w:color w:val="auto"/>
          <w:sz w:val="40"/>
          <w:szCs w:val="40"/>
          <w:highlight w:val="none"/>
        </w:rPr>
      </w:pPr>
      <w:r>
        <w:rPr>
          <w:rFonts w:hint="eastAsia" w:ascii="宋体" w:hAnsi="宋体" w:cs="宋体"/>
          <w:b/>
          <w:color w:val="auto"/>
          <w:sz w:val="40"/>
          <w:szCs w:val="40"/>
          <w:highlight w:val="none"/>
        </w:rPr>
        <w:t>（电子交易）</w:t>
      </w:r>
    </w:p>
    <w:p>
      <w:pPr>
        <w:snapToGrid w:val="0"/>
        <w:spacing w:line="360" w:lineRule="auto"/>
        <w:jc w:val="center"/>
        <w:rPr>
          <w:rFonts w:ascii="宋体" w:hAnsi="宋体" w:cs="宋体"/>
          <w:b/>
          <w:bCs/>
          <w:color w:val="auto"/>
          <w:sz w:val="30"/>
          <w:szCs w:val="30"/>
          <w:highlight w:val="none"/>
        </w:rPr>
      </w:pPr>
    </w:p>
    <w:p>
      <w:pPr>
        <w:snapToGrid w:val="0"/>
        <w:spacing w:line="360" w:lineRule="auto"/>
        <w:jc w:val="center"/>
        <w:rPr>
          <w:rFonts w:hint="default"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rPr>
        <w:t>交易编号：BWZBDL2024-</w:t>
      </w:r>
      <w:r>
        <w:rPr>
          <w:rFonts w:hint="eastAsia" w:ascii="宋体" w:hAnsi="宋体" w:cs="宋体"/>
          <w:b/>
          <w:bCs/>
          <w:color w:val="auto"/>
          <w:sz w:val="30"/>
          <w:szCs w:val="30"/>
          <w:highlight w:val="none"/>
          <w:lang w:val="en-US" w:eastAsia="zh-CN"/>
        </w:rPr>
        <w:t>118</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pStyle w:val="89"/>
        <w:rPr>
          <w:rFonts w:cs="宋体"/>
          <w:color w:val="auto"/>
          <w:highlight w:val="none"/>
        </w:rPr>
      </w:pPr>
    </w:p>
    <w:p>
      <w:pPr>
        <w:spacing w:line="360" w:lineRule="auto"/>
        <w:rPr>
          <w:rFonts w:hint="eastAsia" w:ascii="宋体" w:hAnsi="宋体" w:cs="宋体"/>
          <w:b/>
          <w:color w:val="auto"/>
          <w:sz w:val="32"/>
          <w:szCs w:val="30"/>
          <w:highlight w:val="none"/>
        </w:rPr>
      </w:pPr>
    </w:p>
    <w:p>
      <w:pPr>
        <w:spacing w:line="360" w:lineRule="auto"/>
        <w:ind w:firstLine="964" w:firstLineChars="300"/>
        <w:rPr>
          <w:rFonts w:hint="eastAsia" w:ascii="宋体" w:hAnsi="宋体" w:cs="宋体"/>
          <w:b/>
          <w:color w:val="auto"/>
          <w:sz w:val="32"/>
          <w:szCs w:val="30"/>
          <w:highlight w:val="none"/>
        </w:rPr>
      </w:pPr>
    </w:p>
    <w:p>
      <w:pPr>
        <w:spacing w:line="360" w:lineRule="auto"/>
        <w:ind w:firstLine="964" w:firstLineChars="300"/>
        <w:rPr>
          <w:rFonts w:hint="eastAsia" w:ascii="宋体" w:hAnsi="宋体" w:eastAsia="宋体" w:cs="宋体"/>
          <w:b/>
          <w:color w:val="auto"/>
          <w:spacing w:val="-20"/>
          <w:sz w:val="32"/>
          <w:szCs w:val="30"/>
          <w:highlight w:val="none"/>
          <w:lang w:eastAsia="zh-CN"/>
        </w:rPr>
      </w:pPr>
      <w:r>
        <w:rPr>
          <w:rFonts w:hint="eastAsia" w:ascii="宋体" w:hAnsi="宋体" w:cs="宋体"/>
          <w:b/>
          <w:color w:val="auto"/>
          <w:sz w:val="32"/>
          <w:szCs w:val="30"/>
          <w:highlight w:val="none"/>
        </w:rPr>
        <w:t>交易发起人：</w:t>
      </w:r>
      <w:r>
        <w:rPr>
          <w:rFonts w:hint="eastAsia" w:ascii="宋体" w:hAnsi="宋体" w:cs="宋体"/>
          <w:b/>
          <w:color w:val="auto"/>
          <w:spacing w:val="34"/>
          <w:sz w:val="32"/>
          <w:szCs w:val="30"/>
          <w:highlight w:val="none"/>
          <w:lang w:eastAsia="zh-CN"/>
        </w:rPr>
        <w:t>杭州萧山环城建设开发有限公司</w:t>
      </w:r>
    </w:p>
    <w:p>
      <w:pPr>
        <w:spacing w:line="360" w:lineRule="auto"/>
        <w:ind w:firstLine="964" w:firstLineChars="300"/>
        <w:rPr>
          <w:rFonts w:ascii="宋体" w:hAnsi="宋体" w:cs="宋体"/>
          <w:b/>
          <w:color w:val="auto"/>
          <w:sz w:val="32"/>
          <w:szCs w:val="32"/>
          <w:highlight w:val="none"/>
        </w:rPr>
      </w:pPr>
      <w:r>
        <w:rPr>
          <w:rFonts w:hint="eastAsia" w:ascii="宋体" w:hAnsi="宋体" w:cs="宋体"/>
          <w:b/>
          <w:color w:val="auto"/>
          <w:sz w:val="32"/>
          <w:szCs w:val="30"/>
          <w:highlight w:val="none"/>
        </w:rPr>
        <w:t>代理机构：杭州博望建设工程招标投标代理有限公司</w:t>
      </w:r>
    </w:p>
    <w:p>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二〇二</w:t>
      </w:r>
      <w:r>
        <w:rPr>
          <w:rFonts w:hint="eastAsia" w:ascii="宋体" w:hAnsi="宋体" w:cs="宋体"/>
          <w:b/>
          <w:color w:val="auto"/>
          <w:sz w:val="32"/>
          <w:szCs w:val="32"/>
          <w:highlight w:val="none"/>
          <w:lang w:val="en-US" w:eastAsia="zh-CN"/>
        </w:rPr>
        <w:t>四</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五</w:t>
      </w:r>
      <w:r>
        <w:rPr>
          <w:rFonts w:hint="eastAsia" w:ascii="宋体" w:hAnsi="宋体" w:cs="宋体"/>
          <w:b/>
          <w:color w:val="auto"/>
          <w:sz w:val="32"/>
          <w:szCs w:val="32"/>
          <w:highlight w:val="none"/>
        </w:rPr>
        <w:t>月</w:t>
      </w:r>
      <w:r>
        <w:rPr>
          <w:rFonts w:hint="eastAsia" w:ascii="宋体" w:hAnsi="宋体" w:cs="宋体"/>
          <w:b/>
          <w:color w:val="auto"/>
          <w:sz w:val="32"/>
          <w:szCs w:val="32"/>
          <w:highlight w:val="none"/>
          <w:lang w:val="en-US" w:eastAsia="zh-CN"/>
        </w:rPr>
        <w:t>二十九</w:t>
      </w:r>
      <w:r>
        <w:rPr>
          <w:rFonts w:hint="eastAsia" w:ascii="宋体" w:hAnsi="宋体" w:cs="宋体"/>
          <w:b/>
          <w:color w:val="auto"/>
          <w:sz w:val="32"/>
          <w:szCs w:val="32"/>
          <w:highlight w:val="none"/>
        </w:rPr>
        <w:t>日</w:t>
      </w:r>
    </w:p>
    <w:p>
      <w:pPr>
        <w:jc w:val="center"/>
        <w:rPr>
          <w:rFonts w:ascii="宋体" w:hAnsi="宋体" w:cs="宋体"/>
          <w:b/>
          <w:color w:val="auto"/>
          <w:sz w:val="48"/>
          <w:szCs w:val="48"/>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pgNumType w:fmt="decimal"/>
          <w:cols w:space="720" w:num="1"/>
          <w:titlePg/>
          <w:docGrid w:linePitch="312" w:charSpace="0"/>
        </w:sectPr>
      </w:pPr>
    </w:p>
    <w:p>
      <w:pPr>
        <w:pStyle w:val="37"/>
        <w:rPr>
          <w:color w:val="auto"/>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交易公告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响应人须知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交易需求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交易办法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07423"/>
      <w:bookmarkEnd w:id="3"/>
      <w:bookmarkStart w:id="4" w:name="_Hlt74728647"/>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交易公告</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一、基本情况</w:t>
      </w:r>
    </w:p>
    <w:p>
      <w:pP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交易编号：</w:t>
      </w:r>
      <w:r>
        <w:rPr>
          <w:rFonts w:hint="eastAsia" w:ascii="宋体" w:hAnsi="宋体" w:cs="宋体"/>
          <w:bCs/>
          <w:color w:val="auto"/>
          <w:sz w:val="24"/>
          <w:highlight w:val="none"/>
        </w:rPr>
        <w:t>BWZBDL2024-</w:t>
      </w:r>
      <w:r>
        <w:rPr>
          <w:rFonts w:hint="eastAsia" w:ascii="宋体" w:hAnsi="宋体" w:cs="宋体"/>
          <w:bCs/>
          <w:color w:val="auto"/>
          <w:sz w:val="24"/>
          <w:highlight w:val="none"/>
          <w:lang w:val="en-US" w:eastAsia="zh-CN"/>
        </w:rPr>
        <w:t>118</w:t>
      </w:r>
    </w:p>
    <w:p>
      <w:pPr>
        <w:spacing w:line="360" w:lineRule="auto"/>
        <w:ind w:firstLine="482" w:firstLineChars="200"/>
        <w:rPr>
          <w:rFonts w:hint="eastAsia" w:ascii="宋体" w:hAnsi="宋体" w:eastAsia="宋体" w:cs="宋体"/>
          <w:bCs/>
          <w:color w:val="auto"/>
          <w:sz w:val="24"/>
          <w:highlight w:val="none"/>
          <w:lang w:eastAsia="zh-CN"/>
        </w:rPr>
      </w:pPr>
      <w:r>
        <w:rPr>
          <w:rFonts w:hint="eastAsia" w:ascii="宋体" w:hAnsi="宋体" w:cs="宋体"/>
          <w:b/>
          <w:color w:val="auto"/>
          <w:sz w:val="24"/>
          <w:highlight w:val="none"/>
        </w:rPr>
        <w:t>交易名称：</w:t>
      </w:r>
      <w:r>
        <w:rPr>
          <w:rFonts w:hint="eastAsia" w:ascii="宋体" w:hAnsi="宋体" w:cs="宋体"/>
          <w:bCs/>
          <w:color w:val="auto"/>
          <w:sz w:val="24"/>
          <w:highlight w:val="none"/>
          <w:lang w:eastAsia="zh-CN"/>
        </w:rPr>
        <w:t>杭州萧山环城建设开发有限公司2024年度社会风险评估服务采购项目</w:t>
      </w:r>
    </w:p>
    <w:p>
      <w:pPr>
        <w:spacing w:line="360" w:lineRule="auto"/>
        <w:ind w:firstLine="482" w:firstLineChars="200"/>
        <w:rPr>
          <w:rFonts w:hint="default" w:ascii="宋体" w:hAnsi="宋体" w:cs="宋体"/>
          <w:bCs/>
          <w:color w:val="auto"/>
          <w:sz w:val="24"/>
          <w:highlight w:val="none"/>
          <w:lang w:val="en-US" w:eastAsia="zh-CN"/>
        </w:rPr>
      </w:pPr>
      <w:r>
        <w:rPr>
          <w:rFonts w:hint="eastAsia" w:ascii="宋体" w:hAnsi="宋体" w:cs="宋体"/>
          <w:b/>
          <w:color w:val="auto"/>
          <w:sz w:val="24"/>
          <w:highlight w:val="none"/>
        </w:rPr>
        <w:t>预算金额：</w:t>
      </w:r>
      <w:r>
        <w:rPr>
          <w:rFonts w:hint="eastAsia" w:ascii="宋体" w:hAnsi="宋体" w:cs="宋体"/>
          <w:bCs/>
          <w:color w:val="auto"/>
          <w:sz w:val="24"/>
          <w:highlight w:val="none"/>
          <w:lang w:val="en-US" w:eastAsia="zh-CN"/>
        </w:rPr>
        <w:t>950000.00元</w:t>
      </w:r>
    </w:p>
    <w:p>
      <w:pP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最高限价</w:t>
      </w:r>
      <w:r>
        <w:rPr>
          <w:rFonts w:hint="eastAsia" w:ascii="宋体" w:hAnsi="宋体" w:cs="宋体"/>
          <w:b/>
          <w:color w:val="auto"/>
          <w:sz w:val="24"/>
          <w:highlight w:val="none"/>
        </w:rPr>
        <w:t>：</w:t>
      </w:r>
      <w:r>
        <w:rPr>
          <w:rFonts w:hint="eastAsia" w:ascii="宋体" w:hAnsi="宋体" w:cs="宋体"/>
          <w:b w:val="0"/>
          <w:bCs/>
          <w:color w:val="auto"/>
          <w:sz w:val="24"/>
          <w:highlight w:val="none"/>
          <w:lang w:val="en-US" w:eastAsia="zh-CN"/>
        </w:rPr>
        <w:t>单价：60000.00元/宗</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交易需求：</w:t>
      </w:r>
      <w:r>
        <w:rPr>
          <w:rFonts w:hint="eastAsia" w:ascii="宋体" w:hAnsi="宋体" w:cs="宋体"/>
          <w:bCs/>
          <w:color w:val="auto"/>
          <w:sz w:val="24"/>
          <w:highlight w:val="none"/>
          <w:lang w:eastAsia="zh-CN"/>
        </w:rPr>
        <w:t>2024年度社会风险评估服务，</w:t>
      </w:r>
      <w:r>
        <w:rPr>
          <w:rFonts w:hint="eastAsia" w:ascii="宋体" w:hAnsi="宋体" w:cs="宋体"/>
          <w:color w:val="auto"/>
          <w:sz w:val="24"/>
          <w:highlight w:val="none"/>
        </w:rPr>
        <w:t>详见交易需求。</w:t>
      </w:r>
    </w:p>
    <w:p>
      <w:pPr>
        <w:pStyle w:val="5"/>
        <w:spacing w:line="360" w:lineRule="auto"/>
        <w:ind w:firstLine="482" w:firstLineChars="200"/>
        <w:rPr>
          <w:rFonts w:hAnsi="宋体" w:cs="宋体"/>
          <w:color w:val="auto"/>
          <w:highlight w:val="none"/>
        </w:rPr>
      </w:pPr>
      <w:r>
        <w:rPr>
          <w:rFonts w:hint="eastAsia" w:hAnsi="宋体" w:cs="宋体"/>
          <w:b/>
          <w:color w:val="auto"/>
          <w:sz w:val="24"/>
          <w:szCs w:val="18"/>
          <w:highlight w:val="none"/>
        </w:rPr>
        <w:t>合同履约期限：</w:t>
      </w:r>
      <w:r>
        <w:rPr>
          <w:rFonts w:hint="eastAsia" w:hAnsi="宋体" w:cs="宋体"/>
          <w:color w:val="auto"/>
          <w:sz w:val="24"/>
          <w:szCs w:val="28"/>
          <w:highlight w:val="none"/>
        </w:rPr>
        <w:t>详见公开竞争文件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pPr>
        <w:pStyle w:val="62"/>
        <w:ind w:firstLine="480" w:firstLineChars="200"/>
        <w:rPr>
          <w:rFonts w:hint="eastAsia" w:hAnsi="宋体" w:eastAsia="宋体" w:cs="宋体"/>
          <w:color w:val="auto"/>
          <w:highlight w:val="none"/>
          <w:lang w:val="en-US" w:eastAsia="zh-CN"/>
        </w:rPr>
      </w:pPr>
      <w:r>
        <w:rPr>
          <w:rFonts w:hint="eastAsia" w:hAnsi="宋体" w:cs="宋体"/>
          <w:color w:val="auto"/>
          <w:highlight w:val="none"/>
        </w:rPr>
        <w:t>7</w:t>
      </w:r>
      <w:r>
        <w:rPr>
          <w:rFonts w:hint="eastAsia" w:hAnsi="宋体" w:cs="宋体"/>
          <w:color w:val="auto"/>
          <w:highlight w:val="none"/>
        </w:rPr>
        <w:t>、本项目的特定资格要求：</w:t>
      </w:r>
      <w:r>
        <w:rPr>
          <w:rFonts w:hint="eastAsia" w:hAnsi="宋体" w:cs="宋体"/>
          <w:color w:val="auto"/>
          <w:highlight w:val="none"/>
          <w:lang w:val="en-US" w:eastAsia="zh-CN"/>
        </w:rPr>
        <w:t>无</w:t>
      </w:r>
    </w:p>
    <w:p>
      <w:pPr>
        <w:pStyle w:val="62"/>
        <w:ind w:firstLine="480" w:firstLineChars="200"/>
        <w:rPr>
          <w:rFonts w:hAnsi="宋体" w:cs="宋体"/>
          <w:color w:val="auto"/>
          <w:highlight w:val="none"/>
          <w:lang w:val="en-US"/>
        </w:rPr>
      </w:pPr>
      <w:r>
        <w:rPr>
          <w:rFonts w:hint="eastAsia" w:hAnsi="宋体" w:cs="宋体"/>
          <w:color w:val="auto"/>
          <w:highlight w:val="none"/>
          <w:lang w:val="en-US"/>
        </w:rPr>
        <w:t>8、</w:t>
      </w:r>
      <w:r>
        <w:rPr>
          <w:rFonts w:hint="eastAsia" w:hAnsi="宋体" w:cs="宋体"/>
          <w:color w:val="auto"/>
          <w:highlight w:val="none"/>
        </w:rPr>
        <w:t>本项目不接受联合体参与（潜在响应人能独立完成本项目）。</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三、获取公开竞争文件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 xml:space="preserve">平台（https://www.zcygov.cn/） </w:t>
      </w:r>
    </w:p>
    <w:p>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方式</w:t>
      </w:r>
      <w:r>
        <w:rPr>
          <w:rFonts w:hint="eastAsia" w:ascii="宋体" w:hAnsi="宋体" w:cs="宋体"/>
          <w:b/>
          <w:color w:val="auto"/>
          <w:sz w:val="24"/>
          <w:highlight w:val="none"/>
          <w:lang w:eastAsia="zh-CN"/>
        </w:rPr>
        <w:t>：</w:t>
      </w:r>
      <w:r>
        <w:rPr>
          <w:rFonts w:hint="eastAsia" w:ascii="宋体" w:hAnsi="宋体" w:cs="宋体"/>
          <w:color w:val="auto"/>
          <w:sz w:val="24"/>
          <w:highlight w:val="none"/>
        </w:rPr>
        <w:t>响应人登录</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平台https://www.zcygov.cn/在线申请获取公开竞争文件（进入“项目采购”应用，在获取</w:t>
      </w:r>
      <w:r>
        <w:rPr>
          <w:rFonts w:hint="eastAsia" w:ascii="宋体" w:hAnsi="宋体" w:cs="宋体"/>
          <w:color w:val="auto"/>
          <w:sz w:val="24"/>
          <w:highlight w:val="none"/>
          <w:lang w:eastAsia="zh-CN"/>
        </w:rPr>
        <w:t>公开竞争文件</w:t>
      </w:r>
      <w:r>
        <w:rPr>
          <w:rFonts w:hint="eastAsia" w:ascii="宋体" w:hAnsi="宋体" w:cs="宋体"/>
          <w:color w:val="auto"/>
          <w:sz w:val="24"/>
          <w:highlight w:val="none"/>
        </w:rPr>
        <w:t>菜单中选择项目，申请获取公开竞争文件）</w:t>
      </w:r>
      <w:r>
        <w:rPr>
          <w:rFonts w:hint="eastAsia" w:ascii="宋体" w:hAnsi="宋体" w:cs="宋体"/>
          <w:color w:val="auto"/>
          <w:sz w:val="24"/>
          <w:highlight w:val="none"/>
          <w:lang w:eastAsia="zh-CN"/>
        </w:rPr>
        <w:t>。</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四、提交响应文件截止时间、交易时间和地点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日14点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 xml:space="preserve">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交易时间：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日14点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平台（https://www.zcygov.cn/）</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五、其他补充事宜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2、其他事项：电子招投标的说明：①电子招投标：本项目以数据电文形式，依托“</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平台（https://www.zcygov.cn/） ”进行招投标活动，不接受纸质响应文件；②投标准备：注册账号--点击“商家入驻”，进行政府采购供应商资料填写；申领CA数字证书---申领流程详见“浙江政府采购网-下载专区-电子交易客户端-CA驱动和申领流程”；安装“</w:t>
      </w:r>
      <w:r>
        <w:rPr>
          <w:rFonts w:hint="eastAsia" w:ascii="宋体" w:hAnsi="宋体" w:cs="宋体"/>
          <w:color w:val="auto"/>
          <w:sz w:val="24"/>
          <w:highlight w:val="none"/>
          <w:lang w:eastAsia="zh-CN"/>
        </w:rPr>
        <w:t>政采云电子交易客户端</w:t>
      </w:r>
      <w:r>
        <w:rPr>
          <w:rFonts w:hint="eastAsia" w:ascii="宋体" w:hAnsi="宋体" w:cs="宋体"/>
          <w:color w:val="auto"/>
          <w:sz w:val="24"/>
          <w:highlight w:val="none"/>
        </w:rPr>
        <w:t>”----前往“浙江政府采购网-下载专区-电子交易客户端”进行下载并安装；③公开竞争文件的获取：使用账号登录或者使用CA登录</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平台；进入“项目采购”应用，在获取</w:t>
      </w:r>
      <w:r>
        <w:rPr>
          <w:rFonts w:hint="eastAsia" w:ascii="宋体" w:hAnsi="宋体" w:cs="宋体"/>
          <w:color w:val="auto"/>
          <w:sz w:val="24"/>
          <w:highlight w:val="none"/>
          <w:lang w:eastAsia="zh-CN"/>
        </w:rPr>
        <w:t>公开竞争文件</w:t>
      </w:r>
      <w:r>
        <w:rPr>
          <w:rFonts w:hint="eastAsia" w:ascii="宋体" w:hAnsi="宋体" w:cs="宋体"/>
          <w:color w:val="auto"/>
          <w:sz w:val="24"/>
          <w:highlight w:val="none"/>
        </w:rPr>
        <w:t>菜单中选择项目，获取公开竞争文件；④响应文件的制作：在“</w:t>
      </w:r>
      <w:r>
        <w:rPr>
          <w:rFonts w:hint="eastAsia" w:ascii="宋体" w:hAnsi="宋体" w:cs="宋体"/>
          <w:color w:val="auto"/>
          <w:sz w:val="24"/>
          <w:highlight w:val="none"/>
          <w:lang w:eastAsia="zh-CN"/>
        </w:rPr>
        <w:t>政采云电子交易客户端</w:t>
      </w:r>
      <w:r>
        <w:rPr>
          <w:rFonts w:hint="eastAsia" w:ascii="宋体" w:hAnsi="宋体" w:cs="宋体"/>
          <w:color w:val="auto"/>
          <w:sz w:val="24"/>
          <w:highlight w:val="none"/>
        </w:rPr>
        <w:t>”中完成“填写基本信息”“导入响应文件”“标书关联”“标书检查”“电子签名”“生成电子标书”等操作；⑤交易发起人、代理机构将依托</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平台；⑨响应文件的解密：响应人按照平台提示和公开竞争文件的规定在半小时内完成在线解密。通过“</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平台”上传递交的响应文件无法按时解密，视为响应文件撤回；⑩具体操作指南：详见</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平台“服务中心-帮助文档-项目采购-操作流程-电子招投标-政府采购项目电子交易管理操作指南-供应商”。</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六、对本次交易提出异议、投诉，请按以下方式联系</w:t>
      </w:r>
    </w:p>
    <w:p>
      <w:pPr>
        <w:widowControl/>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1、交易发起人信息</w:t>
      </w:r>
    </w:p>
    <w:p>
      <w:pPr>
        <w:spacing w:line="360" w:lineRule="auto"/>
        <w:ind w:firstLine="480" w:firstLineChars="200"/>
        <w:jc w:val="left"/>
        <w:rPr>
          <w:rFonts w:hint="eastAsia" w:ascii="宋体" w:hAnsi="宋体" w:eastAsia="宋体" w:cs="宋体"/>
          <w:bCs/>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杭州萧山环城建设开发有限公司</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地址：杭州市萧山区北干街道金城路1038号水务大厦C座</w:t>
      </w:r>
    </w:p>
    <w:p>
      <w:p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项目联系人（询问）：王柠昊</w:t>
      </w:r>
    </w:p>
    <w:p>
      <w:pPr>
        <w:spacing w:line="360" w:lineRule="auto"/>
        <w:ind w:firstLine="480" w:firstLineChars="200"/>
        <w:jc w:val="left"/>
        <w:rPr>
          <w:rFonts w:hint="default" w:ascii="宋体" w:hAnsi="宋体" w:cs="宋体"/>
          <w:color w:val="auto"/>
          <w:sz w:val="24"/>
          <w:szCs w:val="28"/>
          <w:highlight w:val="none"/>
          <w:lang w:val="en-US"/>
        </w:rPr>
      </w:pPr>
      <w:r>
        <w:rPr>
          <w:rFonts w:hint="eastAsia" w:ascii="宋体" w:hAnsi="宋体" w:cs="宋体"/>
          <w:color w:val="auto"/>
          <w:sz w:val="24"/>
          <w:highlight w:val="none"/>
        </w:rPr>
        <w:t>项目联系方式（询问）：0571-82767037</w:t>
      </w:r>
    </w:p>
    <w:p>
      <w:pPr>
        <w:spacing w:line="360" w:lineRule="auto"/>
        <w:ind w:firstLine="480" w:firstLineChars="200"/>
        <w:jc w:val="left"/>
        <w:rPr>
          <w:rFonts w:ascii="宋体" w:hAnsi="宋体" w:cs="宋体"/>
          <w:color w:val="auto"/>
          <w:sz w:val="24"/>
          <w:szCs w:val="28"/>
          <w:highlight w:val="none"/>
        </w:rPr>
      </w:pPr>
      <w:bookmarkStart w:id="10" w:name="_Toc28359086"/>
      <w:bookmarkStart w:id="11" w:name="_Toc28359009"/>
      <w:r>
        <w:rPr>
          <w:rFonts w:hint="eastAsia" w:ascii="宋体" w:hAnsi="宋体" w:cs="宋体"/>
          <w:color w:val="auto"/>
          <w:sz w:val="24"/>
          <w:szCs w:val="28"/>
          <w:highlight w:val="none"/>
        </w:rPr>
        <w:t>2</w:t>
      </w:r>
      <w:bookmarkEnd w:id="10"/>
      <w:bookmarkEnd w:id="11"/>
      <w:r>
        <w:rPr>
          <w:rFonts w:hint="eastAsia" w:ascii="宋体" w:hAnsi="宋体" w:cs="宋体"/>
          <w:color w:val="auto"/>
          <w:sz w:val="24"/>
          <w:szCs w:val="28"/>
          <w:highlight w:val="none"/>
        </w:rPr>
        <w:t>、代理机构信息</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名称：杭州博望建设工程招标投标代理有限公司</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地址：杭州市萧山区金城路433号天汇园一幢A座5楼</w:t>
      </w:r>
    </w:p>
    <w:p>
      <w:pPr>
        <w:spacing w:line="360" w:lineRule="auto"/>
        <w:ind w:firstLine="480" w:firstLineChars="200"/>
        <w:jc w:val="left"/>
        <w:rPr>
          <w:rFonts w:hint="default" w:ascii="宋体" w:hAnsi="宋体" w:eastAsia="宋体" w:cs="宋体"/>
          <w:color w:val="auto"/>
          <w:sz w:val="24"/>
          <w:szCs w:val="28"/>
          <w:highlight w:val="none"/>
          <w:lang w:val="en-US" w:eastAsia="zh-CN"/>
        </w:rPr>
      </w:pPr>
      <w:r>
        <w:rPr>
          <w:rFonts w:hint="eastAsia" w:ascii="宋体" w:hAnsi="宋体" w:cs="宋体"/>
          <w:color w:val="auto"/>
          <w:sz w:val="24"/>
          <w:szCs w:val="28"/>
          <w:highlight w:val="none"/>
        </w:rPr>
        <w:t>项目联系人（询问）：</w:t>
      </w:r>
      <w:r>
        <w:rPr>
          <w:rFonts w:hint="eastAsia" w:ascii="宋体" w:hAnsi="宋体" w:cs="宋体"/>
          <w:color w:val="auto"/>
          <w:sz w:val="24"/>
          <w:szCs w:val="28"/>
          <w:highlight w:val="none"/>
          <w:lang w:val="en-US" w:eastAsia="zh-CN"/>
        </w:rPr>
        <w:t>赵鑫华</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szCs w:val="28"/>
          <w:highlight w:val="none"/>
        </w:rPr>
        <w:t>项目联系方式（询问）：0571-83881208</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若对项目电子交易系统操作有疑问，可登录</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（https://www.zcygov.cn/），点击右侧咨询小采，获取采小蜜智能服务管家帮助，或拨打</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响应人须知</w:t>
      </w:r>
      <w:bookmarkEnd w:id="8"/>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w:t>
            </w:r>
            <w:r>
              <w:rPr>
                <w:rFonts w:hint="eastAsia" w:ascii="宋体" w:hAnsi="宋体" w:cs="宋体"/>
                <w:color w:val="auto"/>
                <w:kern w:val="0"/>
                <w:sz w:val="24"/>
                <w:highlight w:val="none"/>
              </w:rPr>
              <w:t>A货物类</w:t>
            </w:r>
            <w:r>
              <w:rPr>
                <w:rFonts w:hint="eastAsia" w:ascii="宋体" w:hAnsi="宋体" w:cs="宋体"/>
                <w:color w:val="auto"/>
                <w:sz w:val="24"/>
                <w:highlight w:val="none"/>
              </w:rPr>
              <w:t>。</w:t>
            </w:r>
          </w:p>
          <w:p>
            <w:pPr>
              <w:rPr>
                <w:rFonts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B服务类</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color w:val="auto"/>
                <w:sz w:val="24"/>
                <w:highlight w:val="none"/>
              </w:rPr>
            </w:pPr>
          </w:p>
          <w:p>
            <w:pPr>
              <w:snapToGrid w:val="0"/>
              <w:jc w:val="center"/>
              <w:rPr>
                <w:rFonts w:ascii="宋体" w:hAnsi="宋体" w:cs="宋体"/>
                <w:color w:val="auto"/>
                <w:sz w:val="24"/>
                <w:highlight w:val="none"/>
              </w:rPr>
            </w:pPr>
          </w:p>
          <w:p>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bCs/>
                <w:color w:val="auto"/>
                <w:sz w:val="24"/>
                <w:highlight w:val="none"/>
              </w:rPr>
              <w:t>（  ）</w:t>
            </w:r>
            <w:r>
              <w:rPr>
                <w:rFonts w:hint="eastAsia" w:ascii="宋体" w:hAnsi="宋体" w:cs="宋体"/>
                <w:color w:val="auto"/>
                <w:kern w:val="0"/>
                <w:sz w:val="24"/>
                <w:highlight w:val="none"/>
              </w:rPr>
              <w:t>A适用</w:t>
            </w:r>
            <w:r>
              <w:rPr>
                <w:rFonts w:hint="eastAsia" w:ascii="宋体" w:hAnsi="宋体" w:cs="宋体"/>
                <w:color w:val="auto"/>
                <w:sz w:val="24"/>
                <w:highlight w:val="none"/>
              </w:rPr>
              <w:t>。</w:t>
            </w:r>
          </w:p>
          <w:p>
            <w:pPr>
              <w:rPr>
                <w:rFonts w:ascii="宋体" w:hAnsi="宋体" w:cs="宋体"/>
                <w:color w:val="auto"/>
                <w:kern w:val="0"/>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B不适用</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highlight w:val="none"/>
              </w:rPr>
            </w:pPr>
            <w:r>
              <w:rPr>
                <w:rFonts w:hint="eastAsia" w:ascii="宋体" w:hAnsi="宋体" w:cs="宋体"/>
                <w:bCs/>
                <w:color w:val="auto"/>
                <w:sz w:val="24"/>
                <w:highlight w:val="none"/>
              </w:rPr>
              <w:t>（√）</w:t>
            </w:r>
            <w:r>
              <w:rPr>
                <w:rFonts w:hint="eastAsia" w:ascii="宋体" w:hAnsi="宋体" w:cs="宋体"/>
                <w:color w:val="auto"/>
                <w:sz w:val="24"/>
                <w:szCs w:val="32"/>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kern w:val="0"/>
                <w:sz w:val="24"/>
                <w:highlight w:val="none"/>
              </w:rPr>
              <w:t>B</w:t>
            </w:r>
            <w:r>
              <w:rPr>
                <w:rFonts w:hint="eastAsia" w:ascii="宋体" w:hAnsi="宋体" w:cs="宋体"/>
                <w:bCs/>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现场踏勘</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cs="宋体"/>
                <w:color w:val="auto"/>
                <w:sz w:val="24"/>
                <w:highlight w:val="none"/>
                <w:lang w:eastAsia="zh-CN"/>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交易发起人</w:t>
            </w:r>
            <w:r>
              <w:rPr>
                <w:rFonts w:hint="eastAsia" w:ascii="宋体" w:hAnsi="宋体" w:cs="宋体"/>
                <w:bCs/>
                <w:color w:val="auto"/>
                <w:sz w:val="24"/>
                <w:highlight w:val="none"/>
                <w:lang w:eastAsia="zh-CN"/>
              </w:rPr>
              <w:t>不组织踏勘现场。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highlight w:val="none"/>
              </w:rPr>
            </w:pPr>
            <w:r>
              <w:rPr>
                <w:rFonts w:hint="eastAsia" w:ascii="宋体" w:hAnsi="宋体" w:cs="宋体"/>
                <w:bCs/>
                <w:color w:val="auto"/>
                <w:sz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color w:val="auto"/>
                <w:highlight w:val="none"/>
              </w:rPr>
            </w:pPr>
            <w:r>
              <w:rPr>
                <w:rFonts w:hint="eastAsia" w:ascii="宋体" w:hAnsi="宋体" w:cs="宋体"/>
                <w:b/>
                <w:bCs/>
                <w:color w:val="auto"/>
                <w:highlight w:val="none"/>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宋体" w:hAnsi="宋体" w:cs="宋体"/>
                <w:color w:val="auto"/>
                <w:highlight w:val="none"/>
              </w:rPr>
            </w:pPr>
            <w:r>
              <w:rPr>
                <w:rFonts w:hint="eastAsia" w:ascii="宋体" w:hAnsi="宋体" w:cs="宋体"/>
                <w:bCs/>
                <w:color w:val="auto"/>
                <w:sz w:val="24"/>
                <w:highlight w:val="none"/>
              </w:rPr>
              <w:t>（√）</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3"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color w:val="auto"/>
                <w:sz w:val="24"/>
                <w:highlight w:val="none"/>
              </w:rPr>
              <w:t>（1）资格证明文件：见公开竞争文件第二部分10.1。</w:t>
            </w:r>
          </w:p>
          <w:p>
            <w:pPr>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响应人未提供有效的资格证明文件的，视为响应人不具备公开竞争文件中规定的资格要求，交易无效。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auto" w:sz="4" w:space="0"/>
              <w:right w:val="single" w:color="000000" w:sz="8" w:space="0"/>
            </w:tcBorders>
            <w:vAlign w:val="center"/>
          </w:tcPr>
          <w:p>
            <w:pPr>
              <w:snapToGrid w:val="0"/>
              <w:jc w:val="center"/>
              <w:rPr>
                <w:rFonts w:ascii="宋体" w:hAnsi="宋体" w:cs="宋体"/>
                <w:bCs/>
                <w:color w:val="auto"/>
                <w:sz w:val="24"/>
                <w:highlight w:val="none"/>
              </w:rPr>
            </w:pPr>
            <w:r>
              <w:rPr>
                <w:rFonts w:hint="eastAsia" w:ascii="宋体" w:hAnsi="宋体" w:cs="宋体"/>
                <w:b/>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有关本项目实施所需的所有费用（不含增值税）均计入报价（即税前价），增值税税率需单独体现。</w:t>
            </w:r>
            <w:r>
              <w:rPr>
                <w:rFonts w:hint="eastAsia" w:ascii="宋体" w:hAnsi="宋体" w:cs="宋体"/>
                <w:bCs/>
                <w:color w:val="auto"/>
                <w:kern w:val="0"/>
                <w:sz w:val="24"/>
                <w:highlight w:val="none"/>
              </w:rPr>
              <w:t>交易一览表（报价表）是报价的唯一载体</w:t>
            </w:r>
            <w:r>
              <w:rPr>
                <w:rFonts w:hint="eastAsia" w:ascii="宋体" w:hAnsi="宋体" w:cs="宋体"/>
                <w:bCs/>
                <w:color w:val="auto"/>
                <w:kern w:val="0"/>
                <w:sz w:val="24"/>
                <w:highlight w:val="none"/>
                <w:lang w:val="zh-CN"/>
              </w:rPr>
              <w:t>。响应文件中价格全部采用人民币报价。公开竞争文件未列明，而响应人认为必需的费用也需列入报价。</w:t>
            </w:r>
          </w:p>
          <w:p>
            <w:pPr>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交易报价出现下列情形的，交易无效：</w:t>
            </w:r>
          </w:p>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响应文件出现不是唯一的、有选择性交易报价的；</w:t>
            </w:r>
          </w:p>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交易报价超过公开竞争文件中规定的预算金额或者最高限价的；</w:t>
            </w:r>
          </w:p>
          <w:p>
            <w:pPr>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pPr>
              <w:ind w:firstLine="480" w:firstLineChars="200"/>
              <w:rPr>
                <w:rFonts w:ascii="宋体" w:hAnsi="宋体" w:cs="宋体"/>
                <w:color w:val="auto"/>
                <w:kern w:val="0"/>
                <w:sz w:val="24"/>
                <w:highlight w:val="none"/>
                <w:lang w:val="zh-CN"/>
              </w:rPr>
            </w:pPr>
            <w:r>
              <w:rPr>
                <w:rFonts w:hint="eastAsia" w:ascii="宋体" w:hAnsi="宋体" w:cs="宋体"/>
                <w:bCs/>
                <w:color w:val="auto"/>
                <w:kern w:val="0"/>
                <w:sz w:val="24"/>
                <w:highlight w:val="none"/>
              </w:rPr>
              <w:t>响应人对根据修正原则修正后的报价不确认的。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3"/>
              <w:ind w:hanging="4"/>
              <w:rPr>
                <w:rFonts w:hAnsi="宋体" w:cs="宋体"/>
                <w:color w:val="auto"/>
                <w:kern w:val="28"/>
                <w:sz w:val="24"/>
                <w:szCs w:val="24"/>
                <w:highlight w:val="none"/>
              </w:rPr>
            </w:pPr>
            <w:r>
              <w:rPr>
                <w:rFonts w:hint="eastAsia" w:hAnsi="宋体" w:cs="宋体"/>
                <w:color w:val="auto"/>
                <w:kern w:val="28"/>
                <w:sz w:val="24"/>
                <w:szCs w:val="24"/>
                <w:highlight w:val="none"/>
              </w:rPr>
              <w:t>备份文件是否收取：不收取。</w:t>
            </w:r>
          </w:p>
          <w:p>
            <w:pPr>
              <w:pStyle w:val="33"/>
              <w:ind w:hanging="4"/>
              <w:rPr>
                <w:rFonts w:hAnsi="宋体" w:cs="宋体"/>
                <w:color w:val="auto"/>
                <w:kern w:val="28"/>
                <w:sz w:val="24"/>
                <w:szCs w:val="24"/>
                <w:highlight w:val="none"/>
              </w:rPr>
            </w:pPr>
            <w:r>
              <w:rPr>
                <w:rFonts w:hint="eastAsia" w:hAnsi="宋体" w:cs="宋体"/>
                <w:b/>
                <w:color w:val="auto"/>
                <w:sz w:val="24"/>
                <w:highlight w:val="none"/>
              </w:rPr>
              <w:t>成交单位在成交后提供纸质响应文件一正</w:t>
            </w:r>
            <w:r>
              <w:rPr>
                <w:rFonts w:hint="eastAsia" w:hAnsi="宋体" w:cs="宋体"/>
                <w:b/>
                <w:color w:val="auto"/>
                <w:sz w:val="24"/>
                <w:highlight w:val="none"/>
                <w:lang w:val="en-US" w:eastAsia="zh-CN"/>
              </w:rPr>
              <w:t>二</w:t>
            </w:r>
            <w:r>
              <w:rPr>
                <w:rFonts w:hint="eastAsia" w:hAnsi="宋体" w:cs="宋体"/>
                <w:b/>
                <w:color w:val="auto"/>
                <w:sz w:val="24"/>
                <w:highlight w:val="none"/>
              </w:rPr>
              <w:t>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代理机构代理费用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400" w:lineRule="exact"/>
              <w:jc w:val="left"/>
              <w:rPr>
                <w:rFonts w:ascii="宋体" w:hAnsi="宋体" w:cs="宋体"/>
                <w:bCs/>
                <w:color w:val="auto"/>
                <w:kern w:val="0"/>
                <w:sz w:val="24"/>
                <w:highlight w:val="none"/>
              </w:rPr>
            </w:pPr>
            <w:r>
              <w:rPr>
                <w:rFonts w:hint="eastAsia" w:ascii="宋体" w:hAnsi="宋体" w:eastAsia="宋体" w:cs="宋体"/>
                <w:color w:val="auto"/>
                <w:kern w:val="28"/>
                <w:sz w:val="24"/>
                <w:highlight w:val="none"/>
              </w:rPr>
              <w:t>本项目采购代理费</w:t>
            </w:r>
            <w:r>
              <w:rPr>
                <w:rFonts w:hint="eastAsia" w:ascii="宋体" w:hAnsi="宋体" w:eastAsia="宋体" w:cs="宋体"/>
                <w:color w:val="auto"/>
                <w:kern w:val="28"/>
                <w:sz w:val="24"/>
                <w:highlight w:val="none"/>
                <w:lang w:val="en-US" w:eastAsia="zh-CN"/>
              </w:rPr>
              <w:t>由</w:t>
            </w:r>
            <w:r>
              <w:rPr>
                <w:rFonts w:hint="eastAsia" w:ascii="宋体" w:hAnsi="宋体" w:cs="宋体"/>
                <w:color w:val="auto"/>
                <w:kern w:val="28"/>
                <w:sz w:val="24"/>
                <w:highlight w:val="none"/>
                <w:lang w:val="en-US" w:eastAsia="zh-CN"/>
              </w:rPr>
              <w:t>交易发起人</w:t>
            </w:r>
            <w:r>
              <w:rPr>
                <w:rFonts w:hint="eastAsia" w:ascii="宋体" w:hAnsi="宋体" w:eastAsia="宋体" w:cs="宋体"/>
                <w:color w:val="auto"/>
                <w:kern w:val="28"/>
                <w:sz w:val="24"/>
                <w:highlight w:val="none"/>
                <w:lang w:val="en-US" w:eastAsia="zh-CN"/>
              </w:rPr>
              <w:t>支付</w:t>
            </w:r>
            <w:r>
              <w:rPr>
                <w:rFonts w:hint="eastAsia" w:ascii="宋体" w:hAnsi="宋体" w:cs="宋体"/>
                <w:color w:val="auto"/>
                <w:kern w:val="28"/>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
                <w:color w:val="auto"/>
                <w:sz w:val="24"/>
                <w:highlight w:val="none"/>
              </w:rPr>
            </w:pPr>
            <w:r>
              <w:rPr>
                <w:rFonts w:hint="eastAsia" w:ascii="宋体" w:hAnsi="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3"/>
              <w:ind w:hanging="4"/>
              <w:rPr>
                <w:rFonts w:hAnsi="宋体" w:cs="宋体"/>
                <w:bCs/>
                <w:color w:val="auto"/>
                <w:kern w:val="0"/>
                <w:sz w:val="24"/>
                <w:highlight w:val="none"/>
              </w:rPr>
            </w:pPr>
            <w:r>
              <w:rPr>
                <w:rFonts w:hint="eastAsia" w:hAnsi="宋体" w:cs="宋体"/>
                <w:snapToGrid/>
                <w:color w:val="auto"/>
                <w:sz w:val="24"/>
                <w:szCs w:val="24"/>
                <w:highlight w:val="none"/>
                <w:lang w:val="en-US" w:eastAsia="zh-CN"/>
              </w:rPr>
              <w:t>预算金额的</w:t>
            </w:r>
            <w:r>
              <w:rPr>
                <w:rFonts w:hint="eastAsia" w:hAnsi="宋体" w:cs="宋体"/>
                <w:b w:val="0"/>
                <w:bCs w:val="0"/>
                <w:snapToGrid/>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质量保证金</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3"/>
              <w:ind w:hanging="4"/>
              <w:rPr>
                <w:rFonts w:hint="default" w:hAnsi="宋体" w:cs="宋体"/>
                <w:snapToGrid/>
                <w:color w:val="auto"/>
                <w:sz w:val="24"/>
                <w:szCs w:val="24"/>
                <w:highlight w:val="none"/>
                <w:lang w:val="en-US"/>
              </w:rPr>
            </w:pPr>
            <w:r>
              <w:rPr>
                <w:rFonts w:hint="eastAsia" w:hAnsi="宋体" w:cs="宋体"/>
                <w:b w:val="0"/>
                <w:bCs/>
                <w:color w:val="auto"/>
                <w:sz w:val="24"/>
                <w:highlight w:val="none"/>
                <w:lang w:val="en-US" w:eastAsia="zh-CN"/>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本项目由交易发起人进行资格文件及信用信息查询。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2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500" w:lineRule="exact"/>
              <w:rPr>
                <w:rFonts w:ascii="宋体" w:hAnsi="宋体" w:cs="宋体"/>
                <w:color w:val="auto"/>
                <w:sz w:val="24"/>
                <w:highlight w:val="none"/>
              </w:rPr>
            </w:pPr>
            <w:r>
              <w:rPr>
                <w:rFonts w:hint="eastAsia" w:ascii="宋体" w:hAnsi="宋体" w:cs="宋体"/>
                <w:color w:val="auto"/>
                <w:sz w:val="24"/>
                <w:highlight w:val="none"/>
              </w:rPr>
              <w:t>代理机构异议接收人：</w:t>
            </w:r>
            <w:r>
              <w:rPr>
                <w:rFonts w:hint="eastAsia" w:ascii="宋体" w:hAnsi="宋体" w:cs="宋体"/>
                <w:color w:val="auto"/>
                <w:sz w:val="24"/>
                <w:highlight w:val="none"/>
                <w:u w:val="single"/>
              </w:rPr>
              <w:t>高华萍</w:t>
            </w:r>
            <w:r>
              <w:rPr>
                <w:rFonts w:hint="eastAsia" w:ascii="宋体" w:hAnsi="宋体" w:cs="宋体"/>
                <w:color w:val="auto"/>
                <w:sz w:val="24"/>
                <w:highlight w:val="none"/>
              </w:rPr>
              <w:t xml:space="preserve"> 联系方式：</w:t>
            </w:r>
            <w:r>
              <w:rPr>
                <w:rFonts w:hint="eastAsia" w:ascii="宋体" w:hAnsi="宋体" w:cs="宋体"/>
                <w:color w:val="auto"/>
                <w:sz w:val="24"/>
                <w:highlight w:val="none"/>
                <w:u w:val="single"/>
              </w:rPr>
              <w:t>0571-838812</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8</w:t>
            </w:r>
          </w:p>
          <w:p>
            <w:pPr>
              <w:snapToGrid w:val="0"/>
              <w:spacing w:line="500" w:lineRule="exact"/>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杭州市萧山区金城路433号天汇园一幢A座5楼</w:t>
            </w:r>
          </w:p>
          <w:p>
            <w:pPr>
              <w:snapToGrid w:val="0"/>
              <w:spacing w:line="500" w:lineRule="exact"/>
              <w:rPr>
                <w:rFonts w:ascii="宋体" w:hAnsi="宋体" w:cs="宋体"/>
                <w:color w:val="auto"/>
                <w:sz w:val="24"/>
                <w:highlight w:val="none"/>
              </w:rPr>
            </w:pPr>
            <w:r>
              <w:rPr>
                <w:rFonts w:hint="eastAsia" w:ascii="宋体" w:hAnsi="宋体" w:cs="宋体"/>
                <w:color w:val="auto"/>
                <w:sz w:val="24"/>
                <w:highlight w:val="none"/>
              </w:rPr>
              <w:t>邮箱：</w:t>
            </w:r>
            <w:r>
              <w:rPr>
                <w:rFonts w:hint="eastAsia" w:ascii="宋体" w:hAnsi="宋体" w:cs="宋体"/>
                <w:color w:val="auto"/>
                <w:sz w:val="24"/>
                <w:highlight w:val="none"/>
                <w:u w:val="single"/>
              </w:rPr>
              <w:t>751200605@qq.com</w:t>
            </w:r>
          </w:p>
          <w:p>
            <w:pPr>
              <w:snapToGrid w:val="0"/>
              <w:spacing w:line="400" w:lineRule="exact"/>
              <w:rPr>
                <w:rFonts w:ascii="宋体" w:hAnsi="宋体" w:cs="宋体"/>
                <w:b/>
                <w:color w:val="auto"/>
                <w:sz w:val="24"/>
                <w:highlight w:val="none"/>
              </w:rPr>
            </w:pPr>
            <w:r>
              <w:rPr>
                <w:rFonts w:hint="eastAsia" w:ascii="宋体" w:hAnsi="宋体" w:cs="宋体"/>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本项目涉及资格条件、交易需求、评分办法及交易过程中有关现场考察或开标前答疑会事项由交易发起人进行答复。</w:t>
            </w:r>
          </w:p>
          <w:p>
            <w:pPr>
              <w:pStyle w:val="33"/>
              <w:spacing w:line="400" w:lineRule="exact"/>
              <w:ind w:hanging="4"/>
              <w:rPr>
                <w:rFonts w:hAnsi="宋体" w:cs="宋体"/>
                <w:color w:val="auto"/>
                <w:sz w:val="24"/>
                <w:highlight w:val="none"/>
              </w:rPr>
            </w:pPr>
            <w:r>
              <w:rPr>
                <w:rFonts w:hint="eastAsia" w:hAnsi="宋体" w:cs="宋体"/>
                <w:color w:val="auto"/>
                <w:sz w:val="24"/>
                <w:highlight w:val="none"/>
              </w:rPr>
              <w:t>涉及流程组织等相关事项，由代理机构进行答复。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snapToGrid w:val="0"/>
                <w:color w:val="auto"/>
                <w:kern w:val="28"/>
                <w:sz w:val="24"/>
                <w:highlight w:val="none"/>
              </w:rPr>
            </w:pPr>
            <w:r>
              <w:rPr>
                <w:rFonts w:hint="eastAsia" w:ascii="宋体" w:hAnsi="宋体" w:cs="宋体"/>
                <w:b/>
                <w:color w:val="auto"/>
                <w:sz w:val="24"/>
                <w:highlight w:val="none"/>
              </w:rPr>
              <w:t>本项目通用总则条款与前附表等专用特别规定有冲突之处，以专用条款（特别规定）为准。</w:t>
            </w:r>
          </w:p>
        </w:tc>
      </w:tr>
    </w:tbl>
    <w:p>
      <w:pPr>
        <w:snapToGrid w:val="0"/>
        <w:spacing w:line="360" w:lineRule="auto"/>
        <w:jc w:val="center"/>
        <w:rPr>
          <w:rFonts w:ascii="宋体" w:hAnsi="宋体" w:cs="宋体"/>
          <w:b/>
          <w:color w:val="auto"/>
          <w:sz w:val="32"/>
          <w:szCs w:val="20"/>
          <w:highlight w:val="none"/>
        </w:rPr>
      </w:pPr>
    </w:p>
    <w:bookmarkEnd w:id="9"/>
    <w:p>
      <w:pPr>
        <w:rPr>
          <w:rFonts w:ascii="宋体" w:hAnsi="宋体" w:cs="宋体"/>
          <w:b/>
          <w:color w:val="auto"/>
          <w:sz w:val="32"/>
          <w:szCs w:val="20"/>
          <w:highlight w:val="none"/>
        </w:rPr>
      </w:pPr>
      <w:bookmarkStart w:id="12" w:name="第三部分"/>
      <w:bookmarkStart w:id="13" w:name="_Toc164416483"/>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460" w:lineRule="exact"/>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pPr>
        <w:snapToGrid w:val="0"/>
        <w:spacing w:line="460" w:lineRule="exact"/>
        <w:ind w:firstLine="420" w:firstLineChars="175"/>
        <w:jc w:val="left"/>
        <w:rPr>
          <w:rFonts w:ascii="宋体" w:hAnsi="宋体" w:cs="宋体"/>
          <w:color w:val="auto"/>
          <w:sz w:val="24"/>
          <w:highlight w:val="none"/>
        </w:rPr>
      </w:pPr>
      <w:r>
        <w:rPr>
          <w:rFonts w:hint="eastAsia" w:ascii="宋体" w:hAnsi="宋体" w:cs="宋体"/>
          <w:color w:val="auto"/>
          <w:sz w:val="24"/>
          <w:highlight w:val="none"/>
        </w:rPr>
        <w:t>本公开竞争文件适用于该项目的交易、响应、评审、资格审查及信用信息查询、评审、定标、合同、验收等行为（法律、法规另有规定的，从其规定）。</w:t>
      </w:r>
    </w:p>
    <w:p>
      <w:pPr>
        <w:adjustRightInd/>
        <w:spacing w:line="460" w:lineRule="exact"/>
        <w:outlineLvl w:val="0"/>
        <w:rPr>
          <w:rFonts w:ascii="宋体" w:hAnsi="宋体" w:cs="宋体"/>
          <w:b/>
          <w:color w:val="auto"/>
          <w:sz w:val="24"/>
          <w:highlight w:val="none"/>
        </w:rPr>
      </w:pPr>
      <w:r>
        <w:rPr>
          <w:rFonts w:hint="eastAsia" w:ascii="宋体" w:hAnsi="宋体" w:cs="宋体"/>
          <w:b/>
          <w:color w:val="auto"/>
          <w:sz w:val="24"/>
          <w:highlight w:val="none"/>
        </w:rPr>
        <w:t>2.定义</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2.1“交易发起人”系指交易公告中载明的本项目的交易发起人。</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2.2“代理机构”系指交易公告中载明的本项目的代理机构。</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2.3“响应人”系指响应</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、参加投标竞争的法人、其他组织或者自然人。</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2.4“负责人”系指法人企业的法定负责人，或其他组织为法律、行政法规规定代表单位行使职权的主要负责人，或自然人本人。</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pPr>
        <w:spacing w:line="460" w:lineRule="exact"/>
        <w:ind w:firstLine="420" w:firstLineChars="175"/>
        <w:jc w:val="left"/>
        <w:rPr>
          <w:rFonts w:ascii="宋体" w:hAnsi="宋体" w:cs="宋体"/>
          <w:color w:val="auto"/>
          <w:sz w:val="24"/>
          <w:highlight w:val="none"/>
        </w:rPr>
      </w:pPr>
      <w:r>
        <w:rPr>
          <w:rFonts w:hint="eastAsia" w:ascii="宋体" w:hAnsi="宋体" w:cs="宋体"/>
          <w:color w:val="auto"/>
          <w:sz w:val="24"/>
          <w:highlight w:val="none"/>
        </w:rPr>
        <w:t>2.6“电子交易平台”是指本项目交易活动所依托的</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平台（https://www.zcygov.cn/）。</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2.7“▲” 系指实质性要求条款，“（</w:t>
      </w:r>
      <w:r>
        <w:rPr>
          <w:rFonts w:hint="eastAsia" w:ascii="宋体" w:hAnsi="宋体" w:cs="宋体"/>
          <w:bCs/>
          <w:color w:val="auto"/>
          <w:sz w:val="24"/>
          <w:highlight w:val="none"/>
        </w:rPr>
        <w:t>√</w:t>
      </w:r>
      <w:r>
        <w:rPr>
          <w:rFonts w:hint="eastAsia" w:ascii="宋体" w:hAnsi="宋体" w:cs="宋体"/>
          <w:color w:val="auto"/>
          <w:sz w:val="24"/>
          <w:highlight w:val="none"/>
        </w:rPr>
        <w:t>）” 系指适用本项目的要求，“（  ）”系指不适用本项目的要求。</w:t>
      </w:r>
    </w:p>
    <w:p>
      <w:pPr>
        <w:spacing w:line="460" w:lineRule="exact"/>
        <w:rPr>
          <w:rFonts w:ascii="宋体" w:hAnsi="宋体" w:cs="宋体"/>
          <w:b/>
          <w:color w:val="auto"/>
          <w:sz w:val="24"/>
          <w:highlight w:val="none"/>
        </w:rPr>
      </w:pPr>
      <w:r>
        <w:rPr>
          <w:rFonts w:hint="eastAsia" w:ascii="宋体" w:hAnsi="宋体" w:cs="宋体"/>
          <w:b/>
          <w:color w:val="auto"/>
          <w:sz w:val="24"/>
          <w:highlight w:val="none"/>
        </w:rPr>
        <w:t>3.异议、投诉</w:t>
      </w:r>
    </w:p>
    <w:p>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.1响应人异议</w:t>
      </w:r>
    </w:p>
    <w:p>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响应人对</w:t>
      </w:r>
      <w:r>
        <w:rPr>
          <w:rFonts w:hint="eastAsia" w:ascii="宋体" w:hAnsi="宋体" w:cs="宋体"/>
          <w:color w:val="auto"/>
          <w:kern w:val="0"/>
          <w:sz w:val="24"/>
          <w:highlight w:val="none"/>
        </w:rPr>
        <w:t>交易</w:t>
      </w:r>
      <w:r>
        <w:rPr>
          <w:rFonts w:hint="eastAsia" w:ascii="宋体" w:hAnsi="宋体" w:cs="宋体"/>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.2响应人异议</w:t>
      </w:r>
    </w:p>
    <w:p>
      <w:pPr>
        <w:pStyle w:val="33"/>
        <w:spacing w:line="460" w:lineRule="exact"/>
        <w:ind w:firstLine="420" w:firstLineChars="175"/>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.1提出</w:t>
      </w:r>
      <w:r>
        <w:rPr>
          <w:rFonts w:hint="eastAsia" w:hAnsi="宋体" w:cs="宋体"/>
          <w:color w:val="auto"/>
          <w:kern w:val="0"/>
          <w:sz w:val="24"/>
          <w:highlight w:val="none"/>
          <w:lang w:val="zh-CN"/>
        </w:rPr>
        <w:t>异议</w:t>
      </w:r>
      <w:r>
        <w:rPr>
          <w:rFonts w:hint="eastAsia" w:hAnsi="宋体" w:cs="宋体"/>
          <w:color w:val="auto"/>
          <w:sz w:val="24"/>
          <w:highlight w:val="none"/>
        </w:rPr>
        <w:t>的响应人应当是参与所质</w:t>
      </w:r>
      <w:r>
        <w:rPr>
          <w:rFonts w:hint="eastAsia" w:hAnsi="宋体" w:cs="宋体"/>
          <w:color w:val="auto"/>
          <w:kern w:val="0"/>
          <w:sz w:val="24"/>
          <w:highlight w:val="none"/>
          <w:lang w:val="zh-CN"/>
        </w:rPr>
        <w:t>异议</w:t>
      </w:r>
      <w:r>
        <w:rPr>
          <w:rFonts w:hint="eastAsia" w:hAnsi="宋体" w:cs="宋体"/>
          <w:color w:val="auto"/>
          <w:sz w:val="24"/>
          <w:highlight w:val="none"/>
        </w:rPr>
        <w:t>项目交易活动的响应人。潜在响应人已依法获取其可</w:t>
      </w:r>
      <w:r>
        <w:rPr>
          <w:rFonts w:hint="eastAsia" w:hAnsi="宋体" w:cs="宋体"/>
          <w:color w:val="auto"/>
          <w:kern w:val="0"/>
          <w:sz w:val="24"/>
          <w:highlight w:val="none"/>
          <w:lang w:val="zh-CN"/>
        </w:rPr>
        <w:t>异议</w:t>
      </w:r>
      <w:r>
        <w:rPr>
          <w:rFonts w:hint="eastAsia" w:hAnsi="宋体" w:cs="宋体"/>
          <w:color w:val="auto"/>
          <w:sz w:val="24"/>
          <w:highlight w:val="none"/>
        </w:rPr>
        <w:t>的公开竞争文件的，可以对该文件提出</w:t>
      </w:r>
      <w:r>
        <w:rPr>
          <w:rFonts w:hint="eastAsia" w:hAnsi="宋体" w:cs="宋体"/>
          <w:color w:val="auto"/>
          <w:kern w:val="0"/>
          <w:sz w:val="24"/>
          <w:highlight w:val="none"/>
          <w:lang w:val="zh-CN"/>
        </w:rPr>
        <w:t>异议</w:t>
      </w:r>
      <w:r>
        <w:rPr>
          <w:rFonts w:hint="eastAsia" w:hAnsi="宋体" w:cs="宋体"/>
          <w:color w:val="auto"/>
          <w:sz w:val="24"/>
          <w:highlight w:val="none"/>
        </w:rPr>
        <w:t>。</w:t>
      </w:r>
    </w:p>
    <w:p>
      <w:pPr>
        <w:pStyle w:val="33"/>
        <w:spacing w:line="460" w:lineRule="exact"/>
        <w:ind w:firstLine="420" w:firstLineChars="175"/>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hAnsi="宋体" w:cs="宋体"/>
          <w:color w:val="auto"/>
          <w:kern w:val="0"/>
          <w:sz w:val="24"/>
          <w:highlight w:val="none"/>
          <w:lang w:val="zh-CN"/>
        </w:rPr>
        <w:t>异议</w:t>
      </w:r>
      <w:r>
        <w:rPr>
          <w:rFonts w:hint="eastAsia" w:hAnsi="宋体" w:cs="宋体"/>
          <w:color w:val="auto"/>
          <w:sz w:val="24"/>
          <w:highlight w:val="none"/>
        </w:rPr>
        <w:t>，否则，交易发起人或者代理机构不予受理：</w:t>
      </w:r>
    </w:p>
    <w:p>
      <w:pPr>
        <w:pStyle w:val="33"/>
        <w:spacing w:line="460" w:lineRule="exact"/>
        <w:ind w:firstLine="420" w:firstLineChars="175"/>
        <w:rPr>
          <w:rFonts w:hAnsi="宋体" w:cs="宋体"/>
          <w:color w:val="auto"/>
          <w:sz w:val="24"/>
          <w:highlight w:val="none"/>
        </w:rPr>
      </w:pPr>
      <w:r>
        <w:rPr>
          <w:rFonts w:hint="eastAsia" w:hAnsi="宋体" w:cs="宋体"/>
          <w:color w:val="auto"/>
          <w:sz w:val="24"/>
          <w:highlight w:val="none"/>
        </w:rPr>
        <w:t>3.2.2.1对交易过程提出</w:t>
      </w:r>
      <w:r>
        <w:rPr>
          <w:rFonts w:hint="eastAsia" w:hAnsi="宋体" w:cs="宋体"/>
          <w:color w:val="auto"/>
          <w:kern w:val="0"/>
          <w:sz w:val="24"/>
          <w:highlight w:val="none"/>
          <w:lang w:val="zh-CN"/>
        </w:rPr>
        <w:t>异议</w:t>
      </w:r>
      <w:r>
        <w:rPr>
          <w:rFonts w:hint="eastAsia" w:hAnsi="宋体" w:cs="宋体"/>
          <w:color w:val="auto"/>
          <w:sz w:val="24"/>
          <w:highlight w:val="none"/>
        </w:rPr>
        <w:t>的，</w:t>
      </w:r>
      <w:r>
        <w:rPr>
          <w:rFonts w:hint="eastAsia" w:hAnsi="宋体" w:cs="宋体"/>
          <w:color w:val="auto"/>
          <w:kern w:val="0"/>
          <w:sz w:val="24"/>
          <w:highlight w:val="none"/>
          <w:lang w:val="zh-CN"/>
        </w:rPr>
        <w:t>异议</w:t>
      </w:r>
      <w:r>
        <w:rPr>
          <w:rFonts w:hint="eastAsia" w:hAnsi="宋体" w:cs="宋体"/>
          <w:color w:val="auto"/>
          <w:sz w:val="24"/>
          <w:highlight w:val="none"/>
        </w:rPr>
        <w:t>期限为各交易程序环节结束之日起计算。对同一交易程序环节的</w:t>
      </w:r>
      <w:r>
        <w:rPr>
          <w:rFonts w:hint="eastAsia" w:hAnsi="宋体" w:cs="宋体"/>
          <w:color w:val="auto"/>
          <w:kern w:val="0"/>
          <w:sz w:val="24"/>
          <w:highlight w:val="none"/>
          <w:lang w:val="zh-CN"/>
        </w:rPr>
        <w:t>异议</w:t>
      </w:r>
      <w:r>
        <w:rPr>
          <w:rFonts w:hint="eastAsia" w:hAnsi="宋体" w:cs="宋体"/>
          <w:color w:val="auto"/>
          <w:sz w:val="24"/>
          <w:highlight w:val="none"/>
        </w:rPr>
        <w:t>，响应人须一次性提出。</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w:t>
      </w:r>
      <w:r>
        <w:rPr>
          <w:rFonts w:hint="eastAsia" w:hAnsi="宋体" w:cs="宋体"/>
          <w:color w:val="auto"/>
          <w:sz w:val="24"/>
          <w:highlight w:val="none"/>
        </w:rPr>
        <w:t>响应人提出</w:t>
      </w:r>
      <w:r>
        <w:rPr>
          <w:rFonts w:hint="eastAsia" w:hAnsi="宋体" w:cs="宋体"/>
          <w:color w:val="auto"/>
          <w:kern w:val="0"/>
          <w:sz w:val="24"/>
          <w:highlight w:val="none"/>
          <w:lang w:val="zh-CN"/>
        </w:rPr>
        <w:t>异议</w:t>
      </w:r>
      <w:r>
        <w:rPr>
          <w:rFonts w:hint="eastAsia" w:hAnsi="宋体" w:cs="宋体"/>
          <w:color w:val="auto"/>
          <w:sz w:val="24"/>
          <w:highlight w:val="none"/>
        </w:rPr>
        <w:t>应当提交</w:t>
      </w:r>
      <w:r>
        <w:rPr>
          <w:rFonts w:hint="eastAsia" w:hAnsi="宋体" w:cs="宋体"/>
          <w:color w:val="auto"/>
          <w:kern w:val="0"/>
          <w:sz w:val="24"/>
          <w:highlight w:val="none"/>
          <w:lang w:val="zh-CN"/>
        </w:rPr>
        <w:t>异议</w:t>
      </w:r>
      <w:r>
        <w:rPr>
          <w:rFonts w:hint="eastAsia" w:hAnsi="宋体" w:cs="宋体"/>
          <w:color w:val="auto"/>
          <w:sz w:val="24"/>
          <w:highlight w:val="none"/>
        </w:rPr>
        <w:t>函和必要的证明材料。</w:t>
      </w:r>
      <w:r>
        <w:rPr>
          <w:rFonts w:hint="eastAsia" w:hAnsi="宋体" w:cs="宋体"/>
          <w:color w:val="auto"/>
          <w:kern w:val="0"/>
          <w:sz w:val="24"/>
          <w:highlight w:val="none"/>
          <w:lang w:val="zh-CN"/>
        </w:rPr>
        <w:t>异议</w:t>
      </w:r>
      <w:r>
        <w:rPr>
          <w:rFonts w:hint="eastAsia" w:hAnsi="宋体" w:cs="宋体"/>
          <w:color w:val="auto"/>
          <w:sz w:val="24"/>
          <w:highlight w:val="none"/>
        </w:rPr>
        <w:t>函应当包括下列内容：</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.2.3.1响应人的姓名或者名称、地址、邮编、联系人及联系电话；</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.2.3.2异议项目的名称、编号；</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.2.3.3具体、明确的异议事项和与异议事项相关的请求；</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.2.3.4事实依据；</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.2.3.5必要的法律依据；</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.2.3.6提出异议的日期。</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异议函范本及制作说明详见附件</w:t>
      </w:r>
      <w:r>
        <w:rPr>
          <w:rFonts w:hint="eastAsia" w:hAnsi="宋体" w:cs="宋体"/>
          <w:color w:val="auto"/>
          <w:kern w:val="0"/>
          <w:sz w:val="24"/>
          <w:highlight w:val="none"/>
        </w:rPr>
        <w:t>1</w:t>
      </w:r>
      <w:r>
        <w:rPr>
          <w:rFonts w:hint="eastAsia" w:hAnsi="宋体" w:cs="宋体"/>
          <w:color w:val="auto"/>
          <w:kern w:val="0"/>
          <w:sz w:val="24"/>
          <w:highlight w:val="none"/>
          <w:lang w:val="zh-CN"/>
        </w:rPr>
        <w:t>。</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.2.4交易发起人或者代理机构应当在收到响应人的书面异议后</w:t>
      </w:r>
      <w:r>
        <w:rPr>
          <w:rFonts w:hint="eastAsia" w:hAnsi="宋体" w:cs="宋体"/>
          <w:color w:val="auto"/>
          <w:kern w:val="0"/>
          <w:sz w:val="24"/>
          <w:highlight w:val="none"/>
        </w:rPr>
        <w:t>3</w:t>
      </w:r>
      <w:r>
        <w:rPr>
          <w:rFonts w:hint="eastAsia" w:hAnsi="宋体" w:cs="宋体"/>
          <w:color w:val="auto"/>
          <w:kern w:val="0"/>
          <w:sz w:val="24"/>
          <w:highlight w:val="none"/>
          <w:lang w:val="zh-CN"/>
        </w:rPr>
        <w:t>日内作出答复，并以书面形式通知异议响应人和其他与异议处理结果有利害关系的交易当事人，但答复的内容不得涉及商业秘密。</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.2.5询问或者异议事项可能影响</w:t>
      </w:r>
      <w:r>
        <w:rPr>
          <w:rFonts w:hint="eastAsia" w:hAnsi="宋体" w:cs="宋体"/>
          <w:color w:val="auto"/>
          <w:kern w:val="0"/>
          <w:sz w:val="24"/>
          <w:highlight w:val="none"/>
        </w:rPr>
        <w:t>交易</w:t>
      </w:r>
      <w:r>
        <w:rPr>
          <w:rFonts w:hint="eastAsia" w:hAnsi="宋体" w:cs="宋体"/>
          <w:color w:val="auto"/>
          <w:kern w:val="0"/>
          <w:sz w:val="24"/>
          <w:highlight w:val="none"/>
          <w:lang w:val="zh-CN"/>
        </w:rPr>
        <w:t>结果的，交易发起人应当暂停签订合同，已经签订合同的，应当中止履行合同。</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.3响应人投诉</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hAnsi="宋体" w:cs="宋体"/>
          <w:color w:val="auto"/>
          <w:kern w:val="0"/>
          <w:sz w:val="24"/>
          <w:highlight w:val="none"/>
        </w:rPr>
        <w:t>10</w:t>
      </w:r>
      <w:r>
        <w:rPr>
          <w:rFonts w:hint="eastAsia" w:hAnsi="宋体" w:cs="宋体"/>
          <w:color w:val="auto"/>
          <w:kern w:val="0"/>
          <w:sz w:val="24"/>
          <w:highlight w:val="none"/>
          <w:lang w:val="zh-CN"/>
        </w:rPr>
        <w:t>日内向基层监督机构部门提出投诉。</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.3.2响应人投诉的事项不得超出已异议事项的范围，基于异议答复内容提出的投诉事项除外。</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.3.3响应人投诉应当有明确的请求和必要的证明材料。</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w:t>
      </w:r>
      <w:r>
        <w:rPr>
          <w:rFonts w:hint="eastAsia" w:hAnsi="宋体" w:cs="宋体"/>
          <w:color w:val="auto"/>
          <w:kern w:val="0"/>
          <w:sz w:val="24"/>
          <w:highlight w:val="none"/>
        </w:rPr>
        <w:t>4</w:t>
      </w:r>
      <w:r>
        <w:rPr>
          <w:rFonts w:hint="eastAsia" w:hAnsi="宋体" w:cs="宋体"/>
          <w:color w:val="auto"/>
          <w:kern w:val="0"/>
          <w:sz w:val="24"/>
          <w:highlight w:val="none"/>
          <w:lang w:val="zh-CN"/>
        </w:rPr>
        <w:t>以联合体形式参加交易活动的，其投诉应当由组成联合体的所有响应人共同提出。</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投诉书范本及制作说明详见附件</w:t>
      </w:r>
      <w:r>
        <w:rPr>
          <w:rFonts w:hint="eastAsia" w:hAnsi="宋体" w:cs="宋体"/>
          <w:color w:val="auto"/>
          <w:kern w:val="0"/>
          <w:sz w:val="24"/>
          <w:highlight w:val="none"/>
        </w:rPr>
        <w:t>2</w:t>
      </w:r>
      <w:r>
        <w:rPr>
          <w:rFonts w:hint="eastAsia" w:hAnsi="宋体" w:cs="宋体"/>
          <w:color w:val="auto"/>
          <w:kern w:val="0"/>
          <w:sz w:val="24"/>
          <w:highlight w:val="none"/>
          <w:lang w:val="zh-CN"/>
        </w:rPr>
        <w:t>。</w:t>
      </w:r>
    </w:p>
    <w:p>
      <w:pPr>
        <w:pStyle w:val="140"/>
        <w:snapToGrid w:val="0"/>
        <w:spacing w:before="0" w:line="460" w:lineRule="exact"/>
        <w:ind w:firstLine="360"/>
        <w:rPr>
          <w:rFonts w:ascii="宋体" w:hAnsi="宋体" w:cs="宋体"/>
          <w:color w:val="auto"/>
          <w:sz w:val="18"/>
          <w:szCs w:val="18"/>
          <w:highlight w:val="none"/>
        </w:rPr>
      </w:pPr>
    </w:p>
    <w:p>
      <w:pPr>
        <w:adjustRightInd/>
        <w:spacing w:line="460" w:lineRule="exact"/>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二、公开竞争文件的构成、澄清、修改</w:t>
      </w:r>
    </w:p>
    <w:p>
      <w:pPr>
        <w:pStyle w:val="33"/>
        <w:spacing w:line="460" w:lineRule="exact"/>
        <w:rPr>
          <w:rFonts w:hAnsi="宋体" w:cs="宋体"/>
          <w:b/>
          <w:color w:val="auto"/>
          <w:sz w:val="24"/>
          <w:szCs w:val="24"/>
          <w:highlight w:val="none"/>
        </w:rPr>
      </w:pPr>
      <w:r>
        <w:rPr>
          <w:rFonts w:hint="eastAsia" w:hAnsi="宋体" w:cs="宋体"/>
          <w:b/>
          <w:color w:val="auto"/>
          <w:sz w:val="24"/>
          <w:szCs w:val="24"/>
          <w:highlight w:val="none"/>
        </w:rPr>
        <w:t>4．公开竞争文件的构成</w:t>
      </w:r>
    </w:p>
    <w:p>
      <w:pPr>
        <w:pStyle w:val="33"/>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4.1公开竞争文件包括下列文件及附件：</w:t>
      </w:r>
    </w:p>
    <w:p>
      <w:pPr>
        <w:pStyle w:val="33"/>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4.1.1交易公告；</w:t>
      </w:r>
    </w:p>
    <w:p>
      <w:pPr>
        <w:pStyle w:val="33"/>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4.1.2响应人须知；</w:t>
      </w:r>
    </w:p>
    <w:p>
      <w:pPr>
        <w:pStyle w:val="33"/>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4.1.3交易需求；</w:t>
      </w:r>
    </w:p>
    <w:p>
      <w:pPr>
        <w:pStyle w:val="33"/>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4.1.4交易办法；</w:t>
      </w:r>
    </w:p>
    <w:p>
      <w:pPr>
        <w:pStyle w:val="33"/>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4.1.5拟签订的合同文本；</w:t>
      </w:r>
    </w:p>
    <w:p>
      <w:pPr>
        <w:pStyle w:val="33"/>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highlight w:val="none"/>
        </w:rPr>
        <w:t>4.1.6</w:t>
      </w:r>
      <w:r>
        <w:rPr>
          <w:rFonts w:hint="eastAsia" w:hAnsi="宋体" w:cs="宋体"/>
          <w:color w:val="auto"/>
          <w:sz w:val="24"/>
          <w:szCs w:val="24"/>
          <w:highlight w:val="none"/>
        </w:rPr>
        <w:t>应提交的有关格式范例。</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4.2与本项目有关的</w:t>
      </w:r>
      <w:r>
        <w:rPr>
          <w:rFonts w:hint="eastAsia" w:ascii="宋体" w:hAnsi="宋体" w:cs="宋体"/>
          <w:bCs/>
          <w:color w:val="auto"/>
          <w:sz w:val="24"/>
          <w:highlight w:val="none"/>
        </w:rPr>
        <w:t>澄清或者修改的内容为公开竞争文件的组成部分</w:t>
      </w:r>
      <w:r>
        <w:rPr>
          <w:rFonts w:hint="eastAsia" w:ascii="宋体" w:hAnsi="宋体" w:cs="宋体"/>
          <w:color w:val="auto"/>
          <w:sz w:val="24"/>
          <w:highlight w:val="none"/>
        </w:rPr>
        <w:t>。</w:t>
      </w:r>
    </w:p>
    <w:p>
      <w:pPr>
        <w:pStyle w:val="33"/>
        <w:spacing w:line="460" w:lineRule="exact"/>
        <w:rPr>
          <w:rFonts w:hAnsi="宋体" w:cs="宋体"/>
          <w:b/>
          <w:color w:val="auto"/>
          <w:sz w:val="24"/>
          <w:szCs w:val="24"/>
          <w:highlight w:val="none"/>
        </w:rPr>
      </w:pPr>
      <w:r>
        <w:rPr>
          <w:rFonts w:hint="eastAsia" w:hAnsi="宋体" w:cs="宋体"/>
          <w:b/>
          <w:color w:val="auto"/>
          <w:sz w:val="24"/>
          <w:szCs w:val="24"/>
          <w:highlight w:val="none"/>
        </w:rPr>
        <w:t>5.公开竞争文件的澄清、修改</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5.1已获取公开竞争文件的潜在响应人，若有问题需要澄清，应于响应截止时间前，以书面形式向代理机构提出。</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pPr>
        <w:adjustRightInd/>
        <w:spacing w:line="460" w:lineRule="exact"/>
        <w:jc w:val="center"/>
        <w:outlineLvl w:val="0"/>
        <w:rPr>
          <w:rFonts w:ascii="宋体" w:hAnsi="宋体" w:cs="宋体"/>
          <w:b/>
          <w:color w:val="auto"/>
          <w:sz w:val="30"/>
          <w:szCs w:val="20"/>
          <w:highlight w:val="none"/>
        </w:rPr>
      </w:pPr>
    </w:p>
    <w:p>
      <w:pPr>
        <w:adjustRightInd/>
        <w:spacing w:line="460" w:lineRule="exact"/>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三、响应</w:t>
      </w:r>
    </w:p>
    <w:p>
      <w:pPr>
        <w:pStyle w:val="33"/>
        <w:spacing w:line="460" w:lineRule="exact"/>
        <w:rPr>
          <w:rFonts w:hAnsi="宋体" w:cs="宋体"/>
          <w:b/>
          <w:color w:val="auto"/>
          <w:sz w:val="24"/>
          <w:szCs w:val="24"/>
          <w:highlight w:val="none"/>
        </w:rPr>
      </w:pPr>
      <w:r>
        <w:rPr>
          <w:rFonts w:hint="eastAsia" w:hAnsi="宋体" w:cs="宋体"/>
          <w:b/>
          <w:color w:val="auto"/>
          <w:sz w:val="24"/>
          <w:szCs w:val="24"/>
          <w:highlight w:val="none"/>
        </w:rPr>
        <w:t>6.公开竞争文件的获取</w:t>
      </w:r>
    </w:p>
    <w:p>
      <w:pPr>
        <w:spacing w:line="460" w:lineRule="exact"/>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详见交易公告中获取公开竞争文件的时间期限、地点、方式及公开竞争文件售价。</w:t>
      </w:r>
    </w:p>
    <w:p>
      <w:pPr>
        <w:pStyle w:val="33"/>
        <w:spacing w:line="460" w:lineRule="exact"/>
        <w:rPr>
          <w:rFonts w:hAnsi="宋体" w:cs="宋体"/>
          <w:b/>
          <w:color w:val="auto"/>
          <w:sz w:val="24"/>
          <w:szCs w:val="24"/>
          <w:highlight w:val="none"/>
        </w:rPr>
      </w:pPr>
      <w:r>
        <w:rPr>
          <w:rFonts w:hint="eastAsia" w:hAnsi="宋体" w:cs="宋体"/>
          <w:b/>
          <w:color w:val="auto"/>
          <w:sz w:val="24"/>
          <w:szCs w:val="24"/>
          <w:highlight w:val="none"/>
        </w:rPr>
        <w:t>7.交易前答疑会或现场考察</w:t>
      </w:r>
    </w:p>
    <w:p>
      <w:pPr>
        <w:pStyle w:val="33"/>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交易发起人组织潜在响应人现场考察或者召开交易前答疑会的，潜在响应人按第二部分响应人须知前附表的规定参加现场考察或者开标前答疑会。</w:t>
      </w:r>
    </w:p>
    <w:p>
      <w:pPr>
        <w:pStyle w:val="33"/>
        <w:spacing w:line="460" w:lineRule="exact"/>
        <w:rPr>
          <w:rFonts w:hAnsi="宋体" w:cs="宋体"/>
          <w:b/>
          <w:color w:val="auto"/>
          <w:szCs w:val="24"/>
          <w:highlight w:val="none"/>
        </w:rPr>
      </w:pPr>
      <w:r>
        <w:rPr>
          <w:rFonts w:hint="eastAsia" w:hAnsi="宋体" w:cs="宋体"/>
          <w:b/>
          <w:color w:val="auto"/>
          <w:kern w:val="28"/>
          <w:sz w:val="24"/>
          <w:szCs w:val="24"/>
          <w:highlight w:val="none"/>
        </w:rPr>
        <w:t>8.交易保证金</w:t>
      </w:r>
    </w:p>
    <w:p>
      <w:pPr>
        <w:pStyle w:val="5"/>
        <w:spacing w:line="460" w:lineRule="exact"/>
        <w:ind w:firstLine="470" w:firstLineChars="196"/>
        <w:rPr>
          <w:rFonts w:hAnsi="宋体" w:cs="宋体"/>
          <w:color w:val="auto"/>
          <w:sz w:val="24"/>
          <w:highlight w:val="none"/>
        </w:rPr>
      </w:pPr>
      <w:r>
        <w:rPr>
          <w:rFonts w:hint="eastAsia" w:hAnsi="宋体" w:cs="宋体"/>
          <w:color w:val="auto"/>
          <w:sz w:val="24"/>
          <w:highlight w:val="none"/>
        </w:rPr>
        <w:t>本项目不需缴纳交易保证金。</w:t>
      </w:r>
    </w:p>
    <w:p>
      <w:pPr>
        <w:pStyle w:val="33"/>
        <w:spacing w:line="460" w:lineRule="exact"/>
        <w:rPr>
          <w:rFonts w:hAnsi="宋体" w:cs="宋体"/>
          <w:b/>
          <w:color w:val="auto"/>
          <w:sz w:val="24"/>
          <w:szCs w:val="24"/>
          <w:highlight w:val="none"/>
        </w:rPr>
      </w:pPr>
      <w:r>
        <w:rPr>
          <w:rFonts w:hint="eastAsia" w:hAnsi="宋体" w:cs="宋体"/>
          <w:b/>
          <w:color w:val="auto"/>
          <w:sz w:val="24"/>
          <w:szCs w:val="24"/>
          <w:highlight w:val="none"/>
        </w:rPr>
        <w:t>9.响应文件的语言</w:t>
      </w:r>
    </w:p>
    <w:p>
      <w:pPr>
        <w:autoSpaceDE w:val="0"/>
        <w:autoSpaceDN w:val="0"/>
        <w:spacing w:line="4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响应文件及响应人与交易有关的来往通知、函件和文件均应使用中文。</w:t>
      </w:r>
    </w:p>
    <w:p>
      <w:pPr>
        <w:pStyle w:val="33"/>
        <w:spacing w:line="460" w:lineRule="exact"/>
        <w:rPr>
          <w:rFonts w:hAnsi="宋体" w:cs="宋体"/>
          <w:b/>
          <w:color w:val="auto"/>
          <w:sz w:val="24"/>
          <w:szCs w:val="24"/>
          <w:highlight w:val="none"/>
        </w:rPr>
      </w:pPr>
      <w:r>
        <w:rPr>
          <w:rFonts w:hint="eastAsia" w:hAnsi="宋体" w:cs="宋体"/>
          <w:b/>
          <w:color w:val="auto"/>
          <w:sz w:val="24"/>
          <w:szCs w:val="24"/>
          <w:highlight w:val="none"/>
        </w:rPr>
        <w:t>10.响应文件的组成</w:t>
      </w:r>
    </w:p>
    <w:p>
      <w:pPr>
        <w:snapToGrid w:val="0"/>
        <w:spacing w:line="4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10.1资格文件：</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10.1.1符合参加交易活动应当具备的一般条件的承诺函；</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10.1.2本项目的特定资格要求。</w:t>
      </w:r>
    </w:p>
    <w:p>
      <w:pPr>
        <w:snapToGrid w:val="0"/>
        <w:spacing w:line="460" w:lineRule="exact"/>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0</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10.2.1交易函；</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10.2.2授权委托书或法定代表人（单位负责人、自然人本人）身份证明；</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10.2.3营业执照；</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10.2.4符合性审查资料；</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10.2.5评审标准相应的商务技术资料；</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10.2.6商务技术偏离表；</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10.2.7</w:t>
      </w:r>
      <w:r>
        <w:rPr>
          <w:rFonts w:hint="eastAsia" w:ascii="宋体" w:hAnsi="宋体" w:cs="宋体"/>
          <w:color w:val="auto"/>
          <w:sz w:val="24"/>
          <w:highlight w:val="none"/>
          <w:lang w:val="zh-CN"/>
        </w:rPr>
        <w:t>响应人廉洁自律承诺书。</w:t>
      </w:r>
    </w:p>
    <w:p>
      <w:pPr>
        <w:snapToGrid w:val="0"/>
        <w:spacing w:line="460" w:lineRule="exact"/>
        <w:ind w:firstLine="482" w:firstLineChars="200"/>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w:t>
      </w:r>
      <w:r>
        <w:rPr>
          <w:rFonts w:hint="eastAsia" w:ascii="宋体" w:hAnsi="宋体" w:cs="宋体"/>
          <w:b/>
          <w:bCs/>
          <w:color w:val="auto"/>
          <w:kern w:val="0"/>
          <w:sz w:val="24"/>
          <w:highlight w:val="none"/>
        </w:rPr>
        <w:t>0</w:t>
      </w:r>
      <w:r>
        <w:rPr>
          <w:rFonts w:hint="eastAsia" w:ascii="宋体" w:hAnsi="宋体" w:cs="宋体"/>
          <w:b/>
          <w:bCs/>
          <w:color w:val="auto"/>
          <w:kern w:val="0"/>
          <w:sz w:val="24"/>
          <w:highlight w:val="none"/>
          <w:lang w:val="zh-CN"/>
        </w:rPr>
        <w:t>.</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10.3.1</w:t>
      </w:r>
      <w:r>
        <w:rPr>
          <w:rFonts w:hint="eastAsia" w:ascii="宋体" w:hAnsi="宋体" w:cs="宋体"/>
          <w:color w:val="auto"/>
          <w:sz w:val="24"/>
          <w:highlight w:val="none"/>
        </w:rPr>
        <w:t>交易一览表（报价表）。</w:t>
      </w:r>
    </w:p>
    <w:p>
      <w:pPr>
        <w:spacing w:line="460" w:lineRule="exact"/>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响应文件含有交易发起人不能接受的附加条件的，交易无效；</w:t>
      </w:r>
    </w:p>
    <w:p>
      <w:pPr>
        <w:spacing w:line="460" w:lineRule="exact"/>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响应人提供虚假材料投标的，交易无效。</w:t>
      </w:r>
    </w:p>
    <w:p>
      <w:pPr>
        <w:pStyle w:val="140"/>
        <w:snapToGrid w:val="0"/>
        <w:spacing w:before="0" w:line="460" w:lineRule="exact"/>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11</w:t>
      </w:r>
      <w:r>
        <w:rPr>
          <w:rFonts w:hint="eastAsia" w:ascii="宋体" w:hAnsi="宋体" w:cs="宋体"/>
          <w:b/>
          <w:color w:val="auto"/>
          <w:kern w:val="0"/>
          <w:szCs w:val="24"/>
          <w:highlight w:val="none"/>
          <w:lang w:val="zh-CN"/>
        </w:rPr>
        <w:t>.</w:t>
      </w:r>
      <w:r>
        <w:rPr>
          <w:rFonts w:hint="eastAsia" w:ascii="宋体" w:hAnsi="宋体" w:cs="宋体"/>
          <w:b/>
          <w:color w:val="auto"/>
          <w:szCs w:val="24"/>
          <w:highlight w:val="none"/>
        </w:rPr>
        <w:t>响应文件的编制</w:t>
      </w:r>
    </w:p>
    <w:p>
      <w:pPr>
        <w:spacing w:line="460" w:lineRule="exact"/>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pPr>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.2响应人进行电子投标应安装客户端软件—“政采云电子交易客户端”，并按照公开竞争文件和电子交易平台的要求编制并加密响应文件。响应人未按规定加密的响应文件，电子交易平台将拒收并提示。</w:t>
      </w:r>
    </w:p>
    <w:p>
      <w:pPr>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pPr>
        <w:snapToGrid w:val="0"/>
        <w:spacing w:line="460" w:lineRule="exact"/>
        <w:rPr>
          <w:rFonts w:ascii="宋体" w:hAnsi="宋体" w:cs="宋体"/>
          <w:b/>
          <w:color w:val="auto"/>
          <w:sz w:val="24"/>
          <w:highlight w:val="none"/>
        </w:rPr>
      </w:pPr>
      <w:r>
        <w:rPr>
          <w:rFonts w:hint="eastAsia" w:ascii="宋体" w:hAnsi="宋体" w:cs="宋体"/>
          <w:b/>
          <w:color w:val="auto"/>
          <w:sz w:val="24"/>
          <w:highlight w:val="none"/>
        </w:rPr>
        <w:t>12.响应文件的签署、盖章</w:t>
      </w:r>
    </w:p>
    <w:p>
      <w:pPr>
        <w:pStyle w:val="140"/>
        <w:snapToGrid w:val="0"/>
        <w:spacing w:before="0" w:line="460" w:lineRule="exact"/>
        <w:ind w:firstLine="480"/>
        <w:rPr>
          <w:rFonts w:ascii="宋体" w:hAnsi="宋体" w:cs="宋体"/>
          <w:b/>
          <w:color w:val="auto"/>
          <w:highlight w:val="none"/>
        </w:rPr>
      </w:pPr>
      <w:r>
        <w:rPr>
          <w:rFonts w:hint="eastAsia" w:ascii="宋体" w:hAnsi="宋体" w:cs="宋体"/>
          <w:color w:val="auto"/>
          <w:szCs w:val="24"/>
          <w:highlight w:val="none"/>
        </w:rPr>
        <w:t>12.1响应文件按照公开竞争文件第六部分格式要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▲响应人的响应文件未按照公开竞争文件要求签署、盖章的，其交易无效</w:t>
      </w:r>
      <w:r>
        <w:rPr>
          <w:rFonts w:hint="eastAsia" w:ascii="宋体" w:hAnsi="宋体" w:cs="宋体"/>
          <w:color w:val="auto"/>
          <w:szCs w:val="24"/>
          <w:highlight w:val="none"/>
        </w:rPr>
        <w:t>。</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12.2为确保网上操作合法、有效和安全，响应人应当在响应截止时间前完成在“</w:t>
      </w:r>
      <w:r>
        <w:rPr>
          <w:rFonts w:hint="eastAsia" w:ascii="宋体" w:hAnsi="宋体" w:cs="宋体"/>
          <w:color w:val="auto"/>
          <w:highlight w:val="none"/>
          <w:lang w:eastAsia="zh-CN"/>
        </w:rPr>
        <w:t>乐采云</w:t>
      </w:r>
      <w:r>
        <w:rPr>
          <w:rFonts w:hint="eastAsia" w:ascii="宋体" w:hAnsi="宋体" w:cs="宋体"/>
          <w:color w:val="auto"/>
          <w:highlight w:val="none"/>
        </w:rPr>
        <w:t>平台”的身份认证，确保在电子投标过程中能够对相关数据电文进行加密和使用电子签名。</w:t>
      </w:r>
    </w:p>
    <w:p>
      <w:pPr>
        <w:pStyle w:val="140"/>
        <w:snapToGrid w:val="0"/>
        <w:spacing w:before="0" w:line="460" w:lineRule="exact"/>
        <w:ind w:firstLine="480"/>
        <w:rPr>
          <w:rFonts w:ascii="宋体" w:hAnsi="宋体" w:cs="宋体"/>
          <w:color w:val="auto"/>
          <w:szCs w:val="24"/>
          <w:highlight w:val="none"/>
        </w:rPr>
      </w:pPr>
      <w:r>
        <w:rPr>
          <w:rFonts w:hint="eastAsia" w:ascii="宋体" w:hAnsi="宋体" w:cs="宋体"/>
          <w:color w:val="auto"/>
          <w:highlight w:val="none"/>
        </w:rPr>
        <w:t>12.3公开竞争文件对响应文件签署、盖章的要求适用于电子签名。</w:t>
      </w:r>
    </w:p>
    <w:p>
      <w:pPr>
        <w:pStyle w:val="14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13.响应文件的提交、补充、修改、撤回</w:t>
      </w:r>
    </w:p>
    <w:p>
      <w:pPr>
        <w:pStyle w:val="140"/>
        <w:spacing w:line="460" w:lineRule="exact"/>
        <w:ind w:firstLine="480"/>
        <w:rPr>
          <w:rFonts w:ascii="宋体" w:hAnsi="宋体" w:cs="宋体"/>
          <w:color w:val="auto"/>
          <w:szCs w:val="24"/>
          <w:highlight w:val="none"/>
        </w:rPr>
      </w:pPr>
      <w:r>
        <w:rPr>
          <w:rFonts w:hint="eastAsia" w:ascii="宋体" w:hAnsi="宋体" w:cs="宋体"/>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pPr>
        <w:pStyle w:val="140"/>
        <w:spacing w:before="0" w:line="460" w:lineRule="exact"/>
        <w:ind w:firstLine="480"/>
        <w:rPr>
          <w:rFonts w:ascii="宋体" w:hAnsi="宋体" w:cs="宋体"/>
          <w:color w:val="auto"/>
          <w:szCs w:val="24"/>
          <w:highlight w:val="none"/>
        </w:rPr>
      </w:pPr>
      <w:r>
        <w:rPr>
          <w:rFonts w:hint="eastAsia" w:ascii="宋体" w:hAnsi="宋体" w:cs="宋体"/>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pPr>
        <w:pStyle w:val="140"/>
        <w:spacing w:before="0" w:line="460" w:lineRule="exact"/>
        <w:ind w:firstLine="480"/>
        <w:rPr>
          <w:rFonts w:ascii="宋体" w:hAnsi="宋体" w:cs="宋体"/>
          <w:color w:val="auto"/>
          <w:szCs w:val="24"/>
          <w:highlight w:val="none"/>
        </w:rPr>
      </w:pPr>
      <w:r>
        <w:rPr>
          <w:rFonts w:hint="eastAsia" w:ascii="宋体" w:hAnsi="宋体" w:cs="宋体"/>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pPr>
        <w:pStyle w:val="33"/>
        <w:numPr>
          <w:ilvl w:val="0"/>
          <w:numId w:val="1"/>
        </w:numPr>
        <w:spacing w:line="460" w:lineRule="exact"/>
        <w:rPr>
          <w:rFonts w:hAnsi="宋体" w:cs="宋体"/>
          <w:b/>
          <w:color w:val="auto"/>
          <w:sz w:val="24"/>
          <w:szCs w:val="24"/>
          <w:highlight w:val="none"/>
        </w:rPr>
      </w:pPr>
      <w:r>
        <w:rPr>
          <w:rFonts w:hint="eastAsia" w:hAnsi="宋体" w:cs="宋体"/>
          <w:b/>
          <w:color w:val="auto"/>
          <w:sz w:val="24"/>
          <w:szCs w:val="24"/>
          <w:highlight w:val="none"/>
        </w:rPr>
        <w:t>备份响应文件</w:t>
      </w:r>
    </w:p>
    <w:p>
      <w:pPr>
        <w:pStyle w:val="33"/>
        <w:spacing w:line="460" w:lineRule="exact"/>
        <w:ind w:firstLine="480" w:firstLineChars="200"/>
        <w:rPr>
          <w:rFonts w:hAnsi="宋体" w:cs="宋体"/>
          <w:b/>
          <w:color w:val="auto"/>
          <w:sz w:val="24"/>
          <w:szCs w:val="24"/>
          <w:highlight w:val="none"/>
        </w:rPr>
      </w:pPr>
      <w:r>
        <w:rPr>
          <w:rFonts w:hint="eastAsia" w:hAnsi="宋体" w:cs="宋体"/>
          <w:color w:val="auto"/>
          <w:kern w:val="28"/>
          <w:sz w:val="24"/>
          <w:szCs w:val="24"/>
          <w:highlight w:val="none"/>
        </w:rPr>
        <w:t>不收取备份响应文件。</w:t>
      </w:r>
    </w:p>
    <w:p>
      <w:pPr>
        <w:pStyle w:val="14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15.响应文件的无效处理</w:t>
      </w:r>
    </w:p>
    <w:p>
      <w:pPr>
        <w:pStyle w:val="25"/>
        <w:spacing w:line="460" w:lineRule="exact"/>
        <w:rPr>
          <w:rFonts w:cs="宋体"/>
          <w:color w:val="auto"/>
          <w:szCs w:val="21"/>
          <w:highlight w:val="none"/>
        </w:rPr>
      </w:pPr>
      <w:r>
        <w:rPr>
          <w:rFonts w:hint="eastAsia" w:cs="宋体"/>
          <w:color w:val="auto"/>
          <w:szCs w:val="21"/>
          <w:highlight w:val="none"/>
        </w:rPr>
        <w:t>有公开竞争文件第四部分</w:t>
      </w:r>
      <w:r>
        <w:rPr>
          <w:rFonts w:hint="eastAsia" w:cs="宋体"/>
          <w:color w:val="auto"/>
          <w:highlight w:val="none"/>
        </w:rPr>
        <w:t>4.2规定</w:t>
      </w:r>
      <w:r>
        <w:rPr>
          <w:rFonts w:hint="eastAsia" w:cs="宋体"/>
          <w:color w:val="auto"/>
          <w:szCs w:val="21"/>
          <w:highlight w:val="none"/>
        </w:rPr>
        <w:t>的情形之一的，交易无效：</w:t>
      </w:r>
    </w:p>
    <w:p>
      <w:pPr>
        <w:pStyle w:val="14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16.交易有效期</w:t>
      </w:r>
    </w:p>
    <w:p>
      <w:pPr>
        <w:spacing w:line="460" w:lineRule="exact"/>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16.1交易有效期为从提交响应文件的截止之日起90天。▲</w:t>
      </w:r>
      <w:r>
        <w:rPr>
          <w:rFonts w:hint="eastAsia" w:ascii="宋体" w:hAnsi="宋体" w:cs="宋体"/>
          <w:b/>
          <w:color w:val="auto"/>
          <w:sz w:val="24"/>
          <w:szCs w:val="20"/>
          <w:highlight w:val="none"/>
        </w:rPr>
        <w:t>响应人的响应文件中承</w:t>
      </w:r>
      <w:r>
        <w:rPr>
          <w:rFonts w:hint="eastAsia" w:ascii="宋体" w:hAnsi="宋体" w:cs="宋体"/>
          <w:b/>
          <w:color w:val="auto"/>
          <w:sz w:val="24"/>
          <w:szCs w:val="21"/>
          <w:highlight w:val="none"/>
        </w:rPr>
        <w:t>诺的交易有效期少于公开竞争文件中载明的交易有效期的，交易无效。</w:t>
      </w:r>
    </w:p>
    <w:p>
      <w:pPr>
        <w:pStyle w:val="140"/>
        <w:spacing w:before="0" w:line="460" w:lineRule="exact"/>
        <w:ind w:firstLine="480"/>
        <w:rPr>
          <w:rFonts w:ascii="宋体" w:hAnsi="宋体" w:cs="宋体"/>
          <w:color w:val="auto"/>
          <w:highlight w:val="none"/>
        </w:rPr>
      </w:pPr>
      <w:r>
        <w:rPr>
          <w:rFonts w:hint="eastAsia" w:ascii="宋体" w:hAnsi="宋体" w:cs="宋体"/>
          <w:color w:val="auto"/>
          <w:highlight w:val="none"/>
        </w:rPr>
        <w:t>16.2响应文件合格投递后，自投标截止日期起，在交易有效期内有效。</w:t>
      </w:r>
    </w:p>
    <w:p>
      <w:pPr>
        <w:pStyle w:val="140"/>
        <w:spacing w:before="0" w:line="460" w:lineRule="exact"/>
        <w:ind w:firstLine="480"/>
        <w:rPr>
          <w:rFonts w:ascii="宋体" w:hAnsi="宋体" w:cs="宋体"/>
          <w:color w:val="auto"/>
          <w:highlight w:val="none"/>
        </w:rPr>
      </w:pPr>
      <w:r>
        <w:rPr>
          <w:rFonts w:hint="eastAsia" w:ascii="宋体" w:hAnsi="宋体" w:cs="宋体"/>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pPr>
        <w:pStyle w:val="140"/>
        <w:spacing w:before="0" w:line="460" w:lineRule="exact"/>
        <w:ind w:firstLine="643"/>
        <w:rPr>
          <w:rFonts w:ascii="宋体" w:hAnsi="宋体" w:cs="宋体"/>
          <w:b/>
          <w:color w:val="auto"/>
          <w:sz w:val="32"/>
          <w:highlight w:val="none"/>
        </w:rPr>
      </w:pPr>
    </w:p>
    <w:p>
      <w:pPr>
        <w:pStyle w:val="140"/>
        <w:spacing w:before="0" w:line="460" w:lineRule="exact"/>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四、交易、资格审查</w:t>
      </w:r>
    </w:p>
    <w:p>
      <w:pPr>
        <w:pStyle w:val="564"/>
        <w:spacing w:before="0" w:line="460" w:lineRule="exact"/>
        <w:ind w:left="0" w:firstLine="0"/>
        <w:contextualSpacing/>
        <w:rPr>
          <w:rFonts w:ascii="宋体" w:hAnsi="宋体" w:cs="宋体"/>
          <w:b/>
          <w:color w:val="auto"/>
          <w:kern w:val="2"/>
          <w:sz w:val="24"/>
          <w:szCs w:val="24"/>
          <w:highlight w:val="none"/>
        </w:rPr>
      </w:pPr>
      <w:r>
        <w:rPr>
          <w:rFonts w:hint="eastAsia" w:ascii="宋体" w:hAnsi="宋体" w:cs="宋体"/>
          <w:b/>
          <w:color w:val="auto"/>
          <w:kern w:val="2"/>
          <w:sz w:val="24"/>
          <w:szCs w:val="24"/>
          <w:highlight w:val="none"/>
        </w:rPr>
        <w:t xml:space="preserve">17.交易 </w:t>
      </w:r>
    </w:p>
    <w:p>
      <w:pPr>
        <w:pStyle w:val="564"/>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17.1代理机构按照公开竞争文件规定的时间通过电子交易平台组织开标，所有响应人均应当准时在线参加。响应人不足3家的，不得开标。</w:t>
      </w:r>
    </w:p>
    <w:p>
      <w:pPr>
        <w:pStyle w:val="564"/>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pPr>
        <w:pStyle w:val="564"/>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17.3响应文件未按时解密，视为响应文件撤回。</w:t>
      </w:r>
    </w:p>
    <w:p>
      <w:pPr>
        <w:pStyle w:val="25"/>
        <w:spacing w:line="460" w:lineRule="exact"/>
        <w:ind w:left="479" w:hanging="479" w:hangingChars="199"/>
        <w:rPr>
          <w:rFonts w:cs="宋体"/>
          <w:b/>
          <w:color w:val="auto"/>
          <w:highlight w:val="none"/>
        </w:rPr>
      </w:pPr>
      <w:r>
        <w:rPr>
          <w:rFonts w:hint="eastAsia" w:cs="宋体"/>
          <w:b/>
          <w:color w:val="auto"/>
          <w:highlight w:val="none"/>
        </w:rPr>
        <w:t>18、资格审查</w:t>
      </w:r>
    </w:p>
    <w:p>
      <w:pPr>
        <w:pStyle w:val="140"/>
        <w:spacing w:before="0" w:line="46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18.1交易后，交易发起人或代理机构将依法对响应人的资格进行审查。</w:t>
      </w:r>
    </w:p>
    <w:p>
      <w:pPr>
        <w:snapToGrid w:val="0"/>
        <w:spacing w:line="46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18.2</w:t>
      </w:r>
      <w:r>
        <w:rPr>
          <w:rFonts w:hint="eastAsia" w:ascii="宋体" w:hAnsi="宋体" w:cs="宋体"/>
          <w:color w:val="auto"/>
          <w:sz w:val="24"/>
          <w:highlight w:val="none"/>
        </w:rPr>
        <w:t>交易发起人或代理机构依据法律法规和公开竞争文件的规定，对响应人的基本资格条件、特定资格条件进行审查。</w:t>
      </w:r>
    </w:p>
    <w:p>
      <w:pPr>
        <w:pStyle w:val="140"/>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18.3响应人未按照公开竞争文件要求提供与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响应人不具备公开竞争文件中规定的资格要求，其交易无效。</w:t>
      </w:r>
    </w:p>
    <w:p>
      <w:pPr>
        <w:pStyle w:val="140"/>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4对未通过资格审查的响应人，交易发起人或代理机构告知其未通过的原因。</w:t>
      </w:r>
    </w:p>
    <w:p>
      <w:pPr>
        <w:pStyle w:val="140"/>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5合格响应人不足3家的，不再评标。</w:t>
      </w:r>
    </w:p>
    <w:p>
      <w:pPr>
        <w:pStyle w:val="140"/>
        <w:spacing w:before="0" w:line="460" w:lineRule="exact"/>
        <w:ind w:firstLine="0" w:firstLineChars="0"/>
        <w:rPr>
          <w:rFonts w:ascii="宋体" w:hAnsi="宋体" w:cs="宋体"/>
          <w:color w:val="auto"/>
          <w:kern w:val="0"/>
          <w:szCs w:val="24"/>
          <w:highlight w:val="none"/>
        </w:rPr>
      </w:pPr>
    </w:p>
    <w:p>
      <w:pPr>
        <w:snapToGrid w:val="0"/>
        <w:spacing w:line="46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五、评审</w:t>
      </w:r>
    </w:p>
    <w:p>
      <w:pPr>
        <w:spacing w:line="460" w:lineRule="exact"/>
        <w:rPr>
          <w:rFonts w:ascii="宋体" w:hAnsi="宋体" w:cs="宋体"/>
          <w:color w:val="auto"/>
          <w:sz w:val="24"/>
          <w:highlight w:val="none"/>
        </w:rPr>
      </w:pPr>
      <w:bookmarkStart w:id="14" w:name="_Toc91899903"/>
      <w:r>
        <w:rPr>
          <w:rFonts w:hint="eastAsia" w:ascii="宋体" w:hAnsi="宋体" w:cs="宋体"/>
          <w:b/>
          <w:color w:val="auto"/>
          <w:sz w:val="24"/>
          <w:highlight w:val="none"/>
        </w:rPr>
        <w:t>19.</w:t>
      </w:r>
      <w:r>
        <w:rPr>
          <w:rFonts w:hint="eastAsia" w:ascii="宋体" w:hAnsi="宋体" w:cs="宋体"/>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pPr>
        <w:spacing w:line="460" w:lineRule="exact"/>
        <w:rPr>
          <w:rFonts w:ascii="宋体" w:hAnsi="宋体" w:cs="宋体"/>
          <w:b/>
          <w:color w:val="auto"/>
          <w:sz w:val="24"/>
          <w:highlight w:val="none"/>
        </w:rPr>
      </w:pPr>
      <w:r>
        <w:rPr>
          <w:rFonts w:hint="eastAsia" w:ascii="宋体" w:hAnsi="宋体" w:cs="宋体"/>
          <w:b/>
          <w:color w:val="auto"/>
          <w:sz w:val="24"/>
          <w:highlight w:val="none"/>
        </w:rPr>
        <w:t>详见公开竞争文件第四部分交易办法。</w:t>
      </w:r>
    </w:p>
    <w:p>
      <w:pPr>
        <w:spacing w:line="460" w:lineRule="exact"/>
        <w:rPr>
          <w:rFonts w:ascii="宋体" w:hAnsi="宋体" w:cs="宋体"/>
          <w:b/>
          <w:color w:val="auto"/>
          <w:sz w:val="24"/>
          <w:highlight w:val="none"/>
        </w:rPr>
      </w:pPr>
    </w:p>
    <w:p>
      <w:pPr>
        <w:snapToGrid w:val="0"/>
        <w:spacing w:line="46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六、定标</w:t>
      </w:r>
    </w:p>
    <w:p>
      <w:pPr>
        <w:pStyle w:val="25"/>
        <w:spacing w:line="460" w:lineRule="exact"/>
        <w:ind w:left="479" w:hanging="479" w:hangingChars="199"/>
        <w:rPr>
          <w:rFonts w:cs="宋体"/>
          <w:b/>
          <w:color w:val="auto"/>
          <w:highlight w:val="none"/>
        </w:rPr>
      </w:pPr>
      <w:r>
        <w:rPr>
          <w:rFonts w:hint="eastAsia" w:cs="宋体"/>
          <w:b/>
          <w:color w:val="auto"/>
          <w:highlight w:val="none"/>
        </w:rPr>
        <w:t>20.确定成交响应人</w:t>
      </w:r>
    </w:p>
    <w:p>
      <w:pPr>
        <w:pStyle w:val="140"/>
        <w:snapToGrid w:val="0"/>
        <w:spacing w:before="0" w:line="460" w:lineRule="exact"/>
        <w:ind w:firstLine="480"/>
        <w:rPr>
          <w:rFonts w:ascii="宋体" w:hAnsi="宋体" w:cs="宋体"/>
          <w:b/>
          <w:color w:val="auto"/>
          <w:szCs w:val="24"/>
          <w:highlight w:val="none"/>
        </w:rPr>
      </w:pPr>
      <w:r>
        <w:rPr>
          <w:rFonts w:hint="eastAsia" w:ascii="宋体" w:hAnsi="宋体" w:cs="宋体"/>
          <w:color w:val="auto"/>
          <w:szCs w:val="24"/>
          <w:highlight w:val="none"/>
        </w:rPr>
        <w:t>交易发起人将自收到评审报告之日起5个工作日内通过电子交易平台在评审报告推荐的成交候选人中按顺序确定成交响应人。</w:t>
      </w:r>
    </w:p>
    <w:p>
      <w:pPr>
        <w:pStyle w:val="140"/>
        <w:snapToGrid w:val="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21.成交通知与成交结果公告</w:t>
      </w:r>
    </w:p>
    <w:p>
      <w:pPr>
        <w:widowControl/>
        <w:shd w:val="clear" w:color="auto" w:fill="FFFFFF"/>
        <w:spacing w:line="460" w:lineRule="exact"/>
        <w:ind w:firstLine="480"/>
        <w:jc w:val="left"/>
        <w:rPr>
          <w:rFonts w:ascii="宋体" w:hAnsi="宋体" w:cs="宋体"/>
          <w:color w:val="auto"/>
          <w:sz w:val="24"/>
          <w:highlight w:val="none"/>
        </w:rPr>
      </w:pPr>
      <w:r>
        <w:rPr>
          <w:rFonts w:hint="eastAsia" w:ascii="宋体" w:hAnsi="宋体" w:cs="宋体"/>
          <w:color w:val="auto"/>
          <w:sz w:val="24"/>
          <w:highlight w:val="none"/>
        </w:rPr>
        <w:t>21.1自成交人确定之日起3天内，代理机构通过电子交易平台向成交人发出成交通知书，同时编制发布成交结果公告。代理机构也可以以纸质形式进行成交通知。</w:t>
      </w:r>
    </w:p>
    <w:p>
      <w:pPr>
        <w:widowControl/>
        <w:shd w:val="clear" w:color="auto" w:fill="FFFFFF"/>
        <w:spacing w:line="460" w:lineRule="exact"/>
        <w:ind w:firstLine="480"/>
        <w:jc w:val="left"/>
        <w:rPr>
          <w:rFonts w:ascii="宋体" w:hAnsi="宋体" w:cs="宋体"/>
          <w:color w:val="auto"/>
          <w:sz w:val="24"/>
          <w:highlight w:val="none"/>
        </w:rPr>
      </w:pPr>
      <w:r>
        <w:rPr>
          <w:rFonts w:hint="eastAsia" w:ascii="宋体" w:hAnsi="宋体" w:cs="宋体"/>
          <w:color w:val="auto"/>
          <w:sz w:val="24"/>
          <w:highlight w:val="none"/>
        </w:rPr>
        <w:t>21.2成交结果公告内容包括交易发起人及其委托的代理机构的名称、地址、联系方式，项目名称和交易编号，成交人名称、地址和成交金额。</w:t>
      </w:r>
    </w:p>
    <w:p>
      <w:pPr>
        <w:snapToGrid w:val="0"/>
        <w:spacing w:line="460" w:lineRule="exact"/>
        <w:ind w:left="120" w:leftChars="57" w:firstLine="482" w:firstLineChars="150"/>
        <w:jc w:val="center"/>
        <w:rPr>
          <w:rFonts w:ascii="宋体" w:hAnsi="宋体" w:cs="宋体"/>
          <w:b/>
          <w:color w:val="auto"/>
          <w:sz w:val="32"/>
          <w:highlight w:val="none"/>
        </w:rPr>
      </w:pPr>
    </w:p>
    <w:p>
      <w:pPr>
        <w:snapToGrid w:val="0"/>
        <w:spacing w:line="460" w:lineRule="exact"/>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5"/>
        <w:spacing w:line="460" w:lineRule="exact"/>
        <w:ind w:left="479" w:hanging="479" w:hangingChars="199"/>
        <w:rPr>
          <w:rFonts w:cs="宋体"/>
          <w:b/>
          <w:color w:val="auto"/>
          <w:highlight w:val="none"/>
        </w:rPr>
      </w:pPr>
      <w:r>
        <w:rPr>
          <w:rFonts w:hint="eastAsia" w:cs="宋体"/>
          <w:b/>
          <w:color w:val="auto"/>
          <w:highlight w:val="none"/>
        </w:rPr>
        <w:t>22.</w:t>
      </w:r>
      <w:r>
        <w:rPr>
          <w:rFonts w:hint="eastAsia" w:cs="宋体"/>
          <w:color w:val="auto"/>
          <w:highlight w:val="none"/>
        </w:rPr>
        <w:t>合同主要条款详见第五部分拟签订的合同文本。</w:t>
      </w:r>
    </w:p>
    <w:p>
      <w:pPr>
        <w:pStyle w:val="25"/>
        <w:spacing w:line="460" w:lineRule="exact"/>
        <w:ind w:left="479" w:hanging="479" w:hangingChars="199"/>
        <w:rPr>
          <w:rFonts w:cs="宋体"/>
          <w:b/>
          <w:color w:val="auto"/>
          <w:highlight w:val="none"/>
        </w:rPr>
      </w:pPr>
      <w:r>
        <w:rPr>
          <w:rFonts w:hint="eastAsia" w:cs="宋体"/>
          <w:b/>
          <w:color w:val="auto"/>
          <w:highlight w:val="none"/>
        </w:rPr>
        <w:t>23.合同的签订</w:t>
      </w:r>
    </w:p>
    <w:p>
      <w:pPr>
        <w:widowControl/>
        <w:shd w:val="clear" w:color="auto" w:fill="FFFFFF"/>
        <w:spacing w:line="460" w:lineRule="exact"/>
        <w:ind w:firstLine="480"/>
        <w:jc w:val="left"/>
        <w:rPr>
          <w:rFonts w:ascii="宋体" w:hAnsi="宋体" w:cs="宋体"/>
          <w:color w:val="auto"/>
          <w:kern w:val="0"/>
          <w:sz w:val="24"/>
          <w:highlight w:val="none"/>
        </w:rPr>
      </w:pPr>
      <w:r>
        <w:rPr>
          <w:rFonts w:hint="eastAsia" w:ascii="宋体" w:hAnsi="宋体" w:cs="宋体"/>
          <w:color w:val="auto"/>
          <w:sz w:val="24"/>
          <w:highlight w:val="none"/>
        </w:rPr>
        <w:t>23.1</w:t>
      </w:r>
      <w:r>
        <w:rPr>
          <w:rFonts w:hint="eastAsia" w:ascii="宋体" w:hAnsi="宋体" w:cs="宋体"/>
          <w:color w:val="auto"/>
          <w:kern w:val="0"/>
          <w:sz w:val="24"/>
          <w:highlight w:val="none"/>
        </w:rPr>
        <w:t xml:space="preserve"> 交易发起人与成交人应当通过电子交易平台在成交通知书发出之日起三十日内，按照公开竞争文件确定的事项签订书面合同。</w:t>
      </w:r>
    </w:p>
    <w:p>
      <w:pPr>
        <w:pStyle w:val="140"/>
        <w:snapToGrid w:val="0"/>
        <w:spacing w:before="0" w:line="460" w:lineRule="exact"/>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23.3如签订合同并生效后，响应人无故拒绝或延期，除按照合同条款处理外，列入不良行为记录一次，并给予通报。</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23.4成交响应人拒绝与交易发起人签订合同的，交易发起人可以按照评审报告推荐的</w:t>
      </w:r>
      <w:r>
        <w:rPr>
          <w:rFonts w:hint="eastAsia" w:ascii="宋体" w:hAnsi="宋体" w:cs="宋体"/>
          <w:color w:val="auto"/>
          <w:kern w:val="0"/>
          <w:highlight w:val="none"/>
        </w:rPr>
        <w:t>成交</w:t>
      </w:r>
      <w:r>
        <w:rPr>
          <w:rFonts w:hint="eastAsia" w:ascii="宋体" w:hAnsi="宋体" w:cs="宋体"/>
          <w:color w:val="auto"/>
          <w:highlight w:val="none"/>
        </w:rPr>
        <w:t>或者成交候选人名单排序，确定下一候选人为成交响应人，也可以重新开展交易活动。</w:t>
      </w:r>
    </w:p>
    <w:p>
      <w:pPr>
        <w:pStyle w:val="140"/>
        <w:snapToGrid w:val="0"/>
        <w:spacing w:before="0" w:after="120" w:line="460" w:lineRule="exact"/>
        <w:ind w:firstLine="480"/>
        <w:rPr>
          <w:rFonts w:ascii="宋体" w:hAnsi="宋体" w:cs="宋体"/>
          <w:color w:val="auto"/>
          <w:highlight w:val="none"/>
        </w:rPr>
      </w:pPr>
      <w:r>
        <w:rPr>
          <w:rFonts w:hint="eastAsia" w:ascii="宋体" w:hAnsi="宋体" w:cs="宋体"/>
          <w:color w:val="auto"/>
          <w:highlight w:val="none"/>
        </w:rPr>
        <w:t>23.5书面合同由交易发起人与成交响应人根据公开竞争文件、响应文件等内容签订合同。</w:t>
      </w:r>
    </w:p>
    <w:p>
      <w:pPr>
        <w:pStyle w:val="25"/>
        <w:spacing w:line="460" w:lineRule="exact"/>
        <w:ind w:left="479" w:hanging="479" w:hangingChars="199"/>
        <w:rPr>
          <w:rFonts w:cs="宋体"/>
          <w:b/>
          <w:color w:val="auto"/>
          <w:highlight w:val="none"/>
        </w:rPr>
      </w:pPr>
      <w:r>
        <w:rPr>
          <w:rFonts w:hint="eastAsia" w:cs="宋体"/>
          <w:b/>
          <w:color w:val="auto"/>
          <w:highlight w:val="none"/>
        </w:rPr>
        <w:t>24.履约保证</w:t>
      </w:r>
      <w:r>
        <w:rPr>
          <w:rFonts w:hint="eastAsia" w:cs="宋体"/>
          <w:b/>
          <w:color w:val="auto"/>
          <w:highlight w:val="none"/>
        </w:rPr>
        <w:t>金：</w:t>
      </w:r>
      <w:r>
        <w:rPr>
          <w:rFonts w:hint="eastAsia" w:cs="宋体"/>
          <w:snapToGrid/>
          <w:color w:val="auto"/>
          <w:sz w:val="24"/>
          <w:szCs w:val="24"/>
          <w:highlight w:val="none"/>
          <w:lang w:val="en-US" w:eastAsia="zh-CN"/>
        </w:rPr>
        <w:t>详见前附表</w:t>
      </w:r>
      <w:r>
        <w:rPr>
          <w:rFonts w:hint="eastAsia" w:hAnsi="宋体" w:cs="宋体"/>
          <w:b w:val="0"/>
          <w:bCs w:val="0"/>
          <w:snapToGrid/>
          <w:color w:val="auto"/>
          <w:sz w:val="24"/>
          <w:szCs w:val="24"/>
          <w:highlight w:val="none"/>
        </w:rPr>
        <w:t>。</w:t>
      </w:r>
    </w:p>
    <w:p>
      <w:pPr>
        <w:snapToGrid w:val="0"/>
        <w:spacing w:line="460" w:lineRule="exact"/>
        <w:ind w:firstLine="3357" w:firstLineChars="1045"/>
        <w:rPr>
          <w:rFonts w:ascii="宋体" w:hAnsi="宋体" w:cs="宋体"/>
          <w:b/>
          <w:color w:val="auto"/>
          <w:sz w:val="32"/>
          <w:highlight w:val="none"/>
        </w:rPr>
      </w:pPr>
    </w:p>
    <w:p>
      <w:pPr>
        <w:snapToGrid w:val="0"/>
        <w:spacing w:line="460" w:lineRule="exact"/>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40"/>
        <w:snapToGrid w:val="0"/>
        <w:spacing w:before="0" w:line="460" w:lineRule="exact"/>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color w:val="auto"/>
          <w:szCs w:val="24"/>
          <w:highlight w:val="none"/>
        </w:rPr>
        <w:t>5.电子交易活动的中止。</w:t>
      </w:r>
      <w:r>
        <w:rPr>
          <w:rFonts w:hint="eastAsia" w:ascii="宋体" w:hAnsi="宋体" w:cs="宋体"/>
          <w:bCs/>
          <w:color w:val="auto"/>
          <w:szCs w:val="24"/>
          <w:highlight w:val="none"/>
        </w:rPr>
        <w:t>交易</w:t>
      </w:r>
      <w:r>
        <w:rPr>
          <w:rFonts w:hint="eastAsia" w:ascii="宋体" w:hAnsi="宋体" w:cs="宋体"/>
          <w:color w:val="auto"/>
          <w:highlight w:val="none"/>
        </w:rPr>
        <w:t>过程中出现以下情形，导致电子交易平台无法正常运行，或者无法保证电子交易的公平、公正和安全时，代理机构可中止电子交易活动：</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 xml:space="preserve">25.1电子交易平台发生故障而无法登录访问的； </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25.2电子交易平台应用或数据库出现错误，不能进行正常操作的；</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25.3电子交易平台发现严重安全漏洞，有潜在泄密危险的；</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 xml:space="preserve">25.4病毒发作导致不能进行正常操作的； </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25.5其他无法保证电子交易的公平、公正和安全的情况。</w:t>
      </w:r>
    </w:p>
    <w:p>
      <w:pPr>
        <w:pStyle w:val="140"/>
        <w:snapToGrid w:val="0"/>
        <w:spacing w:before="0" w:line="460" w:lineRule="exact"/>
        <w:ind w:firstLine="0" w:firstLineChars="0"/>
        <w:rPr>
          <w:rFonts w:ascii="宋体" w:hAnsi="宋体" w:cs="宋体"/>
          <w:color w:val="auto"/>
          <w:highlight w:val="none"/>
        </w:rPr>
      </w:pPr>
      <w:r>
        <w:rPr>
          <w:rFonts w:hint="eastAsia" w:ascii="宋体" w:hAnsi="宋体" w:cs="宋体"/>
          <w:b/>
          <w:bCs/>
          <w:color w:val="auto"/>
          <w:highlight w:val="none"/>
        </w:rPr>
        <w:t>26.</w:t>
      </w:r>
      <w:r>
        <w:rPr>
          <w:rFonts w:hint="eastAsia" w:ascii="宋体" w:hAnsi="宋体" w:cs="宋体"/>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pPr>
        <w:snapToGrid w:val="0"/>
        <w:spacing w:line="460" w:lineRule="exact"/>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5"/>
        <w:spacing w:line="460" w:lineRule="exact"/>
        <w:ind w:firstLine="0" w:firstLineChars="0"/>
        <w:rPr>
          <w:rFonts w:cs="宋体"/>
          <w:b/>
          <w:color w:val="auto"/>
          <w:highlight w:val="none"/>
        </w:rPr>
      </w:pPr>
      <w:r>
        <w:rPr>
          <w:rFonts w:hint="eastAsia" w:cs="宋体"/>
          <w:b/>
          <w:color w:val="auto"/>
          <w:highlight w:val="none"/>
        </w:rPr>
        <w:t>27.验收</w:t>
      </w:r>
    </w:p>
    <w:p>
      <w:pPr>
        <w:tabs>
          <w:tab w:val="left" w:pos="0"/>
        </w:tabs>
        <w:spacing w:line="46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27.1交易发起人应当组织对响应人履约的验收。</w:t>
      </w:r>
    </w:p>
    <w:bookmarkEnd w:id="12"/>
    <w:bookmarkEnd w:id="13"/>
    <w:bookmarkEnd w:id="14"/>
    <w:p>
      <w:pPr>
        <w:rPr>
          <w:rFonts w:ascii="宋体" w:hAnsi="宋体" w:cs="宋体"/>
          <w:b/>
          <w:color w:val="auto"/>
          <w:sz w:val="36"/>
          <w:szCs w:val="36"/>
          <w:highlight w:val="none"/>
        </w:rPr>
      </w:pPr>
      <w:bookmarkStart w:id="15" w:name="第四部分"/>
      <w:r>
        <w:rPr>
          <w:rFonts w:hint="eastAsia" w:ascii="宋体" w:hAnsi="宋体" w:cs="宋体"/>
          <w:b/>
          <w:color w:val="auto"/>
          <w:sz w:val="36"/>
          <w:szCs w:val="36"/>
          <w:highlight w:val="none"/>
        </w:rPr>
        <w:br w:type="page"/>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第三部分   交易需求</w:t>
      </w: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属于实质性要求条款的，请用符号“▲”标明，否则属于非实质性要求。</w:t>
      </w:r>
    </w:p>
    <w:p>
      <w:pPr>
        <w:numPr>
          <w:ilvl w:val="0"/>
          <w:numId w:val="0"/>
        </w:numPr>
        <w:spacing w:line="360" w:lineRule="auto"/>
        <w:ind w:left="0" w:leftChars="0" w:firstLine="0" w:firstLineChars="0"/>
        <w:jc w:val="center"/>
        <w:rPr>
          <w:rFonts w:ascii="宋体" w:hAnsi="宋体" w:cs="宋体"/>
          <w:b/>
          <w:color w:val="auto"/>
          <w:sz w:val="28"/>
          <w:szCs w:val="28"/>
          <w:highlight w:val="none"/>
        </w:rPr>
      </w:pPr>
      <w:r>
        <w:rPr>
          <w:rFonts w:ascii="宋体" w:hAnsi="宋体" w:eastAsia="宋体" w:cs="宋体"/>
          <w:b/>
          <w:color w:val="auto"/>
          <w:kern w:val="2"/>
          <w:sz w:val="28"/>
          <w:szCs w:val="28"/>
          <w:highlight w:val="none"/>
          <w:lang w:val="en-US" w:eastAsia="zh-CN" w:bidi="ar-SA"/>
        </w:rPr>
        <w:t>一、</w:t>
      </w:r>
      <w:r>
        <w:rPr>
          <w:rFonts w:hint="eastAsia" w:ascii="宋体" w:hAnsi="宋体" w:cs="宋体"/>
          <w:b/>
          <w:color w:val="auto"/>
          <w:sz w:val="28"/>
          <w:szCs w:val="28"/>
          <w:highlight w:val="none"/>
        </w:rPr>
        <w:t>交易一览表</w:t>
      </w:r>
    </w:p>
    <w:p>
      <w:pPr>
        <w:spacing w:after="120"/>
        <w:rPr>
          <w:rFonts w:ascii="宋体" w:hAnsi="宋体" w:cs="宋体"/>
          <w:color w:val="auto"/>
          <w:highlight w:val="none"/>
        </w:rPr>
      </w:pPr>
      <w:r>
        <w:rPr>
          <w:rFonts w:hint="eastAsia" w:ascii="宋体" w:hAnsi="宋体" w:cs="宋体"/>
          <w:color w:val="auto"/>
          <w:sz w:val="24"/>
          <w:highlight w:val="none"/>
        </w:rPr>
        <w:t>标项：1</w:t>
      </w:r>
    </w:p>
    <w:tbl>
      <w:tblPr>
        <w:tblStyle w:val="64"/>
        <w:tblW w:w="9049" w:type="dxa"/>
        <w:jc w:val="center"/>
        <w:tblLayout w:type="fixed"/>
        <w:tblCellMar>
          <w:top w:w="0" w:type="dxa"/>
          <w:left w:w="0" w:type="dxa"/>
          <w:bottom w:w="0" w:type="dxa"/>
          <w:right w:w="0" w:type="dxa"/>
        </w:tblCellMar>
      </w:tblPr>
      <w:tblGrid>
        <w:gridCol w:w="765"/>
        <w:gridCol w:w="3313"/>
        <w:gridCol w:w="1942"/>
        <w:gridCol w:w="960"/>
        <w:gridCol w:w="960"/>
        <w:gridCol w:w="1109"/>
      </w:tblGrid>
      <w:tr>
        <w:tblPrEx>
          <w:tblCellMar>
            <w:top w:w="0" w:type="dxa"/>
            <w:left w:w="0" w:type="dxa"/>
            <w:bottom w:w="0" w:type="dxa"/>
            <w:right w:w="0" w:type="dxa"/>
          </w:tblCellMar>
        </w:tblPrEx>
        <w:trPr>
          <w:cantSplit/>
          <w:trHeight w:val="514" w:hRule="atLeast"/>
          <w:jc w:val="center"/>
        </w:trPr>
        <w:tc>
          <w:tcPr>
            <w:tcW w:w="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序号</w:t>
            </w:r>
          </w:p>
        </w:tc>
        <w:tc>
          <w:tcPr>
            <w:tcW w:w="331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名称</w:t>
            </w:r>
          </w:p>
        </w:tc>
        <w:tc>
          <w:tcPr>
            <w:tcW w:w="19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具体服务要求</w:t>
            </w:r>
          </w:p>
        </w:tc>
        <w:tc>
          <w:tcPr>
            <w:tcW w:w="9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单位</w:t>
            </w:r>
          </w:p>
        </w:tc>
        <w:tc>
          <w:tcPr>
            <w:tcW w:w="9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数量</w:t>
            </w:r>
          </w:p>
        </w:tc>
        <w:tc>
          <w:tcPr>
            <w:tcW w:w="1109"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CellMar>
            <w:top w:w="0" w:type="dxa"/>
            <w:left w:w="0" w:type="dxa"/>
            <w:bottom w:w="0" w:type="dxa"/>
            <w:right w:w="0" w:type="dxa"/>
          </w:tblCellMar>
        </w:tblPrEx>
        <w:trPr>
          <w:cantSplit/>
          <w:trHeight w:val="735" w:hRule="atLeast"/>
          <w:jc w:val="center"/>
        </w:trPr>
        <w:tc>
          <w:tcPr>
            <w:tcW w:w="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331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杭州萧山环城建设开发有限公司2024年度社会风险评估服务采购项目</w:t>
            </w:r>
          </w:p>
        </w:tc>
        <w:tc>
          <w:tcPr>
            <w:tcW w:w="19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详见交易需求</w:t>
            </w:r>
          </w:p>
        </w:tc>
        <w:tc>
          <w:tcPr>
            <w:tcW w:w="9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年</w:t>
            </w:r>
          </w:p>
        </w:tc>
        <w:tc>
          <w:tcPr>
            <w:tcW w:w="9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109" w:type="dxa"/>
            <w:tcBorders>
              <w:top w:val="single" w:color="auto" w:sz="4" w:space="0"/>
              <w:left w:val="nil"/>
              <w:bottom w:val="single" w:color="auto" w:sz="4" w:space="0"/>
              <w:right w:val="single" w:color="auto" w:sz="4" w:space="0"/>
            </w:tcBorders>
            <w:vAlign w:val="center"/>
          </w:tcPr>
          <w:p>
            <w:pPr>
              <w:rPr>
                <w:rFonts w:ascii="宋体" w:hAnsi="宋体" w:cs="宋体"/>
                <w:color w:val="auto"/>
                <w:sz w:val="24"/>
                <w:highlight w:val="none"/>
              </w:rPr>
            </w:pPr>
          </w:p>
        </w:tc>
      </w:tr>
    </w:tbl>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注：1、本项目预算金额：</w:t>
      </w:r>
      <w:r>
        <w:rPr>
          <w:rFonts w:hint="eastAsia" w:hAnsi="宋体" w:cs="宋体"/>
          <w:color w:val="auto"/>
          <w:sz w:val="24"/>
          <w:szCs w:val="24"/>
          <w:highlight w:val="none"/>
          <w:lang w:val="en-US" w:eastAsia="zh-CN"/>
        </w:rPr>
        <w:t>950000.00</w:t>
      </w:r>
      <w:r>
        <w:rPr>
          <w:rFonts w:hint="eastAsia" w:ascii="宋体" w:hAnsi="宋体" w:eastAsia="宋体" w:cs="宋体"/>
          <w:color w:val="auto"/>
          <w:sz w:val="24"/>
          <w:szCs w:val="24"/>
          <w:highlight w:val="none"/>
          <w:lang w:val="en-US" w:eastAsia="zh-CN"/>
        </w:rPr>
        <w:t>元。</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▲2、本项目按单价报价，征地社会稳定风险评估服务投标单价不得超过</w:t>
      </w:r>
      <w:r>
        <w:rPr>
          <w:rFonts w:hint="eastAsia" w:hAnsi="宋体" w:cs="宋体"/>
          <w:color w:val="auto"/>
          <w:sz w:val="24"/>
          <w:szCs w:val="24"/>
          <w:highlight w:val="none"/>
          <w:lang w:val="en-US" w:eastAsia="zh-CN"/>
        </w:rPr>
        <w:t>：60000.00</w:t>
      </w:r>
      <w:r>
        <w:rPr>
          <w:rFonts w:hint="eastAsia" w:ascii="宋体" w:hAnsi="宋体" w:eastAsia="宋体" w:cs="宋体"/>
          <w:color w:val="auto"/>
          <w:sz w:val="24"/>
          <w:szCs w:val="24"/>
          <w:highlight w:val="none"/>
          <w:lang w:val="en-US" w:eastAsia="zh-CN"/>
        </w:rPr>
        <w:t>元/宗</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否则作无效</w:t>
      </w:r>
      <w:r>
        <w:rPr>
          <w:rFonts w:hint="eastAsia"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val="en-US" w:eastAsia="zh-CN"/>
        </w:rPr>
        <w:t>处理。</w:t>
      </w:r>
    </w:p>
    <w:p>
      <w:pPr>
        <w:numPr>
          <w:ilvl w:val="0"/>
          <w:numId w:val="0"/>
        </w:numPr>
        <w:spacing w:line="360" w:lineRule="auto"/>
        <w:ind w:left="0" w:leftChars="0" w:firstLine="0" w:firstLineChars="0"/>
        <w:jc w:val="center"/>
        <w:rPr>
          <w:rFonts w:hint="eastAsia" w:ascii="宋体" w:hAnsi="宋体" w:cs="宋体"/>
          <w:b/>
          <w:color w:val="auto"/>
          <w:sz w:val="28"/>
          <w:szCs w:val="28"/>
          <w:highlight w:val="none"/>
        </w:rPr>
      </w:pPr>
      <w:r>
        <w:rPr>
          <w:rFonts w:hint="eastAsia" w:ascii="宋体" w:hAnsi="宋体" w:eastAsia="宋体" w:cs="宋体"/>
          <w:b/>
          <w:color w:val="auto"/>
          <w:kern w:val="2"/>
          <w:sz w:val="28"/>
          <w:szCs w:val="28"/>
          <w:highlight w:val="none"/>
          <w:lang w:val="en-US" w:eastAsia="zh-CN" w:bidi="ar-SA"/>
        </w:rPr>
        <w:t>二、</w:t>
      </w:r>
      <w:r>
        <w:rPr>
          <w:rFonts w:hint="eastAsia" w:ascii="宋体" w:hAnsi="宋体" w:cs="宋体"/>
          <w:b/>
          <w:color w:val="auto"/>
          <w:sz w:val="28"/>
          <w:szCs w:val="28"/>
          <w:highlight w:val="none"/>
        </w:rPr>
        <w:t>交易需求</w:t>
      </w:r>
    </w:p>
    <w:p>
      <w:pPr>
        <w:snapToGrid w:val="0"/>
        <w:spacing w:line="360" w:lineRule="auto"/>
        <w:ind w:firstLine="482" w:firstLineChars="200"/>
        <w:rPr>
          <w:rFonts w:ascii="宋体" w:hAnsi="宋体" w:cs="仿宋"/>
          <w:b/>
          <w:color w:val="auto"/>
          <w:sz w:val="24"/>
          <w:highlight w:val="none"/>
        </w:rPr>
      </w:pPr>
      <w:bookmarkStart w:id="16" w:name="_Toc25622"/>
      <w:bookmarkStart w:id="17" w:name="_Toc58350576"/>
      <w:bookmarkStart w:id="18" w:name="_Toc58350747"/>
      <w:r>
        <w:rPr>
          <w:rFonts w:hint="eastAsia" w:ascii="宋体" w:hAnsi="宋体" w:cs="仿宋"/>
          <w:b/>
          <w:color w:val="auto"/>
          <w:sz w:val="24"/>
          <w:highlight w:val="none"/>
        </w:rPr>
        <w:t>一、项目概况</w:t>
      </w:r>
      <w:bookmarkEnd w:id="16"/>
      <w:bookmarkEnd w:id="17"/>
      <w:bookmarkEnd w:id="18"/>
    </w:p>
    <w:p>
      <w:pPr>
        <w:snapToGrid w:val="0"/>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在服务期限内根据交易发起人的要求，依据《重大行政决策程序暂行条例》（国务院令第713号）、《浙江省重大行政决策程序规定》（浙江省人民政府令第337号）、《浙江省重大决策社会风险评估实施办法》（浙委办发【2019】53号）等有关要求，对萧山区范围内社会风险进行全面评估。</w:t>
      </w:r>
    </w:p>
    <w:p>
      <w:pPr>
        <w:snapToGrid w:val="0"/>
        <w:spacing w:line="360" w:lineRule="auto"/>
        <w:ind w:firstLine="482" w:firstLineChars="200"/>
        <w:rPr>
          <w:rFonts w:ascii="宋体" w:hAnsi="宋体" w:cs="仿宋"/>
          <w:b/>
          <w:color w:val="auto"/>
          <w:sz w:val="24"/>
          <w:highlight w:val="none"/>
        </w:rPr>
      </w:pPr>
      <w:r>
        <w:rPr>
          <w:rFonts w:hint="eastAsia" w:ascii="宋体" w:hAnsi="宋体" w:cs="仿宋"/>
          <w:b/>
          <w:color w:val="auto"/>
          <w:sz w:val="24"/>
          <w:highlight w:val="none"/>
        </w:rPr>
        <w:t>二、人员要求</w:t>
      </w: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本项目供应商项目负责人（1人）及项目组成员（3人），共4人（基本配备），不得兼任。</w:t>
      </w:r>
    </w:p>
    <w:p>
      <w:pPr>
        <w:snapToGrid w:val="0"/>
        <w:spacing w:line="360" w:lineRule="auto"/>
        <w:ind w:firstLine="482" w:firstLineChars="200"/>
        <w:rPr>
          <w:rFonts w:ascii="宋体" w:hAnsi="宋体" w:cs="仿宋"/>
          <w:b/>
          <w:color w:val="auto"/>
          <w:sz w:val="24"/>
          <w:highlight w:val="none"/>
        </w:rPr>
      </w:pPr>
      <w:bookmarkStart w:id="19" w:name="_Toc21749"/>
      <w:bookmarkStart w:id="20" w:name="_Toc58350749"/>
      <w:bookmarkStart w:id="21" w:name="_Toc58350578"/>
      <w:r>
        <w:rPr>
          <w:rFonts w:hint="eastAsia" w:ascii="宋体" w:hAnsi="宋体" w:cs="仿宋"/>
          <w:b/>
          <w:color w:val="auto"/>
          <w:sz w:val="24"/>
          <w:highlight w:val="none"/>
        </w:rPr>
        <w:t>三、服务要求</w:t>
      </w:r>
      <w:bookmarkEnd w:id="19"/>
      <w:bookmarkEnd w:id="20"/>
      <w:bookmarkEnd w:id="21"/>
    </w:p>
    <w:p>
      <w:pPr>
        <w:snapToGrid w:val="0"/>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社会风险评估应全面分析相关群众和社会公众可能对决策事项的合法性、合规性、合理性、可行性和可控性提出的质疑，在确保项目能够合法、正当、正常、有效率实施的前提下，保障各相关方合法利益，研究提出有针对性的、预先的、有效率的且成本在项目支付能力范围内的各个方面、群体、环节的风险防控、纠纷应对化解措施。</w:t>
      </w:r>
    </w:p>
    <w:p>
      <w:pPr>
        <w:snapToGrid w:val="0"/>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（一）合法性分析。主要分析决策机关是否享有相应的决策权并在权限范围内进行决策，决策内容和程序是否符合有关法律法规和政策规定。</w:t>
      </w:r>
    </w:p>
    <w:p>
      <w:pPr>
        <w:snapToGrid w:val="0"/>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二）合规性分析。主要分析决策事项是否同党章和党的理论、路线、方针、政策相抵触，是否符合党中央重大决策部署要求，是否与国家重大改革方向相一致，是否同上位党内法规和规范性文件相抵触，是否与其他同位党内法规和规范性文件对同一事项的规定相冲突。</w:t>
      </w:r>
    </w:p>
    <w:p>
      <w:pPr>
        <w:snapToGrid w:val="0"/>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三）合理性分析。主要分析决策事项是否符合广大人民群众的利益，是否会引发不同地区、行业、群体之间的攀比；拟采取的措施和手段是否必要、适当，是否尽最大可能维护所涉及群众的合法权益；政策调整、利益调节的对象和范围界定是否准确，拟给予的补偿、安置或者救助是否合理公平及时等。</w:t>
      </w:r>
    </w:p>
    <w:p>
      <w:pPr>
        <w:snapToGrid w:val="0"/>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四）可行性分析。主要分析决策事项是否与本地经济社会发展水平相适应，实施是否具备相应的人力物力财力，相关配套措施是否经过科学严谨周密论证，出台时机和条件是否成熟；决策方案是否充分考虑群众的接受程度，是否超出大多数群众的承受能力，是否缺乏群众支持的基础。</w:t>
      </w:r>
    </w:p>
    <w:p>
      <w:pPr>
        <w:snapToGrid w:val="0"/>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五）可控性分析。主要分析决策事项是否存在安全稳定隐患，是否会引发群体性事件、集体上访、个人极端事件；是否会引发严重负面舆情、恶意炒作以及其他影响社会稳定的问题；宣传解释和舆论引导工作是否充分；对可能引发的苗头性、倾向性问题是否有完善的防范化解措施和应急处置预案等。</w:t>
      </w:r>
    </w:p>
    <w:p>
      <w:pPr>
        <w:snapToGrid w:val="0"/>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（六）其他应当的评估分析。</w:t>
      </w:r>
    </w:p>
    <w:p>
      <w:pPr>
        <w:snapToGrid w:val="0"/>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编制评估报告：评估实施主体应在充分评估、客观科学论证分析的基础上编制社会风险评估报告。评估报告应当包括评估事项、评估过程、评估方式方法、各方意见及其采纳情况、决策可能引发的社会风险点、风险防范化解和应急处置的措施建议、风险评估结论及决策建议等内容。</w:t>
      </w:r>
    </w:p>
    <w:p>
      <w:pPr>
        <w:snapToGrid w:val="0"/>
        <w:spacing w:line="360" w:lineRule="auto"/>
        <w:ind w:firstLine="482" w:firstLineChars="200"/>
        <w:rPr>
          <w:rFonts w:ascii="宋体" w:hAnsi="宋体" w:cs="仿宋"/>
          <w:b/>
          <w:color w:val="auto"/>
          <w:sz w:val="24"/>
          <w:highlight w:val="none"/>
        </w:rPr>
      </w:pPr>
      <w:bookmarkStart w:id="22" w:name="_Toc58350579"/>
      <w:bookmarkStart w:id="23" w:name="_Toc9013"/>
      <w:bookmarkStart w:id="24" w:name="_Toc58350750"/>
      <w:r>
        <w:rPr>
          <w:rFonts w:hint="eastAsia" w:ascii="宋体" w:hAnsi="宋体" w:cs="仿宋"/>
          <w:b/>
          <w:color w:val="auto"/>
          <w:sz w:val="24"/>
          <w:highlight w:val="none"/>
        </w:rPr>
        <w:t>四、进度要求</w:t>
      </w:r>
      <w:bookmarkEnd w:id="22"/>
      <w:bookmarkEnd w:id="23"/>
      <w:bookmarkEnd w:id="24"/>
    </w:p>
    <w:p>
      <w:pPr>
        <w:snapToGrid w:val="0"/>
        <w:spacing w:line="360" w:lineRule="auto"/>
        <w:ind w:firstLine="480" w:firstLineChars="200"/>
        <w:rPr>
          <w:rFonts w:ascii="宋体" w:hAnsi="宋体" w:cs="仿宋"/>
          <w:b/>
          <w:color w:val="auto"/>
          <w:sz w:val="24"/>
          <w:highlight w:val="none"/>
        </w:rPr>
      </w:pPr>
      <w:r>
        <w:rPr>
          <w:rFonts w:hint="eastAsia" w:ascii="宋体" w:hAnsi="宋体" w:cs="仿宋"/>
          <w:bCs/>
          <w:color w:val="auto"/>
          <w:sz w:val="24"/>
          <w:highlight w:val="none"/>
        </w:rPr>
        <w:t>1.服务内容：针对交易发起人的任务书，编制《社会风险评估报告书》。具体内容详见任务书。</w:t>
      </w:r>
    </w:p>
    <w:p>
      <w:pPr>
        <w:snapToGrid w:val="0"/>
        <w:spacing w:line="360" w:lineRule="auto"/>
        <w:ind w:firstLine="480" w:firstLineChars="200"/>
        <w:rPr>
          <w:rFonts w:ascii="宋体" w:hAnsi="宋体" w:cs="仿宋"/>
          <w:b/>
          <w:color w:val="auto"/>
          <w:sz w:val="24"/>
          <w:highlight w:val="none"/>
        </w:rPr>
      </w:pPr>
      <w:r>
        <w:rPr>
          <w:rFonts w:hint="eastAsia" w:ascii="宋体" w:hAnsi="宋体" w:cs="仿宋"/>
          <w:bCs/>
          <w:color w:val="auto"/>
          <w:sz w:val="24"/>
          <w:highlight w:val="none"/>
        </w:rPr>
        <w:t>2.服务要求：按国家、地方技术规范、标准、规程及交易发起人提出的任务书要求、内容、深度，完成上述工作内容。</w:t>
      </w:r>
    </w:p>
    <w:p>
      <w:pPr>
        <w:snapToGrid w:val="0"/>
        <w:spacing w:line="360" w:lineRule="auto"/>
        <w:ind w:firstLine="480" w:firstLineChars="200"/>
        <w:rPr>
          <w:rFonts w:ascii="宋体" w:hAnsi="宋体" w:cs="仿宋"/>
          <w:b/>
          <w:color w:val="auto"/>
          <w:sz w:val="24"/>
          <w:highlight w:val="none"/>
        </w:rPr>
      </w:pPr>
      <w:r>
        <w:rPr>
          <w:rFonts w:hint="eastAsia" w:ascii="宋体" w:hAnsi="宋体" w:cs="仿宋"/>
          <w:bCs/>
          <w:color w:val="auto"/>
          <w:sz w:val="24"/>
          <w:highlight w:val="none"/>
        </w:rPr>
        <w:t>3.服务方式：按交易发起人要求提供份数的社会风险评估报告书，同时递交该报告书的电子文件 1 份；社会风险评估报告书通过相关专门机构备案。</w:t>
      </w:r>
    </w:p>
    <w:p>
      <w:pPr>
        <w:snapToGrid w:val="0"/>
        <w:spacing w:line="360" w:lineRule="auto"/>
        <w:ind w:firstLine="480" w:firstLineChars="200"/>
        <w:rPr>
          <w:rFonts w:ascii="宋体" w:hAnsi="宋体" w:cs="仿宋"/>
          <w:b/>
          <w:color w:val="auto"/>
          <w:sz w:val="24"/>
          <w:highlight w:val="none"/>
        </w:rPr>
      </w:pPr>
      <w:r>
        <w:rPr>
          <w:rFonts w:hint="eastAsia" w:ascii="宋体" w:hAnsi="宋体" w:cs="仿宋"/>
          <w:bCs/>
          <w:color w:val="auto"/>
          <w:sz w:val="24"/>
          <w:highlight w:val="none"/>
        </w:rPr>
        <w:t>4.社会风险评估服务进度应符合交易发起人项目建设进度各节点工作的要求。未在规定期间内完成的编制报告交易发起人有权处以相应的违约金。</w:t>
      </w:r>
    </w:p>
    <w:p>
      <w:pPr>
        <w:snapToGrid w:val="0"/>
        <w:spacing w:line="360" w:lineRule="auto"/>
        <w:ind w:firstLine="482" w:firstLineChars="200"/>
        <w:rPr>
          <w:rFonts w:ascii="宋体" w:hAnsi="宋体" w:cs="仿宋"/>
          <w:b/>
          <w:color w:val="auto"/>
          <w:sz w:val="24"/>
          <w:highlight w:val="none"/>
        </w:rPr>
      </w:pPr>
      <w:bookmarkStart w:id="25" w:name="_Toc58350751"/>
      <w:bookmarkStart w:id="26" w:name="_Toc58350580"/>
      <w:bookmarkStart w:id="27" w:name="_Toc15216"/>
      <w:bookmarkStart w:id="28" w:name="_Toc27513"/>
      <w:r>
        <w:rPr>
          <w:rFonts w:hint="eastAsia" w:ascii="宋体" w:hAnsi="宋体" w:cs="仿宋"/>
          <w:b/>
          <w:color w:val="auto"/>
          <w:sz w:val="24"/>
          <w:highlight w:val="none"/>
        </w:rPr>
        <w:t>五、成果及验收要求</w:t>
      </w:r>
      <w:bookmarkEnd w:id="25"/>
      <w:bookmarkEnd w:id="26"/>
      <w:bookmarkEnd w:id="27"/>
      <w:bookmarkEnd w:id="28"/>
    </w:p>
    <w:p>
      <w:pPr>
        <w:snapToGrid w:val="0"/>
        <w:spacing w:line="360" w:lineRule="auto"/>
        <w:ind w:firstLine="480" w:firstLineChars="200"/>
        <w:rPr>
          <w:rFonts w:ascii="宋体" w:hAnsi="宋体" w:cs="仿宋"/>
          <w:b/>
          <w:color w:val="auto"/>
          <w:sz w:val="24"/>
          <w:highlight w:val="none"/>
        </w:rPr>
      </w:pPr>
      <w:r>
        <w:rPr>
          <w:rFonts w:hint="eastAsia" w:ascii="宋体" w:hAnsi="宋体" w:cs="仿宋"/>
          <w:bCs/>
          <w:color w:val="auto"/>
          <w:sz w:val="24"/>
          <w:highlight w:val="none"/>
        </w:rPr>
        <w:t>1.成果形式：以社会风险评估报告的形式提交，向交易发起人提交书面评估报告2套，电子文件1套（评审和自留底的自行考虑），按评估程序通过浙江省重大决策社会风险评估平台向有关部门申报备案，并通过相关主管部门的审查（以相关部门出具的最终成果批复为准）。</w:t>
      </w:r>
    </w:p>
    <w:p>
      <w:pPr>
        <w:snapToGrid w:val="0"/>
        <w:spacing w:line="360" w:lineRule="auto"/>
        <w:ind w:firstLine="480" w:firstLineChars="200"/>
        <w:rPr>
          <w:rFonts w:ascii="宋体" w:hAnsi="宋体" w:cs="仿宋"/>
          <w:b/>
          <w:color w:val="auto"/>
          <w:sz w:val="24"/>
          <w:highlight w:val="none"/>
        </w:rPr>
      </w:pPr>
      <w:r>
        <w:rPr>
          <w:rFonts w:hint="eastAsia" w:ascii="宋体" w:hAnsi="宋体" w:cs="仿宋"/>
          <w:bCs/>
          <w:color w:val="auto"/>
          <w:sz w:val="24"/>
          <w:highlight w:val="none"/>
        </w:rPr>
        <w:t>2.如评估报告未能一次性完成备案通过，则由供应商承担后续所产生的一切费用，交易发起人不再另行支付。</w:t>
      </w:r>
    </w:p>
    <w:p>
      <w:pPr>
        <w:snapToGrid w:val="0"/>
        <w:spacing w:line="360" w:lineRule="auto"/>
        <w:ind w:firstLine="480" w:firstLineChars="200"/>
        <w:rPr>
          <w:rFonts w:ascii="宋体" w:hAnsi="宋体" w:cs="仿宋"/>
          <w:b/>
          <w:color w:val="auto"/>
          <w:sz w:val="24"/>
          <w:highlight w:val="none"/>
        </w:rPr>
      </w:pPr>
      <w:r>
        <w:rPr>
          <w:rFonts w:hint="eastAsia" w:ascii="宋体" w:hAnsi="宋体" w:cs="仿宋"/>
          <w:bCs/>
          <w:color w:val="auto"/>
          <w:sz w:val="24"/>
          <w:highlight w:val="none"/>
        </w:rPr>
        <w:t>3.验收要求：项目成果必须经过专家和上级部门审核，通过专家和上级部门审核的视为验收合格。验收时所产生的专家评审费已包含在报价中。</w:t>
      </w:r>
    </w:p>
    <w:p>
      <w:pPr>
        <w:snapToGrid w:val="0"/>
        <w:spacing w:line="360" w:lineRule="auto"/>
        <w:ind w:firstLine="482" w:firstLineChars="200"/>
        <w:rPr>
          <w:rFonts w:ascii="宋体" w:hAnsi="宋体" w:cs="仿宋"/>
          <w:b/>
          <w:color w:val="auto"/>
          <w:sz w:val="24"/>
          <w:highlight w:val="none"/>
        </w:rPr>
      </w:pPr>
      <w:r>
        <w:rPr>
          <w:rFonts w:hint="eastAsia" w:ascii="宋体" w:hAnsi="宋体" w:cs="仿宋"/>
          <w:b/>
          <w:color w:val="auto"/>
          <w:sz w:val="24"/>
          <w:highlight w:val="none"/>
        </w:rPr>
        <w:t>六、服务期</w:t>
      </w:r>
    </w:p>
    <w:p>
      <w:pPr>
        <w:pStyle w:val="62"/>
        <w:rPr>
          <w:color w:val="auto"/>
          <w:highlight w:val="none"/>
          <w:lang w:val="en-US"/>
        </w:rPr>
      </w:pPr>
      <w:r>
        <w:rPr>
          <w:rFonts w:hint="eastAsia" w:hAnsi="宋体"/>
          <w:color w:val="auto"/>
          <w:highlight w:val="none"/>
        </w:rPr>
        <w:t>服务期：合同签订后</w:t>
      </w:r>
      <w:r>
        <w:rPr>
          <w:rFonts w:hint="eastAsia" w:hAnsi="宋体"/>
          <w:color w:val="auto"/>
          <w:highlight w:val="none"/>
          <w:lang w:val="en-US" w:eastAsia="zh-CN"/>
        </w:rPr>
        <w:t>1</w:t>
      </w:r>
      <w:r>
        <w:rPr>
          <w:rFonts w:hint="eastAsia" w:hAnsi="宋体"/>
          <w:color w:val="auto"/>
          <w:highlight w:val="none"/>
        </w:rPr>
        <w:t>年。</w:t>
      </w:r>
    </w:p>
    <w:p>
      <w:pPr>
        <w:snapToGrid w:val="0"/>
        <w:spacing w:line="360" w:lineRule="auto"/>
        <w:ind w:firstLine="482" w:firstLineChars="200"/>
        <w:rPr>
          <w:rFonts w:ascii="宋体" w:hAnsi="宋体" w:cs="仿宋"/>
          <w:b/>
          <w:color w:val="auto"/>
          <w:sz w:val="24"/>
          <w:highlight w:val="none"/>
        </w:rPr>
      </w:pPr>
      <w:r>
        <w:rPr>
          <w:rFonts w:hint="eastAsia" w:ascii="宋体" w:hAnsi="宋体" w:cs="仿宋"/>
          <w:b/>
          <w:color w:val="auto"/>
          <w:sz w:val="24"/>
          <w:highlight w:val="none"/>
        </w:rPr>
        <w:t>七、付款方式</w:t>
      </w:r>
    </w:p>
    <w:p>
      <w:pPr>
        <w:spacing w:line="360" w:lineRule="auto"/>
        <w:ind w:firstLine="480" w:firstLineChars="200"/>
        <w:rPr>
          <w:rFonts w:ascii="宋体" w:hAnsi="宋体"/>
          <w:color w:val="auto"/>
          <w:sz w:val="24"/>
          <w:highlight w:val="none"/>
        </w:rPr>
      </w:pPr>
      <w:r>
        <w:rPr>
          <w:rFonts w:hint="eastAsia" w:ascii="宋体" w:hAnsi="宋体" w:cs="仿宋"/>
          <w:bCs/>
          <w:color w:val="auto"/>
          <w:sz w:val="24"/>
          <w:highlight w:val="none"/>
          <w:lang w:val="zh-CN"/>
        </w:rPr>
        <w:t>支付方式：评估完成并出具成果报告，</w:t>
      </w:r>
      <w:r>
        <w:rPr>
          <w:rFonts w:hint="eastAsia" w:ascii="宋体" w:hAnsi="宋体" w:cs="仿宋"/>
          <w:bCs/>
          <w:color w:val="auto"/>
          <w:sz w:val="24"/>
          <w:highlight w:val="none"/>
          <w:lang w:val="en-US" w:eastAsia="zh-CN"/>
        </w:rPr>
        <w:t>且完成项目最终</w:t>
      </w:r>
      <w:r>
        <w:rPr>
          <w:rFonts w:hint="eastAsia" w:ascii="宋体" w:hAnsi="宋体" w:cs="仿宋"/>
          <w:bCs/>
          <w:color w:val="auto"/>
          <w:sz w:val="24"/>
          <w:highlight w:val="none"/>
          <w:lang w:val="zh-CN"/>
        </w:rPr>
        <w:t>批复，并由</w:t>
      </w:r>
      <w:r>
        <w:rPr>
          <w:rFonts w:hint="eastAsia" w:ascii="宋体" w:hAnsi="宋体" w:cs="仿宋"/>
          <w:bCs/>
          <w:color w:val="auto"/>
          <w:sz w:val="24"/>
          <w:highlight w:val="none"/>
        </w:rPr>
        <w:t>交易发起人</w:t>
      </w:r>
      <w:r>
        <w:rPr>
          <w:rFonts w:hint="eastAsia" w:ascii="宋体" w:hAnsi="宋体" w:cs="仿宋"/>
          <w:bCs/>
          <w:color w:val="auto"/>
          <w:sz w:val="24"/>
          <w:highlight w:val="none"/>
          <w:lang w:val="zh-CN"/>
        </w:rPr>
        <w:t>确认后，服务期满后根据</w:t>
      </w:r>
      <w:r>
        <w:rPr>
          <w:rFonts w:hint="eastAsia" w:ascii="宋体" w:hAnsi="宋体"/>
          <w:color w:val="auto"/>
          <w:sz w:val="24"/>
          <w:highlight w:val="none"/>
        </w:rPr>
        <w:t>实际完成的服务量乘以服务中标单价作为最终项目结算价一次性支付</w:t>
      </w:r>
      <w:r>
        <w:rPr>
          <w:rFonts w:hint="eastAsia" w:ascii="宋体" w:hAnsi="宋体" w:cs="仿宋"/>
          <w:bCs/>
          <w:color w:val="auto"/>
          <w:sz w:val="24"/>
          <w:highlight w:val="none"/>
          <w:lang w:val="zh-CN"/>
        </w:rPr>
        <w:t>（以实际完成并经交易发起人确认为准）。</w:t>
      </w:r>
    </w:p>
    <w:p>
      <w:pPr>
        <w:snapToGrid w:val="0"/>
        <w:spacing w:line="360" w:lineRule="auto"/>
        <w:ind w:firstLine="482" w:firstLineChars="200"/>
        <w:rPr>
          <w:rFonts w:ascii="宋体" w:hAnsi="宋体" w:cs="仿宋"/>
          <w:b/>
          <w:color w:val="auto"/>
          <w:sz w:val="24"/>
          <w:highlight w:val="none"/>
        </w:rPr>
      </w:pPr>
      <w:r>
        <w:rPr>
          <w:rFonts w:hint="eastAsia" w:ascii="宋体" w:hAnsi="宋体" w:cs="仿宋"/>
          <w:b/>
          <w:color w:val="auto"/>
          <w:sz w:val="24"/>
          <w:highlight w:val="none"/>
        </w:rPr>
        <w:t>八、其它</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1、响应人在交易一览表（报价表）中填报</w:t>
      </w:r>
      <w:r>
        <w:rPr>
          <w:rFonts w:hint="eastAsia" w:ascii="宋体" w:hAnsi="宋体" w:cs="仿宋"/>
          <w:color w:val="auto"/>
          <w:sz w:val="24"/>
          <w:szCs w:val="28"/>
          <w:highlight w:val="none"/>
        </w:rPr>
        <w:t>征地社会稳定风险评估服务每宗</w:t>
      </w:r>
      <w:r>
        <w:rPr>
          <w:rFonts w:hint="eastAsia" w:ascii="宋体" w:hAnsi="宋体"/>
          <w:color w:val="auto"/>
          <w:sz w:val="24"/>
          <w:highlight w:val="none"/>
        </w:rPr>
        <w:t>投标单价。投标单价包括响应人认为完成本项目所需的一切费用。中标后服务期内</w:t>
      </w:r>
      <w:r>
        <w:rPr>
          <w:rFonts w:hint="eastAsia" w:ascii="宋体" w:hAnsi="宋体" w:cs="仿宋"/>
          <w:color w:val="auto"/>
          <w:sz w:val="24"/>
          <w:szCs w:val="28"/>
          <w:highlight w:val="none"/>
        </w:rPr>
        <w:t>征地社会稳定风险评估服务每宗</w:t>
      </w:r>
      <w:r>
        <w:rPr>
          <w:rFonts w:hint="eastAsia" w:ascii="宋体" w:hAnsi="宋体"/>
          <w:color w:val="auto"/>
          <w:sz w:val="24"/>
          <w:highlight w:val="none"/>
        </w:rPr>
        <w:t>中标单价一次性包干不作调整，响应人应自行承担报价风险。结算依据实际完成的服务量乘以服务中标单价作为最终项目结算价，结算价最高不超过本项目预算价。</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rPr>
        <w:t>2、从合同签订之日起一年内，按照</w:t>
      </w:r>
      <w:r>
        <w:rPr>
          <w:rFonts w:hint="eastAsia" w:ascii="宋体" w:hAnsi="宋体"/>
          <w:color w:val="auto"/>
          <w:sz w:val="24"/>
          <w:highlight w:val="none"/>
        </w:rPr>
        <w:t>交易发起人</w:t>
      </w:r>
      <w:r>
        <w:rPr>
          <w:rFonts w:hint="eastAsia" w:ascii="宋体" w:hAnsi="宋体"/>
          <w:color w:val="auto"/>
          <w:sz w:val="24"/>
          <w:highlight w:val="none"/>
          <w:lang w:val="en-US"/>
        </w:rPr>
        <w:t>要求进行相应服务工作并提交成果报告，直至一年期满或服务费用达到项目预算金额为止。</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b/>
          <w:color w:val="auto"/>
          <w:sz w:val="36"/>
          <w:szCs w:val="36"/>
          <w:highlight w:val="none"/>
          <w:lang w:val="en-US" w:eastAsia="zh-CN"/>
        </w:rPr>
      </w:pPr>
      <w:r>
        <w:rPr>
          <w:rFonts w:hint="eastAsia" w:ascii="宋体" w:hAnsi="宋体" w:eastAsia="宋体" w:cs="宋体"/>
          <w:color w:val="auto"/>
          <w:sz w:val="24"/>
          <w:szCs w:val="24"/>
          <w:highlight w:val="none"/>
          <w:lang w:eastAsia="zh-CN"/>
        </w:rPr>
        <w:t>注：</w:t>
      </w:r>
      <w:r>
        <w:rPr>
          <w:rFonts w:hint="eastAsia" w:ascii="宋体" w:hAnsi="宋体" w:eastAsia="宋体" w:cs="宋体"/>
          <w:color w:val="auto"/>
          <w:sz w:val="24"/>
          <w:szCs w:val="24"/>
          <w:highlight w:val="none"/>
          <w:lang w:val="en-US" w:eastAsia="zh-CN"/>
        </w:rPr>
        <w:t>公开竞争</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中打</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内容为实质性要求，不允许有负偏离，否则将以涉及无效响应条款作无效响应。</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9" w:name="_Toc184308055"/>
      <w:bookmarkEnd w:id="29"/>
      <w:bookmarkStart w:id="30" w:name="_Toc184312138"/>
      <w:bookmarkEnd w:id="30"/>
      <w:bookmarkStart w:id="31" w:name="_Toc184313293"/>
      <w:bookmarkEnd w:id="31"/>
      <w:bookmarkStart w:id="32" w:name="_Toc184312088"/>
      <w:bookmarkEnd w:id="32"/>
      <w:bookmarkStart w:id="33" w:name="_Toc184308104"/>
      <w:bookmarkEnd w:id="33"/>
      <w:bookmarkStart w:id="34" w:name="_Toc184312131"/>
      <w:bookmarkEnd w:id="34"/>
      <w:bookmarkStart w:id="35" w:name="_Toc184308107"/>
      <w:bookmarkEnd w:id="35"/>
      <w:bookmarkStart w:id="36" w:name="_Toc184312116"/>
      <w:bookmarkEnd w:id="36"/>
      <w:bookmarkStart w:id="37" w:name="_Toc184313254"/>
      <w:bookmarkEnd w:id="37"/>
      <w:bookmarkStart w:id="38" w:name="_Toc184312077"/>
      <w:bookmarkEnd w:id="38"/>
      <w:bookmarkStart w:id="39" w:name="_Toc184312125"/>
      <w:bookmarkEnd w:id="39"/>
      <w:bookmarkStart w:id="40" w:name="_Toc184314416"/>
      <w:bookmarkEnd w:id="40"/>
      <w:bookmarkStart w:id="41" w:name="_Toc184313248"/>
      <w:bookmarkEnd w:id="41"/>
      <w:bookmarkStart w:id="42" w:name="_Toc184310309"/>
      <w:bookmarkEnd w:id="42"/>
      <w:bookmarkStart w:id="43" w:name="_Toc184312094"/>
      <w:bookmarkEnd w:id="43"/>
      <w:bookmarkStart w:id="44" w:name="_Toc184308070"/>
      <w:bookmarkEnd w:id="44"/>
      <w:bookmarkStart w:id="45" w:name="_Toc184308048"/>
      <w:bookmarkEnd w:id="45"/>
      <w:bookmarkStart w:id="46" w:name="_Toc184312130"/>
      <w:bookmarkEnd w:id="46"/>
      <w:bookmarkStart w:id="47" w:name="_Toc184308086"/>
      <w:bookmarkEnd w:id="47"/>
      <w:bookmarkStart w:id="48" w:name="_Toc184308091"/>
      <w:bookmarkEnd w:id="48"/>
      <w:bookmarkStart w:id="49" w:name="_Toc184314465"/>
      <w:bookmarkEnd w:id="49"/>
      <w:bookmarkStart w:id="50" w:name="_Toc184308068"/>
      <w:bookmarkEnd w:id="50"/>
      <w:bookmarkStart w:id="51" w:name="_Toc184313287"/>
      <w:bookmarkEnd w:id="51"/>
      <w:bookmarkStart w:id="52" w:name="_Toc184308099"/>
      <w:bookmarkEnd w:id="52"/>
      <w:bookmarkStart w:id="53" w:name="_Toc184313256"/>
      <w:bookmarkEnd w:id="53"/>
      <w:bookmarkStart w:id="54" w:name="_Toc184310315"/>
      <w:bookmarkEnd w:id="54"/>
      <w:bookmarkStart w:id="55" w:name="_Toc184312080"/>
      <w:bookmarkEnd w:id="55"/>
      <w:bookmarkStart w:id="56" w:name="_Toc184314472"/>
      <w:bookmarkEnd w:id="56"/>
      <w:bookmarkStart w:id="57" w:name="_Toc184312126"/>
      <w:bookmarkEnd w:id="57"/>
      <w:bookmarkStart w:id="58" w:name="_Toc184310275"/>
      <w:bookmarkEnd w:id="58"/>
      <w:bookmarkStart w:id="59" w:name="_Toc184310332"/>
      <w:bookmarkEnd w:id="59"/>
      <w:bookmarkStart w:id="60" w:name="_Toc184310289"/>
      <w:bookmarkEnd w:id="60"/>
      <w:bookmarkStart w:id="61" w:name="_Toc184308093"/>
      <w:bookmarkEnd w:id="61"/>
      <w:bookmarkStart w:id="62" w:name="_Toc184314414"/>
      <w:bookmarkEnd w:id="62"/>
      <w:bookmarkStart w:id="63" w:name="_Toc184312113"/>
      <w:bookmarkEnd w:id="63"/>
      <w:bookmarkStart w:id="64" w:name="_Toc184308067"/>
      <w:bookmarkEnd w:id="64"/>
      <w:bookmarkStart w:id="65" w:name="_Toc184313304"/>
      <w:bookmarkEnd w:id="65"/>
      <w:bookmarkStart w:id="66" w:name="_Toc184313283"/>
      <w:bookmarkEnd w:id="66"/>
      <w:bookmarkStart w:id="67" w:name="_Toc184312133"/>
      <w:bookmarkEnd w:id="67"/>
      <w:bookmarkStart w:id="68" w:name="_Toc184313242"/>
      <w:bookmarkEnd w:id="68"/>
      <w:bookmarkStart w:id="69" w:name="_Toc184310317"/>
      <w:bookmarkEnd w:id="69"/>
      <w:bookmarkStart w:id="70" w:name="_Toc184314421"/>
      <w:bookmarkEnd w:id="70"/>
      <w:bookmarkStart w:id="71" w:name="_Toc184314410"/>
      <w:bookmarkEnd w:id="71"/>
      <w:bookmarkStart w:id="72" w:name="_Toc184310282"/>
      <w:bookmarkEnd w:id="72"/>
      <w:bookmarkStart w:id="73" w:name="_Toc184308046"/>
      <w:bookmarkEnd w:id="73"/>
      <w:bookmarkStart w:id="74" w:name="_Toc184308079"/>
      <w:bookmarkEnd w:id="74"/>
      <w:bookmarkStart w:id="75" w:name="_Toc184308076"/>
      <w:bookmarkEnd w:id="75"/>
      <w:bookmarkStart w:id="76" w:name="_Toc184312068"/>
      <w:bookmarkEnd w:id="76"/>
      <w:bookmarkStart w:id="77" w:name="_Toc184313298"/>
      <w:bookmarkEnd w:id="77"/>
      <w:bookmarkStart w:id="78" w:name="_Toc184314450"/>
      <w:bookmarkEnd w:id="78"/>
      <w:bookmarkStart w:id="79" w:name="_Toc184314480"/>
      <w:bookmarkEnd w:id="79"/>
      <w:bookmarkStart w:id="80" w:name="_Toc184314427"/>
      <w:bookmarkEnd w:id="80"/>
      <w:bookmarkStart w:id="81" w:name="_Toc184312114"/>
      <w:bookmarkEnd w:id="81"/>
      <w:bookmarkStart w:id="82" w:name="_Toc184313310"/>
      <w:bookmarkEnd w:id="82"/>
      <w:bookmarkStart w:id="83" w:name="_Toc184308054"/>
      <w:bookmarkEnd w:id="83"/>
      <w:bookmarkStart w:id="84" w:name="_Toc184312136"/>
      <w:bookmarkEnd w:id="84"/>
      <w:bookmarkStart w:id="85" w:name="_Toc184313308"/>
      <w:bookmarkEnd w:id="85"/>
      <w:bookmarkStart w:id="86" w:name="_Toc184313275"/>
      <w:bookmarkEnd w:id="86"/>
      <w:bookmarkStart w:id="87" w:name="_Toc184314417"/>
      <w:bookmarkEnd w:id="87"/>
      <w:bookmarkStart w:id="88" w:name="_Toc184313261"/>
      <w:bookmarkEnd w:id="88"/>
      <w:bookmarkStart w:id="89" w:name="_Toc184314411"/>
      <w:bookmarkEnd w:id="89"/>
      <w:bookmarkStart w:id="90" w:name="_Toc184312089"/>
      <w:bookmarkEnd w:id="90"/>
      <w:bookmarkStart w:id="91" w:name="_Toc184308097"/>
      <w:bookmarkEnd w:id="91"/>
      <w:bookmarkStart w:id="92" w:name="_Toc184310290"/>
      <w:bookmarkEnd w:id="92"/>
      <w:bookmarkStart w:id="93" w:name="_Toc184314451"/>
      <w:bookmarkEnd w:id="93"/>
      <w:bookmarkStart w:id="94" w:name="_Toc184314448"/>
      <w:bookmarkEnd w:id="94"/>
      <w:bookmarkStart w:id="95" w:name="_Toc184308057"/>
      <w:bookmarkEnd w:id="95"/>
      <w:bookmarkStart w:id="96" w:name="_Toc184310287"/>
      <w:bookmarkEnd w:id="96"/>
      <w:bookmarkStart w:id="97" w:name="_Toc184314447"/>
      <w:bookmarkEnd w:id="97"/>
      <w:bookmarkStart w:id="98" w:name="_Toc184314430"/>
      <w:bookmarkEnd w:id="98"/>
      <w:bookmarkStart w:id="99" w:name="_Toc184313286"/>
      <w:bookmarkEnd w:id="99"/>
      <w:bookmarkStart w:id="100" w:name="_Toc184308036"/>
      <w:bookmarkEnd w:id="100"/>
      <w:bookmarkStart w:id="101" w:name="_Toc184312090"/>
      <w:bookmarkEnd w:id="101"/>
      <w:bookmarkStart w:id="102" w:name="_Toc184310303"/>
      <w:bookmarkEnd w:id="102"/>
      <w:bookmarkStart w:id="103" w:name="_Toc184314455"/>
      <w:bookmarkEnd w:id="103"/>
      <w:bookmarkStart w:id="104" w:name="_Toc184314466"/>
      <w:bookmarkEnd w:id="104"/>
      <w:bookmarkStart w:id="105" w:name="_Toc184308056"/>
      <w:bookmarkEnd w:id="105"/>
      <w:bookmarkStart w:id="106" w:name="_Toc184313264"/>
      <w:bookmarkEnd w:id="106"/>
      <w:bookmarkStart w:id="107" w:name="_Toc184313307"/>
      <w:bookmarkEnd w:id="107"/>
      <w:bookmarkStart w:id="108" w:name="_Toc184313268"/>
      <w:bookmarkEnd w:id="108"/>
      <w:bookmarkStart w:id="109" w:name="_Toc184313247"/>
      <w:bookmarkEnd w:id="109"/>
      <w:bookmarkStart w:id="110" w:name="_Toc184313263"/>
      <w:bookmarkEnd w:id="110"/>
      <w:bookmarkStart w:id="111" w:name="_Toc184312127"/>
      <w:bookmarkEnd w:id="111"/>
      <w:bookmarkStart w:id="112" w:name="_Toc184308064"/>
      <w:bookmarkEnd w:id="112"/>
      <w:bookmarkStart w:id="113" w:name="_Toc184313241"/>
      <w:bookmarkEnd w:id="113"/>
      <w:bookmarkStart w:id="114" w:name="_Toc184310321"/>
      <w:bookmarkEnd w:id="114"/>
      <w:bookmarkStart w:id="115" w:name="_Toc184314434"/>
      <w:bookmarkEnd w:id="115"/>
      <w:bookmarkStart w:id="116" w:name="_Toc184312086"/>
      <w:bookmarkEnd w:id="116"/>
      <w:bookmarkStart w:id="117" w:name="_Toc184312129"/>
      <w:bookmarkEnd w:id="117"/>
      <w:bookmarkStart w:id="118" w:name="_Toc184314424"/>
      <w:bookmarkEnd w:id="118"/>
      <w:bookmarkStart w:id="119" w:name="_Toc184312078"/>
      <w:bookmarkEnd w:id="119"/>
      <w:bookmarkStart w:id="120" w:name="_Toc184312070"/>
      <w:bookmarkEnd w:id="120"/>
      <w:bookmarkStart w:id="121" w:name="_Toc184308102"/>
      <w:bookmarkEnd w:id="121"/>
      <w:bookmarkStart w:id="122" w:name="_Toc184314422"/>
      <w:bookmarkEnd w:id="122"/>
      <w:bookmarkStart w:id="123" w:name="_Toc184313278"/>
      <w:bookmarkEnd w:id="123"/>
      <w:bookmarkStart w:id="124" w:name="_Toc184310281"/>
      <w:bookmarkEnd w:id="124"/>
      <w:bookmarkStart w:id="125" w:name="_Toc184310333"/>
      <w:bookmarkEnd w:id="125"/>
      <w:bookmarkStart w:id="126" w:name="_Toc184313302"/>
      <w:bookmarkEnd w:id="126"/>
      <w:bookmarkStart w:id="127" w:name="_Toc184310308"/>
      <w:bookmarkEnd w:id="127"/>
      <w:bookmarkStart w:id="128" w:name="_Toc184308049"/>
      <w:bookmarkEnd w:id="128"/>
      <w:bookmarkStart w:id="129" w:name="_Toc184314436"/>
      <w:bookmarkEnd w:id="129"/>
      <w:bookmarkStart w:id="130" w:name="_Toc184308066"/>
      <w:bookmarkEnd w:id="130"/>
      <w:bookmarkStart w:id="131" w:name="_Toc184308078"/>
      <w:bookmarkEnd w:id="131"/>
      <w:bookmarkStart w:id="132" w:name="_Toc184310300"/>
      <w:bookmarkEnd w:id="132"/>
      <w:bookmarkStart w:id="133" w:name="_Toc184312093"/>
      <w:bookmarkEnd w:id="133"/>
      <w:bookmarkStart w:id="134" w:name="_Toc184314482"/>
      <w:bookmarkEnd w:id="134"/>
      <w:bookmarkStart w:id="135" w:name="_Toc184310323"/>
      <w:bookmarkEnd w:id="135"/>
      <w:bookmarkStart w:id="136" w:name="_Toc184308092"/>
      <w:bookmarkEnd w:id="136"/>
      <w:bookmarkStart w:id="137" w:name="_Toc184313289"/>
      <w:bookmarkEnd w:id="137"/>
      <w:bookmarkStart w:id="138" w:name="_Toc184308083"/>
      <w:bookmarkEnd w:id="138"/>
      <w:bookmarkStart w:id="139" w:name="_Toc184310341"/>
      <w:bookmarkEnd w:id="139"/>
      <w:bookmarkStart w:id="140" w:name="_Toc184313258"/>
      <w:bookmarkEnd w:id="140"/>
      <w:bookmarkStart w:id="141" w:name="_Toc184312102"/>
      <w:bookmarkEnd w:id="141"/>
      <w:bookmarkStart w:id="142" w:name="_Toc184310326"/>
      <w:bookmarkEnd w:id="142"/>
      <w:bookmarkStart w:id="143" w:name="_Toc184308063"/>
      <w:bookmarkEnd w:id="143"/>
      <w:bookmarkStart w:id="144" w:name="_Toc184314445"/>
      <w:bookmarkEnd w:id="144"/>
      <w:bookmarkStart w:id="145" w:name="_Toc184312117"/>
      <w:bookmarkEnd w:id="145"/>
      <w:bookmarkStart w:id="146" w:name="_Toc184312074"/>
      <w:bookmarkEnd w:id="146"/>
      <w:bookmarkStart w:id="147" w:name="_Toc184310277"/>
      <w:bookmarkEnd w:id="147"/>
      <w:bookmarkStart w:id="148" w:name="_Toc184308051"/>
      <w:bookmarkEnd w:id="148"/>
      <w:bookmarkStart w:id="149" w:name="_Toc184314477"/>
      <w:bookmarkEnd w:id="149"/>
      <w:bookmarkStart w:id="150" w:name="_Toc184310284"/>
      <w:bookmarkEnd w:id="150"/>
      <w:bookmarkStart w:id="151" w:name="_Toc184312076"/>
      <w:bookmarkEnd w:id="151"/>
      <w:bookmarkStart w:id="152" w:name="_Toc184314446"/>
      <w:bookmarkEnd w:id="152"/>
      <w:bookmarkStart w:id="153" w:name="_Toc184310329"/>
      <w:bookmarkEnd w:id="153"/>
      <w:bookmarkStart w:id="154" w:name="_Toc184308080"/>
      <w:bookmarkEnd w:id="154"/>
      <w:bookmarkStart w:id="155" w:name="_Toc184313290"/>
      <w:bookmarkEnd w:id="155"/>
      <w:bookmarkStart w:id="156" w:name="_Toc184310314"/>
      <w:bookmarkEnd w:id="156"/>
      <w:bookmarkStart w:id="157" w:name="_Toc184314467"/>
      <w:bookmarkEnd w:id="157"/>
      <w:bookmarkStart w:id="158" w:name="_Toc184310273"/>
      <w:bookmarkEnd w:id="158"/>
      <w:bookmarkStart w:id="159" w:name="_Toc184312072"/>
      <w:bookmarkEnd w:id="159"/>
      <w:bookmarkStart w:id="160" w:name="_Toc184308075"/>
      <w:bookmarkEnd w:id="160"/>
      <w:bookmarkStart w:id="161" w:name="_Toc184312096"/>
      <w:bookmarkEnd w:id="161"/>
      <w:bookmarkStart w:id="162" w:name="_Toc184314479"/>
      <w:bookmarkEnd w:id="162"/>
      <w:bookmarkStart w:id="163" w:name="_Toc184310283"/>
      <w:bookmarkEnd w:id="163"/>
      <w:bookmarkStart w:id="164" w:name="_Toc184308082"/>
      <w:bookmarkEnd w:id="164"/>
      <w:bookmarkStart w:id="165" w:name="_Toc184313245"/>
      <w:bookmarkEnd w:id="165"/>
      <w:bookmarkStart w:id="166" w:name="_Toc184313255"/>
      <w:bookmarkEnd w:id="166"/>
      <w:bookmarkStart w:id="167" w:name="_Toc184310338"/>
      <w:bookmarkEnd w:id="167"/>
      <w:bookmarkStart w:id="168" w:name="_Toc184314418"/>
      <w:bookmarkEnd w:id="168"/>
      <w:bookmarkStart w:id="169" w:name="_Toc184312135"/>
      <w:bookmarkEnd w:id="169"/>
      <w:bookmarkStart w:id="170" w:name="_Toc184310296"/>
      <w:bookmarkEnd w:id="170"/>
      <w:bookmarkStart w:id="171" w:name="_Toc184314419"/>
      <w:bookmarkEnd w:id="171"/>
      <w:bookmarkStart w:id="172" w:name="_Toc184308040"/>
      <w:bookmarkEnd w:id="172"/>
      <w:bookmarkStart w:id="173" w:name="_Toc184313252"/>
      <w:bookmarkEnd w:id="173"/>
      <w:bookmarkStart w:id="174" w:name="_Toc184312103"/>
      <w:bookmarkEnd w:id="174"/>
      <w:bookmarkStart w:id="175" w:name="_Toc184313292"/>
      <w:bookmarkEnd w:id="175"/>
      <w:bookmarkStart w:id="176" w:name="_Toc184314454"/>
      <w:bookmarkEnd w:id="176"/>
      <w:bookmarkStart w:id="177" w:name="_Toc184314449"/>
      <w:bookmarkEnd w:id="177"/>
      <w:bookmarkStart w:id="178" w:name="_Toc184313277"/>
      <w:bookmarkEnd w:id="178"/>
      <w:bookmarkStart w:id="179" w:name="_Toc184313285"/>
      <w:bookmarkEnd w:id="179"/>
      <w:bookmarkStart w:id="180" w:name="_Toc184314413"/>
      <w:bookmarkEnd w:id="180"/>
      <w:bookmarkStart w:id="181" w:name="_Toc184312134"/>
      <w:bookmarkEnd w:id="181"/>
      <w:bookmarkStart w:id="182" w:name="_Toc184312083"/>
      <w:bookmarkEnd w:id="182"/>
      <w:bookmarkStart w:id="183" w:name="_Toc184308062"/>
      <w:bookmarkEnd w:id="183"/>
      <w:bookmarkStart w:id="184" w:name="_Toc184310292"/>
      <w:bookmarkEnd w:id="184"/>
      <w:bookmarkStart w:id="185" w:name="_Toc184314432"/>
      <w:bookmarkEnd w:id="185"/>
      <w:bookmarkStart w:id="186" w:name="_Toc184314438"/>
      <w:bookmarkEnd w:id="186"/>
      <w:bookmarkStart w:id="187" w:name="_Toc184308105"/>
      <w:bookmarkEnd w:id="187"/>
      <w:bookmarkStart w:id="188" w:name="_Toc184310328"/>
      <w:bookmarkEnd w:id="188"/>
      <w:bookmarkStart w:id="189" w:name="_Toc184313257"/>
      <w:bookmarkEnd w:id="189"/>
      <w:bookmarkStart w:id="190" w:name="_Toc184308106"/>
      <w:bookmarkEnd w:id="190"/>
      <w:bookmarkStart w:id="191" w:name="_Toc184314461"/>
      <w:bookmarkEnd w:id="191"/>
      <w:bookmarkStart w:id="192" w:name="_Toc184312099"/>
      <w:bookmarkEnd w:id="192"/>
      <w:bookmarkStart w:id="193" w:name="_Toc184312132"/>
      <w:bookmarkEnd w:id="193"/>
      <w:bookmarkStart w:id="194" w:name="_Toc184308061"/>
      <w:bookmarkEnd w:id="194"/>
      <w:bookmarkStart w:id="195" w:name="_Toc184312082"/>
      <w:bookmarkEnd w:id="195"/>
      <w:bookmarkStart w:id="196" w:name="_Toc184308096"/>
      <w:bookmarkEnd w:id="196"/>
      <w:bookmarkStart w:id="197" w:name="_Toc184313262"/>
      <w:bookmarkEnd w:id="197"/>
      <w:bookmarkStart w:id="198" w:name="_Toc184312091"/>
      <w:bookmarkEnd w:id="198"/>
      <w:bookmarkStart w:id="199" w:name="_Toc184314481"/>
      <w:bookmarkEnd w:id="199"/>
      <w:bookmarkStart w:id="200" w:name="_Toc184314478"/>
      <w:bookmarkEnd w:id="200"/>
      <w:bookmarkStart w:id="201" w:name="_Toc184313294"/>
      <w:bookmarkEnd w:id="201"/>
      <w:bookmarkStart w:id="202" w:name="_Toc184308089"/>
      <w:bookmarkEnd w:id="202"/>
      <w:bookmarkStart w:id="203" w:name="_Toc184313240"/>
      <w:bookmarkEnd w:id="203"/>
      <w:bookmarkStart w:id="204" w:name="_Toc184313266"/>
      <w:bookmarkEnd w:id="204"/>
      <w:bookmarkStart w:id="205" w:name="_Toc184314431"/>
      <w:bookmarkEnd w:id="205"/>
      <w:bookmarkStart w:id="206" w:name="_Toc184308045"/>
      <w:bookmarkEnd w:id="206"/>
      <w:bookmarkStart w:id="207" w:name="_Toc184308037"/>
      <w:bookmarkEnd w:id="207"/>
      <w:bookmarkStart w:id="208" w:name="_Toc184313295"/>
      <w:bookmarkEnd w:id="208"/>
      <w:bookmarkStart w:id="209" w:name="_Toc184313238"/>
      <w:bookmarkEnd w:id="209"/>
      <w:bookmarkStart w:id="210" w:name="_Toc184310299"/>
      <w:bookmarkEnd w:id="210"/>
      <w:bookmarkStart w:id="211" w:name="_Toc184314433"/>
      <w:bookmarkEnd w:id="211"/>
      <w:bookmarkStart w:id="212" w:name="_Toc184308053"/>
      <w:bookmarkEnd w:id="212"/>
      <w:bookmarkStart w:id="213" w:name="_Toc184313265"/>
      <w:bookmarkEnd w:id="213"/>
      <w:bookmarkStart w:id="214" w:name="_Toc184308084"/>
      <w:bookmarkEnd w:id="214"/>
      <w:bookmarkStart w:id="215" w:name="_Toc184310285"/>
      <w:bookmarkEnd w:id="215"/>
      <w:bookmarkStart w:id="216" w:name="_Toc184314443"/>
      <w:bookmarkEnd w:id="216"/>
      <w:bookmarkStart w:id="217" w:name="_Toc184314469"/>
      <w:bookmarkEnd w:id="217"/>
      <w:bookmarkStart w:id="218" w:name="_Toc184312071"/>
      <w:bookmarkEnd w:id="218"/>
      <w:bookmarkStart w:id="219" w:name="_Toc184313250"/>
      <w:bookmarkEnd w:id="219"/>
      <w:bookmarkStart w:id="220" w:name="_Toc184310297"/>
      <w:bookmarkEnd w:id="220"/>
      <w:bookmarkStart w:id="221" w:name="_Toc184314464"/>
      <w:bookmarkEnd w:id="221"/>
      <w:bookmarkStart w:id="222" w:name="_Toc184312101"/>
      <w:bookmarkEnd w:id="222"/>
      <w:bookmarkStart w:id="223" w:name="_Toc184313299"/>
      <w:bookmarkEnd w:id="223"/>
      <w:bookmarkStart w:id="224" w:name="_Toc184314476"/>
      <w:bookmarkEnd w:id="224"/>
      <w:bookmarkStart w:id="225" w:name="_Toc184313251"/>
      <w:bookmarkEnd w:id="225"/>
      <w:bookmarkStart w:id="226" w:name="_Toc184314458"/>
      <w:bookmarkEnd w:id="226"/>
      <w:bookmarkStart w:id="227" w:name="_Toc184310318"/>
      <w:bookmarkEnd w:id="227"/>
      <w:bookmarkStart w:id="228" w:name="_Toc184314470"/>
      <w:bookmarkEnd w:id="228"/>
      <w:bookmarkStart w:id="229" w:name="_Toc184310312"/>
      <w:bookmarkEnd w:id="229"/>
      <w:bookmarkStart w:id="230" w:name="_Toc184314415"/>
      <w:bookmarkEnd w:id="230"/>
      <w:bookmarkStart w:id="231" w:name="_Toc184310298"/>
      <w:bookmarkEnd w:id="231"/>
      <w:bookmarkStart w:id="232" w:name="_Toc184308038"/>
      <w:bookmarkEnd w:id="232"/>
      <w:bookmarkStart w:id="233" w:name="_Toc184308039"/>
      <w:bookmarkEnd w:id="233"/>
      <w:bookmarkStart w:id="234" w:name="_Toc184313253"/>
      <w:bookmarkEnd w:id="234"/>
      <w:bookmarkStart w:id="235" w:name="_Toc184308085"/>
      <w:bookmarkEnd w:id="235"/>
      <w:bookmarkStart w:id="236" w:name="_Toc184310280"/>
      <w:bookmarkEnd w:id="236"/>
      <w:bookmarkStart w:id="237" w:name="_Toc184314441"/>
      <w:bookmarkEnd w:id="237"/>
      <w:bookmarkStart w:id="238" w:name="_Toc184314420"/>
      <w:bookmarkEnd w:id="238"/>
      <w:bookmarkStart w:id="239" w:name="_Toc184314456"/>
      <w:bookmarkEnd w:id="239"/>
      <w:bookmarkStart w:id="240" w:name="_Toc184312098"/>
      <w:bookmarkEnd w:id="240"/>
      <w:bookmarkStart w:id="241" w:name="_Toc184310316"/>
      <w:bookmarkEnd w:id="241"/>
      <w:bookmarkStart w:id="242" w:name="_Toc184308094"/>
      <w:bookmarkEnd w:id="242"/>
      <w:bookmarkStart w:id="243" w:name="_Toc184308095"/>
      <w:bookmarkEnd w:id="243"/>
      <w:bookmarkStart w:id="244" w:name="_Toc184308069"/>
      <w:bookmarkEnd w:id="244"/>
      <w:bookmarkStart w:id="245" w:name="_Toc184313274"/>
      <w:bookmarkEnd w:id="245"/>
      <w:bookmarkStart w:id="246" w:name="_Toc184308103"/>
      <w:bookmarkEnd w:id="246"/>
      <w:bookmarkStart w:id="247" w:name="_Toc184312104"/>
      <w:bookmarkEnd w:id="247"/>
      <w:bookmarkStart w:id="248" w:name="_Toc184308098"/>
      <w:bookmarkEnd w:id="248"/>
      <w:bookmarkStart w:id="249" w:name="_Toc184310336"/>
      <w:bookmarkEnd w:id="249"/>
      <w:bookmarkStart w:id="250" w:name="_Toc184312112"/>
      <w:bookmarkEnd w:id="250"/>
      <w:bookmarkStart w:id="251" w:name="_Toc184312106"/>
      <w:bookmarkEnd w:id="251"/>
      <w:bookmarkStart w:id="252" w:name="_Toc184312107"/>
      <w:bookmarkEnd w:id="252"/>
      <w:bookmarkStart w:id="253" w:name="_Toc184312105"/>
      <w:bookmarkEnd w:id="253"/>
      <w:bookmarkStart w:id="254" w:name="_Toc184312084"/>
      <w:bookmarkEnd w:id="254"/>
      <w:bookmarkStart w:id="255" w:name="_Toc184314425"/>
      <w:bookmarkEnd w:id="255"/>
      <w:bookmarkStart w:id="256" w:name="_Toc184313276"/>
      <w:bookmarkEnd w:id="256"/>
      <w:bookmarkStart w:id="257" w:name="_Toc184313259"/>
      <w:bookmarkEnd w:id="257"/>
      <w:bookmarkStart w:id="258" w:name="_Toc184308065"/>
      <w:bookmarkEnd w:id="258"/>
      <w:bookmarkStart w:id="259" w:name="_Toc184308050"/>
      <w:bookmarkEnd w:id="259"/>
      <w:bookmarkStart w:id="260" w:name="_Toc184310294"/>
      <w:bookmarkEnd w:id="260"/>
      <w:bookmarkStart w:id="261" w:name="_Toc184312073"/>
      <w:bookmarkEnd w:id="261"/>
      <w:bookmarkStart w:id="262" w:name="_Toc184310306"/>
      <w:bookmarkEnd w:id="262"/>
      <w:bookmarkStart w:id="263" w:name="_Toc184314437"/>
      <w:bookmarkEnd w:id="263"/>
      <w:bookmarkStart w:id="264" w:name="_Toc184314462"/>
      <w:bookmarkEnd w:id="264"/>
      <w:bookmarkStart w:id="265" w:name="_Toc184310276"/>
      <w:bookmarkEnd w:id="265"/>
      <w:bookmarkStart w:id="266" w:name="_Toc184313291"/>
      <w:bookmarkEnd w:id="266"/>
      <w:bookmarkStart w:id="267" w:name="_Toc184312100"/>
      <w:bookmarkEnd w:id="267"/>
      <w:bookmarkStart w:id="268" w:name="_Toc184308052"/>
      <w:bookmarkEnd w:id="268"/>
      <w:bookmarkStart w:id="269" w:name="_Toc184310330"/>
      <w:bookmarkEnd w:id="269"/>
      <w:bookmarkStart w:id="270" w:name="_Toc184313284"/>
      <w:bookmarkEnd w:id="270"/>
      <w:bookmarkStart w:id="271" w:name="_Toc184312122"/>
      <w:bookmarkEnd w:id="271"/>
      <w:bookmarkStart w:id="272" w:name="_Toc184310274"/>
      <w:bookmarkEnd w:id="272"/>
      <w:bookmarkStart w:id="273" w:name="_Toc184313297"/>
      <w:bookmarkEnd w:id="273"/>
      <w:bookmarkStart w:id="274" w:name="_Toc184310335"/>
      <w:bookmarkEnd w:id="274"/>
      <w:bookmarkStart w:id="275" w:name="_Toc184314444"/>
      <w:bookmarkEnd w:id="275"/>
      <w:bookmarkStart w:id="276" w:name="_Toc184314429"/>
      <w:bookmarkEnd w:id="276"/>
      <w:bookmarkStart w:id="277" w:name="_Toc184310344"/>
      <w:bookmarkEnd w:id="277"/>
      <w:bookmarkStart w:id="278" w:name="_Toc184312097"/>
      <w:bookmarkEnd w:id="278"/>
      <w:bookmarkStart w:id="279" w:name="_Toc184312111"/>
      <w:bookmarkEnd w:id="279"/>
      <w:bookmarkStart w:id="280" w:name="_Toc184313282"/>
      <w:bookmarkEnd w:id="280"/>
      <w:bookmarkStart w:id="281" w:name="_Toc184310302"/>
      <w:bookmarkEnd w:id="281"/>
      <w:bookmarkStart w:id="282" w:name="_Toc184313260"/>
      <w:bookmarkEnd w:id="282"/>
      <w:bookmarkStart w:id="283" w:name="_Toc184312067"/>
      <w:bookmarkEnd w:id="283"/>
      <w:bookmarkStart w:id="284" w:name="_Toc184310320"/>
      <w:bookmarkEnd w:id="284"/>
      <w:bookmarkStart w:id="285" w:name="_Toc184313279"/>
      <w:bookmarkEnd w:id="285"/>
      <w:bookmarkStart w:id="286" w:name="_Toc184314453"/>
      <w:bookmarkEnd w:id="286"/>
      <w:bookmarkStart w:id="287" w:name="_Toc184313246"/>
      <w:bookmarkEnd w:id="287"/>
      <w:bookmarkStart w:id="288" w:name="_Toc184310343"/>
      <w:bookmarkEnd w:id="288"/>
      <w:bookmarkStart w:id="289" w:name="_Toc184308058"/>
      <w:bookmarkEnd w:id="289"/>
      <w:bookmarkStart w:id="290" w:name="_Toc184313249"/>
      <w:bookmarkEnd w:id="290"/>
      <w:bookmarkStart w:id="291" w:name="_Toc184310295"/>
      <w:bookmarkEnd w:id="291"/>
      <w:bookmarkStart w:id="292" w:name="_Toc184312109"/>
      <w:bookmarkEnd w:id="292"/>
      <w:bookmarkStart w:id="293" w:name="_Toc184308100"/>
      <w:bookmarkEnd w:id="293"/>
      <w:bookmarkStart w:id="294" w:name="_Toc184312115"/>
      <w:bookmarkEnd w:id="294"/>
      <w:bookmarkStart w:id="295" w:name="_Toc184310293"/>
      <w:bookmarkEnd w:id="295"/>
      <w:bookmarkStart w:id="296" w:name="_Toc184312085"/>
      <w:bookmarkEnd w:id="296"/>
      <w:bookmarkStart w:id="297" w:name="_Toc184313281"/>
      <w:bookmarkEnd w:id="297"/>
      <w:bookmarkStart w:id="298" w:name="_Toc184314475"/>
      <w:bookmarkEnd w:id="298"/>
      <w:bookmarkStart w:id="299" w:name="_Toc184310331"/>
      <w:bookmarkEnd w:id="299"/>
      <w:bookmarkStart w:id="300" w:name="_Toc184310342"/>
      <w:bookmarkEnd w:id="300"/>
      <w:bookmarkStart w:id="301" w:name="_Toc184308059"/>
      <w:bookmarkEnd w:id="301"/>
      <w:bookmarkStart w:id="302" w:name="_Toc184310291"/>
      <w:bookmarkEnd w:id="302"/>
      <w:bookmarkStart w:id="303" w:name="_Toc184314471"/>
      <w:bookmarkEnd w:id="303"/>
      <w:bookmarkStart w:id="304" w:name="_Toc184308072"/>
      <w:bookmarkEnd w:id="304"/>
      <w:bookmarkStart w:id="305" w:name="_Toc184310313"/>
      <w:bookmarkEnd w:id="305"/>
      <w:bookmarkStart w:id="306" w:name="_Toc184313244"/>
      <w:bookmarkEnd w:id="306"/>
      <w:bookmarkStart w:id="307" w:name="_Toc184313271"/>
      <w:bookmarkEnd w:id="307"/>
      <w:bookmarkStart w:id="308" w:name="_Toc184314452"/>
      <w:bookmarkEnd w:id="308"/>
      <w:bookmarkStart w:id="309" w:name="_Toc184308090"/>
      <w:bookmarkEnd w:id="309"/>
      <w:bookmarkStart w:id="310" w:name="_Toc184308044"/>
      <w:bookmarkEnd w:id="310"/>
      <w:bookmarkStart w:id="311" w:name="_Toc184314460"/>
      <w:bookmarkEnd w:id="311"/>
      <w:bookmarkStart w:id="312" w:name="_Toc184308041"/>
      <w:bookmarkEnd w:id="312"/>
      <w:bookmarkStart w:id="313" w:name="_Toc184312081"/>
      <w:bookmarkEnd w:id="313"/>
      <w:bookmarkStart w:id="314" w:name="_Toc184312079"/>
      <w:bookmarkEnd w:id="314"/>
      <w:bookmarkStart w:id="315" w:name="_Toc184310278"/>
      <w:bookmarkEnd w:id="315"/>
      <w:bookmarkStart w:id="316" w:name="_Toc184312124"/>
      <w:bookmarkEnd w:id="316"/>
      <w:bookmarkStart w:id="317" w:name="_Toc184313280"/>
      <w:bookmarkEnd w:id="317"/>
      <w:bookmarkStart w:id="318" w:name="_Toc184314468"/>
      <w:bookmarkEnd w:id="318"/>
      <w:bookmarkStart w:id="319" w:name="_Toc184308060"/>
      <w:bookmarkEnd w:id="319"/>
      <w:bookmarkStart w:id="320" w:name="_Toc184314440"/>
      <w:bookmarkEnd w:id="320"/>
      <w:bookmarkStart w:id="321" w:name="_Toc184313288"/>
      <w:bookmarkEnd w:id="321"/>
      <w:bookmarkStart w:id="322" w:name="_Toc184313306"/>
      <w:bookmarkEnd w:id="322"/>
      <w:bookmarkStart w:id="323" w:name="_Toc184313269"/>
      <w:bookmarkEnd w:id="323"/>
      <w:bookmarkStart w:id="324" w:name="_Toc184312137"/>
      <w:bookmarkEnd w:id="324"/>
      <w:bookmarkStart w:id="325" w:name="_Toc184312095"/>
      <w:bookmarkEnd w:id="325"/>
      <w:bookmarkStart w:id="326" w:name="_Toc184312121"/>
      <w:bookmarkEnd w:id="326"/>
      <w:bookmarkStart w:id="327" w:name="_Toc184313303"/>
      <w:bookmarkEnd w:id="327"/>
      <w:bookmarkStart w:id="328" w:name="_Toc184308077"/>
      <w:bookmarkEnd w:id="328"/>
      <w:bookmarkStart w:id="329" w:name="_Toc184310324"/>
      <w:bookmarkEnd w:id="329"/>
      <w:bookmarkStart w:id="330" w:name="_Toc184314463"/>
      <w:bookmarkEnd w:id="330"/>
      <w:bookmarkStart w:id="331" w:name="_Toc184313309"/>
      <w:bookmarkEnd w:id="331"/>
      <w:bookmarkStart w:id="332" w:name="_Toc184312118"/>
      <w:bookmarkEnd w:id="332"/>
      <w:bookmarkStart w:id="333" w:name="_Toc184310304"/>
      <w:bookmarkEnd w:id="333"/>
      <w:bookmarkStart w:id="334" w:name="_Toc184313301"/>
      <w:bookmarkEnd w:id="334"/>
      <w:bookmarkStart w:id="335" w:name="_Toc184313273"/>
      <w:bookmarkEnd w:id="335"/>
      <w:bookmarkStart w:id="336" w:name="_Toc184308081"/>
      <w:bookmarkEnd w:id="336"/>
      <w:bookmarkStart w:id="337" w:name="_Toc184312108"/>
      <w:bookmarkEnd w:id="337"/>
      <w:bookmarkStart w:id="338" w:name="_Toc184310339"/>
      <w:bookmarkEnd w:id="338"/>
      <w:bookmarkStart w:id="339" w:name="_Toc184310279"/>
      <w:bookmarkEnd w:id="339"/>
      <w:bookmarkStart w:id="340" w:name="_Toc184313300"/>
      <w:bookmarkEnd w:id="340"/>
      <w:bookmarkStart w:id="341" w:name="_Toc184313270"/>
      <w:bookmarkEnd w:id="341"/>
      <w:bookmarkStart w:id="342" w:name="_Toc184314435"/>
      <w:bookmarkEnd w:id="342"/>
      <w:bookmarkStart w:id="343" w:name="_Toc184310272"/>
      <w:bookmarkEnd w:id="343"/>
      <w:bookmarkStart w:id="344" w:name="_Toc184308087"/>
      <w:bookmarkEnd w:id="344"/>
      <w:bookmarkStart w:id="345" w:name="_Toc184314474"/>
      <w:bookmarkEnd w:id="345"/>
      <w:bookmarkStart w:id="346" w:name="_Toc184308071"/>
      <w:bookmarkEnd w:id="346"/>
      <w:bookmarkStart w:id="347" w:name="_Toc184310288"/>
      <w:bookmarkEnd w:id="347"/>
      <w:bookmarkStart w:id="348" w:name="_Toc184312069"/>
      <w:bookmarkEnd w:id="348"/>
      <w:bookmarkStart w:id="349" w:name="_Toc184310337"/>
      <w:bookmarkEnd w:id="349"/>
      <w:bookmarkStart w:id="350" w:name="_Toc184313296"/>
      <w:bookmarkEnd w:id="350"/>
      <w:bookmarkStart w:id="351" w:name="_Toc184310325"/>
      <w:bookmarkEnd w:id="351"/>
      <w:bookmarkStart w:id="352" w:name="_Toc184314428"/>
      <w:bookmarkEnd w:id="352"/>
      <w:bookmarkStart w:id="353" w:name="_Toc184314442"/>
      <w:bookmarkEnd w:id="353"/>
      <w:bookmarkStart w:id="354" w:name="_Toc184312128"/>
      <w:bookmarkEnd w:id="354"/>
      <w:bookmarkStart w:id="355" w:name="_Toc184310286"/>
      <w:bookmarkEnd w:id="355"/>
      <w:bookmarkStart w:id="356" w:name="_Toc184314426"/>
      <w:bookmarkEnd w:id="356"/>
      <w:bookmarkStart w:id="357" w:name="_Toc184312075"/>
      <w:bookmarkEnd w:id="357"/>
      <w:bookmarkStart w:id="358" w:name="_Toc184310310"/>
      <w:bookmarkEnd w:id="358"/>
      <w:bookmarkStart w:id="359" w:name="_Toc184314457"/>
      <w:bookmarkEnd w:id="359"/>
      <w:bookmarkStart w:id="360" w:name="_Toc184312120"/>
      <w:bookmarkEnd w:id="360"/>
      <w:bookmarkStart w:id="361" w:name="_Toc184314473"/>
      <w:bookmarkEnd w:id="361"/>
      <w:bookmarkStart w:id="362" w:name="_Toc184308042"/>
      <w:bookmarkEnd w:id="362"/>
      <w:bookmarkStart w:id="363" w:name="_Toc184314423"/>
      <w:bookmarkEnd w:id="363"/>
      <w:bookmarkStart w:id="364" w:name="_Toc184310307"/>
      <w:bookmarkEnd w:id="364"/>
      <w:bookmarkStart w:id="365" w:name="_Toc184310340"/>
      <w:bookmarkEnd w:id="365"/>
      <w:bookmarkStart w:id="366" w:name="_Toc184312139"/>
      <w:bookmarkEnd w:id="366"/>
      <w:bookmarkStart w:id="367" w:name="_Toc184314459"/>
      <w:bookmarkEnd w:id="367"/>
      <w:bookmarkStart w:id="368" w:name="_Toc184310305"/>
      <w:bookmarkEnd w:id="368"/>
      <w:bookmarkStart w:id="369" w:name="_Toc184312087"/>
      <w:bookmarkEnd w:id="369"/>
      <w:bookmarkStart w:id="370" w:name="_Toc184313239"/>
      <w:bookmarkEnd w:id="370"/>
      <w:bookmarkStart w:id="371" w:name="_Toc184310322"/>
      <w:bookmarkEnd w:id="371"/>
      <w:bookmarkStart w:id="372" w:name="_Toc184314412"/>
      <w:bookmarkEnd w:id="372"/>
      <w:bookmarkStart w:id="373" w:name="_Toc184310319"/>
      <w:bookmarkEnd w:id="373"/>
      <w:bookmarkStart w:id="374" w:name="_Toc184312123"/>
      <w:bookmarkEnd w:id="374"/>
      <w:bookmarkStart w:id="375" w:name="_Toc184310311"/>
      <w:bookmarkEnd w:id="375"/>
      <w:bookmarkStart w:id="376" w:name="_Toc184314439"/>
      <w:bookmarkEnd w:id="376"/>
      <w:bookmarkStart w:id="377" w:name="_Toc184308088"/>
      <w:bookmarkEnd w:id="377"/>
      <w:bookmarkStart w:id="378" w:name="_Toc184310334"/>
      <w:bookmarkEnd w:id="378"/>
      <w:bookmarkStart w:id="379" w:name="_Toc184308108"/>
      <w:bookmarkEnd w:id="379"/>
      <w:bookmarkStart w:id="380" w:name="_Toc184312092"/>
      <w:bookmarkEnd w:id="380"/>
      <w:bookmarkStart w:id="381" w:name="_Toc184308043"/>
      <w:bookmarkEnd w:id="381"/>
      <w:bookmarkStart w:id="382" w:name="_Toc184308101"/>
      <w:bookmarkEnd w:id="382"/>
      <w:bookmarkStart w:id="383" w:name="_Toc184310327"/>
      <w:bookmarkEnd w:id="383"/>
      <w:bookmarkStart w:id="384" w:name="_Toc184308074"/>
      <w:bookmarkEnd w:id="384"/>
      <w:bookmarkStart w:id="385" w:name="_Toc184313267"/>
      <w:bookmarkEnd w:id="385"/>
      <w:bookmarkStart w:id="386" w:name="_Toc184313243"/>
      <w:bookmarkEnd w:id="386"/>
      <w:bookmarkStart w:id="387" w:name="_Toc184313305"/>
      <w:bookmarkEnd w:id="387"/>
      <w:bookmarkStart w:id="388" w:name="_Toc184310301"/>
      <w:bookmarkEnd w:id="388"/>
      <w:bookmarkStart w:id="389" w:name="_Toc184308073"/>
      <w:bookmarkEnd w:id="389"/>
      <w:bookmarkStart w:id="390" w:name="_Toc184312110"/>
      <w:bookmarkEnd w:id="390"/>
      <w:bookmarkStart w:id="391" w:name="_Toc184313272"/>
      <w:bookmarkEnd w:id="391"/>
      <w:bookmarkStart w:id="392" w:name="_Toc184312119"/>
      <w:bookmarkEnd w:id="392"/>
      <w:bookmarkStart w:id="393" w:name="_Toc184308047"/>
      <w:bookmarkEnd w:id="393"/>
      <w:r>
        <w:rPr>
          <w:rFonts w:hint="eastAsia" w:ascii="宋体" w:hAnsi="宋体" w:cs="宋体"/>
          <w:b/>
          <w:color w:val="auto"/>
          <w:sz w:val="36"/>
          <w:szCs w:val="36"/>
          <w:highlight w:val="none"/>
          <w:lang w:val="en-US" w:eastAsia="zh-CN"/>
        </w:rPr>
        <w:t>评审办法</w:t>
      </w:r>
    </w:p>
    <w:bookmarkEnd w:id="15"/>
    <w:p>
      <w:pPr>
        <w:snapToGrid w:val="0"/>
        <w:spacing w:line="360" w:lineRule="auto"/>
        <w:jc w:val="center"/>
        <w:rPr>
          <w:rFonts w:hint="eastAsia" w:ascii="宋体" w:hAnsi="宋体" w:eastAsia="宋体" w:cs="宋体"/>
          <w:b/>
          <w:color w:val="auto"/>
          <w:sz w:val="32"/>
          <w:szCs w:val="20"/>
          <w:highlight w:val="none"/>
        </w:rPr>
      </w:pPr>
      <w:bookmarkStart w:id="394" w:name="第五部分"/>
      <w:bookmarkStart w:id="395" w:name="_Toc86217003"/>
      <w:r>
        <w:rPr>
          <w:rFonts w:hint="eastAsia" w:ascii="宋体" w:hAnsi="宋体" w:eastAsia="宋体" w:cs="宋体"/>
          <w:b/>
          <w:color w:val="auto"/>
          <w:sz w:val="32"/>
          <w:szCs w:val="20"/>
          <w:highlight w:val="none"/>
          <w:lang w:eastAsia="zh-CN"/>
        </w:rPr>
        <w:t>交易办法</w:t>
      </w:r>
      <w:r>
        <w:rPr>
          <w:rFonts w:hint="eastAsia" w:ascii="宋体" w:hAnsi="宋体" w:eastAsia="宋体" w:cs="宋体"/>
          <w:b/>
          <w:color w:val="auto"/>
          <w:sz w:val="32"/>
          <w:szCs w:val="20"/>
          <w:highlight w:val="none"/>
        </w:rPr>
        <w:t>前附表</w:t>
      </w:r>
    </w:p>
    <w:p>
      <w:pPr>
        <w:widowControl/>
        <w:numPr>
          <w:ilvl w:val="0"/>
          <w:numId w:val="0"/>
        </w:numPr>
        <w:spacing w:line="360" w:lineRule="auto"/>
        <w:rPr>
          <w:rFonts w:hint="eastAsia" w:ascii="宋体" w:hAnsi="宋体" w:eastAsia="宋体" w:cs="宋体"/>
          <w:color w:val="auto"/>
          <w:highlight w:val="none"/>
          <w:lang w:eastAsia="zh-CN"/>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商务技术部分（</w:t>
      </w:r>
      <w:r>
        <w:rPr>
          <w:rFonts w:hint="eastAsia" w:ascii="宋体" w:hAnsi="宋体" w:cs="宋体"/>
          <w:b/>
          <w:bCs/>
          <w:color w:val="auto"/>
          <w:sz w:val="24"/>
          <w:highlight w:val="none"/>
          <w:lang w:val="en-US" w:eastAsia="zh-CN"/>
        </w:rPr>
        <w:t>90</w:t>
      </w:r>
      <w:r>
        <w:rPr>
          <w:rFonts w:hint="eastAsia" w:ascii="宋体" w:hAnsi="宋体" w:eastAsia="宋体" w:cs="宋体"/>
          <w:b/>
          <w:bCs/>
          <w:color w:val="auto"/>
          <w:sz w:val="24"/>
          <w:highlight w:val="none"/>
        </w:rPr>
        <w:t>分）</w:t>
      </w:r>
      <w:r>
        <w:rPr>
          <w:rFonts w:hint="eastAsia" w:ascii="宋体" w:hAnsi="宋体" w:eastAsia="宋体" w:cs="宋体"/>
          <w:b/>
          <w:bCs/>
          <w:color w:val="auto"/>
          <w:sz w:val="24"/>
          <w:highlight w:val="none"/>
          <w:lang w:eastAsia="zh-CN"/>
        </w:rPr>
        <w:t>：</w:t>
      </w:r>
    </w:p>
    <w:tbl>
      <w:tblPr>
        <w:tblStyle w:val="64"/>
        <w:tblpPr w:leftFromText="180" w:rightFromText="180" w:vertAnchor="text" w:horzAnchor="page" w:tblpXSpec="center" w:tblpY="78"/>
        <w:tblOverlap w:val="never"/>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771"/>
        <w:gridCol w:w="1283"/>
        <w:gridCol w:w="5452"/>
        <w:gridCol w:w="739"/>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75" w:type="dxa"/>
            <w:noWrap/>
            <w:vAlign w:val="center"/>
          </w:tcPr>
          <w:p>
            <w:pPr>
              <w:spacing w:after="0" w:line="240" w:lineRule="auto"/>
              <w:jc w:val="center"/>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项目</w:t>
            </w:r>
          </w:p>
        </w:tc>
        <w:tc>
          <w:tcPr>
            <w:tcW w:w="771" w:type="dxa"/>
            <w:noWrap/>
            <w:vAlign w:val="center"/>
          </w:tcPr>
          <w:p>
            <w:pPr>
              <w:spacing w:after="0" w:line="240" w:lineRule="auto"/>
              <w:jc w:val="center"/>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序号</w:t>
            </w:r>
          </w:p>
        </w:tc>
        <w:tc>
          <w:tcPr>
            <w:tcW w:w="6735" w:type="dxa"/>
            <w:gridSpan w:val="2"/>
            <w:noWrap/>
            <w:vAlign w:val="center"/>
          </w:tcPr>
          <w:p>
            <w:pPr>
              <w:spacing w:after="0" w:line="240" w:lineRule="auto"/>
              <w:jc w:val="center"/>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评分内容和标准</w:t>
            </w:r>
          </w:p>
        </w:tc>
        <w:tc>
          <w:tcPr>
            <w:tcW w:w="739" w:type="dxa"/>
            <w:noWrap/>
            <w:vAlign w:val="center"/>
          </w:tcPr>
          <w:p>
            <w:pPr>
              <w:spacing w:after="0" w:line="240" w:lineRule="auto"/>
              <w:jc w:val="center"/>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分值</w:t>
            </w:r>
          </w:p>
          <w:p>
            <w:pPr>
              <w:spacing w:after="0" w:line="240" w:lineRule="auto"/>
              <w:jc w:val="center"/>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区间</w:t>
            </w:r>
          </w:p>
        </w:tc>
        <w:tc>
          <w:tcPr>
            <w:tcW w:w="978" w:type="dxa"/>
            <w:noWrap/>
            <w:vAlign w:val="center"/>
          </w:tcPr>
          <w:p>
            <w:pPr>
              <w:spacing w:after="0" w:line="240" w:lineRule="auto"/>
              <w:jc w:val="center"/>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775" w:type="dxa"/>
            <w:vMerge w:val="restart"/>
            <w:noWrap/>
            <w:vAlign w:val="center"/>
          </w:tcPr>
          <w:p>
            <w:pPr>
              <w:spacing w:after="0" w:line="240" w:lineRule="auto"/>
              <w:ind w:right="-13" w:rightChars="-6"/>
              <w:jc w:val="center"/>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商务资信分(</w:t>
            </w:r>
            <w:r>
              <w:rPr>
                <w:rFonts w:hint="eastAsia" w:ascii="宋体" w:hAnsi="宋体" w:cs="宋体"/>
                <w:b w:val="0"/>
                <w:bCs w:val="0"/>
                <w:i w:val="0"/>
                <w:iCs w:val="0"/>
                <w:color w:val="auto"/>
                <w:sz w:val="24"/>
                <w:szCs w:val="24"/>
                <w:highlight w:val="none"/>
                <w:lang w:val="en-US" w:eastAsia="zh-CN"/>
              </w:rPr>
              <w:t>20</w:t>
            </w:r>
            <w:r>
              <w:rPr>
                <w:rFonts w:hint="eastAsia" w:ascii="宋体" w:hAnsi="宋体" w:eastAsia="宋体" w:cs="宋体"/>
                <w:b w:val="0"/>
                <w:bCs w:val="0"/>
                <w:i w:val="0"/>
                <w:iCs w:val="0"/>
                <w:color w:val="auto"/>
                <w:sz w:val="24"/>
                <w:szCs w:val="24"/>
                <w:highlight w:val="none"/>
              </w:rPr>
              <w:t>分)</w:t>
            </w:r>
          </w:p>
        </w:tc>
        <w:tc>
          <w:tcPr>
            <w:tcW w:w="771" w:type="dxa"/>
            <w:noWrap/>
            <w:vAlign w:val="center"/>
          </w:tcPr>
          <w:p>
            <w:pPr>
              <w:pStyle w:val="6"/>
              <w:spacing w:before="0" w:after="0" w:line="240" w:lineRule="auto"/>
              <w:ind w:left="0" w:leftChars="0" w:firstLine="0" w:firstLineChars="0"/>
              <w:jc w:val="center"/>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1</w:t>
            </w:r>
          </w:p>
        </w:tc>
        <w:tc>
          <w:tcPr>
            <w:tcW w:w="6735" w:type="dxa"/>
            <w:gridSpan w:val="2"/>
            <w:noWrap/>
            <w:vAlign w:val="center"/>
          </w:tcPr>
          <w:p>
            <w:pPr>
              <w:pStyle w:val="6"/>
              <w:spacing w:before="0" w:after="0" w:line="240" w:lineRule="auto"/>
              <w:ind w:left="0" w:leftChars="0" w:firstLine="0" w:firstLineChars="0"/>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color w:val="auto"/>
                <w:sz w:val="24"/>
                <w:szCs w:val="24"/>
                <w:highlight w:val="none"/>
              </w:rPr>
              <w:t>根据</w:t>
            </w: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rPr>
              <w:t>综合实力、履约能力等情况综合评定</w:t>
            </w:r>
          </w:p>
        </w:tc>
        <w:tc>
          <w:tcPr>
            <w:tcW w:w="739" w:type="dxa"/>
            <w:noWrap/>
            <w:vAlign w:val="center"/>
          </w:tcPr>
          <w:p>
            <w:pPr>
              <w:adjustRightInd w:val="0"/>
              <w:spacing w:after="0" w:line="240" w:lineRule="auto"/>
              <w:jc w:val="center"/>
              <w:rPr>
                <w:rFonts w:hint="default" w:ascii="宋体" w:hAnsi="宋体" w:eastAsia="宋体" w:cs="宋体"/>
                <w:b w:val="0"/>
                <w:bCs w:val="0"/>
                <w:i w:val="0"/>
                <w:iCs w:val="0"/>
                <w:color w:val="auto"/>
                <w:sz w:val="24"/>
                <w:szCs w:val="24"/>
                <w:highlight w:val="none"/>
                <w:lang w:val="en-US" w:eastAsia="zh-CN"/>
              </w:rPr>
            </w:pPr>
            <w:r>
              <w:rPr>
                <w:rFonts w:hint="eastAsia" w:ascii="宋体" w:hAnsi="宋体" w:cs="宋体"/>
                <w:b w:val="0"/>
                <w:bCs w:val="0"/>
                <w:i w:val="0"/>
                <w:iCs w:val="0"/>
                <w:color w:val="auto"/>
                <w:sz w:val="24"/>
                <w:szCs w:val="24"/>
                <w:highlight w:val="none"/>
                <w:lang w:val="en-US" w:eastAsia="zh-CN"/>
              </w:rPr>
              <w:t>0-6</w:t>
            </w:r>
          </w:p>
        </w:tc>
        <w:tc>
          <w:tcPr>
            <w:tcW w:w="978" w:type="dxa"/>
            <w:noWrap/>
            <w:vAlign w:val="center"/>
          </w:tcPr>
          <w:p>
            <w:pPr>
              <w:adjustRightInd w:val="0"/>
              <w:spacing w:after="0" w:line="240" w:lineRule="auto"/>
              <w:jc w:val="center"/>
              <w:rPr>
                <w:rFonts w:hint="eastAsia" w:ascii="宋体" w:hAnsi="宋体" w:eastAsia="宋体" w:cs="宋体"/>
                <w:b w:val="0"/>
                <w:bCs w:val="0"/>
                <w:i w:val="0"/>
                <w:iCs w:val="0"/>
                <w:color w:val="auto"/>
                <w:sz w:val="24"/>
                <w:szCs w:val="24"/>
                <w:highlight w:val="none"/>
                <w:lang w:val="en-US" w:eastAsia="zh-CN"/>
              </w:rPr>
            </w:pPr>
            <w:r>
              <w:rPr>
                <w:rFonts w:hint="eastAsia" w:ascii="宋体" w:hAnsi="宋体" w:cs="宋体"/>
                <w:b w:val="0"/>
                <w:bCs w:val="0"/>
                <w:i w:val="0"/>
                <w:iCs w:val="0"/>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75" w:type="dxa"/>
            <w:vMerge w:val="continue"/>
            <w:noWrap/>
            <w:vAlign w:val="center"/>
          </w:tcPr>
          <w:p>
            <w:pPr>
              <w:spacing w:after="0" w:line="240" w:lineRule="auto"/>
              <w:ind w:right="-13" w:rightChars="-6"/>
              <w:jc w:val="center"/>
              <w:rPr>
                <w:rFonts w:hint="eastAsia" w:ascii="宋体" w:hAnsi="宋体" w:eastAsia="宋体" w:cs="宋体"/>
                <w:b w:val="0"/>
                <w:bCs w:val="0"/>
                <w:i w:val="0"/>
                <w:iCs w:val="0"/>
                <w:color w:val="auto"/>
                <w:sz w:val="24"/>
                <w:szCs w:val="24"/>
                <w:highlight w:val="none"/>
              </w:rPr>
            </w:pPr>
          </w:p>
        </w:tc>
        <w:tc>
          <w:tcPr>
            <w:tcW w:w="771" w:type="dxa"/>
            <w:noWrap/>
            <w:vAlign w:val="center"/>
          </w:tcPr>
          <w:p>
            <w:pPr>
              <w:pStyle w:val="6"/>
              <w:spacing w:before="0" w:after="0" w:line="240" w:lineRule="auto"/>
              <w:ind w:left="0" w:leftChars="0" w:firstLine="0" w:firstLineChars="0"/>
              <w:jc w:val="center"/>
              <w:rPr>
                <w:rFonts w:hint="eastAsia" w:ascii="宋体" w:hAnsi="宋体" w:eastAsia="宋体" w:cs="宋体"/>
                <w:b w:val="0"/>
                <w:bCs w:val="0"/>
                <w:i w:val="0"/>
                <w:iCs w:val="0"/>
                <w:color w:val="auto"/>
                <w:sz w:val="24"/>
                <w:szCs w:val="24"/>
                <w:highlight w:val="none"/>
                <w:lang w:val="zh-CN" w:eastAsia="zh-CN"/>
              </w:rPr>
            </w:pPr>
            <w:r>
              <w:rPr>
                <w:rFonts w:hint="eastAsia" w:ascii="宋体" w:hAnsi="宋体" w:eastAsia="宋体" w:cs="宋体"/>
                <w:b w:val="0"/>
                <w:bCs w:val="0"/>
                <w:i w:val="0"/>
                <w:iCs w:val="0"/>
                <w:color w:val="auto"/>
                <w:sz w:val="24"/>
                <w:szCs w:val="24"/>
                <w:highlight w:val="none"/>
                <w:lang w:val="en-US" w:eastAsia="zh-CN"/>
              </w:rPr>
              <w:t>2</w:t>
            </w:r>
          </w:p>
        </w:tc>
        <w:tc>
          <w:tcPr>
            <w:tcW w:w="6735" w:type="dxa"/>
            <w:gridSpan w:val="2"/>
            <w:noWrap/>
            <w:vAlign w:val="center"/>
          </w:tcPr>
          <w:p>
            <w:pPr>
              <w:pStyle w:val="6"/>
              <w:spacing w:before="0" w:after="0" w:line="240" w:lineRule="auto"/>
              <w:ind w:left="0" w:leftChars="0" w:firstLine="0" w:firstLineChars="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供应商</w:t>
            </w:r>
            <w:r>
              <w:rPr>
                <w:rFonts w:hint="eastAsia" w:ascii="宋体" w:hAnsi="宋体" w:eastAsia="宋体" w:cs="宋体"/>
                <w:b w:val="0"/>
                <w:bCs w:val="0"/>
                <w:i w:val="0"/>
                <w:iCs w:val="0"/>
                <w:color w:val="auto"/>
                <w:sz w:val="24"/>
                <w:szCs w:val="24"/>
                <w:highlight w:val="none"/>
              </w:rPr>
              <w:t>具有质量管理体系认证证书、环境管理体系认证证书、职业健康安全管理体系认证证书</w:t>
            </w:r>
            <w:r>
              <w:rPr>
                <w:rFonts w:hint="eastAsia" w:ascii="宋体" w:hAnsi="宋体" w:eastAsia="宋体" w:cs="宋体"/>
                <w:b w:val="0"/>
                <w:bCs w:val="0"/>
                <w:i w:val="0"/>
                <w:iCs w:val="0"/>
                <w:color w:val="auto"/>
                <w:sz w:val="24"/>
                <w:szCs w:val="24"/>
                <w:highlight w:val="none"/>
                <w:lang w:eastAsia="zh-CN"/>
              </w:rPr>
              <w:t>、社会责任管理体系认证证书、信息安全管理体系认证证书</w:t>
            </w:r>
            <w:r>
              <w:rPr>
                <w:rFonts w:hint="eastAsia" w:ascii="宋体" w:hAnsi="宋体" w:eastAsia="宋体" w:cs="宋体"/>
                <w:b w:val="0"/>
                <w:bCs w:val="0"/>
                <w:i w:val="0"/>
                <w:iCs w:val="0"/>
                <w:color w:val="auto"/>
                <w:sz w:val="24"/>
                <w:szCs w:val="24"/>
                <w:highlight w:val="none"/>
                <w:lang w:val="en-US" w:eastAsia="zh-CN"/>
              </w:rPr>
              <w:t>且在有效期内的</w:t>
            </w: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每提供一个得0.6分，最高得3分</w:t>
            </w: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响应</w:t>
            </w:r>
            <w:r>
              <w:rPr>
                <w:rFonts w:hint="eastAsia" w:ascii="宋体" w:hAnsi="宋体" w:eastAsia="宋体" w:cs="宋体"/>
                <w:b w:val="0"/>
                <w:bCs w:val="0"/>
                <w:i w:val="0"/>
                <w:iCs w:val="0"/>
                <w:color w:val="auto"/>
                <w:sz w:val="24"/>
                <w:szCs w:val="24"/>
                <w:highlight w:val="none"/>
              </w:rPr>
              <w:t>文件中提供证书复印件。）</w:t>
            </w:r>
          </w:p>
        </w:tc>
        <w:tc>
          <w:tcPr>
            <w:tcW w:w="739" w:type="dxa"/>
            <w:noWrap/>
            <w:vAlign w:val="center"/>
          </w:tcPr>
          <w:p>
            <w:pPr>
              <w:adjustRightInd w:val="0"/>
              <w:spacing w:after="0" w:line="240" w:lineRule="auto"/>
              <w:jc w:val="center"/>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0-3</w:t>
            </w:r>
          </w:p>
        </w:tc>
        <w:tc>
          <w:tcPr>
            <w:tcW w:w="978" w:type="dxa"/>
            <w:noWrap/>
            <w:vAlign w:val="center"/>
          </w:tcPr>
          <w:p>
            <w:pPr>
              <w:adjustRightInd w:val="0"/>
              <w:spacing w:after="0" w:line="240" w:lineRule="auto"/>
              <w:jc w:val="center"/>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Merge w:val="continue"/>
            <w:noWrap/>
            <w:vAlign w:val="center"/>
          </w:tcPr>
          <w:p>
            <w:pPr>
              <w:spacing w:after="0" w:line="240" w:lineRule="auto"/>
              <w:ind w:right="-13" w:rightChars="-6"/>
              <w:jc w:val="center"/>
              <w:rPr>
                <w:rFonts w:hint="eastAsia" w:ascii="宋体" w:hAnsi="宋体" w:eastAsia="宋体" w:cs="宋体"/>
                <w:b w:val="0"/>
                <w:bCs w:val="0"/>
                <w:i w:val="0"/>
                <w:iCs w:val="0"/>
                <w:color w:val="auto"/>
                <w:sz w:val="24"/>
                <w:szCs w:val="24"/>
                <w:highlight w:val="none"/>
              </w:rPr>
            </w:pPr>
          </w:p>
        </w:tc>
        <w:tc>
          <w:tcPr>
            <w:tcW w:w="771" w:type="dxa"/>
            <w:noWrap/>
            <w:vAlign w:val="center"/>
          </w:tcPr>
          <w:p>
            <w:pPr>
              <w:pStyle w:val="6"/>
              <w:spacing w:before="0" w:after="0" w:line="240" w:lineRule="auto"/>
              <w:ind w:left="0" w:leftChars="0" w:firstLine="0" w:firstLineChars="0"/>
              <w:jc w:val="center"/>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3</w:t>
            </w:r>
          </w:p>
        </w:tc>
        <w:tc>
          <w:tcPr>
            <w:tcW w:w="6735" w:type="dxa"/>
            <w:gridSpan w:val="2"/>
            <w:noWrap/>
            <w:vAlign w:val="center"/>
          </w:tcPr>
          <w:p>
            <w:pPr>
              <w:pStyle w:val="6"/>
              <w:spacing w:before="0" w:after="0" w:line="240" w:lineRule="auto"/>
              <w:ind w:left="0" w:leftChars="0" w:firstLine="0" w:firstLineChars="0"/>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20</w:t>
            </w:r>
            <w:r>
              <w:rPr>
                <w:rFonts w:hint="eastAsia" w:ascii="宋体" w:hAnsi="宋体" w:eastAsia="宋体" w:cs="宋体"/>
                <w:b w:val="0"/>
                <w:bCs w:val="0"/>
                <w:i w:val="0"/>
                <w:iCs w:val="0"/>
                <w:color w:val="auto"/>
                <w:sz w:val="24"/>
                <w:szCs w:val="24"/>
                <w:highlight w:val="none"/>
                <w:lang w:val="en-US" w:eastAsia="zh-CN"/>
              </w:rPr>
              <w:t>21</w:t>
            </w:r>
            <w:r>
              <w:rPr>
                <w:rFonts w:hint="eastAsia" w:ascii="宋体" w:hAnsi="宋体" w:eastAsia="宋体" w:cs="宋体"/>
                <w:b w:val="0"/>
                <w:bCs w:val="0"/>
                <w:i w:val="0"/>
                <w:iCs w:val="0"/>
                <w:color w:val="auto"/>
                <w:sz w:val="24"/>
                <w:szCs w:val="24"/>
                <w:highlight w:val="none"/>
              </w:rPr>
              <w:t>年</w:t>
            </w:r>
            <w:r>
              <w:rPr>
                <w:rFonts w:hint="eastAsia" w:ascii="宋体" w:hAnsi="宋体" w:eastAsia="宋体" w:cs="宋体"/>
                <w:b w:val="0"/>
                <w:bCs w:val="0"/>
                <w:i w:val="0"/>
                <w:iCs w:val="0"/>
                <w:color w:val="auto"/>
                <w:sz w:val="24"/>
                <w:szCs w:val="24"/>
                <w:highlight w:val="none"/>
                <w:lang w:val="en-US" w:eastAsia="zh-CN"/>
              </w:rPr>
              <w:t>1</w:t>
            </w:r>
            <w:r>
              <w:rPr>
                <w:rFonts w:hint="eastAsia" w:ascii="宋体" w:hAnsi="宋体" w:eastAsia="宋体" w:cs="宋体"/>
                <w:b w:val="0"/>
                <w:bCs w:val="0"/>
                <w:i w:val="0"/>
                <w:iCs w:val="0"/>
                <w:color w:val="auto"/>
                <w:sz w:val="24"/>
                <w:szCs w:val="24"/>
                <w:highlight w:val="none"/>
              </w:rPr>
              <w:t>月1日至今，</w:t>
            </w:r>
            <w:r>
              <w:rPr>
                <w:rFonts w:hint="eastAsia" w:ascii="宋体" w:hAnsi="宋体" w:eastAsia="宋体" w:cs="宋体"/>
                <w:b w:val="0"/>
                <w:bCs w:val="0"/>
                <w:i w:val="0"/>
                <w:iCs w:val="0"/>
                <w:color w:val="auto"/>
                <w:sz w:val="24"/>
                <w:szCs w:val="24"/>
                <w:highlight w:val="none"/>
                <w:lang w:val="en-US" w:eastAsia="zh-CN"/>
              </w:rPr>
              <w:t>供应商</w:t>
            </w:r>
            <w:r>
              <w:rPr>
                <w:rFonts w:hint="eastAsia" w:ascii="宋体" w:hAnsi="宋体" w:eastAsia="宋体" w:cs="宋体"/>
                <w:b w:val="0"/>
                <w:bCs w:val="0"/>
                <w:i w:val="0"/>
                <w:iCs w:val="0"/>
                <w:color w:val="auto"/>
                <w:sz w:val="24"/>
                <w:szCs w:val="24"/>
                <w:highlight w:val="none"/>
              </w:rPr>
              <w:t>提供已完成类似征地社会风险评估项目业绩，每个项目得0.</w:t>
            </w:r>
            <w:r>
              <w:rPr>
                <w:rFonts w:hint="eastAsia" w:ascii="宋体" w:hAnsi="宋体" w:eastAsia="宋体" w:cs="宋体"/>
                <w:b w:val="0"/>
                <w:bCs w:val="0"/>
                <w:i w:val="0"/>
                <w:iCs w:val="0"/>
                <w:color w:val="auto"/>
                <w:sz w:val="24"/>
                <w:szCs w:val="24"/>
                <w:highlight w:val="none"/>
                <w:lang w:val="en-US" w:eastAsia="zh-CN"/>
              </w:rPr>
              <w:t>5</w:t>
            </w:r>
            <w:r>
              <w:rPr>
                <w:rFonts w:hint="eastAsia" w:ascii="宋体" w:hAnsi="宋体" w:eastAsia="宋体" w:cs="宋体"/>
                <w:b w:val="0"/>
                <w:bCs w:val="0"/>
                <w:i w:val="0"/>
                <w:iCs w:val="0"/>
                <w:color w:val="auto"/>
                <w:sz w:val="24"/>
                <w:szCs w:val="24"/>
                <w:highlight w:val="none"/>
              </w:rPr>
              <w:t>分</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本项最高得</w:t>
            </w:r>
            <w:r>
              <w:rPr>
                <w:rFonts w:hint="eastAsia" w:ascii="宋体" w:hAnsi="宋体" w:eastAsia="宋体" w:cs="宋体"/>
                <w:b w:val="0"/>
                <w:bCs w:val="0"/>
                <w:i w:val="0"/>
                <w:iCs w:val="0"/>
                <w:color w:val="auto"/>
                <w:sz w:val="24"/>
                <w:szCs w:val="24"/>
                <w:highlight w:val="none"/>
                <w:lang w:val="en-US" w:eastAsia="zh-CN"/>
              </w:rPr>
              <w:t>3</w:t>
            </w:r>
            <w:r>
              <w:rPr>
                <w:rFonts w:hint="eastAsia" w:ascii="宋体" w:hAnsi="宋体" w:eastAsia="宋体" w:cs="宋体"/>
                <w:b w:val="0"/>
                <w:bCs w:val="0"/>
                <w:i w:val="0"/>
                <w:iCs w:val="0"/>
                <w:color w:val="auto"/>
                <w:sz w:val="24"/>
                <w:szCs w:val="24"/>
                <w:highlight w:val="none"/>
              </w:rPr>
              <w:t>分</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项目合同或协议、主管部门审查意见（或备案文书）复印件须加盖公章编入响应文件中，时间以合同签订时间为准。</w:t>
            </w:r>
            <w:r>
              <w:rPr>
                <w:rFonts w:hint="eastAsia" w:ascii="宋体" w:hAnsi="宋体" w:eastAsia="宋体" w:cs="宋体"/>
                <w:b w:val="0"/>
                <w:bCs w:val="0"/>
                <w:i w:val="0"/>
                <w:iCs w:val="0"/>
                <w:color w:val="auto"/>
                <w:sz w:val="24"/>
                <w:szCs w:val="24"/>
                <w:highlight w:val="none"/>
                <w:lang w:eastAsia="zh-CN"/>
              </w:rPr>
              <w:t>）</w:t>
            </w:r>
          </w:p>
        </w:tc>
        <w:tc>
          <w:tcPr>
            <w:tcW w:w="739" w:type="dxa"/>
            <w:noWrap/>
            <w:vAlign w:val="center"/>
          </w:tcPr>
          <w:p>
            <w:pPr>
              <w:adjustRightInd w:val="0"/>
              <w:spacing w:after="0" w:line="240" w:lineRule="auto"/>
              <w:jc w:val="center"/>
              <w:rPr>
                <w:rFonts w:hint="eastAsia" w:ascii="宋体" w:hAnsi="宋体" w:eastAsia="宋体" w:cs="宋体"/>
                <w:b w:val="0"/>
                <w:bCs w:val="0"/>
                <w:i w:val="0"/>
                <w:iCs w:val="0"/>
                <w:color w:val="auto"/>
                <w:sz w:val="24"/>
                <w:szCs w:val="24"/>
                <w:highlight w:val="none"/>
                <w:lang w:val="en-US" w:eastAsia="zh-CN" w:bidi="ar-SA"/>
              </w:rPr>
            </w:pPr>
            <w:r>
              <w:rPr>
                <w:rFonts w:hint="eastAsia" w:ascii="宋体" w:hAnsi="宋体" w:eastAsia="宋体" w:cs="宋体"/>
                <w:b w:val="0"/>
                <w:bCs w:val="0"/>
                <w:i w:val="0"/>
                <w:iCs w:val="0"/>
                <w:color w:val="auto"/>
                <w:sz w:val="24"/>
                <w:szCs w:val="24"/>
                <w:highlight w:val="none"/>
                <w:lang w:val="en-US" w:eastAsia="zh-CN"/>
              </w:rPr>
              <w:t>0-</w:t>
            </w:r>
            <w:r>
              <w:rPr>
                <w:rFonts w:hint="eastAsia" w:ascii="宋体" w:hAnsi="宋体" w:cs="宋体"/>
                <w:b w:val="0"/>
                <w:bCs w:val="0"/>
                <w:i w:val="0"/>
                <w:iCs w:val="0"/>
                <w:color w:val="auto"/>
                <w:sz w:val="24"/>
                <w:szCs w:val="24"/>
                <w:highlight w:val="none"/>
                <w:lang w:val="en-US" w:eastAsia="zh-CN"/>
              </w:rPr>
              <w:t>3</w:t>
            </w:r>
          </w:p>
        </w:tc>
        <w:tc>
          <w:tcPr>
            <w:tcW w:w="978" w:type="dxa"/>
            <w:noWrap/>
            <w:vAlign w:val="center"/>
          </w:tcPr>
          <w:p>
            <w:pPr>
              <w:adjustRightInd w:val="0"/>
              <w:spacing w:after="0" w:line="240" w:lineRule="auto"/>
              <w:jc w:val="center"/>
              <w:rPr>
                <w:rFonts w:hint="eastAsia" w:ascii="宋体" w:hAnsi="宋体" w:eastAsia="宋体" w:cs="宋体"/>
                <w:b w:val="0"/>
                <w:bCs w:val="0"/>
                <w:i w:val="0"/>
                <w:iCs w:val="0"/>
                <w:color w:val="auto"/>
                <w:sz w:val="24"/>
                <w:szCs w:val="24"/>
                <w:highlight w:val="none"/>
                <w:lang w:val="en-US" w:eastAsia="zh-CN" w:bidi="ar-SA"/>
              </w:rPr>
            </w:pPr>
            <w:r>
              <w:rPr>
                <w:rFonts w:hint="eastAsia" w:ascii="宋体" w:hAnsi="宋体" w:eastAsia="宋体" w:cs="宋体"/>
                <w:b w:val="0"/>
                <w:bCs w:val="0"/>
                <w:i w:val="0"/>
                <w:iCs w:val="0"/>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775" w:type="dxa"/>
            <w:vMerge w:val="continue"/>
            <w:noWrap/>
            <w:vAlign w:val="center"/>
          </w:tcPr>
          <w:p>
            <w:pPr>
              <w:spacing w:after="0" w:line="240" w:lineRule="auto"/>
              <w:ind w:right="-13" w:rightChars="-6"/>
              <w:jc w:val="center"/>
              <w:rPr>
                <w:rFonts w:hint="eastAsia" w:ascii="宋体" w:hAnsi="宋体" w:eastAsia="宋体" w:cs="宋体"/>
                <w:b w:val="0"/>
                <w:bCs w:val="0"/>
                <w:i w:val="0"/>
                <w:iCs w:val="0"/>
                <w:color w:val="auto"/>
                <w:sz w:val="24"/>
                <w:szCs w:val="24"/>
                <w:highlight w:val="none"/>
              </w:rPr>
            </w:pPr>
          </w:p>
        </w:tc>
        <w:tc>
          <w:tcPr>
            <w:tcW w:w="771" w:type="dxa"/>
            <w:noWrap/>
            <w:vAlign w:val="center"/>
          </w:tcPr>
          <w:p>
            <w:pPr>
              <w:pStyle w:val="6"/>
              <w:spacing w:before="0" w:after="0" w:line="240" w:lineRule="auto"/>
              <w:ind w:left="0" w:leftChars="0" w:firstLine="0" w:firstLineChars="0"/>
              <w:jc w:val="center"/>
              <w:rPr>
                <w:rFonts w:hint="eastAsia" w:ascii="宋体" w:hAnsi="宋体" w:eastAsia="宋体" w:cs="宋体"/>
                <w:b w:val="0"/>
                <w:bCs w:val="0"/>
                <w:i w:val="0"/>
                <w:iCs w:val="0"/>
                <w:color w:val="auto"/>
                <w:spacing w:val="5"/>
                <w:sz w:val="24"/>
                <w:szCs w:val="24"/>
                <w:highlight w:val="none"/>
                <w:lang w:val="en-US" w:eastAsia="zh-CN" w:bidi="ar-SA"/>
              </w:rPr>
            </w:pPr>
            <w:r>
              <w:rPr>
                <w:rFonts w:hint="eastAsia" w:ascii="宋体" w:hAnsi="宋体" w:eastAsia="宋体" w:cs="宋体"/>
                <w:b w:val="0"/>
                <w:bCs w:val="0"/>
                <w:i w:val="0"/>
                <w:iCs w:val="0"/>
                <w:color w:val="auto"/>
                <w:sz w:val="24"/>
                <w:szCs w:val="24"/>
                <w:highlight w:val="none"/>
                <w:lang w:val="en-US" w:eastAsia="zh-CN"/>
              </w:rPr>
              <w:t>4</w:t>
            </w:r>
          </w:p>
        </w:tc>
        <w:tc>
          <w:tcPr>
            <w:tcW w:w="6735" w:type="dxa"/>
            <w:gridSpan w:val="2"/>
            <w:noWrap/>
            <w:vAlign w:val="center"/>
          </w:tcPr>
          <w:p>
            <w:pPr>
              <w:pStyle w:val="6"/>
              <w:spacing w:before="0" w:after="0" w:line="240" w:lineRule="auto"/>
              <w:ind w:left="0" w:leftChars="0" w:firstLine="0" w:firstLineChars="0"/>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1、项目负责人具有</w:t>
            </w:r>
            <w:r>
              <w:rPr>
                <w:rFonts w:hint="eastAsia" w:ascii="宋体" w:hAnsi="宋体" w:eastAsia="宋体" w:cs="宋体"/>
                <w:b w:val="0"/>
                <w:bCs w:val="0"/>
                <w:i w:val="0"/>
                <w:iCs w:val="0"/>
                <w:color w:val="auto"/>
                <w:sz w:val="24"/>
                <w:szCs w:val="24"/>
                <w:highlight w:val="none"/>
                <w:lang w:val="en-US" w:eastAsia="zh-CN"/>
              </w:rPr>
              <w:t>中级职称的得1分，</w:t>
            </w:r>
            <w:r>
              <w:rPr>
                <w:rFonts w:hint="eastAsia" w:ascii="宋体" w:hAnsi="宋体" w:eastAsia="宋体" w:cs="宋体"/>
                <w:b w:val="0"/>
                <w:bCs w:val="0"/>
                <w:i w:val="0"/>
                <w:iCs w:val="0"/>
                <w:color w:val="auto"/>
                <w:sz w:val="24"/>
                <w:szCs w:val="24"/>
                <w:highlight w:val="none"/>
              </w:rPr>
              <w:t>高级及以上职称得</w:t>
            </w:r>
            <w:r>
              <w:rPr>
                <w:rFonts w:hint="eastAsia" w:ascii="宋体" w:hAnsi="宋体" w:eastAsia="宋体" w:cs="宋体"/>
                <w:b w:val="0"/>
                <w:bCs w:val="0"/>
                <w:i w:val="0"/>
                <w:iCs w:val="0"/>
                <w:color w:val="auto"/>
                <w:sz w:val="24"/>
                <w:szCs w:val="24"/>
                <w:highlight w:val="none"/>
                <w:lang w:val="en-US" w:eastAsia="zh-CN"/>
              </w:rPr>
              <w:t>2</w:t>
            </w:r>
            <w:r>
              <w:rPr>
                <w:rFonts w:hint="eastAsia" w:ascii="宋体" w:hAnsi="宋体" w:eastAsia="宋体" w:cs="宋体"/>
                <w:b w:val="0"/>
                <w:bCs w:val="0"/>
                <w:i w:val="0"/>
                <w:iCs w:val="0"/>
                <w:color w:val="auto"/>
                <w:sz w:val="24"/>
                <w:szCs w:val="24"/>
                <w:highlight w:val="none"/>
              </w:rPr>
              <w:t>分</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最高得2分</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w:t>
            </w:r>
            <w:r>
              <w:rPr>
                <w:rFonts w:hint="eastAsia" w:ascii="宋体" w:hAnsi="宋体" w:eastAsia="宋体" w:cs="宋体"/>
                <w:b w:val="0"/>
                <w:bCs w:val="0"/>
                <w:i w:val="0"/>
                <w:iCs w:val="0"/>
                <w:color w:val="auto"/>
                <w:sz w:val="24"/>
                <w:szCs w:val="24"/>
                <w:highlight w:val="none"/>
              </w:rPr>
              <w:t>具有省级</w:t>
            </w:r>
            <w:r>
              <w:rPr>
                <w:rFonts w:hint="eastAsia" w:ascii="宋体" w:hAnsi="宋体" w:eastAsia="宋体" w:cs="宋体"/>
                <w:b w:val="0"/>
                <w:bCs w:val="0"/>
                <w:i w:val="0"/>
                <w:iCs w:val="0"/>
                <w:color w:val="auto"/>
                <w:sz w:val="24"/>
                <w:szCs w:val="24"/>
                <w:highlight w:val="none"/>
                <w:lang w:val="en-US" w:eastAsia="zh-CN"/>
              </w:rPr>
              <w:t>及以上</w:t>
            </w:r>
            <w:r>
              <w:rPr>
                <w:rFonts w:hint="eastAsia" w:ascii="宋体" w:hAnsi="宋体" w:eastAsia="宋体" w:cs="宋体"/>
                <w:b w:val="0"/>
                <w:bCs w:val="0"/>
                <w:i w:val="0"/>
                <w:iCs w:val="0"/>
                <w:color w:val="auto"/>
                <w:sz w:val="24"/>
                <w:szCs w:val="24"/>
                <w:highlight w:val="none"/>
              </w:rPr>
              <w:t>现代社会风险评估研究中心培训证书的得1分</w:t>
            </w:r>
            <w:r>
              <w:rPr>
                <w:rFonts w:hint="eastAsia" w:ascii="宋体" w:hAnsi="宋体" w:eastAsia="宋体" w:cs="宋体"/>
                <w:b w:val="0"/>
                <w:bCs w:val="0"/>
                <w:i w:val="0"/>
                <w:iCs w:val="0"/>
                <w:color w:val="auto"/>
                <w:sz w:val="24"/>
                <w:szCs w:val="24"/>
                <w:highlight w:val="none"/>
                <w:lang w:eastAsia="zh-CN"/>
              </w:rPr>
              <w:t>；具有注册咨询工程师的得</w:t>
            </w:r>
            <w:r>
              <w:rPr>
                <w:rFonts w:hint="eastAsia" w:ascii="宋体" w:hAnsi="宋体" w:eastAsia="宋体" w:cs="宋体"/>
                <w:b w:val="0"/>
                <w:bCs w:val="0"/>
                <w:i w:val="0"/>
                <w:iCs w:val="0"/>
                <w:color w:val="auto"/>
                <w:sz w:val="24"/>
                <w:szCs w:val="24"/>
                <w:highlight w:val="none"/>
                <w:lang w:val="en-US" w:eastAsia="zh-CN"/>
              </w:rPr>
              <w:t>1分。最高得4分。</w:t>
            </w:r>
          </w:p>
          <w:p>
            <w:pPr>
              <w:pStyle w:val="6"/>
              <w:spacing w:before="0" w:after="0" w:line="240" w:lineRule="auto"/>
              <w:ind w:left="0" w:leftChars="0" w:firstLine="0" w:firstLineChars="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2、投入人员（除项目负责人外）具有省级</w:t>
            </w:r>
            <w:r>
              <w:rPr>
                <w:rFonts w:hint="eastAsia" w:ascii="宋体" w:hAnsi="宋体" w:eastAsia="宋体" w:cs="宋体"/>
                <w:b w:val="0"/>
                <w:bCs w:val="0"/>
                <w:i w:val="0"/>
                <w:iCs w:val="0"/>
                <w:color w:val="auto"/>
                <w:sz w:val="24"/>
                <w:szCs w:val="24"/>
                <w:highlight w:val="none"/>
                <w:lang w:val="en-US" w:eastAsia="zh-CN"/>
              </w:rPr>
              <w:t>及以上</w:t>
            </w:r>
            <w:r>
              <w:rPr>
                <w:rFonts w:hint="eastAsia" w:ascii="宋体" w:hAnsi="宋体" w:eastAsia="宋体" w:cs="宋体"/>
                <w:b w:val="0"/>
                <w:bCs w:val="0"/>
                <w:i w:val="0"/>
                <w:iCs w:val="0"/>
                <w:color w:val="auto"/>
                <w:sz w:val="24"/>
                <w:szCs w:val="24"/>
                <w:highlight w:val="none"/>
              </w:rPr>
              <w:t>现代社会稳定风险评估研究中心培训证书的满足基本要求4名得</w:t>
            </w:r>
            <w:r>
              <w:rPr>
                <w:rFonts w:hint="eastAsia" w:ascii="宋体" w:hAnsi="宋体" w:eastAsia="宋体" w:cs="宋体"/>
                <w:b w:val="0"/>
                <w:bCs w:val="0"/>
                <w:i w:val="0"/>
                <w:iCs w:val="0"/>
                <w:color w:val="auto"/>
                <w:sz w:val="24"/>
                <w:szCs w:val="24"/>
                <w:highlight w:val="none"/>
                <w:lang w:val="en-US" w:eastAsia="zh-CN"/>
              </w:rPr>
              <w:t>1</w:t>
            </w:r>
            <w:r>
              <w:rPr>
                <w:rFonts w:hint="eastAsia" w:ascii="宋体" w:hAnsi="宋体" w:eastAsia="宋体" w:cs="宋体"/>
                <w:b w:val="0"/>
                <w:bCs w:val="0"/>
                <w:i w:val="0"/>
                <w:iCs w:val="0"/>
                <w:color w:val="auto"/>
                <w:sz w:val="24"/>
                <w:szCs w:val="24"/>
                <w:highlight w:val="none"/>
              </w:rPr>
              <w:t>分，每增加1名加</w:t>
            </w:r>
            <w:r>
              <w:rPr>
                <w:rFonts w:hint="eastAsia" w:ascii="宋体" w:hAnsi="宋体" w:eastAsia="宋体" w:cs="宋体"/>
                <w:b w:val="0"/>
                <w:bCs w:val="0"/>
                <w:i w:val="0"/>
                <w:iCs w:val="0"/>
                <w:color w:val="auto"/>
                <w:sz w:val="24"/>
                <w:szCs w:val="24"/>
                <w:highlight w:val="none"/>
                <w:lang w:val="en-US" w:eastAsia="zh-CN"/>
              </w:rPr>
              <w:t>1</w:t>
            </w:r>
            <w:r>
              <w:rPr>
                <w:rFonts w:hint="eastAsia" w:ascii="宋体" w:hAnsi="宋体" w:eastAsia="宋体" w:cs="宋体"/>
                <w:b w:val="0"/>
                <w:bCs w:val="0"/>
                <w:i w:val="0"/>
                <w:iCs w:val="0"/>
                <w:color w:val="auto"/>
                <w:sz w:val="24"/>
                <w:szCs w:val="24"/>
                <w:highlight w:val="none"/>
              </w:rPr>
              <w:t>分，本项最高得</w:t>
            </w:r>
            <w:r>
              <w:rPr>
                <w:rFonts w:hint="eastAsia" w:ascii="宋体" w:hAnsi="宋体" w:eastAsia="宋体" w:cs="宋体"/>
                <w:b w:val="0"/>
                <w:bCs w:val="0"/>
                <w:i w:val="0"/>
                <w:iCs w:val="0"/>
                <w:color w:val="auto"/>
                <w:sz w:val="24"/>
                <w:szCs w:val="24"/>
                <w:highlight w:val="none"/>
                <w:lang w:val="en-US" w:eastAsia="zh-CN"/>
              </w:rPr>
              <w:t>2</w:t>
            </w:r>
            <w:r>
              <w:rPr>
                <w:rFonts w:hint="eastAsia" w:ascii="宋体" w:hAnsi="宋体" w:eastAsia="宋体" w:cs="宋体"/>
                <w:b w:val="0"/>
                <w:bCs w:val="0"/>
                <w:i w:val="0"/>
                <w:iCs w:val="0"/>
                <w:color w:val="auto"/>
                <w:sz w:val="24"/>
                <w:szCs w:val="24"/>
                <w:highlight w:val="none"/>
              </w:rPr>
              <w:t>分。</w:t>
            </w:r>
          </w:p>
          <w:p>
            <w:pPr>
              <w:pStyle w:val="6"/>
              <w:spacing w:before="0" w:after="0" w:line="240" w:lineRule="auto"/>
              <w:ind w:left="0" w:leftChars="0" w:firstLine="0" w:firstLineChars="0"/>
              <w:rPr>
                <w:rFonts w:hint="eastAsia" w:ascii="宋体" w:hAnsi="宋体" w:eastAsia="宋体" w:cs="宋体"/>
                <w:b w:val="0"/>
                <w:bCs w:val="0"/>
                <w:i w:val="0"/>
                <w:iCs w:val="0"/>
                <w:color w:val="auto"/>
                <w:spacing w:val="5"/>
                <w:sz w:val="24"/>
                <w:szCs w:val="24"/>
                <w:highlight w:val="none"/>
                <w:lang w:val="en-US" w:eastAsia="zh-CN" w:bidi="ar-SA"/>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注：以上配备的人员需在响应文件中提供相应证书复印件</w:t>
            </w:r>
            <w:r>
              <w:rPr>
                <w:rFonts w:hint="eastAsia" w:ascii="宋体" w:hAnsi="宋体" w:eastAsia="宋体" w:cs="宋体"/>
                <w:b w:val="0"/>
                <w:bCs w:val="0"/>
                <w:i w:val="0"/>
                <w:iCs w:val="0"/>
                <w:color w:val="auto"/>
                <w:sz w:val="24"/>
                <w:szCs w:val="24"/>
                <w:highlight w:val="none"/>
                <w:lang w:val="en-US" w:eastAsia="zh-CN"/>
              </w:rPr>
              <w:t>或</w:t>
            </w:r>
            <w:r>
              <w:rPr>
                <w:rFonts w:hint="eastAsia" w:ascii="宋体" w:hAnsi="宋体" w:eastAsia="宋体" w:cs="宋体"/>
                <w:b w:val="0"/>
                <w:bCs w:val="0"/>
                <w:i w:val="0"/>
                <w:iCs w:val="0"/>
                <w:color w:val="auto"/>
                <w:sz w:val="24"/>
                <w:szCs w:val="24"/>
                <w:highlight w:val="none"/>
              </w:rPr>
              <w:t>培训通过公告截图（需提供网址）、身份证复印件，并提供响应人为其缴纳的近3个月</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2024年2-4月</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的社保证明，否则不予认可。</w:t>
            </w:r>
            <w:r>
              <w:rPr>
                <w:rFonts w:hint="eastAsia" w:ascii="宋体" w:hAnsi="宋体" w:eastAsia="宋体" w:cs="宋体"/>
                <w:b w:val="0"/>
                <w:bCs w:val="0"/>
                <w:i w:val="0"/>
                <w:iCs w:val="0"/>
                <w:color w:val="auto"/>
                <w:sz w:val="24"/>
                <w:szCs w:val="24"/>
                <w:highlight w:val="none"/>
                <w:lang w:eastAsia="zh-CN"/>
              </w:rPr>
              <w:t>）</w:t>
            </w:r>
          </w:p>
        </w:tc>
        <w:tc>
          <w:tcPr>
            <w:tcW w:w="739" w:type="dxa"/>
            <w:noWrap/>
            <w:vAlign w:val="center"/>
          </w:tcPr>
          <w:p>
            <w:pPr>
              <w:adjustRightInd w:val="0"/>
              <w:spacing w:after="0" w:line="240" w:lineRule="auto"/>
              <w:jc w:val="center"/>
              <w:rPr>
                <w:rFonts w:hint="eastAsia" w:ascii="宋体" w:hAnsi="宋体" w:eastAsia="宋体" w:cs="宋体"/>
                <w:b w:val="0"/>
                <w:bCs w:val="0"/>
                <w:i w:val="0"/>
                <w:iCs w:val="0"/>
                <w:color w:val="auto"/>
                <w:sz w:val="24"/>
                <w:szCs w:val="24"/>
                <w:highlight w:val="none"/>
                <w:lang w:val="en-US" w:eastAsia="zh-CN" w:bidi="ar-SA"/>
              </w:rPr>
            </w:pPr>
            <w:r>
              <w:rPr>
                <w:rFonts w:hint="eastAsia" w:ascii="宋体" w:hAnsi="宋体" w:eastAsia="宋体" w:cs="宋体"/>
                <w:b w:val="0"/>
                <w:bCs w:val="0"/>
                <w:i w:val="0"/>
                <w:iCs w:val="0"/>
                <w:color w:val="auto"/>
                <w:sz w:val="24"/>
                <w:szCs w:val="24"/>
                <w:highlight w:val="none"/>
                <w:lang w:val="en-US" w:eastAsia="zh-CN"/>
              </w:rPr>
              <w:t>0-</w:t>
            </w:r>
            <w:r>
              <w:rPr>
                <w:rFonts w:hint="eastAsia" w:ascii="宋体" w:hAnsi="宋体" w:cs="宋体"/>
                <w:b w:val="0"/>
                <w:bCs w:val="0"/>
                <w:i w:val="0"/>
                <w:iCs w:val="0"/>
                <w:color w:val="auto"/>
                <w:sz w:val="24"/>
                <w:szCs w:val="24"/>
                <w:highlight w:val="none"/>
                <w:lang w:val="en-US" w:eastAsia="zh-CN"/>
              </w:rPr>
              <w:t>6</w:t>
            </w:r>
          </w:p>
        </w:tc>
        <w:tc>
          <w:tcPr>
            <w:tcW w:w="978" w:type="dxa"/>
            <w:noWrap/>
            <w:vAlign w:val="center"/>
          </w:tcPr>
          <w:p>
            <w:pPr>
              <w:adjustRightInd w:val="0"/>
              <w:spacing w:after="0" w:line="240" w:lineRule="auto"/>
              <w:jc w:val="center"/>
              <w:rPr>
                <w:rFonts w:hint="eastAsia" w:ascii="宋体" w:hAnsi="宋体" w:eastAsia="宋体" w:cs="宋体"/>
                <w:b w:val="0"/>
                <w:bCs w:val="0"/>
                <w:i w:val="0"/>
                <w:iCs w:val="0"/>
                <w:color w:val="auto"/>
                <w:sz w:val="24"/>
                <w:szCs w:val="24"/>
                <w:highlight w:val="none"/>
                <w:lang w:val="en-US" w:eastAsia="zh-CN" w:bidi="ar-SA"/>
              </w:rPr>
            </w:pPr>
            <w:r>
              <w:rPr>
                <w:rFonts w:hint="eastAsia" w:ascii="宋体" w:hAnsi="宋体" w:eastAsia="宋体" w:cs="宋体"/>
                <w:b w:val="0"/>
                <w:bCs w:val="0"/>
                <w:i w:val="0"/>
                <w:iCs w:val="0"/>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75" w:type="dxa"/>
            <w:vMerge w:val="continue"/>
            <w:noWrap/>
            <w:vAlign w:val="center"/>
          </w:tcPr>
          <w:p>
            <w:pPr>
              <w:spacing w:after="0" w:line="240" w:lineRule="auto"/>
              <w:ind w:right="-13" w:rightChars="-6"/>
              <w:jc w:val="center"/>
              <w:rPr>
                <w:rFonts w:hint="eastAsia" w:ascii="宋体" w:hAnsi="宋体" w:eastAsia="宋体" w:cs="宋体"/>
                <w:b w:val="0"/>
                <w:bCs w:val="0"/>
                <w:i w:val="0"/>
                <w:iCs w:val="0"/>
                <w:color w:val="auto"/>
                <w:sz w:val="24"/>
                <w:szCs w:val="24"/>
                <w:highlight w:val="none"/>
              </w:rPr>
            </w:pPr>
          </w:p>
        </w:tc>
        <w:tc>
          <w:tcPr>
            <w:tcW w:w="771" w:type="dxa"/>
            <w:noWrap/>
            <w:vAlign w:val="center"/>
          </w:tcPr>
          <w:p>
            <w:pPr>
              <w:pStyle w:val="6"/>
              <w:spacing w:before="0" w:after="0" w:line="240" w:lineRule="auto"/>
              <w:ind w:left="0" w:leftChars="0" w:firstLine="0" w:firstLineChars="0"/>
              <w:jc w:val="center"/>
              <w:rPr>
                <w:rFonts w:hint="default"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5</w:t>
            </w:r>
          </w:p>
        </w:tc>
        <w:tc>
          <w:tcPr>
            <w:tcW w:w="6735" w:type="dxa"/>
            <w:gridSpan w:val="2"/>
            <w:noWrap/>
            <w:vAlign w:val="center"/>
          </w:tcPr>
          <w:p>
            <w:pPr>
              <w:pStyle w:val="6"/>
              <w:spacing w:before="0" w:after="0" w:line="240" w:lineRule="auto"/>
              <w:ind w:left="0" w:leftChars="0" w:firstLine="0" w:firstLineChars="0"/>
              <w:rPr>
                <w:rFonts w:hint="eastAsia" w:ascii="宋体" w:hAnsi="宋体" w:eastAsia="宋体" w:cs="宋体"/>
                <w:b w:val="0"/>
                <w:bCs w:val="0"/>
                <w:i w:val="0"/>
                <w:iCs w:val="0"/>
                <w:color w:val="auto"/>
                <w:sz w:val="24"/>
                <w:szCs w:val="24"/>
                <w:highlight w:val="none"/>
                <w:lang w:eastAsia="zh-CN"/>
              </w:rPr>
            </w:pPr>
            <w:r>
              <w:rPr>
                <w:rFonts w:hint="eastAsia" w:ascii="宋体" w:hAnsi="宋体" w:eastAsia="宋体" w:cs="宋体"/>
                <w:b w:val="0"/>
                <w:bCs w:val="0"/>
                <w:i w:val="0"/>
                <w:iCs w:val="0"/>
                <w:color w:val="auto"/>
                <w:sz w:val="24"/>
                <w:szCs w:val="24"/>
                <w:highlight w:val="none"/>
                <w:lang w:val="en-US" w:eastAsia="zh-CN"/>
              </w:rPr>
              <w:t>供应商</w:t>
            </w:r>
            <w:r>
              <w:rPr>
                <w:rFonts w:hint="eastAsia" w:ascii="宋体" w:hAnsi="宋体" w:eastAsia="宋体" w:cs="宋体"/>
                <w:b w:val="0"/>
                <w:bCs w:val="0"/>
                <w:i w:val="0"/>
                <w:iCs w:val="0"/>
                <w:color w:val="auto"/>
                <w:sz w:val="24"/>
                <w:szCs w:val="24"/>
                <w:highlight w:val="none"/>
              </w:rPr>
              <w:t>在中共杭州市萧山区委政法委员会文件（萧政法〔2022〕3号）文件《关于公布2022年度萧山区重大决策社会风险第三方评估机构的通知》名单内的得</w:t>
            </w:r>
            <w:r>
              <w:rPr>
                <w:rFonts w:hint="eastAsia" w:ascii="宋体" w:hAnsi="宋体" w:eastAsia="宋体" w:cs="宋体"/>
                <w:b w:val="0"/>
                <w:bCs w:val="0"/>
                <w:i w:val="0"/>
                <w:iCs w:val="0"/>
                <w:color w:val="auto"/>
                <w:sz w:val="24"/>
                <w:szCs w:val="24"/>
                <w:highlight w:val="none"/>
                <w:lang w:val="en-US" w:eastAsia="zh-CN"/>
              </w:rPr>
              <w:t>2</w:t>
            </w:r>
            <w:r>
              <w:rPr>
                <w:rFonts w:hint="eastAsia" w:ascii="宋体" w:hAnsi="宋体" w:eastAsia="宋体" w:cs="宋体"/>
                <w:b w:val="0"/>
                <w:bCs w:val="0"/>
                <w:i w:val="0"/>
                <w:iCs w:val="0"/>
                <w:color w:val="auto"/>
                <w:sz w:val="24"/>
                <w:szCs w:val="24"/>
                <w:highlight w:val="none"/>
              </w:rPr>
              <w:t>分。</w:t>
            </w:r>
          </w:p>
        </w:tc>
        <w:tc>
          <w:tcPr>
            <w:tcW w:w="739" w:type="dxa"/>
            <w:noWrap/>
            <w:vAlign w:val="center"/>
          </w:tcPr>
          <w:p>
            <w:pPr>
              <w:adjustRightInd w:val="0"/>
              <w:spacing w:after="0" w:line="240" w:lineRule="auto"/>
              <w:jc w:val="center"/>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0-2</w:t>
            </w:r>
          </w:p>
        </w:tc>
        <w:tc>
          <w:tcPr>
            <w:tcW w:w="978" w:type="dxa"/>
            <w:noWrap/>
            <w:vAlign w:val="center"/>
          </w:tcPr>
          <w:p>
            <w:pPr>
              <w:adjustRightInd w:val="0"/>
              <w:spacing w:after="0" w:line="240" w:lineRule="auto"/>
              <w:jc w:val="center"/>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75" w:type="dxa"/>
            <w:vMerge w:val="restart"/>
            <w:noWrap/>
            <w:vAlign w:val="center"/>
          </w:tcPr>
          <w:p>
            <w:pPr>
              <w:spacing w:after="0" w:line="240" w:lineRule="auto"/>
              <w:jc w:val="center"/>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技术分（</w:t>
            </w:r>
            <w:r>
              <w:rPr>
                <w:rFonts w:hint="eastAsia" w:ascii="宋体" w:hAnsi="宋体" w:eastAsia="宋体" w:cs="宋体"/>
                <w:b w:val="0"/>
                <w:bCs w:val="0"/>
                <w:i w:val="0"/>
                <w:iCs w:val="0"/>
                <w:color w:val="auto"/>
                <w:sz w:val="24"/>
                <w:szCs w:val="24"/>
                <w:highlight w:val="none"/>
                <w:lang w:val="en-US" w:eastAsia="zh-CN"/>
              </w:rPr>
              <w:t>70</w:t>
            </w:r>
            <w:r>
              <w:rPr>
                <w:rFonts w:hint="eastAsia" w:ascii="宋体" w:hAnsi="宋体" w:eastAsia="宋体" w:cs="宋体"/>
                <w:b w:val="0"/>
                <w:bCs w:val="0"/>
                <w:i w:val="0"/>
                <w:iCs w:val="0"/>
                <w:color w:val="auto"/>
                <w:sz w:val="24"/>
                <w:szCs w:val="24"/>
                <w:highlight w:val="none"/>
              </w:rPr>
              <w:t>分）</w:t>
            </w:r>
          </w:p>
        </w:tc>
        <w:tc>
          <w:tcPr>
            <w:tcW w:w="771" w:type="dxa"/>
            <w:noWrap/>
            <w:vAlign w:val="center"/>
          </w:tcPr>
          <w:p>
            <w:pPr>
              <w:spacing w:after="0" w:line="240" w:lineRule="auto"/>
              <w:jc w:val="center"/>
              <w:rPr>
                <w:rFonts w:hint="default" w:ascii="宋体" w:hAnsi="宋体" w:eastAsia="宋体" w:cs="宋体"/>
                <w:b w:val="0"/>
                <w:bCs w:val="0"/>
                <w:i w:val="0"/>
                <w:iCs w:val="0"/>
                <w:color w:val="auto"/>
                <w:sz w:val="24"/>
                <w:szCs w:val="24"/>
                <w:highlight w:val="none"/>
                <w:lang w:val="en-US" w:eastAsia="zh-CN" w:bidi="ar-SA"/>
              </w:rPr>
            </w:pPr>
            <w:r>
              <w:rPr>
                <w:rFonts w:hint="eastAsia" w:ascii="宋体" w:hAnsi="宋体" w:eastAsia="宋体" w:cs="宋体"/>
                <w:b w:val="0"/>
                <w:bCs w:val="0"/>
                <w:i w:val="0"/>
                <w:iCs w:val="0"/>
                <w:color w:val="auto"/>
                <w:sz w:val="24"/>
                <w:szCs w:val="24"/>
                <w:highlight w:val="none"/>
                <w:lang w:val="en-US" w:eastAsia="zh-CN" w:bidi="ar-SA"/>
              </w:rPr>
              <w:t>1</w:t>
            </w:r>
          </w:p>
        </w:tc>
        <w:tc>
          <w:tcPr>
            <w:tcW w:w="6735" w:type="dxa"/>
            <w:gridSpan w:val="2"/>
            <w:noWrap/>
            <w:vAlign w:val="center"/>
          </w:tcPr>
          <w:p>
            <w:pPr>
              <w:pStyle w:val="6"/>
              <w:spacing w:before="0" w:after="0" w:line="240" w:lineRule="auto"/>
              <w:ind w:left="0" w:leftChars="0" w:firstLine="0" w:firstLineChars="0"/>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总体实施方案</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根据编制本项目的评估方案、保密方案、安全文明作业方案的贴近度，完整性、合理性、规范性和可操作性、社会风险评估咨询方案理解深刻、有独到见解等内容综合评定。</w:t>
            </w:r>
          </w:p>
        </w:tc>
        <w:tc>
          <w:tcPr>
            <w:tcW w:w="739" w:type="dxa"/>
            <w:noWrap/>
            <w:vAlign w:val="center"/>
          </w:tcPr>
          <w:p>
            <w:pPr>
              <w:pStyle w:val="6"/>
              <w:spacing w:before="0" w:after="0" w:line="240" w:lineRule="auto"/>
              <w:ind w:left="0" w:leftChars="0" w:firstLine="0" w:firstLineChars="0"/>
              <w:jc w:val="center"/>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0</w:t>
            </w: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8</w:t>
            </w:r>
          </w:p>
        </w:tc>
        <w:tc>
          <w:tcPr>
            <w:tcW w:w="978" w:type="dxa"/>
            <w:noWrap/>
            <w:vAlign w:val="center"/>
          </w:tcPr>
          <w:p>
            <w:pPr>
              <w:pStyle w:val="6"/>
              <w:spacing w:before="0" w:after="0" w:line="240" w:lineRule="auto"/>
              <w:ind w:left="0" w:leftChars="0" w:firstLine="0" w:firstLineChars="0"/>
              <w:jc w:val="center"/>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75" w:type="dxa"/>
            <w:vMerge w:val="continue"/>
            <w:noWrap/>
            <w:vAlign w:val="center"/>
          </w:tcPr>
          <w:p>
            <w:pPr>
              <w:spacing w:after="0" w:line="240" w:lineRule="auto"/>
              <w:jc w:val="center"/>
              <w:rPr>
                <w:rFonts w:hint="eastAsia" w:ascii="宋体" w:hAnsi="宋体" w:eastAsia="宋体" w:cs="宋体"/>
                <w:b w:val="0"/>
                <w:bCs w:val="0"/>
                <w:i w:val="0"/>
                <w:iCs w:val="0"/>
                <w:color w:val="auto"/>
                <w:sz w:val="24"/>
                <w:szCs w:val="24"/>
                <w:highlight w:val="none"/>
              </w:rPr>
            </w:pPr>
          </w:p>
        </w:tc>
        <w:tc>
          <w:tcPr>
            <w:tcW w:w="771" w:type="dxa"/>
            <w:noWrap/>
            <w:vAlign w:val="center"/>
          </w:tcPr>
          <w:p>
            <w:pPr>
              <w:spacing w:after="0" w:line="240" w:lineRule="auto"/>
              <w:jc w:val="center"/>
              <w:rPr>
                <w:rFonts w:hint="default" w:ascii="宋体" w:hAnsi="宋体" w:eastAsia="宋体" w:cs="宋体"/>
                <w:b w:val="0"/>
                <w:bCs w:val="0"/>
                <w:i w:val="0"/>
                <w:iCs w:val="0"/>
                <w:color w:val="auto"/>
                <w:sz w:val="24"/>
                <w:szCs w:val="24"/>
                <w:highlight w:val="none"/>
                <w:lang w:val="en-US" w:eastAsia="zh-CN" w:bidi="ar-SA"/>
              </w:rPr>
            </w:pPr>
            <w:r>
              <w:rPr>
                <w:rFonts w:hint="eastAsia" w:ascii="宋体" w:hAnsi="宋体" w:eastAsia="宋体" w:cs="宋体"/>
                <w:b w:val="0"/>
                <w:bCs w:val="0"/>
                <w:i w:val="0"/>
                <w:iCs w:val="0"/>
                <w:color w:val="auto"/>
                <w:sz w:val="24"/>
                <w:szCs w:val="24"/>
                <w:highlight w:val="none"/>
                <w:lang w:val="en-US" w:eastAsia="zh-CN" w:bidi="ar-SA"/>
              </w:rPr>
              <w:t>2</w:t>
            </w:r>
          </w:p>
        </w:tc>
        <w:tc>
          <w:tcPr>
            <w:tcW w:w="6735" w:type="dxa"/>
            <w:gridSpan w:val="2"/>
            <w:noWrap/>
            <w:vAlign w:val="center"/>
          </w:tcPr>
          <w:p>
            <w:pPr>
              <w:pStyle w:val="6"/>
              <w:spacing w:before="0" w:after="0" w:line="240" w:lineRule="auto"/>
              <w:ind w:left="0" w:leftChars="0" w:firstLine="0" w:firstLineChars="0"/>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进度安排：根据评估工作进度安排及进度保障情况的科学合理性综合评定。</w:t>
            </w:r>
          </w:p>
        </w:tc>
        <w:tc>
          <w:tcPr>
            <w:tcW w:w="739" w:type="dxa"/>
            <w:noWrap/>
            <w:vAlign w:val="center"/>
          </w:tcPr>
          <w:p>
            <w:pPr>
              <w:pStyle w:val="6"/>
              <w:spacing w:before="0" w:after="0" w:line="240" w:lineRule="auto"/>
              <w:ind w:left="0" w:leftChars="0" w:firstLine="0" w:firstLineChars="0"/>
              <w:jc w:val="center"/>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0</w:t>
            </w: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8</w:t>
            </w:r>
          </w:p>
        </w:tc>
        <w:tc>
          <w:tcPr>
            <w:tcW w:w="978" w:type="dxa"/>
            <w:noWrap/>
            <w:vAlign w:val="center"/>
          </w:tcPr>
          <w:p>
            <w:pPr>
              <w:pStyle w:val="6"/>
              <w:spacing w:before="0" w:after="0" w:line="240" w:lineRule="auto"/>
              <w:ind w:left="0" w:leftChars="0" w:firstLine="0" w:firstLineChars="0"/>
              <w:jc w:val="center"/>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75" w:type="dxa"/>
            <w:vMerge w:val="continue"/>
            <w:noWrap/>
            <w:vAlign w:val="center"/>
          </w:tcPr>
          <w:p>
            <w:pPr>
              <w:spacing w:after="0" w:line="240" w:lineRule="auto"/>
              <w:jc w:val="center"/>
              <w:rPr>
                <w:rFonts w:hint="eastAsia" w:ascii="宋体" w:hAnsi="宋体" w:eastAsia="宋体" w:cs="宋体"/>
                <w:b w:val="0"/>
                <w:bCs w:val="0"/>
                <w:i w:val="0"/>
                <w:iCs w:val="0"/>
                <w:color w:val="auto"/>
                <w:sz w:val="24"/>
                <w:szCs w:val="24"/>
                <w:highlight w:val="none"/>
              </w:rPr>
            </w:pPr>
          </w:p>
        </w:tc>
        <w:tc>
          <w:tcPr>
            <w:tcW w:w="771" w:type="dxa"/>
            <w:noWrap/>
            <w:vAlign w:val="center"/>
          </w:tcPr>
          <w:p>
            <w:pPr>
              <w:spacing w:after="0" w:line="240" w:lineRule="auto"/>
              <w:jc w:val="center"/>
              <w:rPr>
                <w:rFonts w:hint="default" w:ascii="宋体" w:hAnsi="宋体" w:eastAsia="宋体" w:cs="宋体"/>
                <w:b w:val="0"/>
                <w:bCs w:val="0"/>
                <w:i w:val="0"/>
                <w:iCs w:val="0"/>
                <w:color w:val="auto"/>
                <w:sz w:val="24"/>
                <w:szCs w:val="24"/>
                <w:highlight w:val="none"/>
                <w:lang w:val="en-US" w:eastAsia="zh-CN" w:bidi="ar-SA"/>
              </w:rPr>
            </w:pPr>
            <w:r>
              <w:rPr>
                <w:rFonts w:hint="eastAsia" w:ascii="宋体" w:hAnsi="宋体" w:eastAsia="宋体" w:cs="宋体"/>
                <w:b w:val="0"/>
                <w:bCs w:val="0"/>
                <w:i w:val="0"/>
                <w:iCs w:val="0"/>
                <w:color w:val="auto"/>
                <w:sz w:val="24"/>
                <w:szCs w:val="24"/>
                <w:highlight w:val="none"/>
                <w:lang w:val="en-US" w:eastAsia="zh-CN" w:bidi="ar-SA"/>
              </w:rPr>
              <w:t>3</w:t>
            </w:r>
          </w:p>
        </w:tc>
        <w:tc>
          <w:tcPr>
            <w:tcW w:w="6735" w:type="dxa"/>
            <w:gridSpan w:val="2"/>
            <w:noWrap/>
            <w:vAlign w:val="center"/>
          </w:tcPr>
          <w:p>
            <w:pPr>
              <w:pStyle w:val="6"/>
              <w:spacing w:before="0" w:after="0" w:line="240" w:lineRule="auto"/>
              <w:ind w:left="0" w:leftChars="0" w:firstLine="0" w:firstLineChars="0"/>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质量保证：根据质量保证措施、管控措施的科学合理性综合评定。</w:t>
            </w:r>
          </w:p>
        </w:tc>
        <w:tc>
          <w:tcPr>
            <w:tcW w:w="739" w:type="dxa"/>
            <w:noWrap/>
            <w:vAlign w:val="center"/>
          </w:tcPr>
          <w:p>
            <w:pPr>
              <w:pStyle w:val="6"/>
              <w:spacing w:before="0" w:after="0" w:line="240" w:lineRule="auto"/>
              <w:ind w:left="0" w:leftChars="0" w:firstLine="0" w:firstLineChars="0"/>
              <w:jc w:val="center"/>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0-8</w:t>
            </w:r>
          </w:p>
        </w:tc>
        <w:tc>
          <w:tcPr>
            <w:tcW w:w="978" w:type="dxa"/>
            <w:noWrap/>
            <w:vAlign w:val="center"/>
          </w:tcPr>
          <w:p>
            <w:pPr>
              <w:pStyle w:val="6"/>
              <w:spacing w:before="0" w:after="0" w:line="240" w:lineRule="auto"/>
              <w:ind w:left="0" w:leftChars="0" w:firstLine="0" w:firstLineChars="0"/>
              <w:jc w:val="center"/>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75" w:type="dxa"/>
            <w:vMerge w:val="continue"/>
            <w:noWrap/>
            <w:vAlign w:val="center"/>
          </w:tcPr>
          <w:p>
            <w:pPr>
              <w:spacing w:after="0" w:line="240" w:lineRule="auto"/>
              <w:jc w:val="center"/>
              <w:rPr>
                <w:rFonts w:hint="eastAsia" w:ascii="宋体" w:hAnsi="宋体" w:eastAsia="宋体" w:cs="宋体"/>
                <w:b w:val="0"/>
                <w:bCs w:val="0"/>
                <w:i w:val="0"/>
                <w:iCs w:val="0"/>
                <w:color w:val="auto"/>
                <w:sz w:val="24"/>
                <w:szCs w:val="24"/>
                <w:highlight w:val="none"/>
              </w:rPr>
            </w:pPr>
          </w:p>
        </w:tc>
        <w:tc>
          <w:tcPr>
            <w:tcW w:w="771" w:type="dxa"/>
            <w:noWrap/>
            <w:vAlign w:val="center"/>
          </w:tcPr>
          <w:p>
            <w:pPr>
              <w:spacing w:after="0" w:line="240" w:lineRule="auto"/>
              <w:jc w:val="center"/>
              <w:rPr>
                <w:rFonts w:hint="default" w:ascii="宋体" w:hAnsi="宋体" w:eastAsia="宋体" w:cs="宋体"/>
                <w:b w:val="0"/>
                <w:bCs w:val="0"/>
                <w:i w:val="0"/>
                <w:iCs w:val="0"/>
                <w:color w:val="auto"/>
                <w:sz w:val="24"/>
                <w:szCs w:val="24"/>
                <w:highlight w:val="none"/>
                <w:lang w:val="en-US" w:eastAsia="zh-CN" w:bidi="ar-SA"/>
              </w:rPr>
            </w:pPr>
            <w:r>
              <w:rPr>
                <w:rFonts w:hint="eastAsia" w:ascii="宋体" w:hAnsi="宋体" w:eastAsia="宋体" w:cs="宋体"/>
                <w:b w:val="0"/>
                <w:bCs w:val="0"/>
                <w:i w:val="0"/>
                <w:iCs w:val="0"/>
                <w:color w:val="auto"/>
                <w:sz w:val="24"/>
                <w:szCs w:val="24"/>
                <w:highlight w:val="none"/>
                <w:lang w:val="en-US" w:eastAsia="zh-CN" w:bidi="ar-SA"/>
              </w:rPr>
              <w:t>4</w:t>
            </w:r>
          </w:p>
        </w:tc>
        <w:tc>
          <w:tcPr>
            <w:tcW w:w="6735" w:type="dxa"/>
            <w:gridSpan w:val="2"/>
            <w:noWrap/>
            <w:vAlign w:val="center"/>
          </w:tcPr>
          <w:p>
            <w:pPr>
              <w:pStyle w:val="6"/>
              <w:spacing w:before="0" w:after="0" w:line="240" w:lineRule="auto"/>
              <w:ind w:left="0" w:leftChars="0" w:firstLine="0" w:firstLineChars="0"/>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重难点分析：根据项目重点难点工作阐述或分析及合理化建议等内容综合评定。</w:t>
            </w:r>
          </w:p>
        </w:tc>
        <w:tc>
          <w:tcPr>
            <w:tcW w:w="739" w:type="dxa"/>
            <w:noWrap/>
            <w:vAlign w:val="center"/>
          </w:tcPr>
          <w:p>
            <w:pPr>
              <w:pStyle w:val="6"/>
              <w:spacing w:before="0" w:after="0" w:line="240" w:lineRule="auto"/>
              <w:ind w:left="0" w:leftChars="0" w:firstLine="0" w:firstLineChars="0"/>
              <w:jc w:val="center"/>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0</w:t>
            </w: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8</w:t>
            </w:r>
          </w:p>
        </w:tc>
        <w:tc>
          <w:tcPr>
            <w:tcW w:w="978" w:type="dxa"/>
            <w:noWrap/>
            <w:vAlign w:val="center"/>
          </w:tcPr>
          <w:p>
            <w:pPr>
              <w:pStyle w:val="6"/>
              <w:spacing w:before="0" w:after="0" w:line="240" w:lineRule="auto"/>
              <w:ind w:left="0" w:leftChars="0" w:firstLine="0" w:firstLineChars="0"/>
              <w:jc w:val="center"/>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75" w:type="dxa"/>
            <w:vMerge w:val="continue"/>
            <w:noWrap/>
            <w:vAlign w:val="center"/>
          </w:tcPr>
          <w:p>
            <w:pPr>
              <w:spacing w:after="0" w:line="240" w:lineRule="auto"/>
              <w:jc w:val="center"/>
              <w:rPr>
                <w:rFonts w:hint="eastAsia" w:ascii="宋体" w:hAnsi="宋体" w:eastAsia="宋体" w:cs="宋体"/>
                <w:b w:val="0"/>
                <w:bCs w:val="0"/>
                <w:i w:val="0"/>
                <w:iCs w:val="0"/>
                <w:color w:val="auto"/>
                <w:sz w:val="24"/>
                <w:szCs w:val="24"/>
                <w:highlight w:val="none"/>
              </w:rPr>
            </w:pPr>
          </w:p>
        </w:tc>
        <w:tc>
          <w:tcPr>
            <w:tcW w:w="771" w:type="dxa"/>
            <w:noWrap/>
            <w:vAlign w:val="center"/>
          </w:tcPr>
          <w:p>
            <w:pPr>
              <w:spacing w:after="0" w:line="240" w:lineRule="auto"/>
              <w:jc w:val="center"/>
              <w:rPr>
                <w:rFonts w:hint="default" w:ascii="宋体" w:hAnsi="宋体" w:eastAsia="宋体" w:cs="宋体"/>
                <w:b w:val="0"/>
                <w:bCs w:val="0"/>
                <w:i w:val="0"/>
                <w:iCs w:val="0"/>
                <w:color w:val="auto"/>
                <w:sz w:val="24"/>
                <w:szCs w:val="24"/>
                <w:highlight w:val="none"/>
                <w:lang w:val="en-US" w:eastAsia="zh-CN" w:bidi="ar-SA"/>
              </w:rPr>
            </w:pPr>
            <w:r>
              <w:rPr>
                <w:rFonts w:hint="eastAsia" w:ascii="宋体" w:hAnsi="宋体" w:eastAsia="宋体" w:cs="宋体"/>
                <w:b w:val="0"/>
                <w:bCs w:val="0"/>
                <w:i w:val="0"/>
                <w:iCs w:val="0"/>
                <w:color w:val="auto"/>
                <w:sz w:val="24"/>
                <w:szCs w:val="24"/>
                <w:highlight w:val="none"/>
                <w:lang w:val="en-US" w:eastAsia="zh-CN" w:bidi="ar-SA"/>
              </w:rPr>
              <w:t>5</w:t>
            </w:r>
          </w:p>
        </w:tc>
        <w:tc>
          <w:tcPr>
            <w:tcW w:w="6735" w:type="dxa"/>
            <w:gridSpan w:val="2"/>
            <w:noWrap/>
            <w:vAlign w:val="center"/>
          </w:tcPr>
          <w:p>
            <w:pPr>
              <w:pStyle w:val="6"/>
              <w:spacing w:before="0" w:after="0" w:line="240" w:lineRule="auto"/>
              <w:ind w:left="0" w:leftChars="0" w:firstLine="0" w:firstLineChars="0"/>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内部管理制度：根据内部管理制度是否健全，是否有完善的人员分工安排等内容综合评定。</w:t>
            </w:r>
          </w:p>
        </w:tc>
        <w:tc>
          <w:tcPr>
            <w:tcW w:w="739" w:type="dxa"/>
            <w:noWrap/>
            <w:vAlign w:val="center"/>
          </w:tcPr>
          <w:p>
            <w:pPr>
              <w:pStyle w:val="6"/>
              <w:spacing w:before="0" w:after="0" w:line="240" w:lineRule="auto"/>
              <w:ind w:left="0" w:leftChars="0" w:firstLine="0" w:firstLineChars="0"/>
              <w:jc w:val="center"/>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0</w:t>
            </w: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8</w:t>
            </w:r>
          </w:p>
        </w:tc>
        <w:tc>
          <w:tcPr>
            <w:tcW w:w="978" w:type="dxa"/>
            <w:noWrap/>
            <w:vAlign w:val="center"/>
          </w:tcPr>
          <w:p>
            <w:pPr>
              <w:pStyle w:val="6"/>
              <w:spacing w:before="0" w:after="0" w:line="240" w:lineRule="auto"/>
              <w:ind w:left="0" w:leftChars="0" w:firstLine="0" w:firstLineChars="0"/>
              <w:jc w:val="center"/>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775" w:type="dxa"/>
            <w:vMerge w:val="continue"/>
            <w:noWrap/>
            <w:vAlign w:val="center"/>
          </w:tcPr>
          <w:p>
            <w:pPr>
              <w:spacing w:after="0" w:line="240" w:lineRule="auto"/>
              <w:jc w:val="center"/>
              <w:rPr>
                <w:rFonts w:hint="eastAsia" w:ascii="宋体" w:hAnsi="宋体" w:eastAsia="宋体" w:cs="宋体"/>
                <w:b w:val="0"/>
                <w:bCs w:val="0"/>
                <w:i w:val="0"/>
                <w:iCs w:val="0"/>
                <w:color w:val="auto"/>
                <w:sz w:val="24"/>
                <w:szCs w:val="24"/>
                <w:highlight w:val="none"/>
              </w:rPr>
            </w:pPr>
          </w:p>
        </w:tc>
        <w:tc>
          <w:tcPr>
            <w:tcW w:w="771" w:type="dxa"/>
            <w:vMerge w:val="restart"/>
            <w:noWrap/>
            <w:vAlign w:val="center"/>
          </w:tcPr>
          <w:p>
            <w:pPr>
              <w:spacing w:after="0" w:line="240" w:lineRule="auto"/>
              <w:jc w:val="center"/>
              <w:rPr>
                <w:rFonts w:hint="default"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6</w:t>
            </w:r>
          </w:p>
        </w:tc>
        <w:tc>
          <w:tcPr>
            <w:tcW w:w="1283" w:type="dxa"/>
            <w:vMerge w:val="restart"/>
            <w:noWrap/>
            <w:vAlign w:val="center"/>
          </w:tcPr>
          <w:p>
            <w:pPr>
              <w:spacing w:after="0" w:line="240" w:lineRule="auto"/>
              <w:jc w:val="both"/>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服务保障</w:t>
            </w:r>
          </w:p>
        </w:tc>
        <w:tc>
          <w:tcPr>
            <w:tcW w:w="5452" w:type="dxa"/>
            <w:noWrap/>
            <w:vAlign w:val="center"/>
          </w:tcPr>
          <w:p>
            <w:pPr>
              <w:pStyle w:val="6"/>
              <w:spacing w:before="0" w:after="0" w:line="240" w:lineRule="auto"/>
              <w:ind w:left="0" w:leftChars="0" w:firstLine="0" w:firstLineChars="0"/>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根据服务保障承诺、技术方案等内容的科学合理性</w:t>
            </w:r>
            <w:r>
              <w:rPr>
                <w:rFonts w:hint="eastAsia" w:ascii="宋体" w:hAnsi="宋体" w:eastAsia="宋体" w:cs="宋体"/>
                <w:b w:val="0"/>
                <w:bCs w:val="0"/>
                <w:i w:val="0"/>
                <w:iCs w:val="0"/>
                <w:color w:val="auto"/>
                <w:sz w:val="24"/>
                <w:szCs w:val="24"/>
                <w:highlight w:val="none"/>
                <w:lang w:val="en-US"/>
              </w:rPr>
              <w:t>等内容综合评定。</w:t>
            </w:r>
          </w:p>
        </w:tc>
        <w:tc>
          <w:tcPr>
            <w:tcW w:w="739" w:type="dxa"/>
            <w:noWrap/>
            <w:vAlign w:val="center"/>
          </w:tcPr>
          <w:p>
            <w:pPr>
              <w:pStyle w:val="6"/>
              <w:spacing w:before="0" w:after="0" w:line="240" w:lineRule="auto"/>
              <w:ind w:left="0" w:leftChars="0" w:firstLine="0" w:firstLineChars="0"/>
              <w:jc w:val="center"/>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0</w:t>
            </w: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8</w:t>
            </w:r>
          </w:p>
        </w:tc>
        <w:tc>
          <w:tcPr>
            <w:tcW w:w="978" w:type="dxa"/>
            <w:noWrap/>
            <w:vAlign w:val="center"/>
          </w:tcPr>
          <w:p>
            <w:pPr>
              <w:pStyle w:val="6"/>
              <w:spacing w:before="0" w:after="0" w:line="240" w:lineRule="auto"/>
              <w:ind w:left="0" w:leftChars="0" w:firstLine="0" w:firstLineChars="0"/>
              <w:jc w:val="center"/>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75" w:type="dxa"/>
            <w:vMerge w:val="continue"/>
            <w:noWrap/>
            <w:vAlign w:val="center"/>
          </w:tcPr>
          <w:p>
            <w:pPr>
              <w:spacing w:after="0" w:line="240" w:lineRule="auto"/>
              <w:rPr>
                <w:rFonts w:hint="eastAsia" w:ascii="宋体" w:hAnsi="宋体" w:eastAsia="宋体" w:cs="宋体"/>
                <w:b w:val="0"/>
                <w:bCs w:val="0"/>
                <w:i w:val="0"/>
                <w:iCs w:val="0"/>
                <w:color w:val="auto"/>
                <w:sz w:val="24"/>
                <w:szCs w:val="24"/>
                <w:highlight w:val="none"/>
              </w:rPr>
            </w:pPr>
          </w:p>
        </w:tc>
        <w:tc>
          <w:tcPr>
            <w:tcW w:w="771" w:type="dxa"/>
            <w:vMerge w:val="continue"/>
            <w:noWrap/>
            <w:vAlign w:val="center"/>
          </w:tcPr>
          <w:p>
            <w:pPr>
              <w:spacing w:after="0" w:line="240" w:lineRule="auto"/>
              <w:jc w:val="center"/>
              <w:rPr>
                <w:rFonts w:hint="eastAsia" w:ascii="宋体" w:hAnsi="宋体" w:eastAsia="宋体" w:cs="宋体"/>
                <w:b w:val="0"/>
                <w:bCs w:val="0"/>
                <w:i w:val="0"/>
                <w:iCs w:val="0"/>
                <w:color w:val="auto"/>
                <w:sz w:val="24"/>
                <w:szCs w:val="24"/>
                <w:highlight w:val="none"/>
              </w:rPr>
            </w:pPr>
          </w:p>
        </w:tc>
        <w:tc>
          <w:tcPr>
            <w:tcW w:w="1283" w:type="dxa"/>
            <w:vMerge w:val="continue"/>
            <w:noWrap/>
            <w:vAlign w:val="center"/>
          </w:tcPr>
          <w:p>
            <w:pPr>
              <w:spacing w:after="0" w:line="240" w:lineRule="auto"/>
              <w:jc w:val="both"/>
              <w:rPr>
                <w:rFonts w:hint="eastAsia" w:ascii="宋体" w:hAnsi="宋体" w:eastAsia="宋体" w:cs="宋体"/>
                <w:b w:val="0"/>
                <w:bCs w:val="0"/>
                <w:i w:val="0"/>
                <w:iCs w:val="0"/>
                <w:color w:val="auto"/>
                <w:sz w:val="24"/>
                <w:szCs w:val="24"/>
                <w:highlight w:val="none"/>
              </w:rPr>
            </w:pPr>
          </w:p>
        </w:tc>
        <w:tc>
          <w:tcPr>
            <w:tcW w:w="5452" w:type="dxa"/>
            <w:noWrap/>
            <w:vAlign w:val="center"/>
          </w:tcPr>
          <w:p>
            <w:pPr>
              <w:pStyle w:val="6"/>
              <w:spacing w:before="0" w:after="0" w:line="240" w:lineRule="auto"/>
              <w:ind w:left="0" w:leftChars="0" w:firstLine="0" w:firstLineChars="0"/>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根据项目服务成果验收不合格的情况处理流程控制改进方案的科学合理性等内容综合评定。</w:t>
            </w:r>
          </w:p>
        </w:tc>
        <w:tc>
          <w:tcPr>
            <w:tcW w:w="739" w:type="dxa"/>
            <w:noWrap/>
            <w:vAlign w:val="center"/>
          </w:tcPr>
          <w:p>
            <w:pPr>
              <w:pStyle w:val="6"/>
              <w:spacing w:before="0" w:after="0" w:line="240" w:lineRule="auto"/>
              <w:ind w:left="0" w:leftChars="0" w:firstLine="0" w:firstLineChars="0"/>
              <w:jc w:val="center"/>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0</w:t>
            </w: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8</w:t>
            </w:r>
          </w:p>
        </w:tc>
        <w:tc>
          <w:tcPr>
            <w:tcW w:w="978" w:type="dxa"/>
            <w:noWrap/>
            <w:vAlign w:val="center"/>
          </w:tcPr>
          <w:p>
            <w:pPr>
              <w:pStyle w:val="6"/>
              <w:spacing w:before="0" w:after="0" w:line="240" w:lineRule="auto"/>
              <w:ind w:left="0" w:leftChars="0" w:firstLine="0" w:firstLineChars="0"/>
              <w:jc w:val="center"/>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75" w:type="dxa"/>
            <w:vMerge w:val="continue"/>
            <w:noWrap/>
            <w:vAlign w:val="center"/>
          </w:tcPr>
          <w:p>
            <w:pPr>
              <w:spacing w:after="0" w:line="240" w:lineRule="auto"/>
              <w:rPr>
                <w:rFonts w:hint="eastAsia" w:ascii="宋体" w:hAnsi="宋体" w:eastAsia="宋体" w:cs="宋体"/>
                <w:b w:val="0"/>
                <w:bCs w:val="0"/>
                <w:i w:val="0"/>
                <w:iCs w:val="0"/>
                <w:color w:val="auto"/>
                <w:sz w:val="24"/>
                <w:szCs w:val="24"/>
                <w:highlight w:val="none"/>
              </w:rPr>
            </w:pPr>
          </w:p>
        </w:tc>
        <w:tc>
          <w:tcPr>
            <w:tcW w:w="771" w:type="dxa"/>
            <w:vMerge w:val="continue"/>
            <w:noWrap/>
            <w:vAlign w:val="center"/>
          </w:tcPr>
          <w:p>
            <w:pPr>
              <w:spacing w:after="0" w:line="240" w:lineRule="auto"/>
              <w:jc w:val="center"/>
              <w:rPr>
                <w:rFonts w:hint="eastAsia" w:ascii="宋体" w:hAnsi="宋体" w:eastAsia="宋体" w:cs="宋体"/>
                <w:b w:val="0"/>
                <w:bCs w:val="0"/>
                <w:i w:val="0"/>
                <w:iCs w:val="0"/>
                <w:color w:val="auto"/>
                <w:sz w:val="24"/>
                <w:szCs w:val="24"/>
                <w:highlight w:val="none"/>
              </w:rPr>
            </w:pPr>
          </w:p>
        </w:tc>
        <w:tc>
          <w:tcPr>
            <w:tcW w:w="1283" w:type="dxa"/>
            <w:vMerge w:val="continue"/>
            <w:noWrap/>
            <w:vAlign w:val="center"/>
          </w:tcPr>
          <w:p>
            <w:pPr>
              <w:spacing w:after="0" w:line="240" w:lineRule="auto"/>
              <w:jc w:val="both"/>
              <w:rPr>
                <w:rFonts w:hint="eastAsia" w:ascii="宋体" w:hAnsi="宋体" w:eastAsia="宋体" w:cs="宋体"/>
                <w:b w:val="0"/>
                <w:bCs w:val="0"/>
                <w:i w:val="0"/>
                <w:iCs w:val="0"/>
                <w:color w:val="auto"/>
                <w:sz w:val="24"/>
                <w:szCs w:val="24"/>
                <w:highlight w:val="none"/>
              </w:rPr>
            </w:pPr>
          </w:p>
        </w:tc>
        <w:tc>
          <w:tcPr>
            <w:tcW w:w="5452" w:type="dxa"/>
            <w:noWrap/>
            <w:vAlign w:val="center"/>
          </w:tcPr>
          <w:p>
            <w:pPr>
              <w:pStyle w:val="6"/>
              <w:spacing w:before="0" w:after="0" w:line="240" w:lineRule="auto"/>
              <w:ind w:left="0" w:leftChars="0" w:firstLine="0" w:firstLineChars="0"/>
              <w:rPr>
                <w:rFonts w:hint="eastAsia" w:ascii="宋体" w:hAnsi="宋体" w:eastAsia="宋体" w:cs="宋体"/>
                <w:b w:val="0"/>
                <w:bCs w:val="0"/>
                <w:i w:val="0"/>
                <w:iCs w:val="0"/>
                <w:color w:val="auto"/>
                <w:spacing w:val="5"/>
                <w:sz w:val="24"/>
                <w:szCs w:val="24"/>
                <w:highlight w:val="none"/>
                <w:lang w:val="en-US" w:eastAsia="zh-CN" w:bidi="ar-SA"/>
              </w:rPr>
            </w:pPr>
            <w:r>
              <w:rPr>
                <w:rFonts w:hint="eastAsia" w:ascii="宋体" w:hAnsi="宋体" w:eastAsia="宋体" w:cs="宋体"/>
                <w:b w:val="0"/>
                <w:bCs w:val="0"/>
                <w:i w:val="0"/>
                <w:iCs w:val="0"/>
                <w:color w:val="auto"/>
                <w:sz w:val="24"/>
                <w:szCs w:val="24"/>
                <w:highlight w:val="none"/>
              </w:rPr>
              <w:t>根据具有详细的本地化服务方案，根据其本地化服务方案的可行性、便捷性以及响应速度综合评定。</w:t>
            </w:r>
          </w:p>
        </w:tc>
        <w:tc>
          <w:tcPr>
            <w:tcW w:w="739" w:type="dxa"/>
            <w:noWrap/>
            <w:vAlign w:val="center"/>
          </w:tcPr>
          <w:p>
            <w:pPr>
              <w:pStyle w:val="6"/>
              <w:spacing w:before="0" w:after="0" w:line="240" w:lineRule="auto"/>
              <w:ind w:left="0" w:leftChars="0" w:firstLine="0" w:firstLineChars="0"/>
              <w:jc w:val="center"/>
              <w:rPr>
                <w:rFonts w:hint="eastAsia" w:ascii="宋体" w:hAnsi="宋体" w:eastAsia="宋体" w:cs="宋体"/>
                <w:b w:val="0"/>
                <w:bCs w:val="0"/>
                <w:i w:val="0"/>
                <w:iCs w:val="0"/>
                <w:color w:val="auto"/>
                <w:spacing w:val="5"/>
                <w:sz w:val="24"/>
                <w:szCs w:val="24"/>
                <w:highlight w:val="none"/>
                <w:lang w:val="en-US" w:eastAsia="zh-CN" w:bidi="ar-SA"/>
              </w:rPr>
            </w:pPr>
            <w:r>
              <w:rPr>
                <w:rFonts w:hint="eastAsia" w:ascii="宋体" w:hAnsi="宋体" w:eastAsia="宋体" w:cs="宋体"/>
                <w:b w:val="0"/>
                <w:bCs w:val="0"/>
                <w:i w:val="0"/>
                <w:iCs w:val="0"/>
                <w:color w:val="auto"/>
                <w:sz w:val="24"/>
                <w:szCs w:val="24"/>
                <w:highlight w:val="none"/>
                <w:lang w:val="en-US" w:eastAsia="zh-CN"/>
              </w:rPr>
              <w:t>0</w:t>
            </w: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8</w:t>
            </w:r>
          </w:p>
        </w:tc>
        <w:tc>
          <w:tcPr>
            <w:tcW w:w="978" w:type="dxa"/>
            <w:noWrap/>
            <w:vAlign w:val="center"/>
          </w:tcPr>
          <w:p>
            <w:pPr>
              <w:pStyle w:val="6"/>
              <w:spacing w:before="0" w:after="0" w:line="240" w:lineRule="auto"/>
              <w:ind w:left="0" w:leftChars="0" w:firstLine="0" w:firstLineChars="0"/>
              <w:jc w:val="center"/>
              <w:rPr>
                <w:rFonts w:hint="eastAsia" w:ascii="宋体" w:hAnsi="宋体" w:eastAsia="宋体" w:cs="宋体"/>
                <w:b w:val="0"/>
                <w:bCs w:val="0"/>
                <w:i w:val="0"/>
                <w:iCs w:val="0"/>
                <w:color w:val="auto"/>
                <w:spacing w:val="5"/>
                <w:sz w:val="24"/>
                <w:szCs w:val="24"/>
                <w:highlight w:val="none"/>
                <w:lang w:val="en-US" w:eastAsia="zh-CN" w:bidi="ar-SA"/>
              </w:rPr>
            </w:pPr>
            <w:r>
              <w:rPr>
                <w:rFonts w:hint="eastAsia" w:ascii="宋体" w:hAnsi="宋体" w:eastAsia="宋体" w:cs="宋体"/>
                <w:b w:val="0"/>
                <w:bCs w:val="0"/>
                <w:i w:val="0"/>
                <w:iCs w:val="0"/>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75" w:type="dxa"/>
            <w:vMerge w:val="continue"/>
            <w:noWrap/>
            <w:vAlign w:val="center"/>
          </w:tcPr>
          <w:p>
            <w:pPr>
              <w:spacing w:after="0" w:line="240" w:lineRule="auto"/>
              <w:rPr>
                <w:rFonts w:hint="eastAsia" w:ascii="宋体" w:hAnsi="宋体" w:eastAsia="宋体" w:cs="宋体"/>
                <w:b w:val="0"/>
                <w:bCs w:val="0"/>
                <w:i w:val="0"/>
                <w:iCs w:val="0"/>
                <w:color w:val="auto"/>
                <w:sz w:val="24"/>
                <w:szCs w:val="24"/>
                <w:highlight w:val="none"/>
              </w:rPr>
            </w:pPr>
          </w:p>
        </w:tc>
        <w:tc>
          <w:tcPr>
            <w:tcW w:w="771" w:type="dxa"/>
            <w:vMerge w:val="continue"/>
            <w:noWrap/>
            <w:vAlign w:val="center"/>
          </w:tcPr>
          <w:p>
            <w:pPr>
              <w:spacing w:after="0" w:line="240" w:lineRule="auto"/>
              <w:jc w:val="center"/>
              <w:rPr>
                <w:rFonts w:hint="eastAsia" w:ascii="宋体" w:hAnsi="宋体" w:eastAsia="宋体" w:cs="宋体"/>
                <w:b w:val="0"/>
                <w:bCs w:val="0"/>
                <w:i w:val="0"/>
                <w:iCs w:val="0"/>
                <w:color w:val="auto"/>
                <w:sz w:val="24"/>
                <w:szCs w:val="24"/>
                <w:highlight w:val="none"/>
              </w:rPr>
            </w:pPr>
          </w:p>
        </w:tc>
        <w:tc>
          <w:tcPr>
            <w:tcW w:w="1283" w:type="dxa"/>
            <w:vMerge w:val="continue"/>
            <w:noWrap/>
            <w:vAlign w:val="center"/>
          </w:tcPr>
          <w:p>
            <w:pPr>
              <w:spacing w:after="0" w:line="240" w:lineRule="auto"/>
              <w:jc w:val="both"/>
              <w:rPr>
                <w:rFonts w:hint="eastAsia" w:ascii="宋体" w:hAnsi="宋体" w:eastAsia="宋体" w:cs="宋体"/>
                <w:b w:val="0"/>
                <w:bCs w:val="0"/>
                <w:i w:val="0"/>
                <w:iCs w:val="0"/>
                <w:color w:val="auto"/>
                <w:sz w:val="24"/>
                <w:szCs w:val="24"/>
                <w:highlight w:val="none"/>
              </w:rPr>
            </w:pPr>
          </w:p>
        </w:tc>
        <w:tc>
          <w:tcPr>
            <w:tcW w:w="5452" w:type="dxa"/>
            <w:noWrap/>
            <w:vAlign w:val="center"/>
          </w:tcPr>
          <w:p>
            <w:pPr>
              <w:pStyle w:val="6"/>
              <w:spacing w:before="0" w:after="0" w:line="240" w:lineRule="auto"/>
              <w:ind w:left="0" w:leftChars="0" w:firstLine="0" w:firstLineChars="0"/>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增值（特色）服务、优惠措施等情况综合评定。</w:t>
            </w:r>
          </w:p>
        </w:tc>
        <w:tc>
          <w:tcPr>
            <w:tcW w:w="739" w:type="dxa"/>
            <w:noWrap/>
            <w:vAlign w:val="center"/>
          </w:tcPr>
          <w:p>
            <w:pPr>
              <w:pStyle w:val="6"/>
              <w:spacing w:before="0" w:after="0" w:line="240" w:lineRule="auto"/>
              <w:ind w:left="0" w:leftChars="0" w:firstLine="0" w:firstLineChars="0"/>
              <w:jc w:val="center"/>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0-</w:t>
            </w:r>
            <w:r>
              <w:rPr>
                <w:rFonts w:hint="eastAsia" w:ascii="宋体" w:hAnsi="宋体" w:eastAsia="宋体" w:cs="宋体"/>
                <w:b w:val="0"/>
                <w:bCs w:val="0"/>
                <w:i w:val="0"/>
                <w:iCs w:val="0"/>
                <w:color w:val="auto"/>
                <w:sz w:val="24"/>
                <w:szCs w:val="24"/>
                <w:highlight w:val="none"/>
                <w:lang w:val="en-US" w:eastAsia="zh-CN"/>
              </w:rPr>
              <w:t>6</w:t>
            </w:r>
          </w:p>
        </w:tc>
        <w:tc>
          <w:tcPr>
            <w:tcW w:w="978" w:type="dxa"/>
            <w:noWrap/>
            <w:vAlign w:val="center"/>
          </w:tcPr>
          <w:p>
            <w:pPr>
              <w:pStyle w:val="6"/>
              <w:spacing w:before="0" w:after="0" w:line="240" w:lineRule="auto"/>
              <w:ind w:left="0" w:leftChars="0" w:firstLine="0" w:firstLineChars="0"/>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主观分</w:t>
            </w:r>
          </w:p>
        </w:tc>
      </w:tr>
    </w:tbl>
    <w:p>
      <w:pPr>
        <w:widowControl/>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color w:val="auto"/>
          <w:sz w:val="24"/>
          <w:highlight w:val="none"/>
        </w:rPr>
        <w:t>备注：</w:t>
      </w:r>
      <w:r>
        <w:rPr>
          <w:rFonts w:hint="eastAsia" w:ascii="宋体" w:hAnsi="宋体" w:eastAsia="宋体" w:cs="宋体"/>
          <w:b w:val="0"/>
          <w:bCs w:val="0"/>
          <w:color w:val="auto"/>
          <w:sz w:val="24"/>
          <w:highlight w:val="none"/>
          <w:lang w:val="en-US" w:eastAsia="zh-CN"/>
        </w:rPr>
        <w:t>1、评分条款中涉及的业绩、荣誉、人员、社保等分公司均有效。</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2、响应</w:t>
      </w:r>
      <w:r>
        <w:rPr>
          <w:rFonts w:hint="eastAsia" w:ascii="宋体" w:hAnsi="宋体" w:eastAsia="宋体" w:cs="宋体"/>
          <w:color w:val="auto"/>
          <w:sz w:val="24"/>
          <w:highlight w:val="none"/>
        </w:rPr>
        <w:t>文件中如附有外文资料，必须逐一对应翻译成中文并加盖</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公章后附在相关外文资料后面，否则外文资料不予认可。翻译的中文资料与外文资料不符的，均不予认可。翻译严重错误的，将视同提供虚假资料。</w:t>
      </w:r>
    </w:p>
    <w:p>
      <w:pPr>
        <w:widowControl/>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编制</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文件（商务技术文件部分）时，建议按此目录（序号和内容）提供评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r>
        <w:rPr>
          <w:rFonts w:hint="eastAsia" w:ascii="宋体" w:hAnsi="宋体" w:eastAsia="宋体" w:cs="宋体"/>
          <w:color w:val="auto"/>
          <w:sz w:val="24"/>
          <w:highlight w:val="none"/>
          <w:lang w:eastAsia="zh-CN"/>
        </w:rPr>
        <w:t>。</w:t>
      </w:r>
    </w:p>
    <w:p>
      <w:pPr>
        <w:widowControl/>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价格分（</w:t>
      </w: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rPr>
        <w:t>分）</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w:t>
            </w:r>
          </w:p>
        </w:tc>
        <w:tc>
          <w:tcPr>
            <w:tcW w:w="69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6" w:hRule="atLeast"/>
          <w:jc w:val="center"/>
        </w:trPr>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价格权值=0.</w:t>
            </w:r>
            <w:r>
              <w:rPr>
                <w:rFonts w:hint="eastAsia" w:ascii="宋体" w:hAnsi="宋体" w:cs="宋体"/>
                <w:color w:val="auto"/>
                <w:sz w:val="24"/>
                <w:highlight w:val="none"/>
                <w:lang w:val="en-US" w:eastAsia="zh-CN"/>
              </w:rPr>
              <w:t>10</w:t>
            </w:r>
          </w:p>
        </w:tc>
        <w:tc>
          <w:tcPr>
            <w:tcW w:w="69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最低有效响应价格为评标基准价</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响应报价得分=(评标基准价／响应报价)×价格权值×100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tc>
      </w:tr>
    </w:tbl>
    <w:p>
      <w:pPr>
        <w:rPr>
          <w:rFonts w:hint="eastAsia" w:ascii="宋体" w:hAnsi="宋体" w:eastAsia="宋体" w:cs="宋体"/>
          <w:b/>
          <w:color w:val="auto"/>
          <w:sz w:val="32"/>
          <w:highlight w:val="none"/>
        </w:rPr>
        <w:sectPr>
          <w:footerReference r:id="rId8" w:type="first"/>
          <w:footerReference r:id="rId7" w:type="default"/>
          <w:pgSz w:w="11906" w:h="16838"/>
          <w:pgMar w:top="1276" w:right="1418" w:bottom="1247" w:left="1418" w:header="851" w:footer="992" w:gutter="0"/>
          <w:pgNumType w:fmt="decimal" w:start="2"/>
          <w:cols w:space="720" w:num="1"/>
          <w:docGrid w:linePitch="312" w:charSpace="0"/>
        </w:sectPr>
      </w:pPr>
      <w:r>
        <w:rPr>
          <w:rFonts w:hint="eastAsia" w:ascii="宋体" w:hAnsi="宋体" w:eastAsia="宋体" w:cs="宋体"/>
          <w:b/>
          <w:color w:val="auto"/>
          <w:sz w:val="32"/>
          <w:highlight w:val="none"/>
        </w:rPr>
        <w:br w:type="page"/>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方法</w:t>
      </w:r>
    </w:p>
    <w:p>
      <w:pPr>
        <w:pageBreakBefore w:val="0"/>
        <w:kinsoku/>
        <w:wordWrap/>
        <w:overflowPunct/>
        <w:topLinePunct w:val="0"/>
        <w:autoSpaceDE/>
        <w:autoSpaceDN/>
        <w:bidi w:val="0"/>
        <w:adjustRightInd/>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w:t>
      </w:r>
      <w:r>
        <w:rPr>
          <w:rFonts w:hint="eastAsia" w:ascii="宋体" w:hAnsi="宋体" w:cs="宋体"/>
          <w:b/>
          <w:color w:val="auto"/>
          <w:kern w:val="0"/>
          <w:sz w:val="24"/>
          <w:highlight w:val="none"/>
          <w:lang w:eastAsia="zh-CN"/>
        </w:rPr>
        <w:t>综合评分法</w:t>
      </w:r>
      <w:r>
        <w:rPr>
          <w:rFonts w:hint="eastAsia" w:ascii="宋体" w:hAnsi="宋体" w:eastAsia="宋体" w:cs="宋体"/>
          <w:b/>
          <w:color w:val="auto"/>
          <w:kern w:val="0"/>
          <w:sz w:val="24"/>
          <w:highlight w:val="none"/>
        </w:rPr>
        <w:t>。</w:t>
      </w:r>
      <w:r>
        <w:rPr>
          <w:rFonts w:hint="eastAsia" w:ascii="宋体" w:hAnsi="宋体" w:cs="宋体"/>
          <w:color w:val="auto"/>
          <w:kern w:val="0"/>
          <w:sz w:val="24"/>
          <w:highlight w:val="none"/>
          <w:lang w:eastAsia="zh-CN"/>
        </w:rPr>
        <w:t>综合评分法</w:t>
      </w:r>
      <w:r>
        <w:rPr>
          <w:rFonts w:hint="eastAsia" w:ascii="宋体" w:hAnsi="宋体" w:eastAsia="宋体" w:cs="宋体"/>
          <w:color w:val="auto"/>
          <w:kern w:val="0"/>
          <w:sz w:val="24"/>
          <w:highlight w:val="none"/>
        </w:rPr>
        <w:t>，是指</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的评标方法。</w:t>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标准</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w:t>
      </w:r>
      <w:r>
        <w:rPr>
          <w:rFonts w:hint="eastAsia" w:ascii="宋体" w:hAnsi="宋体" w:eastAsia="宋体" w:cs="宋体"/>
          <w:color w:val="auto"/>
          <w:kern w:val="0"/>
          <w:sz w:val="24"/>
          <w:highlight w:val="none"/>
          <w:lang w:eastAsia="zh-CN"/>
        </w:rPr>
        <w:t>交易办法</w:t>
      </w:r>
      <w:r>
        <w:rPr>
          <w:rFonts w:hint="eastAsia" w:ascii="宋体" w:hAnsi="宋体" w:eastAsia="宋体" w:cs="宋体"/>
          <w:color w:val="auto"/>
          <w:kern w:val="0"/>
          <w:sz w:val="24"/>
          <w:highlight w:val="none"/>
        </w:rPr>
        <w:t>前附表。</w:t>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程序</w:t>
      </w:r>
    </w:p>
    <w:p>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应当对符合资格的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进行符合性审查，以确定其是否满足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的实质性要求。不满足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的实质性要求的，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应当按照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中规定的评标方法和标准，对符合性审查合格的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进行商务和技术评估，综合比较与评价。</w:t>
      </w:r>
    </w:p>
    <w:p>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w:t>
      </w:r>
      <w:r>
        <w:rPr>
          <w:rFonts w:hint="eastAsia" w:ascii="宋体" w:hAnsi="宋体" w:eastAsia="宋体" w:cs="宋体"/>
          <w:color w:val="auto"/>
          <w:kern w:val="0"/>
          <w:sz w:val="24"/>
          <w:highlight w:val="none"/>
          <w:lang w:eastAsia="zh-CN"/>
        </w:rPr>
        <w:t>审</w:t>
      </w:r>
      <w:r>
        <w:rPr>
          <w:rFonts w:hint="eastAsia" w:ascii="宋体" w:hAnsi="宋体" w:eastAsia="宋体" w:cs="宋体"/>
          <w:color w:val="auto"/>
          <w:kern w:val="0"/>
          <w:sz w:val="24"/>
          <w:highlight w:val="none"/>
        </w:rPr>
        <w:t>委员会各成员应当独立对每个</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的商务和技术文件进行评价，并汇总商务技术得分情况。</w:t>
      </w:r>
    </w:p>
    <w:p>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3.4.1</w:t>
      </w:r>
      <w:r>
        <w:rPr>
          <w:rFonts w:hint="eastAsia" w:ascii="宋体" w:hAnsi="宋体" w:eastAsia="宋体" w:cs="宋体"/>
          <w:color w:val="auto"/>
          <w:kern w:val="0"/>
          <w:highlight w:val="none"/>
          <w:lang w:eastAsia="zh-CN"/>
        </w:rPr>
        <w:t>响应文件</w:t>
      </w:r>
      <w:r>
        <w:rPr>
          <w:rFonts w:hint="eastAsia" w:ascii="宋体" w:hAnsi="宋体" w:eastAsia="宋体" w:cs="宋体"/>
          <w:color w:val="auto"/>
          <w:kern w:val="0"/>
          <w:highlight w:val="none"/>
        </w:rPr>
        <w:t>报价出现前后不一致的，按照下列规定修正：</w:t>
      </w:r>
    </w:p>
    <w:p>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3.4.1.1</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(报价表)内容与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中相应内容不一致的，以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(报价表)为准</w:t>
      </w:r>
      <w:r>
        <w:rPr>
          <w:rFonts w:hint="eastAsia" w:ascii="宋体" w:hAnsi="宋体" w:eastAsia="宋体" w:cs="宋体"/>
          <w:color w:val="auto"/>
          <w:kern w:val="0"/>
          <w:szCs w:val="24"/>
          <w:highlight w:val="none"/>
          <w:lang w:eastAsia="zh-CN"/>
        </w:rPr>
        <w:t>；</w:t>
      </w:r>
    </w:p>
    <w:p>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的总价为准，并修改单价</w:t>
      </w:r>
      <w:r>
        <w:rPr>
          <w:rFonts w:hint="eastAsia" w:ascii="宋体" w:hAnsi="宋体" w:eastAsia="宋体" w:cs="宋体"/>
          <w:color w:val="auto"/>
          <w:kern w:val="0"/>
          <w:szCs w:val="24"/>
          <w:highlight w:val="none"/>
          <w:lang w:eastAsia="zh-CN"/>
        </w:rPr>
        <w:t>；</w:t>
      </w:r>
    </w:p>
    <w:p>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3.4.1.4总价金额与按单价汇总金额不一致的，以单价金额计算结果为准</w:t>
      </w:r>
      <w:r>
        <w:rPr>
          <w:rFonts w:hint="eastAsia" w:ascii="宋体" w:hAnsi="宋体" w:eastAsia="宋体" w:cs="宋体"/>
          <w:color w:val="auto"/>
          <w:kern w:val="0"/>
          <w:szCs w:val="24"/>
          <w:highlight w:val="none"/>
          <w:lang w:eastAsia="zh-CN"/>
        </w:rPr>
        <w:t>；</w:t>
      </w:r>
    </w:p>
    <w:p>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w:t>
      </w:r>
    </w:p>
    <w:p>
      <w:pPr>
        <w:pageBreakBefore w:val="0"/>
        <w:widowControl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ageBreakBefore w:val="0"/>
        <w:widowControl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认为</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的报价明显低于其他通过符合性审查</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不能证明其报价合理性的，</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应当将其作为无效投标处理。</w:t>
      </w:r>
    </w:p>
    <w:p>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w:t>
      </w:r>
      <w:r>
        <w:rPr>
          <w:rFonts w:hint="eastAsia" w:ascii="宋体" w:hAnsi="宋体" w:cs="宋体"/>
          <w:color w:val="auto"/>
          <w:kern w:val="0"/>
          <w:sz w:val="24"/>
          <w:highlight w:val="none"/>
          <w:lang w:eastAsia="zh-CN"/>
        </w:rPr>
        <w:t>综合评分法</w:t>
      </w:r>
      <w:r>
        <w:rPr>
          <w:rFonts w:hint="eastAsia" w:ascii="宋体" w:hAnsi="宋体" w:eastAsia="宋体" w:cs="宋体"/>
          <w:color w:val="auto"/>
          <w:kern w:val="0"/>
          <w:sz w:val="24"/>
          <w:highlight w:val="none"/>
        </w:rPr>
        <w:t>的，评标结果按评审后得分由高到低顺序排列。得分相同的，按</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由低到高顺序排列。得分且</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相同的并列。</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为排名第一的</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w:t>
      </w:r>
    </w:p>
    <w:p>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w:t>
      </w:r>
      <w:r>
        <w:rPr>
          <w:rFonts w:hint="eastAsia" w:ascii="宋体" w:hAnsi="宋体" w:eastAsia="宋体" w:cs="宋体"/>
          <w:b/>
          <w:color w:val="auto"/>
          <w:kern w:val="0"/>
          <w:sz w:val="24"/>
          <w:highlight w:val="none"/>
          <w:lang w:eastAsia="zh-CN"/>
        </w:rPr>
        <w:t>评审报告</w:t>
      </w:r>
      <w:r>
        <w:rPr>
          <w:rFonts w:hint="eastAsia" w:ascii="宋体" w:hAnsi="宋体" w:eastAsia="宋体" w:cs="宋体"/>
          <w:b/>
          <w:color w:val="auto"/>
          <w:kern w:val="0"/>
          <w:sz w:val="24"/>
          <w:highlight w:val="none"/>
        </w:rPr>
        <w:t>。</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根据全体评标成员签字的原始评标记录和评标结果编写</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成员对需要共同认定的事项存在争议的，应当按照少数服从多数的原则作出结论。持不同意见的</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成员应当在</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上签署不同意见及理由，否则视为同意</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w:t>
      </w:r>
    </w:p>
    <w:p>
      <w:pPr>
        <w:pageBreakBefore w:val="0"/>
        <w:widowControl w:val="0"/>
        <w:kinsoku/>
        <w:wordWrap/>
        <w:overflowPunct/>
        <w:topLinePunct w:val="0"/>
        <w:autoSpaceDE/>
        <w:autoSpaceDN/>
        <w:bidi w:val="0"/>
        <w:snapToGrid w:val="0"/>
        <w:spacing w:line="57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四、评标中的其他事项</w:t>
      </w:r>
    </w:p>
    <w:p>
      <w:pPr>
        <w:pStyle w:val="140"/>
        <w:pageBreakBefore w:val="0"/>
        <w:widowControl w:val="0"/>
        <w:kinsoku/>
        <w:wordWrap/>
        <w:overflowPunct/>
        <w:topLinePunct w:val="0"/>
        <w:autoSpaceDE/>
        <w:autoSpaceDN/>
        <w:bidi w:val="0"/>
        <w:spacing w:before="0" w:line="570" w:lineRule="exact"/>
        <w:ind w:left="0" w:leftChars="0" w:firstLine="482" w:firstLineChars="200"/>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w:t>
      </w:r>
      <w:r>
        <w:rPr>
          <w:rFonts w:hint="eastAsia" w:ascii="宋体" w:hAnsi="宋体" w:eastAsia="宋体" w:cs="宋体"/>
          <w:b/>
          <w:color w:val="auto"/>
          <w:kern w:val="0"/>
          <w:szCs w:val="24"/>
          <w:highlight w:val="none"/>
          <w:lang w:eastAsia="zh-CN"/>
        </w:rPr>
        <w:t>响应人</w:t>
      </w:r>
      <w:r>
        <w:rPr>
          <w:rFonts w:hint="eastAsia" w:ascii="宋体" w:hAnsi="宋体" w:eastAsia="宋体" w:cs="宋体"/>
          <w:b/>
          <w:color w:val="auto"/>
          <w:kern w:val="0"/>
          <w:szCs w:val="24"/>
          <w:highlight w:val="none"/>
        </w:rPr>
        <w:t>澄清、说明或者补正。</w:t>
      </w:r>
      <w:r>
        <w:rPr>
          <w:rFonts w:hint="eastAsia" w:ascii="宋体" w:hAnsi="宋体" w:eastAsia="宋体" w:cs="宋体"/>
          <w:color w:val="auto"/>
          <w:kern w:val="0"/>
          <w:szCs w:val="24"/>
          <w:highlight w:val="none"/>
        </w:rPr>
        <w:t>对于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中含义不明确、同类问题表述不一致或者有明显文字和计算错误的内容需要</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作出必要的澄清、说明或者补正的，</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和</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通过电子交易平台交换数据电文，</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提交使用电子签名的相关数据电文或通过平台上传加盖公章的扫描件。给予</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提交澄清、说明或补正的时间不得少于半小时，</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已经明确表示澄清说明或补正完毕的除外。</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的澄清、说明或者补正不得超出</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的范围或者改变</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的实质性内容。</w:t>
      </w:r>
    </w:p>
    <w:p>
      <w:pPr>
        <w:pStyle w:val="25"/>
        <w:pageBreakBefore w:val="0"/>
        <w:widowControl w:val="0"/>
        <w:kinsoku/>
        <w:wordWrap/>
        <w:overflowPunct/>
        <w:topLinePunct w:val="0"/>
        <w:autoSpaceDE/>
        <w:autoSpaceDN/>
        <w:bidi w:val="0"/>
        <w:spacing w:line="570" w:lineRule="exact"/>
        <w:textAlignment w:val="auto"/>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w:t>
      </w:r>
      <w:r>
        <w:rPr>
          <w:rFonts w:hint="eastAsia" w:ascii="宋体" w:hAnsi="宋体" w:eastAsia="宋体" w:cs="宋体"/>
          <w:b/>
          <w:color w:val="auto"/>
          <w:kern w:val="0"/>
          <w:highlight w:val="none"/>
          <w:lang w:eastAsia="zh-CN"/>
        </w:rPr>
        <w:t>交易无效</w:t>
      </w:r>
      <w:r>
        <w:rPr>
          <w:rFonts w:hint="eastAsia" w:ascii="宋体" w:hAnsi="宋体" w:eastAsia="宋体" w:cs="宋体"/>
          <w:b/>
          <w:color w:val="auto"/>
          <w:kern w:val="0"/>
          <w:highlight w:val="none"/>
        </w:rPr>
        <w:t>。</w:t>
      </w:r>
      <w:r>
        <w:rPr>
          <w:rFonts w:hint="eastAsia" w:ascii="宋体" w:hAnsi="宋体" w:eastAsia="宋体" w:cs="宋体"/>
          <w:color w:val="auto"/>
          <w:szCs w:val="21"/>
          <w:highlight w:val="none"/>
        </w:rPr>
        <w:t>有下列情形之一的，</w:t>
      </w:r>
      <w:r>
        <w:rPr>
          <w:rFonts w:hint="eastAsia" w:ascii="宋体" w:hAnsi="宋体" w:eastAsia="宋体" w:cs="宋体"/>
          <w:color w:val="auto"/>
          <w:szCs w:val="21"/>
          <w:highlight w:val="none"/>
          <w:lang w:eastAsia="zh-CN"/>
        </w:rPr>
        <w:t>交易无效</w:t>
      </w:r>
      <w:r>
        <w:rPr>
          <w:rFonts w:hint="eastAsia" w:ascii="宋体" w:hAnsi="宋体" w:eastAsia="宋体" w:cs="宋体"/>
          <w:color w:val="auto"/>
          <w:szCs w:val="21"/>
          <w:highlight w:val="none"/>
        </w:rPr>
        <w:t>：</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中规定的资格要求的（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未提供有效的资格文件的，视为</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中规定的资格要求）；</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未按照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要求签署、盖章的；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含有</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不能接受的附加条件的；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中承诺的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少于</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中载明的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的；</w:t>
      </w:r>
    </w:p>
    <w:p>
      <w:pPr>
        <w:pageBreakBefore w:val="0"/>
        <w:widowControl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4.2.</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报价明显低于其他通过符合性审查</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对根据修正原则修正后的报价不确认的；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提供虚假材料投标的；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有恶意串通、妨碍其他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的竞争行为、损害</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或者其他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的合法权益情形的；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未在电子交易平台传输递交</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Style w:val="3"/>
        <w:pageBreakBefore w:val="0"/>
        <w:widowControl w:val="0"/>
        <w:kinsoku/>
        <w:wordWrap/>
        <w:overflowPunct/>
        <w:topLinePunct w:val="0"/>
        <w:autoSpaceDE/>
        <w:autoSpaceDN/>
        <w:bidi w:val="0"/>
        <w:spacing w:line="570" w:lineRule="exact"/>
        <w:ind w:left="433" w:leftChars="202" w:hanging="9" w:hangingChars="4"/>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2响应文件</w:t>
      </w:r>
      <w:r>
        <w:rPr>
          <w:rFonts w:hint="eastAsia" w:ascii="宋体" w:hAnsi="宋体" w:eastAsia="宋体" w:cs="宋体"/>
          <w:b w:val="0"/>
          <w:bCs w:val="0"/>
          <w:color w:val="auto"/>
          <w:kern w:val="0"/>
          <w:sz w:val="24"/>
          <w:szCs w:val="24"/>
          <w:highlight w:val="none"/>
          <w:lang w:val="en-US"/>
        </w:rPr>
        <w:t>不满足</w:t>
      </w:r>
      <w:r>
        <w:rPr>
          <w:rFonts w:hint="eastAsia" w:ascii="宋体" w:hAnsi="宋体" w:eastAsia="宋体" w:cs="宋体"/>
          <w:b w:val="0"/>
          <w:bCs w:val="0"/>
          <w:color w:val="auto"/>
          <w:kern w:val="0"/>
          <w:sz w:val="24"/>
          <w:szCs w:val="24"/>
          <w:highlight w:val="none"/>
          <w:lang w:val="en-US" w:eastAsia="zh-CN"/>
        </w:rPr>
        <w:t>公开竞争文件</w:t>
      </w:r>
      <w:r>
        <w:rPr>
          <w:rFonts w:hint="eastAsia" w:ascii="宋体" w:hAnsi="宋体" w:eastAsia="宋体" w:cs="宋体"/>
          <w:b w:val="0"/>
          <w:bCs w:val="0"/>
          <w:color w:val="auto"/>
          <w:kern w:val="0"/>
          <w:sz w:val="24"/>
          <w:szCs w:val="24"/>
          <w:highlight w:val="none"/>
          <w:lang w:val="en-US"/>
        </w:rPr>
        <w:t>的其它实质性要求的；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法律、法规、规章（适用本市的）及省级以上规范性文件（适用本市的）规定的其他无效情形。</w:t>
      </w:r>
    </w:p>
    <w:p>
      <w:pPr>
        <w:pStyle w:val="25"/>
        <w:pageBreakBefore w:val="0"/>
        <w:widowControl w:val="0"/>
        <w:kinsoku/>
        <w:wordWrap/>
        <w:overflowPunct/>
        <w:topLinePunct w:val="0"/>
        <w:autoSpaceDE/>
        <w:autoSpaceDN/>
        <w:bidi w:val="0"/>
        <w:snapToGrid w:val="0"/>
        <w:spacing w:line="57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在</w:t>
      </w:r>
      <w:r>
        <w:rPr>
          <w:rFonts w:hint="eastAsia" w:ascii="宋体" w:hAnsi="宋体" w:eastAsia="宋体" w:cs="宋体"/>
          <w:color w:val="auto"/>
          <w:highlight w:val="none"/>
          <w:lang w:eastAsia="zh-CN"/>
        </w:rPr>
        <w:t>交易过程</w:t>
      </w:r>
      <w:r>
        <w:rPr>
          <w:rFonts w:hint="eastAsia" w:ascii="宋体" w:hAnsi="宋体" w:eastAsia="宋体" w:cs="宋体"/>
          <w:color w:val="auto"/>
          <w:highlight w:val="none"/>
        </w:rPr>
        <w:t>中，出现下列情形之一的，应予废标：</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或者对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作实质响应的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不足3家的；</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5.3</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的报价均超过了采购预算，</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不能支付的；</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应当将废标理由通知所有</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w:t>
      </w:r>
    </w:p>
    <w:p>
      <w:pPr>
        <w:pStyle w:val="25"/>
        <w:pageBreakBefore w:val="0"/>
        <w:widowControl w:val="0"/>
        <w:kinsoku/>
        <w:wordWrap/>
        <w:overflowPunct/>
        <w:topLinePunct w:val="0"/>
        <w:autoSpaceDE/>
        <w:autoSpaceDN/>
        <w:bidi w:val="0"/>
        <w:snapToGrid w:val="0"/>
        <w:spacing w:line="57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w:t>
      </w:r>
      <w:r>
        <w:rPr>
          <w:rFonts w:hint="eastAsia" w:ascii="宋体" w:hAnsi="宋体" w:eastAsia="宋体" w:cs="宋体"/>
          <w:b/>
          <w:color w:val="auto"/>
          <w:highlight w:val="none"/>
          <w:lang w:eastAsia="zh-CN"/>
        </w:rPr>
        <w:t>公开竞争文件</w:t>
      </w:r>
      <w:r>
        <w:rPr>
          <w:rFonts w:hint="eastAsia" w:ascii="宋体" w:hAnsi="宋体" w:eastAsia="宋体" w:cs="宋体"/>
          <w:b/>
          <w:color w:val="auto"/>
          <w:highlight w:val="none"/>
        </w:rPr>
        <w:t>，重新组织</w:t>
      </w:r>
      <w:r>
        <w:rPr>
          <w:rFonts w:hint="eastAsia" w:ascii="宋体" w:hAnsi="宋体" w:eastAsia="宋体" w:cs="宋体"/>
          <w:b/>
          <w:color w:val="auto"/>
          <w:highlight w:val="none"/>
          <w:lang w:eastAsia="zh-CN"/>
        </w:rPr>
        <w:t>交易</w:t>
      </w:r>
      <w:r>
        <w:rPr>
          <w:rFonts w:hint="eastAsia" w:ascii="宋体" w:hAnsi="宋体" w:eastAsia="宋体" w:cs="宋体"/>
          <w:b/>
          <w:color w:val="auto"/>
          <w:highlight w:val="none"/>
        </w:rPr>
        <w:t>活动。</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发现</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存在歧义、重大缺陷导致评标工作无法进行，或者</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内容违反国家有关强制性规定的，将停止评</w:t>
      </w:r>
      <w:r>
        <w:rPr>
          <w:rFonts w:hint="eastAsia" w:ascii="宋体" w:hAnsi="宋体" w:eastAsia="宋体" w:cs="宋体"/>
          <w:color w:val="auto"/>
          <w:highlight w:val="none"/>
          <w:lang w:eastAsia="zh-CN"/>
        </w:rPr>
        <w:t>审</w:t>
      </w:r>
      <w:r>
        <w:rPr>
          <w:rFonts w:hint="eastAsia" w:ascii="宋体" w:hAnsi="宋体" w:eastAsia="宋体" w:cs="宋体"/>
          <w:color w:val="auto"/>
          <w:highlight w:val="none"/>
        </w:rPr>
        <w:t>工作，并与</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沟通并作书面记录。</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确认后，将修改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，重新组织</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活动。</w:t>
      </w:r>
    </w:p>
    <w:p>
      <w:pPr>
        <w:pStyle w:val="25"/>
        <w:pageBreakBefore w:val="0"/>
        <w:widowControl w:val="0"/>
        <w:kinsoku/>
        <w:wordWrap/>
        <w:overflowPunct/>
        <w:topLinePunct w:val="0"/>
        <w:autoSpaceDE/>
        <w:autoSpaceDN/>
        <w:bidi w:val="0"/>
        <w:snapToGrid w:val="0"/>
        <w:spacing w:line="57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w:t>
      </w:r>
      <w:r>
        <w:rPr>
          <w:rFonts w:hint="eastAsia" w:ascii="宋体" w:hAnsi="宋体" w:eastAsia="宋体" w:cs="宋体"/>
          <w:b/>
          <w:color w:val="auto"/>
          <w:kern w:val="0"/>
          <w:highlight w:val="none"/>
          <w:lang w:val="en-US" w:eastAsia="zh-CN"/>
        </w:rPr>
        <w:t>交易</w:t>
      </w:r>
      <w:r>
        <w:rPr>
          <w:rFonts w:hint="eastAsia" w:ascii="宋体" w:hAnsi="宋体" w:eastAsia="宋体" w:cs="宋体"/>
          <w:b/>
          <w:color w:val="auto"/>
          <w:kern w:val="0"/>
          <w:highlight w:val="none"/>
        </w:rPr>
        <w:t>。</w:t>
      </w:r>
      <w:r>
        <w:rPr>
          <w:rFonts w:hint="eastAsia" w:ascii="宋体" w:hAnsi="宋体" w:eastAsia="宋体" w:cs="宋体"/>
          <w:color w:val="auto"/>
          <w:highlight w:val="none"/>
        </w:rPr>
        <w:t>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、成交结果的，依照下列规定处理：</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的，终止本次</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但尚未签订合同的，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7.3</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合同已签订但尚未履行的，撤销合同，从合格的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7.4</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合同已经履行，给</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造成损失的，由责任人承担赔偿责任。</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color w:val="auto"/>
          <w:highlight w:val="none"/>
        </w:rPr>
        <w:sectPr>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color w:val="auto"/>
          <w:highlight w:val="none"/>
        </w:rPr>
        <w:t>7.5</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当事人有其他违反</w:t>
      </w:r>
      <w:r>
        <w:rPr>
          <w:rFonts w:hint="eastAsia" w:ascii="宋体" w:hAnsi="宋体" w:eastAsia="宋体" w:cs="宋体"/>
          <w:color w:val="auto"/>
          <w:kern w:val="0"/>
          <w:highlight w:val="none"/>
        </w:rPr>
        <w:t>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、成交无效的，依照7.1-7.4规定处理。</w:t>
      </w:r>
    </w:p>
    <w:p>
      <w:pPr>
        <w:rPr>
          <w:color w:val="auto"/>
          <w:highlight w:val="none"/>
        </w:rPr>
      </w:pPr>
    </w:p>
    <w:p>
      <w:pPr>
        <w:numPr>
          <w:ilvl w:val="0"/>
          <w:numId w:val="0"/>
        </w:numPr>
        <w:spacing w:line="360" w:lineRule="auto"/>
        <w:ind w:left="718" w:leftChars="342" w:firstLine="119" w:firstLineChars="33"/>
        <w:jc w:val="center"/>
        <w:outlineLvl w:val="0"/>
        <w:rPr>
          <w:rFonts w:hint="default" w:ascii="宋体" w:hAnsi="宋体" w:eastAsia="宋体" w:cs="宋体"/>
          <w:b/>
          <w:bCs/>
          <w:color w:val="auto"/>
          <w:sz w:val="36"/>
          <w:szCs w:val="36"/>
          <w:highlight w:val="none"/>
          <w:u w:val="single"/>
          <w:lang w:val="en-US" w:eastAsia="zh-CN"/>
        </w:rPr>
      </w:pPr>
      <w:r>
        <w:rPr>
          <w:rFonts w:hint="eastAsia" w:ascii="宋体" w:hAnsi="宋体" w:eastAsia="宋体" w:cs="宋体"/>
          <w:b/>
          <w:bCs/>
          <w:color w:val="auto"/>
          <w:kern w:val="2"/>
          <w:sz w:val="36"/>
          <w:szCs w:val="36"/>
          <w:highlight w:val="none"/>
          <w:lang w:val="en-US" w:eastAsia="zh-CN" w:bidi="ar-SA"/>
        </w:rPr>
        <w:t>第五部分</w:t>
      </w:r>
      <w:r>
        <w:rPr>
          <w:rFonts w:hint="eastAsia" w:ascii="宋体" w:hAnsi="宋体" w:cs="宋体"/>
          <w:b/>
          <w:bCs/>
          <w:color w:val="auto"/>
          <w:kern w:val="2"/>
          <w:sz w:val="36"/>
          <w:szCs w:val="36"/>
          <w:highlight w:val="none"/>
          <w:lang w:val="en-US" w:eastAsia="zh-CN" w:bidi="ar-SA"/>
        </w:rPr>
        <w:t xml:space="preserve"> </w:t>
      </w:r>
      <w:r>
        <w:rPr>
          <w:rFonts w:hint="eastAsia" w:ascii="宋体" w:hAnsi="宋体" w:cs="宋体"/>
          <w:b/>
          <w:bCs/>
          <w:color w:val="auto"/>
          <w:sz w:val="36"/>
          <w:szCs w:val="36"/>
          <w:highlight w:val="none"/>
        </w:rPr>
        <w:t>合同文本</w:t>
      </w:r>
    </w:p>
    <w:p>
      <w:pPr>
        <w:widowControl/>
        <w:snapToGrid w:val="0"/>
        <w:spacing w:line="348" w:lineRule="auto"/>
        <w:rPr>
          <w:rFonts w:ascii="宋体" w:hAnsi="宋体" w:cs="宋体"/>
          <w:bCs/>
          <w:color w:val="auto"/>
          <w:sz w:val="28"/>
          <w:szCs w:val="28"/>
          <w:highlight w:val="none"/>
        </w:rPr>
      </w:pPr>
      <w:r>
        <w:rPr>
          <w:rFonts w:hint="eastAsia" w:ascii="宋体" w:hAnsi="宋体" w:cs="宋体"/>
          <w:bCs/>
          <w:color w:val="auto"/>
          <w:sz w:val="28"/>
          <w:szCs w:val="28"/>
          <w:highlight w:val="none"/>
        </w:rPr>
        <w:t>合同编号：</w:t>
      </w:r>
    </w:p>
    <w:p>
      <w:pPr>
        <w:spacing w:line="480" w:lineRule="auto"/>
        <w:jc w:val="center"/>
        <w:rPr>
          <w:rFonts w:ascii="宋体" w:hAnsi="宋体" w:cs="仿宋"/>
          <w:b/>
          <w:color w:val="auto"/>
          <w:sz w:val="36"/>
          <w:szCs w:val="36"/>
          <w:highlight w:val="none"/>
        </w:rPr>
      </w:pPr>
      <w:r>
        <w:rPr>
          <w:rFonts w:hint="eastAsia" w:ascii="宋体" w:hAnsi="宋体" w:cs="仿宋"/>
          <w:b/>
          <w:color w:val="auto"/>
          <w:sz w:val="36"/>
          <w:szCs w:val="36"/>
          <w:highlight w:val="none"/>
        </w:rPr>
        <w:t>采购合同参考范本</w:t>
      </w:r>
    </w:p>
    <w:p>
      <w:pPr>
        <w:spacing w:line="480" w:lineRule="auto"/>
        <w:jc w:val="center"/>
        <w:rPr>
          <w:rFonts w:ascii="宋体" w:hAnsi="宋体" w:cs="仿宋"/>
          <w:b/>
          <w:color w:val="auto"/>
          <w:sz w:val="36"/>
          <w:szCs w:val="36"/>
          <w:highlight w:val="none"/>
        </w:rPr>
      </w:pPr>
      <w:r>
        <w:rPr>
          <w:rFonts w:hint="eastAsia" w:ascii="宋体" w:hAnsi="宋体" w:cs="仿宋"/>
          <w:b/>
          <w:color w:val="auto"/>
          <w:sz w:val="36"/>
          <w:szCs w:val="36"/>
          <w:highlight w:val="none"/>
        </w:rPr>
        <w:t>（服务类）</w:t>
      </w:r>
    </w:p>
    <w:p>
      <w:pPr>
        <w:pStyle w:val="709"/>
        <w:rPr>
          <w:rFonts w:ascii="宋体" w:hAnsi="宋体" w:cs="仿宋"/>
          <w:color w:val="auto"/>
          <w:szCs w:val="24"/>
          <w:highlight w:val="none"/>
        </w:rPr>
      </w:pPr>
    </w:p>
    <w:p>
      <w:pPr>
        <w:pStyle w:val="709"/>
        <w:ind w:firstLine="560"/>
        <w:rPr>
          <w:rFonts w:ascii="宋体" w:hAnsi="宋体" w:cs="仿宋"/>
          <w:color w:val="auto"/>
          <w:sz w:val="28"/>
          <w:szCs w:val="28"/>
          <w:highlight w:val="none"/>
        </w:rPr>
      </w:pPr>
    </w:p>
    <w:p>
      <w:pPr>
        <w:pStyle w:val="709"/>
        <w:ind w:firstLine="562"/>
        <w:jc w:val="center"/>
        <w:rPr>
          <w:rFonts w:ascii="宋体" w:hAnsi="宋体" w:cs="仿宋"/>
          <w:b/>
          <w:color w:val="auto"/>
          <w:sz w:val="28"/>
          <w:szCs w:val="28"/>
          <w:highlight w:val="none"/>
        </w:rPr>
      </w:pPr>
      <w:r>
        <w:rPr>
          <w:rFonts w:hint="eastAsia" w:ascii="宋体" w:hAnsi="宋体" w:cs="仿宋"/>
          <w:b/>
          <w:color w:val="auto"/>
          <w:sz w:val="28"/>
          <w:szCs w:val="28"/>
          <w:highlight w:val="none"/>
        </w:rPr>
        <w:t>第一部分 合同书</w:t>
      </w:r>
    </w:p>
    <w:p>
      <w:pPr>
        <w:pStyle w:val="709"/>
        <w:ind w:firstLine="560"/>
        <w:rPr>
          <w:rFonts w:ascii="宋体" w:hAnsi="宋体" w:cs="仿宋"/>
          <w:color w:val="auto"/>
          <w:sz w:val="28"/>
          <w:szCs w:val="28"/>
          <w:highlight w:val="none"/>
        </w:rPr>
      </w:pPr>
    </w:p>
    <w:p>
      <w:pPr>
        <w:pStyle w:val="709"/>
        <w:ind w:firstLine="560"/>
        <w:rPr>
          <w:rFonts w:ascii="宋体" w:hAnsi="宋体" w:cs="仿宋"/>
          <w:color w:val="auto"/>
          <w:sz w:val="28"/>
          <w:szCs w:val="28"/>
          <w:highlight w:val="none"/>
        </w:rPr>
      </w:pPr>
    </w:p>
    <w:p>
      <w:pPr>
        <w:spacing w:before="120" w:line="22" w:lineRule="atLeast"/>
        <w:rPr>
          <w:rFonts w:ascii="宋体" w:hAnsi="宋体" w:cs="仿宋"/>
          <w:color w:val="auto"/>
          <w:sz w:val="28"/>
          <w:szCs w:val="28"/>
          <w:highlight w:val="none"/>
        </w:rPr>
      </w:pPr>
    </w:p>
    <w:p>
      <w:pPr>
        <w:spacing w:before="120" w:line="22" w:lineRule="atLeast"/>
        <w:ind w:left="960"/>
        <w:rPr>
          <w:rFonts w:ascii="宋体" w:hAnsi="宋体" w:cs="仿宋"/>
          <w:color w:val="auto"/>
          <w:sz w:val="28"/>
          <w:szCs w:val="28"/>
          <w:highlight w:val="none"/>
        </w:rPr>
      </w:pPr>
      <w:r>
        <w:rPr>
          <w:rFonts w:hint="eastAsia" w:ascii="宋体" w:hAnsi="宋体" w:cs="仿宋"/>
          <w:color w:val="auto"/>
          <w:sz w:val="28"/>
          <w:szCs w:val="28"/>
          <w:highlight w:val="none"/>
        </w:rPr>
        <w:t>项目名称：</w:t>
      </w:r>
    </w:p>
    <w:p>
      <w:pPr>
        <w:pStyle w:val="606"/>
        <w:spacing w:before="120" w:line="22" w:lineRule="atLeast"/>
        <w:rPr>
          <w:rFonts w:ascii="宋体" w:hAnsi="宋体" w:eastAsia="宋体" w:cs="仿宋"/>
          <w:color w:val="auto"/>
          <w:sz w:val="28"/>
          <w:szCs w:val="28"/>
          <w:highlight w:val="none"/>
        </w:rPr>
      </w:pPr>
    </w:p>
    <w:p>
      <w:pPr>
        <w:pStyle w:val="606"/>
        <w:spacing w:before="120" w:line="22" w:lineRule="atLeast"/>
        <w:rPr>
          <w:rFonts w:ascii="宋体" w:hAnsi="宋体" w:eastAsia="宋体" w:cs="仿宋"/>
          <w:color w:val="auto"/>
          <w:sz w:val="28"/>
          <w:szCs w:val="28"/>
          <w:highlight w:val="none"/>
        </w:rPr>
      </w:pPr>
    </w:p>
    <w:p>
      <w:pPr>
        <w:rPr>
          <w:rFonts w:ascii="宋体" w:hAnsi="宋体" w:cs="仿宋"/>
          <w:color w:val="auto"/>
          <w:sz w:val="28"/>
          <w:szCs w:val="28"/>
          <w:highlight w:val="none"/>
        </w:rPr>
      </w:pPr>
    </w:p>
    <w:p>
      <w:pPr>
        <w:spacing w:before="120" w:line="22" w:lineRule="atLeast"/>
        <w:ind w:left="960"/>
        <w:rPr>
          <w:rFonts w:ascii="宋体" w:hAnsi="宋体" w:cs="仿宋"/>
          <w:color w:val="auto"/>
          <w:sz w:val="28"/>
          <w:szCs w:val="28"/>
          <w:highlight w:val="none"/>
          <w:u w:val="single"/>
        </w:rPr>
      </w:pPr>
      <w:r>
        <w:rPr>
          <w:rFonts w:hint="eastAsia" w:ascii="宋体" w:hAnsi="宋体" w:cs="仿宋"/>
          <w:color w:val="auto"/>
          <w:sz w:val="28"/>
          <w:szCs w:val="28"/>
          <w:highlight w:val="none"/>
        </w:rPr>
        <w:t>甲方：</w:t>
      </w:r>
    </w:p>
    <w:p>
      <w:pPr>
        <w:spacing w:before="120" w:line="22" w:lineRule="atLeast"/>
        <w:rPr>
          <w:rFonts w:ascii="宋体" w:hAnsi="宋体" w:cs="仿宋"/>
          <w:color w:val="auto"/>
          <w:sz w:val="28"/>
          <w:szCs w:val="28"/>
          <w:highlight w:val="none"/>
        </w:rPr>
      </w:pPr>
    </w:p>
    <w:p>
      <w:pPr>
        <w:spacing w:before="120" w:line="22" w:lineRule="atLeast"/>
        <w:ind w:left="960"/>
        <w:rPr>
          <w:rFonts w:hint="eastAsia" w:ascii="宋体" w:hAnsi="宋体" w:cs="仿宋"/>
          <w:color w:val="auto"/>
          <w:sz w:val="28"/>
          <w:szCs w:val="28"/>
          <w:highlight w:val="none"/>
        </w:rPr>
      </w:pPr>
      <w:r>
        <w:rPr>
          <w:rFonts w:hint="eastAsia" w:ascii="宋体" w:hAnsi="宋体" w:cs="仿宋"/>
          <w:color w:val="auto"/>
          <w:sz w:val="28"/>
          <w:szCs w:val="28"/>
          <w:highlight w:val="none"/>
        </w:rPr>
        <w:t>乙方：</w:t>
      </w:r>
    </w:p>
    <w:p>
      <w:pPr>
        <w:spacing w:before="120" w:line="22" w:lineRule="atLeast"/>
        <w:ind w:left="960"/>
        <w:rPr>
          <w:rFonts w:hint="eastAsia" w:ascii="宋体" w:hAnsi="宋体" w:cs="仿宋"/>
          <w:color w:val="auto"/>
          <w:sz w:val="28"/>
          <w:szCs w:val="28"/>
          <w:highlight w:val="none"/>
        </w:rPr>
      </w:pPr>
    </w:p>
    <w:p>
      <w:pPr>
        <w:spacing w:before="120" w:line="22" w:lineRule="atLeast"/>
        <w:ind w:left="960"/>
        <w:rPr>
          <w:rFonts w:hint="eastAsia" w:ascii="宋体" w:hAnsi="宋体" w:cs="仿宋"/>
          <w:color w:val="auto"/>
          <w:sz w:val="28"/>
          <w:szCs w:val="28"/>
          <w:highlight w:val="none"/>
        </w:rPr>
      </w:pPr>
      <w:r>
        <w:rPr>
          <w:rFonts w:hint="eastAsia" w:ascii="宋体" w:hAnsi="宋体" w:cs="仿宋"/>
          <w:color w:val="auto"/>
          <w:sz w:val="28"/>
          <w:szCs w:val="28"/>
          <w:highlight w:val="none"/>
        </w:rPr>
        <w:t>签订地：</w:t>
      </w:r>
    </w:p>
    <w:p>
      <w:pPr>
        <w:spacing w:before="120" w:line="22" w:lineRule="atLeast"/>
        <w:ind w:left="960"/>
        <w:rPr>
          <w:rFonts w:hint="eastAsia" w:ascii="宋体" w:hAnsi="宋体" w:cs="仿宋"/>
          <w:color w:val="auto"/>
          <w:sz w:val="28"/>
          <w:szCs w:val="28"/>
          <w:highlight w:val="none"/>
        </w:rPr>
      </w:pPr>
    </w:p>
    <w:p>
      <w:pPr>
        <w:spacing w:before="120" w:line="22" w:lineRule="atLeast"/>
        <w:ind w:left="960"/>
        <w:rPr>
          <w:rFonts w:ascii="宋体" w:hAnsi="宋体" w:cs="仿宋"/>
          <w:color w:val="auto"/>
          <w:sz w:val="28"/>
          <w:szCs w:val="28"/>
          <w:highlight w:val="none"/>
          <w:u w:val="single"/>
        </w:rPr>
      </w:pPr>
      <w:r>
        <w:rPr>
          <w:rFonts w:hint="eastAsia" w:ascii="宋体" w:hAnsi="宋体" w:cs="仿宋"/>
          <w:color w:val="auto"/>
          <w:sz w:val="28"/>
          <w:szCs w:val="28"/>
          <w:highlight w:val="none"/>
        </w:rPr>
        <w:t>签订日期：年 月 日</w:t>
      </w:r>
    </w:p>
    <w:p>
      <w:pPr>
        <w:widowControl/>
        <w:jc w:val="left"/>
        <w:rPr>
          <w:rFonts w:ascii="宋体" w:hAnsi="宋体" w:cs="仿宋"/>
          <w:color w:val="auto"/>
          <w:kern w:val="0"/>
          <w:sz w:val="24"/>
          <w:highlight w:val="none"/>
        </w:rPr>
        <w:sectPr>
          <w:pgSz w:w="11907" w:h="16840"/>
          <w:pgMar w:top="1474" w:right="1814" w:bottom="1474" w:left="1814" w:header="851" w:footer="851" w:gutter="0"/>
          <w:pgNumType w:fmt="decimal"/>
          <w:cols w:space="720" w:num="1"/>
        </w:sectPr>
      </w:pPr>
    </w:p>
    <w:p>
      <w:pPr>
        <w:spacing w:line="360" w:lineRule="auto"/>
        <w:rPr>
          <w:rFonts w:ascii="宋体" w:hAnsi="宋体" w:cs="仿宋"/>
          <w:color w:val="auto"/>
          <w:sz w:val="24"/>
          <w:highlight w:val="none"/>
        </w:rPr>
      </w:pPr>
    </w:p>
    <w:p>
      <w:pPr>
        <w:spacing w:line="360" w:lineRule="auto"/>
        <w:ind w:firstLine="480" w:firstLineChars="200"/>
        <w:rPr>
          <w:rFonts w:ascii="宋体" w:hAnsi="宋体" w:cs="仿宋"/>
          <w:color w:val="auto"/>
          <w:sz w:val="24"/>
          <w:highlight w:val="none"/>
          <w:u w:val="single"/>
          <w:vertAlign w:val="subscript"/>
        </w:rPr>
      </w:pPr>
      <w:r>
        <w:rPr>
          <w:rFonts w:hint="eastAsia" w:ascii="宋体" w:hAnsi="宋体" w:cs="仿宋"/>
          <w:color w:val="auto"/>
          <w:sz w:val="24"/>
          <w:highlight w:val="none"/>
        </w:rPr>
        <w:t>交易发起人（甲方）：</w:t>
      </w:r>
    </w:p>
    <w:p>
      <w:pPr>
        <w:spacing w:line="360" w:lineRule="auto"/>
        <w:ind w:firstLine="480" w:firstLineChars="200"/>
        <w:rPr>
          <w:rFonts w:ascii="宋体" w:hAnsi="宋体" w:cs="仿宋"/>
          <w:color w:val="auto"/>
          <w:sz w:val="24"/>
          <w:highlight w:val="none"/>
          <w:u w:val="single"/>
        </w:rPr>
      </w:pPr>
      <w:r>
        <w:rPr>
          <w:rFonts w:hint="eastAsia" w:ascii="宋体" w:hAnsi="宋体" w:cs="仿宋"/>
          <w:color w:val="auto"/>
          <w:sz w:val="24"/>
          <w:highlight w:val="none"/>
        </w:rPr>
        <w:t>供应商（乙方）：</w:t>
      </w:r>
    </w:p>
    <w:p>
      <w:pPr>
        <w:spacing w:line="360" w:lineRule="auto"/>
        <w:ind w:firstLine="480" w:firstLineChars="200"/>
        <w:rPr>
          <w:rFonts w:ascii="宋体" w:hAnsi="宋体" w:cs="仿宋"/>
          <w:color w:val="auto"/>
          <w:sz w:val="24"/>
          <w:highlight w:val="none"/>
          <w:lang w:val="zh-CN"/>
        </w:rPr>
      </w:pPr>
      <w:r>
        <w:rPr>
          <w:rFonts w:hint="eastAsia" w:ascii="宋体" w:hAnsi="宋体" w:cs="仿宋"/>
          <w:color w:val="auto"/>
          <w:sz w:val="24"/>
          <w:highlight w:val="none"/>
          <w:lang w:val="zh-CN"/>
        </w:rPr>
        <w:t>依照《中华人民共和国民法典》、《中华人民共和国招标投标法》及国家的有关法律、行政法规，遵循平等、自愿、公平和诚实信用的原则，根据</w:t>
      </w:r>
      <w:r>
        <w:rPr>
          <w:rFonts w:hint="eastAsia" w:ascii="宋体" w:hAnsi="宋体" w:cs="仿宋"/>
          <w:bCs/>
          <w:color w:val="auto"/>
          <w:sz w:val="24"/>
          <w:highlight w:val="none"/>
          <w:u w:val="single"/>
          <w:lang w:val="en-US" w:eastAsia="zh-CN"/>
        </w:rPr>
        <w:t>杭州萧山环城建设开发有限公司2024年度社会风险评估服务采购项目</w:t>
      </w:r>
      <w:r>
        <w:rPr>
          <w:rFonts w:hint="eastAsia" w:ascii="宋体" w:hAnsi="宋体" w:cs="仿宋"/>
          <w:color w:val="auto"/>
          <w:sz w:val="24"/>
          <w:highlight w:val="none"/>
          <w:lang w:val="zh-CN"/>
        </w:rPr>
        <w:t>中标结果，双方就</w:t>
      </w:r>
      <w:r>
        <w:rPr>
          <w:rFonts w:hint="eastAsia" w:ascii="宋体" w:hAnsi="宋体" w:cs="仿宋"/>
          <w:bCs/>
          <w:color w:val="auto"/>
          <w:sz w:val="24"/>
          <w:highlight w:val="none"/>
          <w:u w:val="single"/>
          <w:lang w:val="en-US" w:eastAsia="zh-CN"/>
        </w:rPr>
        <w:t>杭州萧山环城建设开发有限公司2024年度社会风险评估服务采购项目</w:t>
      </w:r>
      <w:r>
        <w:rPr>
          <w:rFonts w:hint="eastAsia" w:ascii="宋体" w:hAnsi="宋体" w:cs="仿宋"/>
          <w:color w:val="auto"/>
          <w:sz w:val="24"/>
          <w:highlight w:val="none"/>
          <w:lang w:val="zh-CN"/>
        </w:rPr>
        <w:t>事项协商一致，订立本合同。</w:t>
      </w: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lang w:val="zh-CN"/>
        </w:rPr>
        <w:t>服务期：</w:t>
      </w:r>
      <w:r>
        <w:rPr>
          <w:rFonts w:hint="eastAsia" w:ascii="宋体" w:hAnsi="宋体" w:cs="仿宋"/>
          <w:color w:val="auto"/>
          <w:sz w:val="24"/>
          <w:highlight w:val="none"/>
        </w:rPr>
        <w:t>1年，</w:t>
      </w:r>
      <w:r>
        <w:rPr>
          <w:rFonts w:hint="eastAsia" w:ascii="宋体" w:hAnsi="宋体" w:cs="仿宋"/>
          <w:bCs/>
          <w:color w:val="auto"/>
          <w:sz w:val="24"/>
          <w:highlight w:val="none"/>
        </w:rPr>
        <w:t>终至时间为   年  月   日，具体起始时间以合同签订时间为准。</w:t>
      </w:r>
    </w:p>
    <w:p>
      <w:pPr>
        <w:autoSpaceDE w:val="0"/>
        <w:autoSpaceDN w:val="0"/>
        <w:spacing w:line="360" w:lineRule="auto"/>
        <w:ind w:firstLine="482" w:firstLineChars="200"/>
        <w:rPr>
          <w:rFonts w:ascii="宋体" w:hAnsi="宋体" w:cs="仿宋"/>
          <w:color w:val="auto"/>
          <w:sz w:val="24"/>
          <w:highlight w:val="none"/>
          <w:u w:val="single"/>
        </w:rPr>
      </w:pPr>
      <w:r>
        <w:rPr>
          <w:rFonts w:hint="eastAsia" w:ascii="宋体" w:hAnsi="宋体" w:cs="仿宋"/>
          <w:b/>
          <w:color w:val="auto"/>
          <w:sz w:val="24"/>
          <w:highlight w:val="none"/>
          <w:lang w:val="zh-CN"/>
        </w:rPr>
        <w:t>一、业务范围：</w:t>
      </w:r>
      <w:r>
        <w:rPr>
          <w:rFonts w:hint="eastAsia" w:ascii="宋体" w:hAnsi="宋体" w:cs="仿宋"/>
          <w:color w:val="auto"/>
          <w:sz w:val="24"/>
          <w:highlight w:val="none"/>
          <w:u w:val="single"/>
        </w:rPr>
        <w:t>萧山区范围内</w:t>
      </w:r>
      <w:r>
        <w:rPr>
          <w:rFonts w:hint="eastAsia" w:ascii="宋体" w:hAnsi="宋体" w:cs="仿宋"/>
          <w:bCs/>
          <w:color w:val="auto"/>
          <w:sz w:val="24"/>
          <w:highlight w:val="none"/>
          <w:u w:val="single"/>
          <w:lang w:val="en-US" w:eastAsia="zh-CN"/>
        </w:rPr>
        <w:t>杭州萧山环城建设开发有限公司2024年度社会风险评估服务</w:t>
      </w:r>
      <w:r>
        <w:rPr>
          <w:rFonts w:hint="eastAsia" w:ascii="宋体" w:hAnsi="宋体" w:cs="仿宋"/>
          <w:color w:val="auto"/>
          <w:sz w:val="24"/>
          <w:highlight w:val="none"/>
          <w:u w:val="single"/>
        </w:rPr>
        <w:t>。</w:t>
      </w:r>
    </w:p>
    <w:p>
      <w:pPr>
        <w:autoSpaceDE w:val="0"/>
        <w:autoSpaceDN w:val="0"/>
        <w:spacing w:line="360" w:lineRule="auto"/>
        <w:ind w:firstLine="480" w:firstLineChars="200"/>
        <w:rPr>
          <w:rFonts w:ascii="宋体" w:hAnsi="宋体" w:cs="仿宋"/>
          <w:color w:val="auto"/>
          <w:sz w:val="24"/>
          <w:highlight w:val="none"/>
          <w:lang w:val="zh-CN"/>
        </w:rPr>
      </w:pPr>
      <w:r>
        <w:rPr>
          <w:rFonts w:hint="eastAsia" w:ascii="宋体" w:hAnsi="宋体" w:cs="仿宋"/>
          <w:color w:val="auto"/>
          <w:sz w:val="24"/>
          <w:highlight w:val="none"/>
          <w:lang w:val="zh-CN"/>
        </w:rPr>
        <w:t>1.服务内容：</w:t>
      </w:r>
      <w:r>
        <w:rPr>
          <w:rFonts w:hint="eastAsia" w:ascii="宋体" w:hAnsi="宋体" w:cs="仿宋"/>
          <w:color w:val="auto"/>
          <w:sz w:val="24"/>
          <w:highlight w:val="none"/>
        </w:rPr>
        <w:t>对交易发起人委托的各项目实施过程中可能存在的社会不稳定隐患和问题进行研究、分析、评估等，编制《社会稳定风险评估报告》，并对报告组织专家进行咨询论证，确定项目风险等级，提出风险防范化解。</w:t>
      </w:r>
    </w:p>
    <w:p>
      <w:pPr>
        <w:autoSpaceDE w:val="0"/>
        <w:autoSpaceDN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lang w:val="zh-CN"/>
        </w:rPr>
        <w:t>2.</w:t>
      </w:r>
      <w:r>
        <w:rPr>
          <w:rFonts w:hint="eastAsia" w:ascii="宋体" w:hAnsi="宋体" w:cs="仿宋"/>
          <w:color w:val="auto"/>
          <w:sz w:val="24"/>
          <w:highlight w:val="none"/>
        </w:rPr>
        <w:t>项目负责人：     。</w:t>
      </w:r>
    </w:p>
    <w:p>
      <w:pPr>
        <w:autoSpaceDE w:val="0"/>
        <w:autoSpaceDN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编制要求：社会稳定性风险评估报告的编制应符合《中共中央办公厅、国务院办公厅印发（关于建立健全重大决策社会稳定风险评估机制的指导意见（试行））的通知》（中办发[2012]2号）、《浙江省第三方风险评估组织管理办法（试行）》文件的总体要求，编制深度符合审查要求（对决策事项的合法性、合理性、可行性、可控性等方面进行评估），以通过政府主管部门出具的审查意见为准。</w:t>
      </w:r>
    </w:p>
    <w:p>
      <w:pPr>
        <w:tabs>
          <w:tab w:val="left" w:pos="900"/>
        </w:tabs>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《社会稳定风险评估报告》主要内容包括：</w:t>
      </w:r>
    </w:p>
    <w:p>
      <w:pPr>
        <w:tabs>
          <w:tab w:val="left" w:pos="900"/>
        </w:tabs>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（1）建设项目周围现状调查与分析；</w:t>
      </w:r>
    </w:p>
    <w:p>
      <w:pPr>
        <w:tabs>
          <w:tab w:val="left" w:pos="900"/>
        </w:tabs>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（2）项目的合法性、合理性审核；</w:t>
      </w:r>
    </w:p>
    <w:p>
      <w:pPr>
        <w:tabs>
          <w:tab w:val="left" w:pos="900"/>
        </w:tabs>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（3）项目的社会稳定风险分析、预测、评价风险等级；</w:t>
      </w:r>
    </w:p>
    <w:p>
      <w:pPr>
        <w:tabs>
          <w:tab w:val="left" w:pos="900"/>
        </w:tabs>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（4）项目的风险防范化解措施；</w:t>
      </w:r>
    </w:p>
    <w:p>
      <w:pPr>
        <w:tabs>
          <w:tab w:val="left" w:pos="900"/>
        </w:tabs>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（5）项目风险的可行性可控性论证。</w:t>
      </w:r>
    </w:p>
    <w:p>
      <w:pPr>
        <w:autoSpaceDE w:val="0"/>
        <w:autoSpaceDN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lang w:val="zh-CN"/>
        </w:rPr>
        <w:t>4.</w:t>
      </w:r>
      <w:r>
        <w:rPr>
          <w:rFonts w:hint="eastAsia" w:ascii="宋体" w:hAnsi="宋体" w:cs="仿宋"/>
          <w:color w:val="auto"/>
          <w:sz w:val="24"/>
          <w:highlight w:val="none"/>
        </w:rPr>
        <w:t>提交成果：以社会风险评估报告的形式提交，向甲方提交书面评估报告2套，电子文件1套（评审和自留底的乙方自行考虑），按评估程序向有关部门申报备案，并通过相关主管部门的审查（以相关部门出具的最终成果批复为准）。如评估报告未能一次性完成备案通过的，则由乙方承担后续所产生的一切费用，甲方不再另行支付。</w:t>
      </w:r>
    </w:p>
    <w:p>
      <w:pPr>
        <w:autoSpaceDE w:val="0"/>
        <w:autoSpaceDN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5.</w:t>
      </w:r>
      <w:r>
        <w:rPr>
          <w:rFonts w:hint="eastAsia" w:ascii="宋体" w:hAnsi="宋体" w:cs="仿宋"/>
          <w:color w:val="auto"/>
          <w:sz w:val="24"/>
          <w:highlight w:val="none"/>
          <w:lang w:val="zh-CN"/>
        </w:rPr>
        <w:t>完成时间：具体项目完成时间按委托人要求。</w:t>
      </w:r>
    </w:p>
    <w:p>
      <w:pPr>
        <w:tabs>
          <w:tab w:val="left" w:pos="900"/>
        </w:tabs>
        <w:spacing w:line="360" w:lineRule="auto"/>
        <w:ind w:firstLine="482" w:firstLineChars="200"/>
        <w:rPr>
          <w:rFonts w:ascii="宋体" w:hAnsi="宋体" w:cs="仿宋"/>
          <w:color w:val="auto"/>
          <w:sz w:val="24"/>
          <w:highlight w:val="none"/>
        </w:rPr>
      </w:pPr>
      <w:r>
        <w:rPr>
          <w:rFonts w:hint="eastAsia" w:ascii="宋体" w:hAnsi="宋体" w:cs="仿宋"/>
          <w:b/>
          <w:bCs/>
          <w:color w:val="auto"/>
          <w:sz w:val="24"/>
          <w:highlight w:val="none"/>
        </w:rPr>
        <w:t>知识产权：成果文件知识产权归交易发起人所有。</w:t>
      </w:r>
    </w:p>
    <w:p>
      <w:pPr>
        <w:autoSpaceDE w:val="0"/>
        <w:autoSpaceDN w:val="0"/>
        <w:spacing w:line="360" w:lineRule="auto"/>
        <w:ind w:firstLine="480" w:firstLineChars="200"/>
        <w:rPr>
          <w:rFonts w:ascii="宋体" w:hAnsi="宋体" w:cs="仿宋"/>
          <w:color w:val="auto"/>
          <w:sz w:val="24"/>
          <w:highlight w:val="none"/>
          <w:lang w:val="zh-CN"/>
        </w:rPr>
      </w:pPr>
      <w:r>
        <w:rPr>
          <w:rFonts w:hint="eastAsia" w:ascii="宋体" w:hAnsi="宋体" w:cs="仿宋"/>
          <w:color w:val="auto"/>
          <w:sz w:val="24"/>
          <w:highlight w:val="none"/>
          <w:lang w:val="zh-CN"/>
        </w:rPr>
        <w:t>6.验收要求：</w:t>
      </w:r>
      <w:r>
        <w:rPr>
          <w:rFonts w:hint="eastAsia" w:ascii="宋体" w:hAnsi="宋体" w:cs="仿宋"/>
          <w:color w:val="auto"/>
          <w:sz w:val="24"/>
          <w:highlight w:val="none"/>
        </w:rPr>
        <w:t>项目成果必须经过专家和上级部门审核，通过专家和上级部门审核，出具备案证书的视为验收合格。验收时所产生的专家评审费已包含在合同单价中。</w:t>
      </w:r>
    </w:p>
    <w:p>
      <w:pPr>
        <w:snapToGrid w:val="0"/>
        <w:spacing w:line="360" w:lineRule="auto"/>
        <w:ind w:firstLine="482" w:firstLineChars="200"/>
        <w:rPr>
          <w:rFonts w:ascii="宋体" w:hAnsi="宋体" w:cs="仿宋"/>
          <w:b/>
          <w:color w:val="auto"/>
          <w:sz w:val="24"/>
          <w:highlight w:val="none"/>
        </w:rPr>
      </w:pPr>
      <w:r>
        <w:rPr>
          <w:rFonts w:hint="eastAsia" w:ascii="宋体" w:hAnsi="宋体" w:cs="仿宋"/>
          <w:b/>
          <w:color w:val="auto"/>
          <w:sz w:val="24"/>
          <w:highlight w:val="none"/>
        </w:rPr>
        <w:t>二、转包或分包</w:t>
      </w:r>
    </w:p>
    <w:p>
      <w:pPr>
        <w:snapToGrid w:val="0"/>
        <w:spacing w:line="360" w:lineRule="auto"/>
        <w:ind w:firstLine="480" w:firstLineChars="200"/>
        <w:rPr>
          <w:rFonts w:ascii="宋体" w:hAnsi="宋体" w:cs="仿宋"/>
          <w:b/>
          <w:color w:val="auto"/>
          <w:sz w:val="24"/>
          <w:highlight w:val="none"/>
        </w:rPr>
      </w:pPr>
      <w:r>
        <w:rPr>
          <w:rFonts w:hint="eastAsia" w:ascii="宋体" w:hAnsi="宋体" w:cs="仿宋"/>
          <w:color w:val="auto"/>
          <w:sz w:val="24"/>
          <w:highlight w:val="none"/>
        </w:rPr>
        <w:t>1.本合同范围的服务项目，应由乙方直接服务，不得转让他人；</w:t>
      </w:r>
    </w:p>
    <w:p>
      <w:pPr>
        <w:snapToGrid w:val="0"/>
        <w:spacing w:line="360" w:lineRule="auto"/>
        <w:ind w:firstLine="480" w:firstLineChars="200"/>
        <w:rPr>
          <w:rFonts w:ascii="宋体" w:hAnsi="宋体" w:cs="仿宋"/>
          <w:b/>
          <w:color w:val="auto"/>
          <w:sz w:val="24"/>
          <w:highlight w:val="none"/>
        </w:rPr>
      </w:pPr>
      <w:r>
        <w:rPr>
          <w:rFonts w:hint="eastAsia" w:ascii="宋体" w:hAnsi="宋体" w:cs="仿宋"/>
          <w:color w:val="auto"/>
          <w:sz w:val="24"/>
          <w:highlight w:val="none"/>
        </w:rPr>
        <w:t>2.如有转让和行为，甲方有权给予终止合同。</w:t>
      </w:r>
    </w:p>
    <w:p>
      <w:pPr>
        <w:spacing w:line="360" w:lineRule="auto"/>
        <w:ind w:firstLine="482" w:firstLineChars="200"/>
        <w:rPr>
          <w:rFonts w:ascii="宋体" w:hAnsi="宋体" w:cs="仿宋"/>
          <w:b/>
          <w:color w:val="auto"/>
          <w:sz w:val="24"/>
          <w:highlight w:val="none"/>
        </w:rPr>
      </w:pPr>
      <w:r>
        <w:rPr>
          <w:rFonts w:hint="eastAsia" w:ascii="宋体" w:hAnsi="宋体" w:cs="仿宋"/>
          <w:b/>
          <w:color w:val="auto"/>
          <w:sz w:val="24"/>
          <w:highlight w:val="none"/>
          <w:lang w:val="zh-CN"/>
        </w:rPr>
        <w:t>三、合同价款</w:t>
      </w:r>
      <w:r>
        <w:rPr>
          <w:rFonts w:hint="eastAsia" w:ascii="宋体" w:hAnsi="宋体" w:cs="仿宋"/>
          <w:b/>
          <w:color w:val="auto"/>
          <w:sz w:val="24"/>
          <w:highlight w:val="none"/>
        </w:rPr>
        <w:t>：</w:t>
      </w:r>
    </w:p>
    <w:p>
      <w:pPr>
        <w:spacing w:line="360" w:lineRule="auto"/>
        <w:ind w:firstLine="480" w:firstLineChars="200"/>
        <w:rPr>
          <w:rFonts w:ascii="宋体" w:hAnsi="宋体" w:cs="仿宋"/>
          <w:b/>
          <w:color w:val="auto"/>
          <w:sz w:val="24"/>
          <w:highlight w:val="none"/>
        </w:rPr>
      </w:pPr>
      <w:r>
        <w:rPr>
          <w:rFonts w:hint="eastAsia" w:ascii="宋体" w:hAnsi="宋体" w:cs="仿宋"/>
          <w:color w:val="auto"/>
          <w:sz w:val="24"/>
          <w:highlight w:val="none"/>
        </w:rPr>
        <w:t>1.合同价款：</w:t>
      </w:r>
    </w:p>
    <w:tbl>
      <w:tblPr>
        <w:tblStyle w:val="64"/>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4565"/>
        <w:gridCol w:w="3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49" w:type="dxa"/>
            <w:vAlign w:val="center"/>
          </w:tcPr>
          <w:p>
            <w:pPr>
              <w:jc w:val="center"/>
              <w:rPr>
                <w:rFonts w:ascii="宋体" w:hAnsi="宋体" w:cs="仿宋"/>
                <w:color w:val="auto"/>
                <w:sz w:val="24"/>
                <w:szCs w:val="28"/>
                <w:highlight w:val="none"/>
              </w:rPr>
            </w:pPr>
            <w:r>
              <w:rPr>
                <w:rFonts w:hint="eastAsia" w:ascii="宋体" w:hAnsi="宋体" w:cs="仿宋"/>
                <w:color w:val="auto"/>
                <w:sz w:val="24"/>
                <w:szCs w:val="28"/>
                <w:highlight w:val="none"/>
              </w:rPr>
              <w:t>序号</w:t>
            </w:r>
          </w:p>
        </w:tc>
        <w:tc>
          <w:tcPr>
            <w:tcW w:w="4565" w:type="dxa"/>
            <w:vAlign w:val="center"/>
          </w:tcPr>
          <w:p>
            <w:pPr>
              <w:jc w:val="center"/>
              <w:rPr>
                <w:rFonts w:ascii="宋体" w:hAnsi="宋体" w:cs="仿宋"/>
                <w:color w:val="auto"/>
                <w:sz w:val="24"/>
                <w:szCs w:val="28"/>
                <w:highlight w:val="none"/>
              </w:rPr>
            </w:pPr>
            <w:r>
              <w:rPr>
                <w:rFonts w:hint="eastAsia" w:ascii="宋体" w:hAnsi="宋体" w:cs="仿宋"/>
                <w:color w:val="auto"/>
                <w:sz w:val="24"/>
                <w:szCs w:val="28"/>
                <w:highlight w:val="none"/>
              </w:rPr>
              <w:t>服务内容</w:t>
            </w:r>
          </w:p>
        </w:tc>
        <w:tc>
          <w:tcPr>
            <w:tcW w:w="3530" w:type="dxa"/>
            <w:vAlign w:val="center"/>
          </w:tcPr>
          <w:p>
            <w:pPr>
              <w:jc w:val="center"/>
              <w:rPr>
                <w:rFonts w:ascii="宋体" w:hAnsi="宋体" w:cs="仿宋"/>
                <w:color w:val="auto"/>
                <w:sz w:val="24"/>
                <w:szCs w:val="28"/>
                <w:highlight w:val="none"/>
              </w:rPr>
            </w:pPr>
            <w:r>
              <w:rPr>
                <w:rFonts w:hint="eastAsia" w:ascii="宋体" w:hAnsi="宋体" w:cs="仿宋"/>
                <w:color w:val="auto"/>
                <w:sz w:val="24"/>
                <w:szCs w:val="28"/>
                <w:highlight w:val="none"/>
              </w:rPr>
              <w:t>中标单价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vAlign w:val="center"/>
          </w:tcPr>
          <w:p>
            <w:pPr>
              <w:jc w:val="center"/>
              <w:rPr>
                <w:rFonts w:ascii="宋体" w:hAnsi="宋体" w:cs="仿宋"/>
                <w:color w:val="auto"/>
                <w:sz w:val="24"/>
                <w:szCs w:val="28"/>
                <w:highlight w:val="none"/>
              </w:rPr>
            </w:pPr>
            <w:r>
              <w:rPr>
                <w:rFonts w:hint="eastAsia" w:ascii="宋体" w:hAnsi="宋体" w:cs="仿宋"/>
                <w:color w:val="auto"/>
                <w:sz w:val="24"/>
                <w:szCs w:val="28"/>
                <w:highlight w:val="none"/>
              </w:rPr>
              <w:t>1</w:t>
            </w:r>
          </w:p>
        </w:tc>
        <w:tc>
          <w:tcPr>
            <w:tcW w:w="4565" w:type="dxa"/>
            <w:vAlign w:val="center"/>
          </w:tcPr>
          <w:p>
            <w:pPr>
              <w:jc w:val="center"/>
              <w:rPr>
                <w:rFonts w:ascii="宋体" w:hAnsi="宋体" w:cs="仿宋"/>
                <w:color w:val="auto"/>
                <w:sz w:val="24"/>
                <w:szCs w:val="28"/>
                <w:highlight w:val="none"/>
              </w:rPr>
            </w:pPr>
            <w:r>
              <w:rPr>
                <w:rFonts w:hint="eastAsia" w:ascii="宋体" w:hAnsi="宋体" w:cs="仿宋"/>
                <w:color w:val="auto"/>
                <w:sz w:val="24"/>
                <w:szCs w:val="28"/>
                <w:highlight w:val="none"/>
              </w:rPr>
              <w:t>征地社会稳定风险评估</w:t>
            </w:r>
          </w:p>
        </w:tc>
        <w:tc>
          <w:tcPr>
            <w:tcW w:w="3530" w:type="dxa"/>
            <w:vAlign w:val="center"/>
          </w:tcPr>
          <w:p>
            <w:pPr>
              <w:jc w:val="center"/>
              <w:rPr>
                <w:rFonts w:ascii="宋体" w:hAnsi="宋体" w:cs="仿宋"/>
                <w:color w:val="auto"/>
                <w:sz w:val="24"/>
                <w:szCs w:val="28"/>
                <w:highlight w:val="none"/>
              </w:rPr>
            </w:pPr>
            <w:r>
              <w:rPr>
                <w:rFonts w:hint="eastAsia" w:ascii="宋体" w:hAnsi="宋体" w:cs="仿宋"/>
                <w:color w:val="auto"/>
                <w:sz w:val="24"/>
                <w:szCs w:val="28"/>
                <w:highlight w:val="none"/>
              </w:rPr>
              <w:t>**</w:t>
            </w:r>
            <w:r>
              <w:rPr>
                <w:rFonts w:hint="eastAsia" w:ascii="宋体" w:hAnsi="宋体" w:cs="仿宋"/>
                <w:color w:val="auto"/>
                <w:sz w:val="24"/>
                <w:szCs w:val="28"/>
                <w:highlight w:val="none"/>
                <w:lang w:val="en-US" w:eastAsia="zh-CN"/>
              </w:rPr>
              <w:t>*</w:t>
            </w:r>
            <w:r>
              <w:rPr>
                <w:rFonts w:hint="eastAsia" w:ascii="宋体" w:hAnsi="宋体" w:cs="仿宋"/>
                <w:color w:val="auto"/>
                <w:sz w:val="24"/>
                <w:szCs w:val="28"/>
                <w:highlight w:val="none"/>
              </w:rPr>
              <w:t>元/宗</w:t>
            </w:r>
          </w:p>
        </w:tc>
      </w:tr>
    </w:tbl>
    <w:p>
      <w:pPr>
        <w:spacing w:line="360" w:lineRule="auto"/>
        <w:ind w:firstLine="480" w:firstLineChars="200"/>
        <w:rPr>
          <w:rFonts w:ascii="宋体" w:hAnsi="宋体" w:cs="仿宋"/>
          <w:color w:val="auto"/>
          <w:sz w:val="24"/>
          <w:highlight w:val="none"/>
          <w:lang w:val="zh-CN"/>
        </w:rPr>
      </w:pPr>
      <w:r>
        <w:rPr>
          <w:rFonts w:hint="eastAsia" w:ascii="宋体" w:hAnsi="宋体" w:cs="仿宋"/>
          <w:color w:val="auto"/>
          <w:sz w:val="24"/>
          <w:highlight w:val="none"/>
          <w:lang w:val="zh-CN"/>
        </w:rPr>
        <w:t>2.乙方根据甲方的委托对单个项目进行社会稳定风险评估。</w:t>
      </w:r>
    </w:p>
    <w:p>
      <w:pPr>
        <w:spacing w:line="360" w:lineRule="auto"/>
        <w:ind w:firstLine="480" w:firstLineChars="200"/>
        <w:rPr>
          <w:rFonts w:ascii="宋体" w:hAnsi="宋体" w:cs="仿宋"/>
          <w:bCs/>
          <w:color w:val="auto"/>
          <w:sz w:val="24"/>
          <w:highlight w:val="none"/>
          <w:lang w:val="zh-CN"/>
        </w:rPr>
      </w:pPr>
      <w:r>
        <w:rPr>
          <w:rFonts w:hint="eastAsia" w:ascii="宋体" w:hAnsi="宋体" w:cs="仿宋"/>
          <w:color w:val="auto"/>
          <w:sz w:val="24"/>
          <w:highlight w:val="none"/>
          <w:lang w:val="zh-CN"/>
        </w:rPr>
        <w:t>3.</w:t>
      </w:r>
      <w:r>
        <w:rPr>
          <w:rFonts w:hint="eastAsia" w:ascii="宋体" w:hAnsi="宋体" w:cs="仿宋"/>
          <w:bCs/>
          <w:color w:val="auto"/>
          <w:sz w:val="24"/>
          <w:highlight w:val="none"/>
          <w:lang w:val="zh-CN"/>
        </w:rPr>
        <w:t>评估完成并出具成果报告，</w:t>
      </w:r>
      <w:r>
        <w:rPr>
          <w:rFonts w:hint="eastAsia" w:ascii="宋体" w:hAnsi="宋体" w:cs="仿宋"/>
          <w:bCs/>
          <w:color w:val="auto"/>
          <w:sz w:val="24"/>
          <w:highlight w:val="none"/>
          <w:lang w:val="en-US" w:eastAsia="zh-CN"/>
        </w:rPr>
        <w:t>且完成项目最终</w:t>
      </w:r>
      <w:r>
        <w:rPr>
          <w:rFonts w:hint="eastAsia" w:ascii="宋体" w:hAnsi="宋体" w:cs="仿宋"/>
          <w:bCs/>
          <w:color w:val="auto"/>
          <w:sz w:val="24"/>
          <w:highlight w:val="none"/>
          <w:lang w:val="zh-CN"/>
        </w:rPr>
        <w:t>批复，并由业主确认后，服务期满后根据</w:t>
      </w:r>
      <w:r>
        <w:rPr>
          <w:rFonts w:hint="eastAsia" w:ascii="宋体" w:hAnsi="宋体"/>
          <w:color w:val="auto"/>
          <w:sz w:val="24"/>
          <w:highlight w:val="none"/>
        </w:rPr>
        <w:t>实际完成的服务量乘以服务中标单价作为最终项目结算价一次性支付</w:t>
      </w:r>
      <w:r>
        <w:rPr>
          <w:rFonts w:hint="eastAsia" w:ascii="宋体" w:hAnsi="宋体" w:cs="仿宋"/>
          <w:bCs/>
          <w:color w:val="auto"/>
          <w:sz w:val="24"/>
          <w:highlight w:val="none"/>
          <w:lang w:val="zh-CN"/>
        </w:rPr>
        <w:t>。（以实际完成并经交易发起人确认为准）</w:t>
      </w:r>
    </w:p>
    <w:p>
      <w:pPr>
        <w:pStyle w:val="62"/>
        <w:rPr>
          <w:color w:val="auto"/>
          <w:highlight w:val="none"/>
        </w:rPr>
      </w:pPr>
      <w:r>
        <w:rPr>
          <w:rFonts w:hint="eastAsia"/>
          <w:color w:val="auto"/>
          <w:highlight w:val="none"/>
        </w:rPr>
        <w:t>4.</w:t>
      </w:r>
      <w:r>
        <w:rPr>
          <w:rFonts w:hint="eastAsia"/>
          <w:color w:val="auto"/>
          <w:highlight w:val="none"/>
          <w:lang w:val="en-US"/>
        </w:rPr>
        <w:t xml:space="preserve"> 从合同签订之日起一年内，按照</w:t>
      </w:r>
      <w:r>
        <w:rPr>
          <w:rFonts w:hint="eastAsia" w:hAnsi="宋体" w:cs="仿宋"/>
          <w:bCs/>
          <w:color w:val="auto"/>
          <w:highlight w:val="none"/>
        </w:rPr>
        <w:t>交易发起人</w:t>
      </w:r>
      <w:r>
        <w:rPr>
          <w:rFonts w:hint="eastAsia"/>
          <w:color w:val="auto"/>
          <w:highlight w:val="none"/>
          <w:lang w:val="en-US"/>
        </w:rPr>
        <w:t>要求进行相应服务工作并提交成果报告，直至一年期满或服务费用达到项目预算金额为止。</w:t>
      </w:r>
    </w:p>
    <w:p>
      <w:pPr>
        <w:pStyle w:val="33"/>
        <w:snapToGrid w:val="0"/>
        <w:spacing w:line="360" w:lineRule="auto"/>
        <w:ind w:firstLine="482" w:firstLineChars="200"/>
        <w:rPr>
          <w:rFonts w:hAnsi="宋体" w:cs="仿宋"/>
          <w:b/>
          <w:color w:val="auto"/>
          <w:sz w:val="24"/>
          <w:szCs w:val="24"/>
          <w:highlight w:val="none"/>
        </w:rPr>
      </w:pPr>
      <w:r>
        <w:rPr>
          <w:rFonts w:hint="eastAsia" w:hAnsi="宋体" w:cs="仿宋"/>
          <w:b/>
          <w:color w:val="auto"/>
          <w:sz w:val="24"/>
          <w:szCs w:val="24"/>
          <w:highlight w:val="none"/>
          <w:lang w:val="zh-CN"/>
        </w:rPr>
        <w:t>四、</w:t>
      </w:r>
      <w:r>
        <w:rPr>
          <w:rFonts w:hint="eastAsia" w:hAnsi="宋体" w:cs="仿宋"/>
          <w:b/>
          <w:color w:val="auto"/>
          <w:sz w:val="24"/>
          <w:szCs w:val="24"/>
          <w:highlight w:val="none"/>
        </w:rPr>
        <w:t>违约行为</w:t>
      </w:r>
    </w:p>
    <w:p>
      <w:pPr>
        <w:pStyle w:val="33"/>
        <w:snapToGrid w:val="0"/>
        <w:spacing w:line="360" w:lineRule="auto"/>
        <w:ind w:firstLine="480" w:firstLineChars="200"/>
        <w:rPr>
          <w:rFonts w:hAnsi="宋体" w:cs="仿宋"/>
          <w:b/>
          <w:color w:val="auto"/>
          <w:sz w:val="24"/>
          <w:szCs w:val="24"/>
          <w:highlight w:val="none"/>
        </w:rPr>
      </w:pPr>
      <w:r>
        <w:rPr>
          <w:rFonts w:hint="eastAsia" w:hAnsi="宋体" w:cs="仿宋"/>
          <w:color w:val="auto"/>
          <w:sz w:val="24"/>
          <w:highlight w:val="none"/>
        </w:rPr>
        <w:t>1.甲乙双方应当履行合同约定的义务，如有违反，须承担相应的违约责任：</w:t>
      </w:r>
    </w:p>
    <w:p>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 xml:space="preserve">⑴ </w:t>
      </w:r>
      <w:r>
        <w:rPr>
          <w:rFonts w:hint="eastAsia" w:ascii="宋体" w:hAnsi="宋体" w:cs="仿宋"/>
          <w:color w:val="auto"/>
          <w:sz w:val="24"/>
          <w:highlight w:val="none"/>
          <w:lang w:val="zh-CN"/>
        </w:rPr>
        <w:t>逾期提交</w:t>
      </w:r>
      <w:r>
        <w:rPr>
          <w:rFonts w:hint="eastAsia" w:ascii="宋体" w:hAnsi="宋体" w:cs="仿宋"/>
          <w:color w:val="auto"/>
          <w:sz w:val="24"/>
          <w:highlight w:val="none"/>
        </w:rPr>
        <w:t>成果</w:t>
      </w:r>
      <w:r>
        <w:rPr>
          <w:rFonts w:hint="eastAsia" w:ascii="宋体" w:hAnsi="宋体" w:cs="仿宋"/>
          <w:color w:val="auto"/>
          <w:sz w:val="24"/>
          <w:highlight w:val="none"/>
          <w:lang w:val="zh-CN"/>
        </w:rPr>
        <w:t>及延迟提交</w:t>
      </w:r>
      <w:r>
        <w:rPr>
          <w:rFonts w:hint="eastAsia" w:ascii="宋体" w:hAnsi="宋体" w:cs="仿宋"/>
          <w:color w:val="auto"/>
          <w:sz w:val="24"/>
          <w:highlight w:val="none"/>
        </w:rPr>
        <w:t>成果</w:t>
      </w:r>
      <w:r>
        <w:rPr>
          <w:rFonts w:hint="eastAsia" w:ascii="宋体" w:hAnsi="宋体" w:cs="仿宋"/>
          <w:color w:val="auto"/>
          <w:sz w:val="24"/>
          <w:highlight w:val="none"/>
          <w:lang w:val="zh-CN"/>
        </w:rPr>
        <w:t>，不可抗力除外</w:t>
      </w:r>
      <w:r>
        <w:rPr>
          <w:rFonts w:hint="eastAsia" w:ascii="宋体" w:hAnsi="宋体" w:cs="仿宋"/>
          <w:color w:val="auto"/>
          <w:sz w:val="24"/>
          <w:highlight w:val="none"/>
        </w:rPr>
        <w:t>。</w:t>
      </w:r>
    </w:p>
    <w:p>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 xml:space="preserve">⑵ </w:t>
      </w:r>
      <w:r>
        <w:rPr>
          <w:rFonts w:hint="eastAsia" w:ascii="宋体" w:hAnsi="宋体" w:cs="仿宋"/>
          <w:color w:val="auto"/>
          <w:sz w:val="24"/>
          <w:highlight w:val="none"/>
          <w:lang w:val="zh-CN"/>
        </w:rPr>
        <w:t>提交的</w:t>
      </w:r>
      <w:r>
        <w:rPr>
          <w:rFonts w:hint="eastAsia" w:ascii="宋体" w:hAnsi="宋体" w:cs="仿宋"/>
          <w:color w:val="auto"/>
          <w:sz w:val="24"/>
          <w:highlight w:val="none"/>
        </w:rPr>
        <w:t>成果</w:t>
      </w:r>
      <w:r>
        <w:rPr>
          <w:rFonts w:hint="eastAsia" w:ascii="宋体" w:hAnsi="宋体" w:cs="仿宋"/>
          <w:color w:val="auto"/>
          <w:sz w:val="24"/>
          <w:highlight w:val="none"/>
          <w:lang w:val="zh-CN"/>
        </w:rPr>
        <w:t>的规格和技术参数、质量等跟乙方的响应文件中相关承诺存在着不符，并私自降低服务的规格和技术参数、质量等</w:t>
      </w:r>
      <w:r>
        <w:rPr>
          <w:rFonts w:hint="eastAsia" w:ascii="宋体" w:hAnsi="宋体" w:cs="仿宋"/>
          <w:color w:val="auto"/>
          <w:sz w:val="24"/>
          <w:highlight w:val="none"/>
        </w:rPr>
        <w:t>。</w:t>
      </w:r>
    </w:p>
    <w:p>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⑶ 不履行合同条款或只履行部分合同条款，或拒绝履行合同义务。</w:t>
      </w:r>
    </w:p>
    <w:p>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⑷ 违反国家的相关法律法规。</w:t>
      </w:r>
    </w:p>
    <w:p>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2、甲方有下列行为将作为违约：</w:t>
      </w:r>
    </w:p>
    <w:p>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 xml:space="preserve">⑴ </w:t>
      </w:r>
      <w:r>
        <w:rPr>
          <w:rFonts w:hint="eastAsia" w:ascii="宋体" w:hAnsi="宋体" w:cs="仿宋"/>
          <w:color w:val="auto"/>
          <w:sz w:val="24"/>
          <w:highlight w:val="none"/>
          <w:lang w:val="zh-CN"/>
        </w:rPr>
        <w:t>无正当理由拒绝接受乙方的</w:t>
      </w:r>
      <w:r>
        <w:rPr>
          <w:rFonts w:hint="eastAsia" w:ascii="宋体" w:hAnsi="宋体" w:cs="仿宋"/>
          <w:color w:val="auto"/>
          <w:sz w:val="24"/>
          <w:highlight w:val="none"/>
        </w:rPr>
        <w:t>成果</w:t>
      </w:r>
      <w:r>
        <w:rPr>
          <w:rFonts w:hint="eastAsia" w:ascii="宋体" w:hAnsi="宋体" w:cs="仿宋"/>
          <w:color w:val="auto"/>
          <w:sz w:val="24"/>
          <w:highlight w:val="none"/>
          <w:lang w:val="zh-CN"/>
        </w:rPr>
        <w:t>或逾期</w:t>
      </w:r>
      <w:r>
        <w:rPr>
          <w:rFonts w:hint="eastAsia" w:ascii="宋体" w:hAnsi="宋体" w:cs="仿宋"/>
          <w:color w:val="auto"/>
          <w:sz w:val="24"/>
          <w:highlight w:val="none"/>
        </w:rPr>
        <w:t>支付费用。</w:t>
      </w:r>
    </w:p>
    <w:p>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⑵ 违反国家的相关法律法规。</w:t>
      </w:r>
    </w:p>
    <w:p>
      <w:pPr>
        <w:pStyle w:val="33"/>
        <w:snapToGrid w:val="0"/>
        <w:spacing w:line="360" w:lineRule="auto"/>
        <w:ind w:firstLine="482" w:firstLineChars="200"/>
        <w:rPr>
          <w:rFonts w:hAnsi="宋体" w:cs="仿宋"/>
          <w:b/>
          <w:color w:val="auto"/>
          <w:sz w:val="24"/>
          <w:szCs w:val="24"/>
          <w:highlight w:val="none"/>
        </w:rPr>
      </w:pPr>
      <w:r>
        <w:rPr>
          <w:rFonts w:hint="eastAsia" w:hAnsi="宋体" w:cs="仿宋"/>
          <w:b/>
          <w:color w:val="auto"/>
          <w:sz w:val="24"/>
          <w:szCs w:val="24"/>
          <w:highlight w:val="none"/>
        </w:rPr>
        <w:t>五、违约处理</w:t>
      </w:r>
    </w:p>
    <w:p>
      <w:pPr>
        <w:pStyle w:val="33"/>
        <w:snapToGrid w:val="0"/>
        <w:spacing w:line="360" w:lineRule="auto"/>
        <w:ind w:firstLine="480" w:firstLineChars="200"/>
        <w:rPr>
          <w:rFonts w:hAnsi="宋体" w:cs="仿宋"/>
          <w:color w:val="auto"/>
          <w:sz w:val="24"/>
          <w:highlight w:val="none"/>
        </w:rPr>
      </w:pPr>
      <w:r>
        <w:rPr>
          <w:rFonts w:hint="eastAsia" w:hAnsi="宋体" w:cs="仿宋"/>
          <w:color w:val="auto"/>
          <w:sz w:val="24"/>
          <w:highlight w:val="none"/>
        </w:rPr>
        <w:t>1.乙方未按照合同规定的时间完成相应的进度，甲方有权暂停乙方评估资格，乙方被暂停三次及以上的，甲方有权单方终止合同。</w:t>
      </w:r>
    </w:p>
    <w:p>
      <w:pPr>
        <w:pStyle w:val="33"/>
        <w:snapToGrid w:val="0"/>
        <w:spacing w:line="360" w:lineRule="auto"/>
        <w:ind w:firstLine="480" w:firstLineChars="200"/>
        <w:rPr>
          <w:rFonts w:hAnsi="宋体" w:cs="仿宋"/>
          <w:color w:val="auto"/>
          <w:sz w:val="24"/>
          <w:highlight w:val="none"/>
        </w:rPr>
      </w:pPr>
      <w:r>
        <w:rPr>
          <w:rFonts w:hint="eastAsia" w:hAnsi="宋体" w:cs="仿宋"/>
          <w:color w:val="auto"/>
          <w:sz w:val="24"/>
          <w:highlight w:val="none"/>
        </w:rPr>
        <w:t>2.乙方违反本合同违约行为第1条第⑵款时：一是甲方有权要求乙方重新提供服务至符合甲方要求为止，而乙方愿意重新提供服务但未完成相应进度的，则按违约处理第1款处理；二是乙方拒绝重新提供服务的，甲方可单方面解除合同，并要求乙方承担甲方因此造成的损失及相关法律责任。</w:t>
      </w:r>
    </w:p>
    <w:p>
      <w:pPr>
        <w:pStyle w:val="33"/>
        <w:snapToGrid w:val="0"/>
        <w:spacing w:line="360" w:lineRule="auto"/>
        <w:ind w:firstLine="480" w:firstLineChars="200"/>
        <w:rPr>
          <w:rFonts w:hAnsi="宋体" w:cs="仿宋"/>
          <w:color w:val="auto"/>
          <w:sz w:val="24"/>
          <w:highlight w:val="none"/>
        </w:rPr>
      </w:pPr>
      <w:r>
        <w:rPr>
          <w:rFonts w:hint="eastAsia" w:hAnsi="宋体" w:cs="仿宋"/>
          <w:color w:val="auto"/>
          <w:sz w:val="24"/>
          <w:highlight w:val="none"/>
        </w:rPr>
        <w:t>3.乙方违反本合同违约行为第1条第⑶-⑷款时，甲方有权单方终止合同，并追加乙方承担因此造成的损失及相关法律责任。</w:t>
      </w:r>
    </w:p>
    <w:p>
      <w:pPr>
        <w:pStyle w:val="33"/>
        <w:snapToGrid w:val="0"/>
        <w:spacing w:line="360" w:lineRule="auto"/>
        <w:ind w:firstLine="480" w:firstLineChars="200"/>
        <w:rPr>
          <w:rFonts w:hAnsi="宋体" w:cs="仿宋"/>
          <w:b/>
          <w:color w:val="auto"/>
          <w:sz w:val="24"/>
          <w:szCs w:val="24"/>
          <w:highlight w:val="none"/>
        </w:rPr>
      </w:pPr>
      <w:r>
        <w:rPr>
          <w:rFonts w:hint="eastAsia" w:hAnsi="宋体" w:cs="仿宋"/>
          <w:color w:val="auto"/>
          <w:sz w:val="24"/>
          <w:highlight w:val="none"/>
        </w:rPr>
        <w:t>4.因乙方的违约行为导致甲方单方解除合同的，乙方应要承担相应的法律责任。而因乙方违约行为造成的损失超出的由乙方继续承担赔偿责任。</w:t>
      </w:r>
    </w:p>
    <w:p>
      <w:pPr>
        <w:spacing w:line="360" w:lineRule="auto"/>
        <w:ind w:firstLine="482" w:firstLineChars="200"/>
        <w:rPr>
          <w:rFonts w:ascii="宋体" w:hAnsi="宋体" w:cs="仿宋"/>
          <w:b/>
          <w:color w:val="auto"/>
          <w:sz w:val="24"/>
          <w:highlight w:val="none"/>
          <w:lang w:val="zh-CN"/>
        </w:rPr>
      </w:pPr>
      <w:r>
        <w:rPr>
          <w:rFonts w:hint="eastAsia" w:ascii="宋体" w:hAnsi="宋体" w:cs="仿宋"/>
          <w:b/>
          <w:color w:val="auto"/>
          <w:sz w:val="24"/>
          <w:highlight w:val="none"/>
          <w:lang w:val="zh-CN"/>
        </w:rPr>
        <w:t>六、履约保证金：</w:t>
      </w:r>
    </w:p>
    <w:p>
      <w:pPr>
        <w:autoSpaceDE w:val="0"/>
        <w:autoSpaceDN w:val="0"/>
        <w:spacing w:line="360" w:lineRule="auto"/>
        <w:ind w:firstLine="480" w:firstLineChars="200"/>
        <w:rPr>
          <w:rFonts w:ascii="宋体" w:hAnsi="宋体" w:cs="仿宋"/>
          <w:color w:val="auto"/>
          <w:sz w:val="24"/>
          <w:highlight w:val="none"/>
          <w:lang w:val="zh-CN"/>
        </w:rPr>
      </w:pPr>
      <w:r>
        <w:rPr>
          <w:rFonts w:hint="eastAsia" w:ascii="宋体" w:hAnsi="宋体" w:cs="仿宋"/>
          <w:color w:val="auto"/>
          <w:sz w:val="24"/>
          <w:highlight w:val="none"/>
          <w:lang w:val="zh-CN"/>
        </w:rPr>
        <w:t>1.履约保证金的形式：中标人通过基本账户以银行转账方式缴纳。</w:t>
      </w:r>
    </w:p>
    <w:p>
      <w:pPr>
        <w:autoSpaceDE w:val="0"/>
        <w:autoSpaceDN w:val="0"/>
        <w:spacing w:line="360" w:lineRule="auto"/>
        <w:ind w:firstLine="480" w:firstLineChars="200"/>
        <w:rPr>
          <w:rFonts w:ascii="宋体" w:hAnsi="宋体" w:cs="仿宋"/>
          <w:color w:val="auto"/>
          <w:sz w:val="24"/>
          <w:highlight w:val="none"/>
          <w:lang w:val="zh-CN"/>
        </w:rPr>
      </w:pPr>
      <w:r>
        <w:rPr>
          <w:rFonts w:hint="eastAsia" w:ascii="宋体" w:hAnsi="宋体" w:cs="仿宋"/>
          <w:color w:val="auto"/>
          <w:sz w:val="24"/>
          <w:highlight w:val="none"/>
          <w:lang w:val="zh-CN"/>
        </w:rPr>
        <w:t>2.履约保证金的金额：中标人应提交</w:t>
      </w:r>
      <w:r>
        <w:rPr>
          <w:rFonts w:hint="eastAsia" w:ascii="宋体" w:hAnsi="宋体" w:cs="仿宋"/>
          <w:color w:val="auto"/>
          <w:sz w:val="24"/>
          <w:highlight w:val="none"/>
          <w:lang w:val="en-US" w:eastAsia="zh-CN"/>
        </w:rPr>
        <w:t>预算金额的2%作为</w:t>
      </w:r>
      <w:r>
        <w:rPr>
          <w:rFonts w:hint="eastAsia" w:ascii="宋体" w:hAnsi="宋体" w:cs="仿宋"/>
          <w:color w:val="auto"/>
          <w:sz w:val="24"/>
          <w:highlight w:val="none"/>
          <w:lang w:val="zh-CN"/>
        </w:rPr>
        <w:t>履约担保，无息。</w:t>
      </w:r>
    </w:p>
    <w:p>
      <w:pPr>
        <w:autoSpaceDE w:val="0"/>
        <w:autoSpaceDN w:val="0"/>
        <w:spacing w:line="360" w:lineRule="auto"/>
        <w:ind w:firstLine="480" w:firstLineChars="200"/>
        <w:rPr>
          <w:rFonts w:ascii="宋体" w:hAnsi="宋体" w:cs="仿宋"/>
          <w:color w:val="auto"/>
          <w:sz w:val="24"/>
          <w:highlight w:val="none"/>
          <w:lang w:val="zh-CN"/>
        </w:rPr>
      </w:pPr>
      <w:r>
        <w:rPr>
          <w:rFonts w:hint="eastAsia" w:ascii="宋体" w:hAnsi="宋体" w:cs="仿宋"/>
          <w:color w:val="auto"/>
          <w:sz w:val="24"/>
          <w:highlight w:val="none"/>
          <w:lang w:val="zh-CN"/>
        </w:rPr>
        <w:t>3.履约保证金的缴纳时间：以银行转账方式</w:t>
      </w:r>
      <w:r>
        <w:rPr>
          <w:rFonts w:hint="eastAsia" w:ascii="宋体" w:hAnsi="宋体" w:cs="仿宋"/>
          <w:color w:val="auto"/>
          <w:sz w:val="24"/>
          <w:highlight w:val="none"/>
        </w:rPr>
        <w:t>交纳</w:t>
      </w:r>
      <w:r>
        <w:rPr>
          <w:rFonts w:hint="eastAsia" w:ascii="宋体" w:hAnsi="宋体" w:cs="仿宋"/>
          <w:color w:val="auto"/>
          <w:sz w:val="24"/>
          <w:highlight w:val="none"/>
          <w:lang w:val="zh-CN"/>
        </w:rPr>
        <w:t>的，在成交通知书发出后</w:t>
      </w:r>
      <w:r>
        <w:rPr>
          <w:rFonts w:hint="eastAsia" w:ascii="宋体" w:hAnsi="宋体" w:cs="仿宋"/>
          <w:color w:val="auto"/>
          <w:sz w:val="24"/>
          <w:highlight w:val="none"/>
        </w:rPr>
        <w:t>30天内或合同签订前</w:t>
      </w:r>
      <w:r>
        <w:rPr>
          <w:rFonts w:hint="eastAsia" w:ascii="宋体" w:hAnsi="宋体" w:cs="仿宋"/>
          <w:color w:val="auto"/>
          <w:sz w:val="24"/>
          <w:highlight w:val="none"/>
          <w:lang w:val="zh-CN"/>
        </w:rPr>
        <w:t>汇入交易发起人指定账户，逾期将取消中标资格。</w:t>
      </w:r>
    </w:p>
    <w:p>
      <w:pPr>
        <w:widowControl/>
        <w:shd w:val="clear" w:color="auto" w:fill="FFFFFF"/>
        <w:spacing w:line="360" w:lineRule="auto"/>
        <w:ind w:firstLine="480" w:firstLineChars="200"/>
        <w:rPr>
          <w:rFonts w:ascii="宋体" w:hAnsi="宋体" w:cs="仿宋"/>
          <w:color w:val="auto"/>
          <w:sz w:val="24"/>
          <w:highlight w:val="none"/>
          <w:lang w:val="zh-CN"/>
        </w:rPr>
      </w:pPr>
      <w:r>
        <w:rPr>
          <w:rFonts w:hint="eastAsia" w:ascii="宋体" w:hAnsi="宋体" w:cs="仿宋"/>
          <w:color w:val="auto"/>
          <w:sz w:val="24"/>
          <w:highlight w:val="none"/>
          <w:lang w:val="zh-CN"/>
        </w:rPr>
        <w:t>4.</w:t>
      </w:r>
      <w:r>
        <w:rPr>
          <w:rFonts w:hint="eastAsia" w:ascii="宋体" w:hAnsi="宋体" w:cs="仿宋"/>
          <w:color w:val="auto"/>
          <w:sz w:val="24"/>
          <w:highlight w:val="none"/>
        </w:rPr>
        <w:t>履约保证金在合同履行期间内不予退还，待服务期满后，无服务问题，由交易发起人向中标人无息退还</w:t>
      </w:r>
      <w:r>
        <w:rPr>
          <w:rFonts w:hint="eastAsia" w:ascii="宋体" w:hAnsi="宋体" w:cs="仿宋"/>
          <w:color w:val="auto"/>
          <w:sz w:val="24"/>
          <w:highlight w:val="none"/>
          <w:lang w:val="zh-CN"/>
        </w:rPr>
        <w:t>。</w:t>
      </w:r>
    </w:p>
    <w:p>
      <w:pPr>
        <w:snapToGrid w:val="0"/>
        <w:spacing w:line="360" w:lineRule="auto"/>
        <w:ind w:firstLine="482" w:firstLineChars="200"/>
        <w:rPr>
          <w:rFonts w:ascii="宋体" w:hAnsi="宋体" w:cs="仿宋"/>
          <w:b/>
          <w:color w:val="auto"/>
          <w:sz w:val="24"/>
          <w:highlight w:val="none"/>
        </w:rPr>
      </w:pPr>
      <w:r>
        <w:rPr>
          <w:rFonts w:hint="eastAsia" w:ascii="宋体" w:hAnsi="宋体" w:cs="仿宋"/>
          <w:b/>
          <w:color w:val="auto"/>
          <w:sz w:val="24"/>
          <w:highlight w:val="none"/>
        </w:rPr>
        <w:t>八、争议的解决办法</w:t>
      </w:r>
    </w:p>
    <w:p>
      <w:pPr>
        <w:snapToGrid w:val="0"/>
        <w:spacing w:line="360" w:lineRule="auto"/>
        <w:ind w:firstLine="480" w:firstLineChars="200"/>
        <w:rPr>
          <w:rFonts w:ascii="宋体" w:hAnsi="宋体" w:cs="仿宋"/>
          <w:color w:val="auto"/>
          <w:sz w:val="24"/>
          <w:highlight w:val="none"/>
          <w:lang w:val="zh-CN"/>
        </w:rPr>
      </w:pPr>
      <w:r>
        <w:rPr>
          <w:rFonts w:hint="eastAsia" w:ascii="宋体" w:hAnsi="宋体" w:cs="仿宋"/>
          <w:color w:val="auto"/>
          <w:sz w:val="24"/>
          <w:highlight w:val="none"/>
        </w:rPr>
        <w:t>双方在执行合同中所发生的一切争议，应通过协商解决。如协商不成，可向甲方所在地法院起诉。</w:t>
      </w:r>
    </w:p>
    <w:p>
      <w:pPr>
        <w:widowControl/>
        <w:shd w:val="clear" w:color="auto" w:fill="FFFFFF"/>
        <w:spacing w:line="360" w:lineRule="auto"/>
        <w:ind w:firstLine="482" w:firstLineChars="200"/>
        <w:rPr>
          <w:rFonts w:ascii="宋体" w:hAnsi="宋体" w:cs="仿宋"/>
          <w:b/>
          <w:color w:val="auto"/>
          <w:sz w:val="24"/>
          <w:highlight w:val="none"/>
          <w:lang w:val="zh-CN"/>
        </w:rPr>
      </w:pPr>
      <w:r>
        <w:rPr>
          <w:rFonts w:hint="eastAsia" w:ascii="宋体" w:hAnsi="宋体" w:cs="仿宋"/>
          <w:b/>
          <w:color w:val="auto"/>
          <w:sz w:val="24"/>
          <w:highlight w:val="none"/>
          <w:lang w:val="zh-CN"/>
        </w:rPr>
        <w:t>九、</w:t>
      </w:r>
      <w:r>
        <w:rPr>
          <w:rFonts w:hint="eastAsia" w:ascii="宋体" w:hAnsi="宋体" w:cs="仿宋"/>
          <w:b/>
          <w:color w:val="auto"/>
          <w:sz w:val="24"/>
          <w:highlight w:val="none"/>
        </w:rPr>
        <w:t>合同订立</w:t>
      </w: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合同订立时间:   年   月   日</w:t>
      </w: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合同订立地点：杭州市</w:t>
      </w: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合同份数：本合同一式</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份，委托人、受托人各</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份。</w:t>
      </w:r>
    </w:p>
    <w:p>
      <w:pPr>
        <w:spacing w:line="360" w:lineRule="auto"/>
        <w:ind w:firstLine="482" w:firstLineChars="200"/>
        <w:rPr>
          <w:rFonts w:ascii="宋体" w:hAnsi="宋体" w:cs="仿宋"/>
          <w:b/>
          <w:color w:val="auto"/>
          <w:sz w:val="24"/>
          <w:highlight w:val="none"/>
        </w:rPr>
      </w:pPr>
      <w:r>
        <w:rPr>
          <w:rFonts w:hint="eastAsia" w:ascii="宋体" w:hAnsi="宋体" w:cs="仿宋"/>
          <w:b/>
          <w:color w:val="auto"/>
          <w:sz w:val="24"/>
          <w:highlight w:val="none"/>
          <w:lang w:val="zh-CN"/>
        </w:rPr>
        <w:t>十、</w:t>
      </w:r>
      <w:r>
        <w:rPr>
          <w:rFonts w:hint="eastAsia" w:ascii="宋体" w:hAnsi="宋体" w:cs="仿宋"/>
          <w:b/>
          <w:color w:val="auto"/>
          <w:sz w:val="24"/>
          <w:highlight w:val="none"/>
        </w:rPr>
        <w:t>合同生效</w:t>
      </w: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本合同双方约定签字、盖章后生效。</w:t>
      </w:r>
    </w:p>
    <w:p>
      <w:pPr>
        <w:spacing w:line="360" w:lineRule="auto"/>
        <w:ind w:firstLine="480" w:firstLineChars="200"/>
        <w:rPr>
          <w:rFonts w:ascii="宋体" w:hAnsi="宋体" w:cs="仿宋"/>
          <w:color w:val="auto"/>
          <w:sz w:val="24"/>
          <w:highlight w:val="none"/>
        </w:rPr>
      </w:pPr>
    </w:p>
    <w:p>
      <w:pPr>
        <w:spacing w:line="360" w:lineRule="auto"/>
        <w:ind w:firstLine="480" w:firstLineChars="200"/>
        <w:rPr>
          <w:rFonts w:ascii="宋体" w:hAnsi="宋体" w:cs="仿宋"/>
          <w:color w:val="auto"/>
          <w:sz w:val="24"/>
          <w:highlight w:val="none"/>
        </w:rPr>
      </w:pP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法定代表人（签字或盖章）：                法定代表人（签字或盖章）：</w:t>
      </w: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或其授权代理人（签字或盖章）：            或其授权代理人（签字或盖章）：</w:t>
      </w: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经办人：                                  经办人：</w:t>
      </w: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联系电话：                                联系电话：</w:t>
      </w:r>
    </w:p>
    <w:p>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 xml:space="preserve">开户银行：                  开户银行：   </w:t>
      </w:r>
    </w:p>
    <w:p>
      <w:pPr>
        <w:spacing w:line="360" w:lineRule="auto"/>
        <w:ind w:firstLine="480" w:firstLineChars="200"/>
        <w:rPr>
          <w:rFonts w:hint="eastAsia" w:ascii="宋体" w:hAnsi="宋体" w:eastAsia="宋体" w:cs="宋体"/>
          <w:color w:val="auto"/>
          <w:highlight w:val="none"/>
          <w:lang w:eastAsia="zh-CN"/>
        </w:rPr>
      </w:pPr>
      <w:r>
        <w:rPr>
          <w:rFonts w:hint="eastAsia" w:ascii="宋体" w:hAnsi="宋体" w:cs="仿宋"/>
          <w:color w:val="auto"/>
          <w:sz w:val="24"/>
          <w:highlight w:val="none"/>
        </w:rPr>
        <w:t>账  号：                      账 号：</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ascii="宋体" w:hAnsi="宋体" w:eastAsia="宋体" w:cs="宋体"/>
          <w:color w:val="auto"/>
          <w:highlight w:val="none"/>
        </w:rPr>
      </w:pPr>
    </w:p>
    <w:p>
      <w:pPr>
        <w:spacing w:before="42" w:line="240" w:lineRule="auto"/>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（1）符合参加交易活动应当具备的一般条件的承诺函…………………（页码）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符合参加交易活动应当具备的一般条件的承诺函</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（项目名称）【交易编号：    】</w:t>
      </w:r>
      <w:r>
        <w:rPr>
          <w:rFonts w:hint="eastAsia" w:ascii="宋体" w:hAnsi="宋体" w:cs="宋体"/>
          <w:color w:val="auto"/>
          <w:sz w:val="24"/>
          <w:highlight w:val="none"/>
        </w:rPr>
        <w:t>交易活动，郑重承诺：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响应人名称(电子签名)：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（根据交易公告本项目的特定资格要求提供相应的材料；未要求的，无需提供）</w:t>
      </w:r>
    </w:p>
    <w:p>
      <w:pPr>
        <w:spacing w:line="360" w:lineRule="auto"/>
        <w:jc w:val="center"/>
        <w:rPr>
          <w:rFonts w:ascii="宋体" w:hAnsi="宋体" w:cs="宋体"/>
          <w:color w:val="auto"/>
          <w:kern w:val="0"/>
          <w:sz w:val="24"/>
          <w:highlight w:val="none"/>
          <w:lang w:val="zh-CN"/>
        </w:rPr>
      </w:pPr>
    </w:p>
    <w:p>
      <w:pPr>
        <w:widowControl/>
        <w:spacing w:line="360" w:lineRule="auto"/>
        <w:ind w:left="15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ascii="宋体" w:hAnsi="宋体" w:cs="宋体"/>
          <w:b/>
          <w:color w:val="auto"/>
          <w:kern w:val="0"/>
          <w:sz w:val="36"/>
          <w:szCs w:val="36"/>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ascii="宋体" w:hAnsi="宋体" w:cs="宋体"/>
          <w:b/>
          <w:color w:val="auto"/>
          <w:kern w:val="0"/>
          <w:sz w:val="36"/>
          <w:szCs w:val="36"/>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ascii="宋体" w:hAnsi="宋体" w:cs="宋体"/>
          <w:b/>
          <w:color w:val="auto"/>
          <w:kern w:val="0"/>
          <w:sz w:val="36"/>
          <w:szCs w:val="36"/>
          <w:highlight w:val="none"/>
        </w:rPr>
      </w:pPr>
    </w:p>
    <w:p>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jc w:val="distribute"/>
        <w:rPr>
          <w:rFonts w:ascii="宋体" w:hAnsi="宋体" w:cs="宋体"/>
          <w:color w:val="auto"/>
          <w:sz w:val="21"/>
          <w:szCs w:val="21"/>
          <w:highlight w:val="none"/>
        </w:rPr>
      </w:pPr>
      <w:r>
        <w:rPr>
          <w:rFonts w:hint="eastAsia" w:ascii="宋体" w:hAnsi="宋体" w:cs="宋体"/>
          <w:color w:val="auto"/>
          <w:sz w:val="21"/>
          <w:szCs w:val="21"/>
          <w:highlight w:val="none"/>
        </w:rPr>
        <w:t>（1）交易函…………………………………………………………………………………（页码）（2）授权委托书或法定代表人（单位负责人、自然人本人）身份证明………（页码）</w:t>
      </w:r>
    </w:p>
    <w:p>
      <w:pPr>
        <w:snapToGrid w:val="0"/>
        <w:spacing w:line="360" w:lineRule="auto"/>
        <w:ind w:firstLine="420" w:firstLineChars="200"/>
        <w:jc w:val="distribute"/>
        <w:rPr>
          <w:rFonts w:ascii="宋体" w:hAnsi="宋体" w:cs="宋体"/>
          <w:color w:val="auto"/>
          <w:sz w:val="21"/>
          <w:szCs w:val="21"/>
          <w:highlight w:val="none"/>
        </w:rPr>
      </w:pPr>
      <w:r>
        <w:rPr>
          <w:rFonts w:hint="eastAsia" w:ascii="宋体" w:hAnsi="宋体" w:cs="宋体"/>
          <w:color w:val="auto"/>
          <w:sz w:val="21"/>
          <w:szCs w:val="21"/>
          <w:highlight w:val="none"/>
        </w:rPr>
        <w:t>（3）营业执照………………………………………………………………………………（页码）</w:t>
      </w:r>
    </w:p>
    <w:p>
      <w:pPr>
        <w:snapToGrid w:val="0"/>
        <w:spacing w:line="360" w:lineRule="auto"/>
        <w:ind w:firstLine="420" w:firstLineChars="200"/>
        <w:jc w:val="distribute"/>
        <w:rPr>
          <w:rFonts w:ascii="宋体" w:hAnsi="宋体" w:cs="宋体"/>
          <w:color w:val="auto"/>
          <w:sz w:val="21"/>
          <w:szCs w:val="21"/>
          <w:highlight w:val="none"/>
        </w:rPr>
      </w:pPr>
      <w:r>
        <w:rPr>
          <w:rFonts w:hint="eastAsia" w:ascii="宋体" w:hAnsi="宋体" w:cs="宋体"/>
          <w:color w:val="auto"/>
          <w:sz w:val="21"/>
          <w:szCs w:val="21"/>
          <w:highlight w:val="none"/>
        </w:rPr>
        <w:t>（4）符合性审查资料………………………………………………………………………（页码）</w:t>
      </w:r>
    </w:p>
    <w:p>
      <w:pPr>
        <w:snapToGrid w:val="0"/>
        <w:spacing w:line="360" w:lineRule="auto"/>
        <w:ind w:firstLine="420" w:firstLineChars="200"/>
        <w:jc w:val="distribute"/>
        <w:rPr>
          <w:rFonts w:ascii="宋体" w:hAnsi="宋体" w:cs="宋体"/>
          <w:color w:val="auto"/>
          <w:sz w:val="21"/>
          <w:szCs w:val="21"/>
          <w:highlight w:val="none"/>
        </w:rPr>
      </w:pPr>
      <w:r>
        <w:rPr>
          <w:rFonts w:hint="eastAsia" w:ascii="宋体" w:hAnsi="宋体" w:cs="宋体"/>
          <w:color w:val="auto"/>
          <w:sz w:val="21"/>
          <w:szCs w:val="21"/>
          <w:highlight w:val="none"/>
        </w:rPr>
        <w:t>（5）评审标准相应的商务技术资料……………………………………………………（页码）</w:t>
      </w:r>
    </w:p>
    <w:p>
      <w:pPr>
        <w:snapToGrid w:val="0"/>
        <w:spacing w:line="360" w:lineRule="auto"/>
        <w:ind w:firstLine="420" w:firstLineChars="200"/>
        <w:jc w:val="distribute"/>
        <w:rPr>
          <w:rFonts w:hint="eastAsia" w:ascii="宋体" w:hAnsi="宋体" w:cs="宋体"/>
          <w:color w:val="auto"/>
          <w:sz w:val="21"/>
          <w:szCs w:val="21"/>
          <w:highlight w:val="none"/>
        </w:rPr>
      </w:pPr>
      <w:r>
        <w:rPr>
          <w:rFonts w:hint="eastAsia" w:ascii="宋体" w:hAnsi="宋体" w:cs="宋体"/>
          <w:color w:val="auto"/>
          <w:sz w:val="21"/>
          <w:szCs w:val="21"/>
          <w:highlight w:val="none"/>
        </w:rPr>
        <w:t>（6）商务技术偏离表………………………………………………………………………（页码）</w:t>
      </w:r>
    </w:p>
    <w:p>
      <w:pPr>
        <w:snapToGrid w:val="0"/>
        <w:spacing w:line="360" w:lineRule="auto"/>
        <w:ind w:firstLine="420" w:firstLineChars="200"/>
        <w:jc w:val="distribute"/>
        <w:rPr>
          <w:rFonts w:ascii="宋体" w:hAnsi="宋体" w:cs="宋体"/>
          <w:color w:val="auto"/>
          <w:sz w:val="24"/>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zh-CN" w:eastAsia="zh-CN"/>
        </w:rPr>
        <w:t>响应人廉洁自律承诺书</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一、交易函</w:t>
      </w: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（项目名称）【交易编号：        】</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的有关活动，并对此项目进行投标。为此：</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1、我方承诺交易有效期从提交响应文件的截止之日起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本响应文件在交易有效期满之前均具有约束力。</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2.1.2本项目的特定资格要求（如果有）。</w:t>
      </w:r>
    </w:p>
    <w:p>
      <w:pPr>
        <w:snapToGrid w:val="0"/>
        <w:spacing w:line="440" w:lineRule="exact"/>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2.2.1交易函；</w:t>
      </w:r>
      <w:r>
        <w:rPr>
          <w:rFonts w:hint="eastAsia" w:ascii="宋体" w:hAnsi="宋体" w:cs="宋体"/>
          <w:color w:val="auto"/>
          <w:sz w:val="24"/>
          <w:highlight w:val="none"/>
          <w:lang w:val="zh-CN"/>
        </w:rPr>
        <w:t xml:space="preserve"> </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2.2.3营业执照；</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pPr>
        <w:snapToGrid w:val="0"/>
        <w:spacing w:line="440" w:lineRule="exact"/>
        <w:ind w:left="420" w:leftChars="200" w:firstLine="480" w:firstLineChars="200"/>
        <w:rPr>
          <w:rFonts w:ascii="宋体" w:hAnsi="宋体" w:cs="宋体"/>
          <w:color w:val="auto"/>
          <w:highlight w:val="none"/>
        </w:rPr>
      </w:pPr>
      <w:r>
        <w:rPr>
          <w:rFonts w:hint="eastAsia" w:ascii="宋体" w:hAnsi="宋体" w:cs="宋体"/>
          <w:color w:val="auto"/>
          <w:sz w:val="24"/>
          <w:highlight w:val="none"/>
        </w:rPr>
        <w:t>2.2.5评审标准相应的商务技术资料；</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w:t>
      </w:r>
      <w:r>
        <w:rPr>
          <w:rFonts w:hint="eastAsia" w:ascii="宋体" w:hAnsi="宋体" w:cs="宋体"/>
          <w:color w:val="auto"/>
          <w:sz w:val="24"/>
          <w:highlight w:val="none"/>
          <w:lang w:val="zh-CN"/>
        </w:rPr>
        <w:t>响应人廉洁自律承诺书。</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2.3.1交易一览表（报价表）。</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3、我方承诺除商务技术偏离表列出的偏离外，我方响应公开竞争文件的全部要求。</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4.3按照公开竞争文件要求提交履约保证金；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40" w:lineRule="exact"/>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响应人名称（电子签名）：                          </w:t>
      </w:r>
    </w:p>
    <w:p>
      <w:pPr>
        <w:spacing w:line="440" w:lineRule="exact"/>
        <w:jc w:val="center"/>
        <w:rPr>
          <w:rFonts w:ascii="宋体" w:hAnsi="宋体" w:cs="宋体"/>
          <w:color w:val="auto"/>
          <w:kern w:val="0"/>
          <w:sz w:val="24"/>
          <w:highlight w:val="none"/>
          <w:u w:val="singl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color w:val="auto"/>
          <w:sz w:val="24"/>
          <w:highlight w:val="none"/>
        </w:rPr>
        <w:t>注：按本格式和要求提供。</w:t>
      </w:r>
    </w:p>
    <w:p>
      <w:pPr>
        <w:pStyle w:val="24"/>
        <w:rPr>
          <w:rFonts w:hAnsi="宋体" w:cs="宋体"/>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（项目名称）【交易编号：       】</w:t>
      </w:r>
      <w:r>
        <w:rPr>
          <w:rFonts w:hint="eastAsia" w:ascii="宋体" w:hAnsi="宋体" w:cs="宋体"/>
          <w:color w:val="auto"/>
          <w:kern w:val="0"/>
          <w:sz w:val="24"/>
          <w:highlight w:val="none"/>
          <w:lang w:val="zh-CN"/>
        </w:rPr>
        <w:t>交易项目的一切事项，其法律后果由我方承担。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响应人名称(电子签名)：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lang w:val="zh-CN"/>
        </w:rPr>
      </w:pPr>
      <w:r>
        <w:rPr>
          <w:rFonts w:hint="eastAsia" w:ascii="宋体" w:hAnsi="宋体" w:cs="宋体"/>
          <w:b/>
          <w:color w:val="auto"/>
          <w:kern w:val="0"/>
          <w:sz w:val="32"/>
          <w:szCs w:val="32"/>
          <w:highlight w:val="none"/>
          <w:lang w:val="zh-CN"/>
        </w:rPr>
        <w:t xml:space="preserve">    </w:t>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的身份证明（适用于法定代表人、单位负责人或者自然人本人代表响应人参加投标）</w:t>
      </w:r>
    </w:p>
    <w:p>
      <w:pPr>
        <w:pStyle w:val="15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8"/>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响应人名称(电子签名)：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三、营业执照</w:t>
      </w:r>
    </w:p>
    <w:p>
      <w:pPr>
        <w:jc w:val="center"/>
        <w:rPr>
          <w:rFonts w:ascii="宋体" w:hAnsi="宋体" w:cs="宋体"/>
          <w:b/>
          <w:color w:val="auto"/>
          <w:kern w:val="0"/>
          <w:sz w:val="32"/>
          <w:szCs w:val="32"/>
          <w:highlight w:val="none"/>
        </w:rPr>
      </w:pP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8"/>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p>
    <w:p>
      <w:pPr>
        <w:snapToGrid w:val="0"/>
        <w:spacing w:line="360" w:lineRule="auto"/>
        <w:ind w:firstLine="576"/>
        <w:jc w:val="center"/>
        <w:rPr>
          <w:rFonts w:ascii="宋体" w:hAnsi="宋体" w:cs="宋体"/>
          <w:color w:val="auto"/>
          <w:kern w:val="0"/>
          <w:sz w:val="24"/>
          <w:highlight w:val="none"/>
          <w:lang w:val="zh-CN"/>
        </w:rPr>
      </w:pP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响应人名称(电子签名)：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97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56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响应文件按照公开竞争文件要求签署、盖章。</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pPr>
              <w:jc w:val="center"/>
              <w:rPr>
                <w:rFonts w:ascii="宋体" w:hAnsi="宋体" w:cs="宋体"/>
                <w:color w:val="auto"/>
                <w:sz w:val="24"/>
                <w:highlight w:val="none"/>
              </w:rPr>
            </w:pPr>
          </w:p>
          <w:p>
            <w:pPr>
              <w:jc w:val="center"/>
              <w:rPr>
                <w:rFonts w:ascii="宋体" w:hAnsi="宋体" w:cs="宋体"/>
                <w:color w:val="auto"/>
                <w:sz w:val="24"/>
                <w:highlight w:val="none"/>
              </w:rPr>
            </w:pPr>
            <w:r>
              <w:rPr>
                <w:rFonts w:hint="eastAsia" w:ascii="宋体" w:hAnsi="宋体" w:cs="宋体"/>
                <w:color w:val="auto"/>
                <w:sz w:val="24"/>
                <w:highlight w:val="none"/>
              </w:rPr>
              <w:t>见响应文件</w:t>
            </w:r>
          </w:p>
          <w:p>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响应文件中承诺的交易有效期不少于公开竞争文件中载明的交易有效期。</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交易函</w:t>
            </w:r>
          </w:p>
        </w:tc>
        <w:tc>
          <w:tcPr>
            <w:tcW w:w="1418" w:type="dxa"/>
            <w:vAlign w:val="center"/>
          </w:tcPr>
          <w:p>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响应文件满足公开竞争文件的其它实质性要求。</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kern w:val="0"/>
                <w:sz w:val="24"/>
                <w:highlight w:val="none"/>
              </w:rPr>
              <w:t>公开竞争文件其它实质性要求相应的材料（“▲” 系指实质性要求条款，公开竞争文件无其它实质性要求的，无需提供）</w:t>
            </w:r>
          </w:p>
        </w:tc>
        <w:tc>
          <w:tcPr>
            <w:tcW w:w="1418" w:type="dxa"/>
            <w:vAlign w:val="center"/>
          </w:tcPr>
          <w:p>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五、评审标准相应的商务技术资料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（按公开竞争文件第四部分交易办法前附表中“响应文件中评审标准相应的商务技术资料目录”提供资料。）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62"/>
        <w:rPr>
          <w:rFonts w:hAnsi="宋体" w:cs="宋体"/>
          <w:b/>
          <w:color w:val="auto"/>
          <w:kern w:val="0"/>
          <w:sz w:val="32"/>
          <w:szCs w:val="32"/>
          <w:highlight w:val="none"/>
        </w:rPr>
      </w:pPr>
    </w:p>
    <w:p>
      <w:pPr>
        <w:pStyle w:val="52"/>
        <w:rPr>
          <w:rFonts w:ascii="宋体" w:hAnsi="宋体" w:cs="宋体"/>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pacing w:line="360" w:lineRule="auto"/>
        <w:ind w:right="42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公开竞争文件章节及具体内容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响应人保证：除商务技术偏离表列出的偏离外，响应人响应公开竞争文件的全部要求</w:t>
      </w:r>
    </w:p>
    <w:p>
      <w:pPr>
        <w:jc w:val="center"/>
        <w:rPr>
          <w:rFonts w:ascii="宋体" w:hAnsi="宋体" w:cs="宋体"/>
          <w:b/>
          <w:color w:val="auto"/>
          <w:kern w:val="0"/>
          <w:sz w:val="32"/>
          <w:szCs w:val="32"/>
          <w:highlight w:val="none"/>
        </w:rPr>
      </w:pP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rPr>
          <w:rFonts w:hint="eastAsia" w:ascii="宋体" w:hAnsi="宋体" w:cs="宋体"/>
          <w:color w:val="auto"/>
          <w:sz w:val="24"/>
          <w:highlight w:val="none"/>
        </w:rPr>
      </w:pPr>
      <w:r>
        <w:rPr>
          <w:rFonts w:hint="eastAsia" w:ascii="宋体" w:hAnsi="宋体" w:cs="宋体"/>
          <w:color w:val="auto"/>
          <w:sz w:val="24"/>
          <w:highlight w:val="none"/>
        </w:rPr>
        <w:br w:type="page"/>
      </w:r>
    </w:p>
    <w:p>
      <w:pPr>
        <w:numPr>
          <w:ilvl w:val="0"/>
          <w:numId w:val="2"/>
        </w:numPr>
        <w:spacing w:line="360" w:lineRule="auto"/>
        <w:ind w:right="420"/>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响应人廉洁自律承诺书</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项目要求。在这次</w:t>
      </w:r>
      <w:r>
        <w:rPr>
          <w:rFonts w:hint="eastAsia" w:ascii="宋体" w:hAnsi="宋体" w:cs="宋体"/>
          <w:color w:val="auto"/>
          <w:kern w:val="0"/>
          <w:sz w:val="24"/>
          <w:highlight w:val="none"/>
          <w:lang w:val="en-US" w:eastAsia="zh-CN"/>
        </w:rPr>
        <w:t>交易</w:t>
      </w:r>
      <w:r>
        <w:rPr>
          <w:rFonts w:hint="eastAsia" w:ascii="宋体" w:hAnsi="宋体" w:cs="宋体"/>
          <w:color w:val="auto"/>
          <w:kern w:val="0"/>
          <w:sz w:val="24"/>
          <w:highlight w:val="none"/>
          <w:lang w:val="zh-CN"/>
        </w:rPr>
        <w:t>过程中和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pStyle w:val="25"/>
        <w:ind w:left="0" w:leftChars="0" w:firstLine="0" w:firstLineChars="0"/>
        <w:rPr>
          <w:color w:val="auto"/>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spacing w:line="360" w:lineRule="auto"/>
        <w:jc w:val="center"/>
        <w:rPr>
          <w:rFonts w:ascii="宋体" w:hAnsi="宋体" w:cs="宋体"/>
          <w:b/>
          <w:bCs/>
          <w:color w:val="auto"/>
          <w:sz w:val="24"/>
          <w:highlight w:val="none"/>
        </w:rPr>
        <w:sectPr>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0"/>
        </w:numPr>
        <w:snapToGrid w:val="0"/>
        <w:spacing w:line="360" w:lineRule="auto"/>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（1）交易一览表（报价表）</w:t>
      </w:r>
      <w:r>
        <w:rPr>
          <w:rFonts w:hint="eastAsia" w:ascii="宋体" w:hAnsi="宋体" w:cs="宋体"/>
          <w:color w:val="auto"/>
          <w:sz w:val="24"/>
          <w:highlight w:val="none"/>
        </w:rPr>
        <w:t>…………………………………………………………（页码）</w:t>
      </w:r>
    </w:p>
    <w:p>
      <w:pPr>
        <w:numPr>
          <w:ilvl w:val="0"/>
          <w:numId w:val="0"/>
        </w:num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pPr>
        <w:pStyle w:val="3"/>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一、交易一览表（报价表）</w:t>
      </w:r>
    </w:p>
    <w:p>
      <w:pPr>
        <w:spacing w:line="360" w:lineRule="exact"/>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交易发起</w:t>
      </w:r>
      <w:r>
        <w:rPr>
          <w:rFonts w:hint="eastAsia"/>
          <w:color w:val="auto"/>
          <w:sz w:val="24"/>
          <w:szCs w:val="24"/>
          <w:highlight w:val="none"/>
        </w:rPr>
        <w:t>人）、（采购代理机构）</w:t>
      </w:r>
      <w:r>
        <w:rPr>
          <w:rFonts w:hint="eastAsia"/>
          <w:color w:val="auto"/>
          <w:sz w:val="24"/>
          <w:szCs w:val="24"/>
          <w:highlight w:val="none"/>
          <w:lang w:val="zh-CN"/>
        </w:rPr>
        <w:t>：</w:t>
      </w:r>
    </w:p>
    <w:p>
      <w:pPr>
        <w:spacing w:line="360" w:lineRule="exact"/>
        <w:rPr>
          <w:color w:val="auto"/>
          <w:sz w:val="24"/>
          <w:szCs w:val="24"/>
          <w:highlight w:val="none"/>
          <w:lang w:val="zh-CN"/>
        </w:rPr>
      </w:pPr>
      <w:r>
        <w:rPr>
          <w:rFonts w:hint="eastAsia"/>
          <w:color w:val="auto"/>
          <w:sz w:val="24"/>
          <w:szCs w:val="24"/>
          <w:highlight w:val="none"/>
          <w:lang w:val="zh-CN"/>
        </w:rPr>
        <w:t>按你方交易文件要求，我们，本响应文件签字方，谨此向你方发出要约如下：如你方接受本响应，我方承诺按照如下交易一览表（报价表）的价格完成</w:t>
      </w:r>
      <w:r>
        <w:rPr>
          <w:rFonts w:hint="eastAsia"/>
          <w:color w:val="auto"/>
          <w:sz w:val="24"/>
          <w:szCs w:val="24"/>
          <w:highlight w:val="none"/>
        </w:rPr>
        <w:t>（项目名称）</w:t>
      </w:r>
      <w:r>
        <w:rPr>
          <w:rFonts w:hint="eastAsia"/>
          <w:color w:val="auto"/>
          <w:sz w:val="24"/>
          <w:szCs w:val="24"/>
          <w:highlight w:val="none"/>
          <w:lang w:val="zh-CN"/>
        </w:rPr>
        <w:t>【</w:t>
      </w:r>
      <w:r>
        <w:rPr>
          <w:rFonts w:hint="eastAsia"/>
          <w:color w:val="auto"/>
          <w:sz w:val="24"/>
          <w:szCs w:val="24"/>
          <w:highlight w:val="none"/>
        </w:rPr>
        <w:t>项目</w:t>
      </w:r>
      <w:r>
        <w:rPr>
          <w:rFonts w:hint="eastAsia"/>
          <w:color w:val="auto"/>
          <w:sz w:val="24"/>
          <w:szCs w:val="24"/>
          <w:highlight w:val="none"/>
          <w:lang w:val="zh-CN"/>
        </w:rPr>
        <w:t>编号：</w:t>
      </w:r>
      <w:r>
        <w:rPr>
          <w:rFonts w:hint="eastAsia"/>
          <w:color w:val="auto"/>
          <w:sz w:val="24"/>
          <w:szCs w:val="24"/>
          <w:highlight w:val="none"/>
        </w:rPr>
        <w:t>（</w:t>
      </w:r>
      <w:r>
        <w:rPr>
          <w:rFonts w:hint="eastAsia"/>
          <w:color w:val="auto"/>
          <w:sz w:val="24"/>
          <w:szCs w:val="24"/>
          <w:highlight w:val="none"/>
          <w:lang w:val="en-US" w:eastAsia="zh-CN"/>
        </w:rPr>
        <w:t>交易</w:t>
      </w:r>
      <w:r>
        <w:rPr>
          <w:rFonts w:hint="eastAsia"/>
          <w:color w:val="auto"/>
          <w:sz w:val="24"/>
          <w:szCs w:val="24"/>
          <w:highlight w:val="none"/>
        </w:rPr>
        <w:t>编号）】的实施</w:t>
      </w:r>
      <w:r>
        <w:rPr>
          <w:rFonts w:hint="eastAsia"/>
          <w:color w:val="auto"/>
          <w:sz w:val="24"/>
          <w:szCs w:val="24"/>
          <w:highlight w:val="none"/>
          <w:lang w:val="zh-CN"/>
        </w:rPr>
        <w:t>。</w:t>
      </w:r>
    </w:p>
    <w:p>
      <w:pPr>
        <w:spacing w:line="400" w:lineRule="exact"/>
        <w:jc w:val="center"/>
        <w:rPr>
          <w:b/>
          <w:color w:val="auto"/>
          <w:highlight w:val="none"/>
          <w:lang w:val="zh-CN"/>
        </w:rPr>
      </w:pPr>
      <w:r>
        <w:rPr>
          <w:rFonts w:hint="eastAsia"/>
          <w:b/>
          <w:color w:val="auto"/>
          <w:sz w:val="24"/>
          <w:szCs w:val="24"/>
          <w:highlight w:val="none"/>
          <w:lang w:val="zh-CN"/>
        </w:rPr>
        <w:t>交易一览表（报价表）</w:t>
      </w:r>
      <w:r>
        <w:rPr>
          <w:b/>
          <w:color w:val="auto"/>
          <w:sz w:val="24"/>
          <w:szCs w:val="24"/>
          <w:highlight w:val="none"/>
          <w:lang w:val="zh-CN"/>
        </w:rPr>
        <w:t>(单位均为人民币元</w:t>
      </w:r>
      <w:r>
        <w:rPr>
          <w:rFonts w:hint="eastAsia"/>
          <w:b/>
          <w:color w:val="auto"/>
          <w:sz w:val="24"/>
          <w:szCs w:val="24"/>
          <w:highlight w:val="none"/>
          <w:lang w:val="zh-CN"/>
        </w:rPr>
        <w:t>，</w:t>
      </w:r>
      <w:r>
        <w:rPr>
          <w:rFonts w:hint="eastAsia"/>
          <w:b/>
          <w:color w:val="auto"/>
          <w:sz w:val="24"/>
          <w:szCs w:val="24"/>
          <w:highlight w:val="none"/>
          <w:lang w:val="en-US" w:eastAsia="zh-CN"/>
        </w:rPr>
        <w:t>至多保留2位小数</w:t>
      </w:r>
      <w:r>
        <w:rPr>
          <w:b/>
          <w:color w:val="auto"/>
          <w:sz w:val="24"/>
          <w:szCs w:val="24"/>
          <w:highlight w:val="none"/>
          <w:lang w:val="zh-CN"/>
        </w:rPr>
        <w:t xml:space="preserve">) </w:t>
      </w:r>
    </w:p>
    <w:tbl>
      <w:tblPr>
        <w:tblStyle w:val="64"/>
        <w:tblW w:w="14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241"/>
        <w:gridCol w:w="1985"/>
        <w:gridCol w:w="850"/>
        <w:gridCol w:w="2268"/>
        <w:gridCol w:w="2268"/>
        <w:gridCol w:w="1281"/>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2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具体服务</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投标报价（单价）</w:t>
            </w:r>
          </w:p>
          <w:p>
            <w:pPr>
              <w:jc w:val="center"/>
              <w:rPr>
                <w:rFonts w:ascii="宋体" w:hAnsi="宋体" w:cs="宋体"/>
                <w:b/>
                <w:color w:val="auto"/>
                <w:sz w:val="24"/>
                <w:highlight w:val="none"/>
              </w:rPr>
            </w:pPr>
            <w:r>
              <w:rPr>
                <w:rFonts w:hint="eastAsia" w:ascii="宋体" w:hAnsi="宋体" w:cs="宋体"/>
                <w:b/>
                <w:color w:val="auto"/>
                <w:sz w:val="24"/>
                <w:highlight w:val="none"/>
              </w:rPr>
              <w:t>（小写）</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投标报价（单价）</w:t>
            </w:r>
          </w:p>
          <w:p>
            <w:pPr>
              <w:jc w:val="center"/>
              <w:rPr>
                <w:rFonts w:ascii="宋体" w:hAnsi="宋体" w:cs="宋体"/>
                <w:b/>
                <w:color w:val="auto"/>
                <w:sz w:val="24"/>
                <w:highlight w:val="none"/>
              </w:rPr>
            </w:pPr>
            <w:r>
              <w:rPr>
                <w:rFonts w:hint="eastAsia" w:ascii="宋体" w:hAnsi="宋体" w:cs="宋体"/>
                <w:b/>
                <w:color w:val="auto"/>
                <w:sz w:val="24"/>
                <w:highlight w:val="none"/>
              </w:rPr>
              <w:t>（大写）</w:t>
            </w: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服务要求</w:t>
            </w:r>
          </w:p>
          <w:p>
            <w:pPr>
              <w:jc w:val="center"/>
              <w:rPr>
                <w:rFonts w:ascii="宋体" w:hAnsi="宋体" w:cs="宋体"/>
                <w:b/>
                <w:color w:val="auto"/>
                <w:sz w:val="24"/>
                <w:highlight w:val="none"/>
              </w:rPr>
            </w:pPr>
            <w:r>
              <w:rPr>
                <w:rFonts w:hint="eastAsia" w:ascii="宋体" w:hAnsi="宋体" w:cs="宋体"/>
                <w:b/>
                <w:color w:val="auto"/>
                <w:sz w:val="24"/>
                <w:highlight w:val="none"/>
              </w:rPr>
              <w:t>（年限）</w:t>
            </w:r>
          </w:p>
        </w:tc>
        <w:tc>
          <w:tcPr>
            <w:tcW w:w="1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32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lang w:eastAsia="zh-CN"/>
              </w:rPr>
              <w:t>杭州萧山环城建设开发有限公司2024年度社会风险评估服务采购项目</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仿宋"/>
                <w:color w:val="auto"/>
                <w:sz w:val="24"/>
                <w:szCs w:val="28"/>
                <w:highlight w:val="none"/>
              </w:rPr>
              <w:t>宗</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仿宋"/>
                <w:color w:val="auto"/>
                <w:sz w:val="24"/>
                <w:szCs w:val="28"/>
                <w:highlight w:val="none"/>
              </w:rPr>
              <w:t>元/宗</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仿宋"/>
                <w:color w:val="auto"/>
                <w:sz w:val="24"/>
                <w:szCs w:val="28"/>
                <w:highlight w:val="none"/>
              </w:rPr>
              <w:t>元/宗</w:t>
            </w: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1年</w:t>
            </w:r>
          </w:p>
        </w:tc>
        <w:tc>
          <w:tcPr>
            <w:tcW w:w="1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4"/>
                <w:highlight w:val="none"/>
              </w:rPr>
            </w:pPr>
            <w:r>
              <w:rPr>
                <w:rFonts w:hint="eastAsia" w:ascii="宋体" w:hAnsi="宋体"/>
                <w:bCs/>
                <w:color w:val="auto"/>
                <w:sz w:val="24"/>
                <w:highlight w:val="none"/>
              </w:rPr>
              <w:t>最高限价：</w:t>
            </w:r>
          </w:p>
          <w:p>
            <w:pPr>
              <w:jc w:val="center"/>
              <w:rPr>
                <w:rFonts w:ascii="宋体" w:hAnsi="宋体"/>
                <w:bCs/>
                <w:color w:val="auto"/>
                <w:sz w:val="24"/>
                <w:highlight w:val="none"/>
              </w:rPr>
            </w:pPr>
            <w:r>
              <w:rPr>
                <w:rFonts w:hint="eastAsia" w:ascii="宋体" w:hAnsi="宋体" w:cs="仿宋"/>
                <w:color w:val="auto"/>
                <w:sz w:val="24"/>
                <w:szCs w:val="28"/>
                <w:highlight w:val="none"/>
                <w:lang w:val="en-US" w:eastAsia="zh-CN"/>
              </w:rPr>
              <w:t>60000.00</w:t>
            </w:r>
            <w:r>
              <w:rPr>
                <w:rFonts w:hint="eastAsia" w:ascii="宋体" w:hAnsi="宋体" w:cs="仿宋"/>
                <w:color w:val="auto"/>
                <w:sz w:val="24"/>
                <w:szCs w:val="28"/>
                <w:highlight w:val="none"/>
              </w:rPr>
              <w:t>元/宗</w:t>
            </w:r>
          </w:p>
        </w:tc>
      </w:tr>
    </w:tbl>
    <w:p>
      <w:pPr>
        <w:spacing w:line="360" w:lineRule="exact"/>
        <w:rPr>
          <w:color w:val="auto"/>
          <w:sz w:val="24"/>
          <w:szCs w:val="24"/>
          <w:highlight w:val="none"/>
          <w:lang w:val="zh-CN"/>
        </w:rPr>
      </w:pPr>
      <w:r>
        <w:rPr>
          <w:rFonts w:hint="eastAsia"/>
          <w:b/>
          <w:color w:val="auto"/>
          <w:sz w:val="24"/>
          <w:szCs w:val="24"/>
          <w:highlight w:val="none"/>
          <w:lang w:val="zh-CN"/>
        </w:rPr>
        <w:t>注：</w:t>
      </w:r>
      <w:r>
        <w:rPr>
          <w:color w:val="auto"/>
          <w:sz w:val="24"/>
          <w:szCs w:val="24"/>
          <w:highlight w:val="none"/>
          <w:lang w:val="zh-CN"/>
        </w:rPr>
        <w:t>1、供应商需按本表格式填写，不得自行更改。</w:t>
      </w:r>
      <w:r>
        <w:rPr>
          <w:color w:val="auto"/>
          <w:sz w:val="24"/>
          <w:szCs w:val="24"/>
          <w:highlight w:val="none"/>
          <w:lang w:val="zh-CN"/>
        </w:rPr>
        <w:tab/>
      </w:r>
    </w:p>
    <w:p>
      <w:pPr>
        <w:spacing w:line="360" w:lineRule="exact"/>
        <w:rPr>
          <w:color w:val="auto"/>
          <w:sz w:val="24"/>
          <w:szCs w:val="24"/>
          <w:highlight w:val="none"/>
        </w:rPr>
      </w:pPr>
      <w:r>
        <w:rPr>
          <w:color w:val="auto"/>
          <w:sz w:val="24"/>
          <w:szCs w:val="24"/>
          <w:highlight w:val="none"/>
          <w:lang w:val="zh-CN"/>
        </w:rPr>
        <w:t>2、有关本项目实施所涉及的一切费用均计入报价。</w:t>
      </w:r>
      <w:r>
        <w:rPr>
          <w:rFonts w:hint="eastAsia"/>
          <w:b/>
          <w:color w:val="auto"/>
          <w:sz w:val="24"/>
          <w:szCs w:val="24"/>
          <w:highlight w:val="none"/>
          <w:lang w:val="zh-CN"/>
        </w:rPr>
        <w:t>采购人将以合同形式有偿取得货物或服务，不接受供应商给予的赠品、回扣或者与采购无关的其他商品、服务</w:t>
      </w:r>
      <w:r>
        <w:rPr>
          <w:rFonts w:hint="eastAsia"/>
          <w:color w:val="auto"/>
          <w:sz w:val="24"/>
          <w:szCs w:val="24"/>
          <w:highlight w:val="none"/>
          <w:lang w:val="zh-CN"/>
        </w:rPr>
        <w:t>，</w:t>
      </w:r>
      <w:r>
        <w:rPr>
          <w:rFonts w:hint="eastAsia"/>
          <w:b/>
          <w:color w:val="auto"/>
          <w:sz w:val="24"/>
          <w:szCs w:val="24"/>
          <w:highlight w:val="none"/>
          <w:lang w:val="zh-CN"/>
        </w:rPr>
        <w:t>不得出现“</w:t>
      </w:r>
      <w:r>
        <w:rPr>
          <w:b/>
          <w:color w:val="auto"/>
          <w:sz w:val="24"/>
          <w:szCs w:val="24"/>
          <w:highlight w:val="none"/>
          <w:lang w:val="zh-CN"/>
        </w:rPr>
        <w:t>0元”“免费赠送”等形式的无偿报价</w:t>
      </w:r>
      <w:r>
        <w:rPr>
          <w:rFonts w:hint="eastAsia"/>
          <w:b/>
          <w:color w:val="auto"/>
          <w:sz w:val="24"/>
          <w:szCs w:val="24"/>
          <w:highlight w:val="none"/>
          <w:lang w:val="zh-CN"/>
        </w:rPr>
        <w:t>，</w:t>
      </w:r>
      <w:r>
        <w:rPr>
          <w:rFonts w:hint="eastAsia"/>
          <w:b/>
          <w:color w:val="auto"/>
          <w:sz w:val="24"/>
          <w:szCs w:val="24"/>
          <w:highlight w:val="none"/>
        </w:rPr>
        <w:t>否则视为响应文件含有采购人不能接受的附加条件的，响应无效</w:t>
      </w:r>
      <w:r>
        <w:rPr>
          <w:rFonts w:hint="eastAsia"/>
          <w:b/>
          <w:color w:val="auto"/>
          <w:sz w:val="24"/>
          <w:szCs w:val="24"/>
          <w:highlight w:val="none"/>
          <w:lang w:val="zh-CN"/>
        </w:rPr>
        <w:t>；采购内容未包含在《交易一览表（报价表）》名称栏中，供应商不能作出合理解释的，</w:t>
      </w:r>
      <w:r>
        <w:rPr>
          <w:rFonts w:hint="eastAsia"/>
          <w:b/>
          <w:color w:val="auto"/>
          <w:sz w:val="24"/>
          <w:szCs w:val="24"/>
          <w:highlight w:val="none"/>
        </w:rPr>
        <w:t>视为响应文件含有采购人不能接受的附加条件的，响应无效。</w:t>
      </w:r>
    </w:p>
    <w:p>
      <w:pPr>
        <w:spacing w:line="360" w:lineRule="exact"/>
        <w:rPr>
          <w:rFonts w:ascii="Times New Roman" w:hAnsi="Times New Roman" w:eastAsia="宋体" w:cs="Times New Roman"/>
          <w:color w:val="auto"/>
          <w:sz w:val="24"/>
          <w:szCs w:val="24"/>
          <w:highlight w:val="none"/>
          <w:lang w:val="zh-CN"/>
        </w:rPr>
      </w:pPr>
      <w:r>
        <w:rPr>
          <w:rFonts w:ascii="Times New Roman" w:hAnsi="Times New Roman" w:eastAsia="宋体" w:cs="Times New Roman"/>
          <w:color w:val="auto"/>
          <w:sz w:val="24"/>
          <w:szCs w:val="24"/>
          <w:highlight w:val="none"/>
          <w:lang w:val="zh-CN"/>
        </w:rPr>
        <w:t>3、以上表格要求细分项目及报价，在“规格型号（或具体服务）”一栏中，货物类项目填写规格型号，服务类项目填写具体服务。</w:t>
      </w:r>
    </w:p>
    <w:p>
      <w:pPr>
        <w:spacing w:line="360" w:lineRule="exact"/>
        <w:rPr>
          <w:rFonts w:hint="eastAsia" w:ascii="Times New Roman" w:hAnsi="Times New Roman" w:eastAsia="宋体" w:cs="Times New Roman"/>
          <w:color w:val="auto"/>
          <w:sz w:val="24"/>
          <w:szCs w:val="24"/>
          <w:highlight w:val="none"/>
          <w:lang w:val="zh-CN"/>
        </w:rPr>
      </w:pPr>
      <w:r>
        <w:rPr>
          <w:rFonts w:ascii="Times New Roman" w:hAnsi="Times New Roman" w:eastAsia="宋体" w:cs="Times New Roman"/>
          <w:color w:val="auto"/>
          <w:sz w:val="24"/>
          <w:szCs w:val="24"/>
          <w:highlight w:val="none"/>
          <w:lang w:val="zh-CN"/>
        </w:rPr>
        <w:t>4、特别提示：采购机构将对项目名称和项目编号，成交供应商名称、地址和成交金额，主要成交标的</w:t>
      </w:r>
      <w:r>
        <w:rPr>
          <w:rFonts w:hint="eastAsia" w:ascii="Times New Roman" w:hAnsi="Times New Roman" w:eastAsia="宋体" w:cs="Times New Roman"/>
          <w:color w:val="auto"/>
          <w:sz w:val="24"/>
          <w:szCs w:val="24"/>
          <w:highlight w:val="none"/>
          <w:lang w:val="zh-CN"/>
        </w:rPr>
        <w:t>的名称、规格型号、数量、单价、服务要求等予以公示。</w:t>
      </w:r>
    </w:p>
    <w:p>
      <w:pPr>
        <w:spacing w:line="360" w:lineRule="exact"/>
        <w:rPr>
          <w:rFonts w:hint="eastAsia" w:ascii="Times New Roman" w:hAnsi="Times New Roman" w:eastAsia="宋体" w:cs="Times New Roman"/>
          <w:b/>
          <w:bCs/>
          <w:color w:val="auto"/>
          <w:sz w:val="24"/>
          <w:szCs w:val="24"/>
          <w:highlight w:val="none"/>
          <w:lang w:val="zh-CN"/>
        </w:rPr>
      </w:pPr>
      <w:r>
        <w:rPr>
          <w:rFonts w:hint="eastAsia" w:ascii="Times New Roman" w:hAnsi="Times New Roman" w:eastAsia="宋体" w:cs="Times New Roman"/>
          <w:b/>
          <w:bCs/>
          <w:color w:val="auto"/>
          <w:sz w:val="24"/>
          <w:szCs w:val="24"/>
          <w:highlight w:val="none"/>
          <w:lang w:val="en-US" w:eastAsia="zh-CN"/>
        </w:rPr>
        <w:t>5</w:t>
      </w:r>
      <w:r>
        <w:rPr>
          <w:rFonts w:hint="eastAsia" w:ascii="Times New Roman" w:hAnsi="Times New Roman" w:eastAsia="宋体" w:cs="Times New Roman"/>
          <w:b/>
          <w:bCs/>
          <w:color w:val="auto"/>
          <w:sz w:val="24"/>
          <w:szCs w:val="24"/>
          <w:highlight w:val="none"/>
          <w:lang w:val="zh-CN"/>
        </w:rPr>
        <w:t>、特别说明：▲供应商报价低于项目最高限价50%的，应当在报价文件中详细阐述不影响产品质量或者诚信履约的具体原因，未做阐述说明的，投标无效。</w:t>
      </w:r>
    </w:p>
    <w:p>
      <w:pPr>
        <w:autoSpaceDE w:val="0"/>
        <w:autoSpaceDN w:val="0"/>
        <w:spacing w:line="360" w:lineRule="auto"/>
        <w:ind w:left="2" w:leftChars="1" w:right="1120" w:firstLine="7680" w:firstLineChars="3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pPr>
        <w:spacing w:line="360" w:lineRule="exact"/>
        <w:ind w:firstLine="7680" w:firstLineChars="3200"/>
        <w:rPr>
          <w:rFonts w:ascii="仿宋_GB2312" w:eastAsia="仿宋_GB2312"/>
          <w:b/>
          <w:color w:val="auto"/>
          <w:sz w:val="24"/>
          <w:szCs w:val="24"/>
          <w:highlight w:val="none"/>
        </w:rPr>
        <w:sectPr>
          <w:pgSz w:w="16838" w:h="11906" w:orient="landscape"/>
          <w:pgMar w:top="1800" w:right="1440" w:bottom="1700" w:left="1440" w:header="851" w:footer="992" w:gutter="0"/>
          <w:pgNumType w:fmt="decimal"/>
          <w:cols w:space="720" w:num="1"/>
          <w:docGrid w:type="lines" w:linePitch="326" w:charSpace="0"/>
        </w:sect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r>
        <w:rPr>
          <w:rFonts w:hint="eastAsia" w:ascii="宋体" w:hAnsi="宋体" w:cs="宋体"/>
          <w:b/>
          <w:color w:val="auto"/>
          <w:spacing w:val="6"/>
          <w:sz w:val="32"/>
          <w:szCs w:val="32"/>
          <w:highlight w:val="none"/>
          <w:lang w:val="zh-CN"/>
        </w:rPr>
        <w:t>异议</w:t>
      </w:r>
      <w:r>
        <w:rPr>
          <w:rFonts w:hint="eastAsia" w:ascii="宋体" w:hAnsi="宋体" w:cs="宋体"/>
          <w:b/>
          <w:color w:val="auto"/>
          <w:spacing w:val="6"/>
          <w:sz w:val="32"/>
          <w:szCs w:val="32"/>
          <w:highlight w:val="none"/>
        </w:rPr>
        <w:t>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异议函范本</w:t>
      </w:r>
    </w:p>
    <w:p>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一、异议响应人基本信息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异议响应人：</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二、异议项目基本情况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异议项目的名称：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异议项目的编号：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公开竞争文件获取日期：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三、异议事项具体内容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四、与异议事项相关的异议请求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异议函制作说明：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1.响应人提出异议时，应提交异议函和必要的证明材料。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2.异议响应人若委托代理人进行异议的，异议函应按要求列明“授权代表”的有关内容，并在附件中提交由异议</w:t>
      </w:r>
      <w:r>
        <w:rPr>
          <w:rFonts w:hint="eastAsia" w:ascii="宋体" w:hAnsi="宋体" w:cs="宋体"/>
          <w:color w:val="auto"/>
          <w:kern w:val="0"/>
          <w:sz w:val="24"/>
          <w:highlight w:val="none"/>
        </w:rPr>
        <w:t>响应人签署的授权委托书。授权委托书应载明代理人的姓名或者名称、代理事项、具体权限、期限和相关事项。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3.异议响应人若对项目的某一分包进行异议，异议函中应列明具体分包号。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4.异议函的异议事项应具体、明确，并有必要的事实依据和法律依据。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5.异议函的异议请求应与异议事项相关。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相关响应人：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交易名称：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交易编号：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公开竞争文件公告: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成交结果公告: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三、异议基本情况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提出异议，异议事项为：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交易发起人/代理机构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日,就异议事项作出了答复/没有在法定期限内作出答复。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1.投诉人提起投诉时，应当提交投诉书和必要的证明材料，并按照被投诉人和与投诉事项有关的响应人数量提供投诉书副本。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4.投诉书应简要列明异议事项，异议函、异议答复等作为附件材料提供。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left"/>
        <w:rPr>
          <w:rFonts w:ascii="宋体" w:hAnsi="宋体" w:cs="宋体"/>
          <w:b/>
          <w:color w:val="auto"/>
          <w:spacing w:val="6"/>
          <w:sz w:val="32"/>
          <w:szCs w:val="32"/>
          <w:highlight w:val="none"/>
        </w:rPr>
      </w:pPr>
    </w:p>
    <w:p>
      <w:pPr>
        <w:autoSpaceDE w:val="0"/>
        <w:autoSpaceDN w:val="0"/>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w:t>
      </w:r>
    </w:p>
    <w:p>
      <w:pPr>
        <w:autoSpaceDE w:val="0"/>
        <w:autoSpaceDN w:val="0"/>
        <w:jc w:val="center"/>
        <w:rPr>
          <w:rFonts w:ascii="宋体" w:hAnsi="宋体" w:cs="宋体"/>
          <w:b/>
          <w:bCs/>
          <w:color w:val="auto"/>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（交易发起人）、（代理机构）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(响应人全称)是中华人民共和国依法登记注册的合法企业，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（项目名称）项目【交易编号：      ）】</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IQVDvzkCAAB+BAAADgAAAAAAAAABACAAAAAnAQAAZHJz&#10;L2Uyb0RvYy54bWxQSwUGAAAAAAYABgBZAQAA0g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mMR6bYAAAACgEAAA8AAAAAAAAAAQAgAAAAIgAAAGRy&#10;cy9kb3ducmV2LnhtbFBLAQIUABQAAAAIAIdO4kAuJZg4PgIAAIkEAAAOAAAAAAAAAAEAIAAAACcB&#10;AABkcnMvZTJvRG9jLnhtbFBLBQYAAAAABgAGAFkBAADX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tabs>
          <w:tab w:val="left" w:pos="4925"/>
        </w:tabs>
        <w:spacing w:line="520" w:lineRule="exact"/>
        <w:ind w:firstLine="630" w:firstLineChars="300"/>
        <w:rPr>
          <w:rFonts w:ascii="仿宋_GB2312" w:eastAsia="仿宋_GB2312" w:cs="仿宋_GB2312"/>
          <w:color w:val="auto"/>
          <w:highlight w:val="none"/>
        </w:rPr>
      </w:pPr>
    </w:p>
    <w:p>
      <w:pPr>
        <w:autoSpaceDE w:val="0"/>
        <w:autoSpaceDN w:val="0"/>
        <w:jc w:val="center"/>
        <w:rPr>
          <w:rFonts w:ascii="宋体" w:hAnsi="宋体" w:cs="宋体"/>
          <w:b/>
          <w:color w:val="auto"/>
          <w:spacing w:val="6"/>
          <w:sz w:val="32"/>
          <w:szCs w:val="32"/>
          <w:highlight w:val="none"/>
        </w:rPr>
      </w:pPr>
    </w:p>
    <w:sectPr>
      <w:headerReference r:id="rId14" w:type="first"/>
      <w:footerReference r:id="rId17" w:type="first"/>
      <w:headerReference r:id="rId13" w:type="default"/>
      <w:footerReference r:id="rId15" w:type="default"/>
      <w:footerReference r:id="rId16"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0000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 xml:space="preserve">                                                                                        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741471"/>
    <w:multiLevelType w:val="singleLevel"/>
    <w:tmpl w:val="D0741471"/>
    <w:lvl w:ilvl="0" w:tentative="0">
      <w:start w:val="7"/>
      <w:numFmt w:val="chineseCounting"/>
      <w:suff w:val="nothing"/>
      <w:lvlText w:val="%1、"/>
      <w:lvlJc w:val="left"/>
      <w:rPr>
        <w:rFonts w:hint="eastAsia"/>
      </w:rPr>
    </w:lvl>
  </w:abstractNum>
  <w:abstractNum w:abstractNumId="1">
    <w:nsid w:val="434CA0FB"/>
    <w:multiLevelType w:val="singleLevel"/>
    <w:tmpl w:val="434CA0FB"/>
    <w:lvl w:ilvl="0" w:tentative="0">
      <w:start w:val="1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NTJiODcwZTAyMmI2NTZjM2JiMmMxNzFiOGQ5YjIifQ=="/>
    <w:docVar w:name="KSO_WPS_MARK_KEY" w:val="b7fe1705-7f8c-4f6d-855d-d1ffbdc1c39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0DF"/>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6A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008"/>
    <w:rsid w:val="0024415B"/>
    <w:rsid w:val="00245565"/>
    <w:rsid w:val="002458C1"/>
    <w:rsid w:val="00245E62"/>
    <w:rsid w:val="002460D0"/>
    <w:rsid w:val="00246357"/>
    <w:rsid w:val="00247422"/>
    <w:rsid w:val="00247BA2"/>
    <w:rsid w:val="00250870"/>
    <w:rsid w:val="0025151C"/>
    <w:rsid w:val="0025184F"/>
    <w:rsid w:val="00251967"/>
    <w:rsid w:val="00252419"/>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392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FC2"/>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61F"/>
    <w:rsid w:val="005D0FB4"/>
    <w:rsid w:val="005D1176"/>
    <w:rsid w:val="005D1747"/>
    <w:rsid w:val="005D266D"/>
    <w:rsid w:val="005D306D"/>
    <w:rsid w:val="005D3327"/>
    <w:rsid w:val="005D4854"/>
    <w:rsid w:val="005D5BCF"/>
    <w:rsid w:val="005D65BF"/>
    <w:rsid w:val="005D6D84"/>
    <w:rsid w:val="005D70A1"/>
    <w:rsid w:val="005D75FC"/>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C1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10C"/>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2E12"/>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43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01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03FA"/>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7FA"/>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2ACA"/>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874"/>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B6997"/>
    <w:rsid w:val="011F6449"/>
    <w:rsid w:val="01236AFB"/>
    <w:rsid w:val="017055D0"/>
    <w:rsid w:val="0178495D"/>
    <w:rsid w:val="019F7441"/>
    <w:rsid w:val="01A06AA0"/>
    <w:rsid w:val="01B37585"/>
    <w:rsid w:val="01B5399D"/>
    <w:rsid w:val="01C064F8"/>
    <w:rsid w:val="01D55165"/>
    <w:rsid w:val="01DF6BF8"/>
    <w:rsid w:val="01EC2C57"/>
    <w:rsid w:val="02021298"/>
    <w:rsid w:val="020B640B"/>
    <w:rsid w:val="02495CC7"/>
    <w:rsid w:val="0251230D"/>
    <w:rsid w:val="025F0711"/>
    <w:rsid w:val="02644317"/>
    <w:rsid w:val="026B2E25"/>
    <w:rsid w:val="02824D4D"/>
    <w:rsid w:val="02BE3979"/>
    <w:rsid w:val="02D3306E"/>
    <w:rsid w:val="02DC4B10"/>
    <w:rsid w:val="02DD76CE"/>
    <w:rsid w:val="02E828A9"/>
    <w:rsid w:val="02E84AFC"/>
    <w:rsid w:val="02F36323"/>
    <w:rsid w:val="02F5619C"/>
    <w:rsid w:val="030E12FE"/>
    <w:rsid w:val="03233C63"/>
    <w:rsid w:val="0326446A"/>
    <w:rsid w:val="032D5555"/>
    <w:rsid w:val="036634D2"/>
    <w:rsid w:val="036B7F76"/>
    <w:rsid w:val="037E0200"/>
    <w:rsid w:val="038A68D9"/>
    <w:rsid w:val="03A94C2C"/>
    <w:rsid w:val="03D66BA6"/>
    <w:rsid w:val="03DD35E4"/>
    <w:rsid w:val="04073203"/>
    <w:rsid w:val="04076900"/>
    <w:rsid w:val="041A5A3B"/>
    <w:rsid w:val="042311BA"/>
    <w:rsid w:val="042B157A"/>
    <w:rsid w:val="048F763B"/>
    <w:rsid w:val="049F330E"/>
    <w:rsid w:val="04AA775C"/>
    <w:rsid w:val="04AF1889"/>
    <w:rsid w:val="04B85F11"/>
    <w:rsid w:val="04E76BC6"/>
    <w:rsid w:val="04EE3F9B"/>
    <w:rsid w:val="04F15B2F"/>
    <w:rsid w:val="04F66F48"/>
    <w:rsid w:val="051E28A6"/>
    <w:rsid w:val="05251E14"/>
    <w:rsid w:val="054B35C3"/>
    <w:rsid w:val="05507636"/>
    <w:rsid w:val="05770BD6"/>
    <w:rsid w:val="058806C7"/>
    <w:rsid w:val="05A13F3E"/>
    <w:rsid w:val="05A16594"/>
    <w:rsid w:val="05A7762D"/>
    <w:rsid w:val="05BF4603"/>
    <w:rsid w:val="05C04DC2"/>
    <w:rsid w:val="05C210FA"/>
    <w:rsid w:val="060E5941"/>
    <w:rsid w:val="06110FAF"/>
    <w:rsid w:val="0618097E"/>
    <w:rsid w:val="06493CA7"/>
    <w:rsid w:val="065A6178"/>
    <w:rsid w:val="066D3597"/>
    <w:rsid w:val="066F1CF3"/>
    <w:rsid w:val="06930BB8"/>
    <w:rsid w:val="06956198"/>
    <w:rsid w:val="070103DE"/>
    <w:rsid w:val="07106873"/>
    <w:rsid w:val="071A4FFB"/>
    <w:rsid w:val="07245D42"/>
    <w:rsid w:val="07264C62"/>
    <w:rsid w:val="072F6604"/>
    <w:rsid w:val="074460BC"/>
    <w:rsid w:val="075859CA"/>
    <w:rsid w:val="0779354C"/>
    <w:rsid w:val="077F0C95"/>
    <w:rsid w:val="07C300BD"/>
    <w:rsid w:val="07FE18F3"/>
    <w:rsid w:val="08061376"/>
    <w:rsid w:val="08225E73"/>
    <w:rsid w:val="08452D77"/>
    <w:rsid w:val="086401F8"/>
    <w:rsid w:val="08751CAA"/>
    <w:rsid w:val="0876556A"/>
    <w:rsid w:val="087E4C40"/>
    <w:rsid w:val="08A53637"/>
    <w:rsid w:val="08A871D0"/>
    <w:rsid w:val="08D66AD6"/>
    <w:rsid w:val="08DA33A3"/>
    <w:rsid w:val="08E80F13"/>
    <w:rsid w:val="08EC3DDD"/>
    <w:rsid w:val="091328F8"/>
    <w:rsid w:val="092612F3"/>
    <w:rsid w:val="092748F4"/>
    <w:rsid w:val="09335624"/>
    <w:rsid w:val="093E11FE"/>
    <w:rsid w:val="0944690F"/>
    <w:rsid w:val="09535675"/>
    <w:rsid w:val="095F057D"/>
    <w:rsid w:val="0960544E"/>
    <w:rsid w:val="09642282"/>
    <w:rsid w:val="09733572"/>
    <w:rsid w:val="09772C16"/>
    <w:rsid w:val="098353B5"/>
    <w:rsid w:val="09A92330"/>
    <w:rsid w:val="09B06B87"/>
    <w:rsid w:val="09C13146"/>
    <w:rsid w:val="09E04166"/>
    <w:rsid w:val="09F81448"/>
    <w:rsid w:val="0A00672A"/>
    <w:rsid w:val="0A1C0718"/>
    <w:rsid w:val="0A2C10A7"/>
    <w:rsid w:val="0A3E7710"/>
    <w:rsid w:val="0A5B7E63"/>
    <w:rsid w:val="0A5E227D"/>
    <w:rsid w:val="0A7E7C65"/>
    <w:rsid w:val="0A7F4701"/>
    <w:rsid w:val="0AA374A5"/>
    <w:rsid w:val="0AAB7649"/>
    <w:rsid w:val="0AAF5E89"/>
    <w:rsid w:val="0AB86C5C"/>
    <w:rsid w:val="0ABC5606"/>
    <w:rsid w:val="0AC42692"/>
    <w:rsid w:val="0ADE3108"/>
    <w:rsid w:val="0ADF4EB4"/>
    <w:rsid w:val="0B0F74C5"/>
    <w:rsid w:val="0B30404E"/>
    <w:rsid w:val="0B4C6C14"/>
    <w:rsid w:val="0B524759"/>
    <w:rsid w:val="0B631A88"/>
    <w:rsid w:val="0B683D45"/>
    <w:rsid w:val="0B76461B"/>
    <w:rsid w:val="0B7F3F11"/>
    <w:rsid w:val="0B884417"/>
    <w:rsid w:val="0B93709B"/>
    <w:rsid w:val="0BB73C35"/>
    <w:rsid w:val="0BCB644C"/>
    <w:rsid w:val="0BF6188C"/>
    <w:rsid w:val="0BF73C91"/>
    <w:rsid w:val="0C170175"/>
    <w:rsid w:val="0C41327A"/>
    <w:rsid w:val="0C571A41"/>
    <w:rsid w:val="0C5C1171"/>
    <w:rsid w:val="0C5E1CBC"/>
    <w:rsid w:val="0C615B50"/>
    <w:rsid w:val="0C6E0EEC"/>
    <w:rsid w:val="0C711B61"/>
    <w:rsid w:val="0C8445DA"/>
    <w:rsid w:val="0C87121B"/>
    <w:rsid w:val="0CAE0BF3"/>
    <w:rsid w:val="0CB32298"/>
    <w:rsid w:val="0CC007F7"/>
    <w:rsid w:val="0CC617AC"/>
    <w:rsid w:val="0CFE707A"/>
    <w:rsid w:val="0D063BDA"/>
    <w:rsid w:val="0D08375F"/>
    <w:rsid w:val="0D184CFB"/>
    <w:rsid w:val="0D37621D"/>
    <w:rsid w:val="0D3D3B60"/>
    <w:rsid w:val="0D400115"/>
    <w:rsid w:val="0D4A7419"/>
    <w:rsid w:val="0D7F02AE"/>
    <w:rsid w:val="0D814026"/>
    <w:rsid w:val="0D827401"/>
    <w:rsid w:val="0D84094E"/>
    <w:rsid w:val="0D8A00E9"/>
    <w:rsid w:val="0D8D589E"/>
    <w:rsid w:val="0D95362E"/>
    <w:rsid w:val="0DA01C73"/>
    <w:rsid w:val="0DD63300"/>
    <w:rsid w:val="0DE348D2"/>
    <w:rsid w:val="0DF50604"/>
    <w:rsid w:val="0DF62E62"/>
    <w:rsid w:val="0DF702FE"/>
    <w:rsid w:val="0E060E51"/>
    <w:rsid w:val="0E22536A"/>
    <w:rsid w:val="0E24319C"/>
    <w:rsid w:val="0E373674"/>
    <w:rsid w:val="0E5005EE"/>
    <w:rsid w:val="0E5604B2"/>
    <w:rsid w:val="0E6D5D79"/>
    <w:rsid w:val="0E6F14E6"/>
    <w:rsid w:val="0E9D0089"/>
    <w:rsid w:val="0EB803EE"/>
    <w:rsid w:val="0EC30910"/>
    <w:rsid w:val="0EF94D4B"/>
    <w:rsid w:val="0F0B13B6"/>
    <w:rsid w:val="0F182768"/>
    <w:rsid w:val="0F4958DC"/>
    <w:rsid w:val="0F515DF7"/>
    <w:rsid w:val="0F596BA8"/>
    <w:rsid w:val="0F6248D2"/>
    <w:rsid w:val="0F635421"/>
    <w:rsid w:val="0F693536"/>
    <w:rsid w:val="0F7B0511"/>
    <w:rsid w:val="0F7B76D9"/>
    <w:rsid w:val="0F816ACD"/>
    <w:rsid w:val="0F9832DB"/>
    <w:rsid w:val="0FB26719"/>
    <w:rsid w:val="0FBF3FD2"/>
    <w:rsid w:val="0FBF7FF3"/>
    <w:rsid w:val="0FCF1C32"/>
    <w:rsid w:val="0FDA406B"/>
    <w:rsid w:val="0FFC3E38"/>
    <w:rsid w:val="10156805"/>
    <w:rsid w:val="105C0433"/>
    <w:rsid w:val="10646583"/>
    <w:rsid w:val="107D4B15"/>
    <w:rsid w:val="10841832"/>
    <w:rsid w:val="108A3C80"/>
    <w:rsid w:val="10BB15FD"/>
    <w:rsid w:val="10C26171"/>
    <w:rsid w:val="10D24F5A"/>
    <w:rsid w:val="10DC700E"/>
    <w:rsid w:val="10E24DDC"/>
    <w:rsid w:val="10E4410E"/>
    <w:rsid w:val="10F33360"/>
    <w:rsid w:val="10F4083A"/>
    <w:rsid w:val="10FC16EA"/>
    <w:rsid w:val="10FC44EB"/>
    <w:rsid w:val="110F1D40"/>
    <w:rsid w:val="11266F33"/>
    <w:rsid w:val="11290EEC"/>
    <w:rsid w:val="118963A1"/>
    <w:rsid w:val="11C6522A"/>
    <w:rsid w:val="11CC783A"/>
    <w:rsid w:val="11E104CC"/>
    <w:rsid w:val="11E20309"/>
    <w:rsid w:val="12255233"/>
    <w:rsid w:val="12530213"/>
    <w:rsid w:val="126A32DB"/>
    <w:rsid w:val="127723A9"/>
    <w:rsid w:val="12862074"/>
    <w:rsid w:val="12883966"/>
    <w:rsid w:val="129E45B4"/>
    <w:rsid w:val="12C50511"/>
    <w:rsid w:val="12D21374"/>
    <w:rsid w:val="12D81596"/>
    <w:rsid w:val="12E806A4"/>
    <w:rsid w:val="12E84200"/>
    <w:rsid w:val="12FE3A23"/>
    <w:rsid w:val="13072A44"/>
    <w:rsid w:val="131A1B7F"/>
    <w:rsid w:val="131B7A00"/>
    <w:rsid w:val="134502E2"/>
    <w:rsid w:val="13474EA5"/>
    <w:rsid w:val="135F4BE2"/>
    <w:rsid w:val="13913864"/>
    <w:rsid w:val="139B1A0A"/>
    <w:rsid w:val="139B5BDE"/>
    <w:rsid w:val="139D25C7"/>
    <w:rsid w:val="13BF3CE4"/>
    <w:rsid w:val="13CB5B5C"/>
    <w:rsid w:val="13E0119D"/>
    <w:rsid w:val="14013E22"/>
    <w:rsid w:val="140F0A5D"/>
    <w:rsid w:val="141008D8"/>
    <w:rsid w:val="14125FE6"/>
    <w:rsid w:val="142B70E5"/>
    <w:rsid w:val="14445DAD"/>
    <w:rsid w:val="14500381"/>
    <w:rsid w:val="146D271E"/>
    <w:rsid w:val="14911CA6"/>
    <w:rsid w:val="14982588"/>
    <w:rsid w:val="149A5AD9"/>
    <w:rsid w:val="149C1746"/>
    <w:rsid w:val="14A7619D"/>
    <w:rsid w:val="14A800EA"/>
    <w:rsid w:val="14C30AC8"/>
    <w:rsid w:val="14F25B02"/>
    <w:rsid w:val="14FB5BB0"/>
    <w:rsid w:val="14FC21E4"/>
    <w:rsid w:val="150536C3"/>
    <w:rsid w:val="150C1963"/>
    <w:rsid w:val="151447A0"/>
    <w:rsid w:val="151B08BC"/>
    <w:rsid w:val="154975FB"/>
    <w:rsid w:val="154A6454"/>
    <w:rsid w:val="15762120"/>
    <w:rsid w:val="15844A86"/>
    <w:rsid w:val="15F56AC3"/>
    <w:rsid w:val="1608540D"/>
    <w:rsid w:val="160D3A64"/>
    <w:rsid w:val="1619089B"/>
    <w:rsid w:val="16204A74"/>
    <w:rsid w:val="166C515D"/>
    <w:rsid w:val="169326D4"/>
    <w:rsid w:val="16A8729C"/>
    <w:rsid w:val="16B33777"/>
    <w:rsid w:val="16BC70A7"/>
    <w:rsid w:val="16C6339E"/>
    <w:rsid w:val="16C730F7"/>
    <w:rsid w:val="16D6012D"/>
    <w:rsid w:val="16E66CA8"/>
    <w:rsid w:val="16FE2244"/>
    <w:rsid w:val="17081314"/>
    <w:rsid w:val="172A5A81"/>
    <w:rsid w:val="172F2D79"/>
    <w:rsid w:val="17557BEF"/>
    <w:rsid w:val="176D1E2A"/>
    <w:rsid w:val="17852075"/>
    <w:rsid w:val="178B06F1"/>
    <w:rsid w:val="179901BE"/>
    <w:rsid w:val="17996410"/>
    <w:rsid w:val="17A05FFC"/>
    <w:rsid w:val="17D349C1"/>
    <w:rsid w:val="17E066D8"/>
    <w:rsid w:val="1823570C"/>
    <w:rsid w:val="1830729E"/>
    <w:rsid w:val="18394486"/>
    <w:rsid w:val="185134E3"/>
    <w:rsid w:val="18641B32"/>
    <w:rsid w:val="1870062C"/>
    <w:rsid w:val="187E2872"/>
    <w:rsid w:val="18817102"/>
    <w:rsid w:val="18830A15"/>
    <w:rsid w:val="18852B28"/>
    <w:rsid w:val="188B5321"/>
    <w:rsid w:val="18C776A6"/>
    <w:rsid w:val="18CA21AC"/>
    <w:rsid w:val="18CB3E99"/>
    <w:rsid w:val="18D64F20"/>
    <w:rsid w:val="18EE574D"/>
    <w:rsid w:val="18F51424"/>
    <w:rsid w:val="19341F4D"/>
    <w:rsid w:val="195E2A95"/>
    <w:rsid w:val="197524E7"/>
    <w:rsid w:val="19761DA4"/>
    <w:rsid w:val="19932372"/>
    <w:rsid w:val="19A07A88"/>
    <w:rsid w:val="19A20DD5"/>
    <w:rsid w:val="19A30199"/>
    <w:rsid w:val="19A76BC3"/>
    <w:rsid w:val="19AE03F1"/>
    <w:rsid w:val="19D16EBE"/>
    <w:rsid w:val="19F90A68"/>
    <w:rsid w:val="1A002777"/>
    <w:rsid w:val="1A071A03"/>
    <w:rsid w:val="1A1A5A79"/>
    <w:rsid w:val="1A1A697E"/>
    <w:rsid w:val="1A1F16AE"/>
    <w:rsid w:val="1A332204"/>
    <w:rsid w:val="1A3B5C77"/>
    <w:rsid w:val="1A4E1543"/>
    <w:rsid w:val="1A78287A"/>
    <w:rsid w:val="1A7A249A"/>
    <w:rsid w:val="1A984BAD"/>
    <w:rsid w:val="1AB8220E"/>
    <w:rsid w:val="1AC00A4A"/>
    <w:rsid w:val="1AC9700C"/>
    <w:rsid w:val="1AE4166C"/>
    <w:rsid w:val="1AF06CFB"/>
    <w:rsid w:val="1AF11B8D"/>
    <w:rsid w:val="1B11359C"/>
    <w:rsid w:val="1B2A271F"/>
    <w:rsid w:val="1B530544"/>
    <w:rsid w:val="1B55264E"/>
    <w:rsid w:val="1B713184"/>
    <w:rsid w:val="1B825FBC"/>
    <w:rsid w:val="1BA209CF"/>
    <w:rsid w:val="1BB4777D"/>
    <w:rsid w:val="1BD75AB8"/>
    <w:rsid w:val="1BE22A26"/>
    <w:rsid w:val="1BE31EF1"/>
    <w:rsid w:val="1BE91714"/>
    <w:rsid w:val="1BEE234F"/>
    <w:rsid w:val="1C0459C2"/>
    <w:rsid w:val="1C0F0A4F"/>
    <w:rsid w:val="1C1B3B4A"/>
    <w:rsid w:val="1C537570"/>
    <w:rsid w:val="1C5B5A42"/>
    <w:rsid w:val="1C88086E"/>
    <w:rsid w:val="1C9A2E97"/>
    <w:rsid w:val="1CA045EE"/>
    <w:rsid w:val="1CC47A8B"/>
    <w:rsid w:val="1CC86312"/>
    <w:rsid w:val="1D266CE1"/>
    <w:rsid w:val="1D3963AF"/>
    <w:rsid w:val="1D6A673C"/>
    <w:rsid w:val="1D84721B"/>
    <w:rsid w:val="1D9247AE"/>
    <w:rsid w:val="1DB567EC"/>
    <w:rsid w:val="1DEC22C4"/>
    <w:rsid w:val="1DF51A98"/>
    <w:rsid w:val="1DFD519F"/>
    <w:rsid w:val="1E0D7198"/>
    <w:rsid w:val="1E3D060F"/>
    <w:rsid w:val="1E3F7D2E"/>
    <w:rsid w:val="1E4134E4"/>
    <w:rsid w:val="1E5062B3"/>
    <w:rsid w:val="1E523514"/>
    <w:rsid w:val="1E714A66"/>
    <w:rsid w:val="1E730E11"/>
    <w:rsid w:val="1E802593"/>
    <w:rsid w:val="1E8B6156"/>
    <w:rsid w:val="1EA703CC"/>
    <w:rsid w:val="1EB26790"/>
    <w:rsid w:val="1EB7330C"/>
    <w:rsid w:val="1F0A0FF3"/>
    <w:rsid w:val="1F4629DA"/>
    <w:rsid w:val="1F4E7AE0"/>
    <w:rsid w:val="1F5771FF"/>
    <w:rsid w:val="1FD664AC"/>
    <w:rsid w:val="1FE868A9"/>
    <w:rsid w:val="1FFB37C4"/>
    <w:rsid w:val="1FFE1506"/>
    <w:rsid w:val="20034907"/>
    <w:rsid w:val="20173E4B"/>
    <w:rsid w:val="201C7BDE"/>
    <w:rsid w:val="204E48BC"/>
    <w:rsid w:val="208921B3"/>
    <w:rsid w:val="208F316F"/>
    <w:rsid w:val="2093370A"/>
    <w:rsid w:val="20973DEB"/>
    <w:rsid w:val="20B26522"/>
    <w:rsid w:val="20B34C6B"/>
    <w:rsid w:val="20B44310"/>
    <w:rsid w:val="20D61B3B"/>
    <w:rsid w:val="20DF1008"/>
    <w:rsid w:val="20EE2FE4"/>
    <w:rsid w:val="20F247A3"/>
    <w:rsid w:val="21004E0A"/>
    <w:rsid w:val="211116EB"/>
    <w:rsid w:val="211E01F0"/>
    <w:rsid w:val="212D6D8F"/>
    <w:rsid w:val="216133FC"/>
    <w:rsid w:val="218944CA"/>
    <w:rsid w:val="21D56769"/>
    <w:rsid w:val="21D62C50"/>
    <w:rsid w:val="21E52EF3"/>
    <w:rsid w:val="21FB5D7B"/>
    <w:rsid w:val="22032E04"/>
    <w:rsid w:val="220B1C3D"/>
    <w:rsid w:val="221D1D20"/>
    <w:rsid w:val="22334A87"/>
    <w:rsid w:val="227D367D"/>
    <w:rsid w:val="22B61EBB"/>
    <w:rsid w:val="22B83BEE"/>
    <w:rsid w:val="22BE6801"/>
    <w:rsid w:val="22C04C60"/>
    <w:rsid w:val="22C329C3"/>
    <w:rsid w:val="22E03145"/>
    <w:rsid w:val="23113F1A"/>
    <w:rsid w:val="233500BF"/>
    <w:rsid w:val="23377FF7"/>
    <w:rsid w:val="236B425F"/>
    <w:rsid w:val="23836192"/>
    <w:rsid w:val="238B1303"/>
    <w:rsid w:val="23901F29"/>
    <w:rsid w:val="239C0061"/>
    <w:rsid w:val="23B908A4"/>
    <w:rsid w:val="23C10750"/>
    <w:rsid w:val="23D36828"/>
    <w:rsid w:val="23E406C4"/>
    <w:rsid w:val="23E95BEF"/>
    <w:rsid w:val="23FC52F4"/>
    <w:rsid w:val="23FD0064"/>
    <w:rsid w:val="244C6C81"/>
    <w:rsid w:val="245375B0"/>
    <w:rsid w:val="24642C0A"/>
    <w:rsid w:val="24667B44"/>
    <w:rsid w:val="246A3BA8"/>
    <w:rsid w:val="247E6772"/>
    <w:rsid w:val="248B443A"/>
    <w:rsid w:val="2492728B"/>
    <w:rsid w:val="249307DC"/>
    <w:rsid w:val="24AF7273"/>
    <w:rsid w:val="24B22173"/>
    <w:rsid w:val="24B62CC7"/>
    <w:rsid w:val="24B95AD9"/>
    <w:rsid w:val="24BE24DA"/>
    <w:rsid w:val="24CF5825"/>
    <w:rsid w:val="24D663E6"/>
    <w:rsid w:val="24D77F2B"/>
    <w:rsid w:val="24E5358D"/>
    <w:rsid w:val="254F52B1"/>
    <w:rsid w:val="25837A55"/>
    <w:rsid w:val="258B00E2"/>
    <w:rsid w:val="258E4250"/>
    <w:rsid w:val="25A34E23"/>
    <w:rsid w:val="25A917A6"/>
    <w:rsid w:val="25B6018D"/>
    <w:rsid w:val="25BE27CC"/>
    <w:rsid w:val="25D85F35"/>
    <w:rsid w:val="25E92F53"/>
    <w:rsid w:val="25F74A5C"/>
    <w:rsid w:val="2628662C"/>
    <w:rsid w:val="26287F13"/>
    <w:rsid w:val="262D45DE"/>
    <w:rsid w:val="265C50DF"/>
    <w:rsid w:val="266B0F78"/>
    <w:rsid w:val="266E6AE8"/>
    <w:rsid w:val="267E09C1"/>
    <w:rsid w:val="26871DC8"/>
    <w:rsid w:val="26A53EF9"/>
    <w:rsid w:val="26A56700"/>
    <w:rsid w:val="26A6481F"/>
    <w:rsid w:val="26A94201"/>
    <w:rsid w:val="26AC274F"/>
    <w:rsid w:val="270377E9"/>
    <w:rsid w:val="27044A29"/>
    <w:rsid w:val="271D34C8"/>
    <w:rsid w:val="272F6449"/>
    <w:rsid w:val="273A5E93"/>
    <w:rsid w:val="273F6C96"/>
    <w:rsid w:val="274C4FBA"/>
    <w:rsid w:val="276142BF"/>
    <w:rsid w:val="27783712"/>
    <w:rsid w:val="27907362"/>
    <w:rsid w:val="27910EB2"/>
    <w:rsid w:val="279B7084"/>
    <w:rsid w:val="27A02A0E"/>
    <w:rsid w:val="28052EE7"/>
    <w:rsid w:val="282D0BDB"/>
    <w:rsid w:val="28333E1D"/>
    <w:rsid w:val="28355CE1"/>
    <w:rsid w:val="28454BD6"/>
    <w:rsid w:val="28455253"/>
    <w:rsid w:val="28551971"/>
    <w:rsid w:val="285A69A0"/>
    <w:rsid w:val="285B1C53"/>
    <w:rsid w:val="287A4124"/>
    <w:rsid w:val="28814A83"/>
    <w:rsid w:val="2899001E"/>
    <w:rsid w:val="289F7086"/>
    <w:rsid w:val="28C32028"/>
    <w:rsid w:val="28CC490F"/>
    <w:rsid w:val="28DE40AA"/>
    <w:rsid w:val="29345E77"/>
    <w:rsid w:val="29453CBE"/>
    <w:rsid w:val="294C65AD"/>
    <w:rsid w:val="294E3480"/>
    <w:rsid w:val="29806583"/>
    <w:rsid w:val="298B3C4C"/>
    <w:rsid w:val="29C46615"/>
    <w:rsid w:val="29EC23D0"/>
    <w:rsid w:val="29F26D24"/>
    <w:rsid w:val="2A15033F"/>
    <w:rsid w:val="2A1662C1"/>
    <w:rsid w:val="2A1C7367"/>
    <w:rsid w:val="2A2815FA"/>
    <w:rsid w:val="2A6D6092"/>
    <w:rsid w:val="2A7D76B4"/>
    <w:rsid w:val="2A830ABD"/>
    <w:rsid w:val="2A8A2314"/>
    <w:rsid w:val="2A8B5E0D"/>
    <w:rsid w:val="2AA12964"/>
    <w:rsid w:val="2AD8021A"/>
    <w:rsid w:val="2AE53477"/>
    <w:rsid w:val="2AEE1B3B"/>
    <w:rsid w:val="2AF47F2E"/>
    <w:rsid w:val="2B0025D7"/>
    <w:rsid w:val="2B1A10CF"/>
    <w:rsid w:val="2B2D22CA"/>
    <w:rsid w:val="2B437463"/>
    <w:rsid w:val="2B7807EE"/>
    <w:rsid w:val="2B8B2877"/>
    <w:rsid w:val="2B8C47CE"/>
    <w:rsid w:val="2B8C67CE"/>
    <w:rsid w:val="2BA50BF7"/>
    <w:rsid w:val="2BB563D7"/>
    <w:rsid w:val="2BBF00EC"/>
    <w:rsid w:val="2BC37CFD"/>
    <w:rsid w:val="2BD5237F"/>
    <w:rsid w:val="2BE536CE"/>
    <w:rsid w:val="2BE758D9"/>
    <w:rsid w:val="2BE76A97"/>
    <w:rsid w:val="2BEA7DD3"/>
    <w:rsid w:val="2C09049E"/>
    <w:rsid w:val="2C0A653C"/>
    <w:rsid w:val="2C0E0D23"/>
    <w:rsid w:val="2C191F85"/>
    <w:rsid w:val="2C8C4873"/>
    <w:rsid w:val="2C994A93"/>
    <w:rsid w:val="2C9F2D3A"/>
    <w:rsid w:val="2CE82D6F"/>
    <w:rsid w:val="2D2216DE"/>
    <w:rsid w:val="2D343236"/>
    <w:rsid w:val="2D65207D"/>
    <w:rsid w:val="2D6C5D01"/>
    <w:rsid w:val="2D6D6409"/>
    <w:rsid w:val="2D8D5C78"/>
    <w:rsid w:val="2D956040"/>
    <w:rsid w:val="2DC53663"/>
    <w:rsid w:val="2DD15014"/>
    <w:rsid w:val="2DD62E25"/>
    <w:rsid w:val="2DF57D44"/>
    <w:rsid w:val="2DF72DE4"/>
    <w:rsid w:val="2E0220AF"/>
    <w:rsid w:val="2E284D88"/>
    <w:rsid w:val="2E4B082A"/>
    <w:rsid w:val="2E5D4E86"/>
    <w:rsid w:val="2E5D790B"/>
    <w:rsid w:val="2E776A61"/>
    <w:rsid w:val="2E9A143D"/>
    <w:rsid w:val="2E9A3C18"/>
    <w:rsid w:val="2EBB0FEE"/>
    <w:rsid w:val="2EC63002"/>
    <w:rsid w:val="2ECB46DA"/>
    <w:rsid w:val="2F064D1A"/>
    <w:rsid w:val="2F0A6B38"/>
    <w:rsid w:val="2F0E78D3"/>
    <w:rsid w:val="2F4430A0"/>
    <w:rsid w:val="2F946CCB"/>
    <w:rsid w:val="2F975429"/>
    <w:rsid w:val="2FC8743B"/>
    <w:rsid w:val="2FD25781"/>
    <w:rsid w:val="2FDE33BA"/>
    <w:rsid w:val="2FF346DE"/>
    <w:rsid w:val="2FFB7730"/>
    <w:rsid w:val="2FFD7934"/>
    <w:rsid w:val="300D394D"/>
    <w:rsid w:val="30201A01"/>
    <w:rsid w:val="30462597"/>
    <w:rsid w:val="305667F5"/>
    <w:rsid w:val="30733ACD"/>
    <w:rsid w:val="30742360"/>
    <w:rsid w:val="30827221"/>
    <w:rsid w:val="308C3862"/>
    <w:rsid w:val="309379D8"/>
    <w:rsid w:val="309B6899"/>
    <w:rsid w:val="30A270F7"/>
    <w:rsid w:val="30D05919"/>
    <w:rsid w:val="30DF1478"/>
    <w:rsid w:val="30E91417"/>
    <w:rsid w:val="30EA055D"/>
    <w:rsid w:val="30EC586F"/>
    <w:rsid w:val="30F508D4"/>
    <w:rsid w:val="31174143"/>
    <w:rsid w:val="31322E68"/>
    <w:rsid w:val="319C6071"/>
    <w:rsid w:val="31AC537E"/>
    <w:rsid w:val="31B420C4"/>
    <w:rsid w:val="31B82C24"/>
    <w:rsid w:val="31C17BA9"/>
    <w:rsid w:val="31C549B6"/>
    <w:rsid w:val="31E3679B"/>
    <w:rsid w:val="31E732FD"/>
    <w:rsid w:val="3212499D"/>
    <w:rsid w:val="32517576"/>
    <w:rsid w:val="3262346C"/>
    <w:rsid w:val="32A25643"/>
    <w:rsid w:val="32A64673"/>
    <w:rsid w:val="32B12408"/>
    <w:rsid w:val="32BE5C2C"/>
    <w:rsid w:val="32FB6478"/>
    <w:rsid w:val="331E793D"/>
    <w:rsid w:val="33240E2C"/>
    <w:rsid w:val="332637C2"/>
    <w:rsid w:val="33263B3F"/>
    <w:rsid w:val="33414C37"/>
    <w:rsid w:val="336963EB"/>
    <w:rsid w:val="33816EEB"/>
    <w:rsid w:val="338863E7"/>
    <w:rsid w:val="33A51E80"/>
    <w:rsid w:val="33A845DC"/>
    <w:rsid w:val="33EB55CD"/>
    <w:rsid w:val="33EC4C02"/>
    <w:rsid w:val="33F56B06"/>
    <w:rsid w:val="33F84E22"/>
    <w:rsid w:val="340D2360"/>
    <w:rsid w:val="3410665D"/>
    <w:rsid w:val="341F7742"/>
    <w:rsid w:val="34211214"/>
    <w:rsid w:val="342E63AB"/>
    <w:rsid w:val="34433534"/>
    <w:rsid w:val="345E036E"/>
    <w:rsid w:val="3466782F"/>
    <w:rsid w:val="347B5D1E"/>
    <w:rsid w:val="347C5A95"/>
    <w:rsid w:val="348F33B5"/>
    <w:rsid w:val="34950E68"/>
    <w:rsid w:val="34986E94"/>
    <w:rsid w:val="34AA5361"/>
    <w:rsid w:val="34AF62C9"/>
    <w:rsid w:val="34CB4388"/>
    <w:rsid w:val="34D66156"/>
    <w:rsid w:val="34D92909"/>
    <w:rsid w:val="34DC2C0A"/>
    <w:rsid w:val="34EC3BCC"/>
    <w:rsid w:val="34FA6E12"/>
    <w:rsid w:val="353D13E3"/>
    <w:rsid w:val="354D7158"/>
    <w:rsid w:val="354E6723"/>
    <w:rsid w:val="358D5588"/>
    <w:rsid w:val="35B069A7"/>
    <w:rsid w:val="35D7440F"/>
    <w:rsid w:val="35E05C46"/>
    <w:rsid w:val="35EF127D"/>
    <w:rsid w:val="36136070"/>
    <w:rsid w:val="36365688"/>
    <w:rsid w:val="363A3B40"/>
    <w:rsid w:val="365302AE"/>
    <w:rsid w:val="36607A0A"/>
    <w:rsid w:val="366A6C87"/>
    <w:rsid w:val="366E227C"/>
    <w:rsid w:val="366F2E0D"/>
    <w:rsid w:val="367B6A5C"/>
    <w:rsid w:val="36A74ADA"/>
    <w:rsid w:val="36AD60D5"/>
    <w:rsid w:val="36B224F9"/>
    <w:rsid w:val="36BD137C"/>
    <w:rsid w:val="36EC0CC9"/>
    <w:rsid w:val="37390A8E"/>
    <w:rsid w:val="373F410B"/>
    <w:rsid w:val="3756404C"/>
    <w:rsid w:val="376A0174"/>
    <w:rsid w:val="3772655E"/>
    <w:rsid w:val="378C13F6"/>
    <w:rsid w:val="37A662B4"/>
    <w:rsid w:val="37BD1A5A"/>
    <w:rsid w:val="37E16E9C"/>
    <w:rsid w:val="37EE7094"/>
    <w:rsid w:val="380803DD"/>
    <w:rsid w:val="38131FE2"/>
    <w:rsid w:val="382471D8"/>
    <w:rsid w:val="38296C89"/>
    <w:rsid w:val="383002EB"/>
    <w:rsid w:val="38586797"/>
    <w:rsid w:val="38602906"/>
    <w:rsid w:val="388843DC"/>
    <w:rsid w:val="38BC0149"/>
    <w:rsid w:val="38C27346"/>
    <w:rsid w:val="38D87D1C"/>
    <w:rsid w:val="38DD3F57"/>
    <w:rsid w:val="38DE6D4B"/>
    <w:rsid w:val="391F535F"/>
    <w:rsid w:val="392E73EA"/>
    <w:rsid w:val="394F7350"/>
    <w:rsid w:val="39636459"/>
    <w:rsid w:val="396B7F6C"/>
    <w:rsid w:val="397C0BC1"/>
    <w:rsid w:val="399C14F7"/>
    <w:rsid w:val="39B324CD"/>
    <w:rsid w:val="39B417A9"/>
    <w:rsid w:val="39F5707E"/>
    <w:rsid w:val="39FC5695"/>
    <w:rsid w:val="3A006D8E"/>
    <w:rsid w:val="3A3651E5"/>
    <w:rsid w:val="3A4E2342"/>
    <w:rsid w:val="3A744481"/>
    <w:rsid w:val="3A773F37"/>
    <w:rsid w:val="3A8C7BEF"/>
    <w:rsid w:val="3A906246"/>
    <w:rsid w:val="3AA842F0"/>
    <w:rsid w:val="3B0A1574"/>
    <w:rsid w:val="3B133C60"/>
    <w:rsid w:val="3B2349B7"/>
    <w:rsid w:val="3B2D78CA"/>
    <w:rsid w:val="3B464036"/>
    <w:rsid w:val="3B4677B8"/>
    <w:rsid w:val="3B590718"/>
    <w:rsid w:val="3B616CFF"/>
    <w:rsid w:val="3B6259F6"/>
    <w:rsid w:val="3B75232A"/>
    <w:rsid w:val="3B894B0B"/>
    <w:rsid w:val="3B976654"/>
    <w:rsid w:val="3B9B68EE"/>
    <w:rsid w:val="3BC01EFC"/>
    <w:rsid w:val="3BC36985"/>
    <w:rsid w:val="3BC52CC1"/>
    <w:rsid w:val="3BCA786A"/>
    <w:rsid w:val="3BD06659"/>
    <w:rsid w:val="3BD31E2F"/>
    <w:rsid w:val="3BF15831"/>
    <w:rsid w:val="3C092C4F"/>
    <w:rsid w:val="3C105946"/>
    <w:rsid w:val="3C2974B3"/>
    <w:rsid w:val="3C3262E6"/>
    <w:rsid w:val="3C3A44D8"/>
    <w:rsid w:val="3C471448"/>
    <w:rsid w:val="3C556941"/>
    <w:rsid w:val="3C5F759A"/>
    <w:rsid w:val="3C616601"/>
    <w:rsid w:val="3C6C525A"/>
    <w:rsid w:val="3C760652"/>
    <w:rsid w:val="3CA60D3D"/>
    <w:rsid w:val="3CA8464B"/>
    <w:rsid w:val="3CC904B6"/>
    <w:rsid w:val="3CCE23CB"/>
    <w:rsid w:val="3CD13E73"/>
    <w:rsid w:val="3CD17D17"/>
    <w:rsid w:val="3CED249E"/>
    <w:rsid w:val="3CEE6358"/>
    <w:rsid w:val="3D135173"/>
    <w:rsid w:val="3D3B2FFA"/>
    <w:rsid w:val="3D3C7F39"/>
    <w:rsid w:val="3D440F09"/>
    <w:rsid w:val="3D4504A0"/>
    <w:rsid w:val="3D5A1DE7"/>
    <w:rsid w:val="3D64467C"/>
    <w:rsid w:val="3D791A09"/>
    <w:rsid w:val="3D7E0A99"/>
    <w:rsid w:val="3D8734BB"/>
    <w:rsid w:val="3D932876"/>
    <w:rsid w:val="3D9A11D4"/>
    <w:rsid w:val="3DA16D89"/>
    <w:rsid w:val="3DA364BE"/>
    <w:rsid w:val="3DA475D8"/>
    <w:rsid w:val="3DB67810"/>
    <w:rsid w:val="3DD50C8A"/>
    <w:rsid w:val="3DE041CB"/>
    <w:rsid w:val="3E03620E"/>
    <w:rsid w:val="3E0D48F6"/>
    <w:rsid w:val="3E1868B4"/>
    <w:rsid w:val="3E1D2DF9"/>
    <w:rsid w:val="3E377251"/>
    <w:rsid w:val="3E42664B"/>
    <w:rsid w:val="3E5A7334"/>
    <w:rsid w:val="3E7B5D6B"/>
    <w:rsid w:val="3E843E66"/>
    <w:rsid w:val="3E8F51FE"/>
    <w:rsid w:val="3E926F87"/>
    <w:rsid w:val="3E992734"/>
    <w:rsid w:val="3E9A59DE"/>
    <w:rsid w:val="3EA95CBD"/>
    <w:rsid w:val="3EAF4836"/>
    <w:rsid w:val="3EC33DFA"/>
    <w:rsid w:val="3EF66285"/>
    <w:rsid w:val="3F060E16"/>
    <w:rsid w:val="3F0A7BF6"/>
    <w:rsid w:val="3F1D1096"/>
    <w:rsid w:val="3F2F0234"/>
    <w:rsid w:val="3F5707E4"/>
    <w:rsid w:val="3F6363FE"/>
    <w:rsid w:val="3F756B8F"/>
    <w:rsid w:val="3F8D4B70"/>
    <w:rsid w:val="3F95482B"/>
    <w:rsid w:val="3FAF4907"/>
    <w:rsid w:val="3FE468EA"/>
    <w:rsid w:val="3FE91433"/>
    <w:rsid w:val="4019356B"/>
    <w:rsid w:val="401E1828"/>
    <w:rsid w:val="4041301D"/>
    <w:rsid w:val="404F1CD1"/>
    <w:rsid w:val="40592157"/>
    <w:rsid w:val="406E1CAE"/>
    <w:rsid w:val="40937DD1"/>
    <w:rsid w:val="40996ECE"/>
    <w:rsid w:val="40A0133A"/>
    <w:rsid w:val="40C31A53"/>
    <w:rsid w:val="40F33AA5"/>
    <w:rsid w:val="40F57964"/>
    <w:rsid w:val="40F92A66"/>
    <w:rsid w:val="40FF545D"/>
    <w:rsid w:val="410067C8"/>
    <w:rsid w:val="411E2D31"/>
    <w:rsid w:val="413C45E3"/>
    <w:rsid w:val="4147433B"/>
    <w:rsid w:val="418F0D2A"/>
    <w:rsid w:val="419500D6"/>
    <w:rsid w:val="41962BCF"/>
    <w:rsid w:val="41B617E9"/>
    <w:rsid w:val="41D01505"/>
    <w:rsid w:val="41DA3027"/>
    <w:rsid w:val="4217061E"/>
    <w:rsid w:val="4238518B"/>
    <w:rsid w:val="42474939"/>
    <w:rsid w:val="424C3C57"/>
    <w:rsid w:val="42613FF3"/>
    <w:rsid w:val="42660D96"/>
    <w:rsid w:val="428667D2"/>
    <w:rsid w:val="428B67D2"/>
    <w:rsid w:val="429B4E76"/>
    <w:rsid w:val="42AC0CAD"/>
    <w:rsid w:val="42C02B16"/>
    <w:rsid w:val="42CD1CE0"/>
    <w:rsid w:val="42D53E10"/>
    <w:rsid w:val="42E1381E"/>
    <w:rsid w:val="42ED6459"/>
    <w:rsid w:val="42FE58DD"/>
    <w:rsid w:val="43122A4F"/>
    <w:rsid w:val="43174B3D"/>
    <w:rsid w:val="433F0E43"/>
    <w:rsid w:val="434B790E"/>
    <w:rsid w:val="4360274F"/>
    <w:rsid w:val="43977AB6"/>
    <w:rsid w:val="43A3342B"/>
    <w:rsid w:val="43B65AD0"/>
    <w:rsid w:val="43C77C27"/>
    <w:rsid w:val="43DE09EE"/>
    <w:rsid w:val="43F01B40"/>
    <w:rsid w:val="43F860E9"/>
    <w:rsid w:val="44002FAD"/>
    <w:rsid w:val="44103ECC"/>
    <w:rsid w:val="4430589B"/>
    <w:rsid w:val="44356927"/>
    <w:rsid w:val="444E7AB7"/>
    <w:rsid w:val="449101DD"/>
    <w:rsid w:val="449D00C3"/>
    <w:rsid w:val="44AB36BA"/>
    <w:rsid w:val="44B600F3"/>
    <w:rsid w:val="44B92B77"/>
    <w:rsid w:val="44DE1391"/>
    <w:rsid w:val="44E328F5"/>
    <w:rsid w:val="44E72961"/>
    <w:rsid w:val="44F3065E"/>
    <w:rsid w:val="45144786"/>
    <w:rsid w:val="451B225C"/>
    <w:rsid w:val="452410C9"/>
    <w:rsid w:val="452B71EC"/>
    <w:rsid w:val="452E1696"/>
    <w:rsid w:val="45317DFB"/>
    <w:rsid w:val="456D3CE4"/>
    <w:rsid w:val="4579042C"/>
    <w:rsid w:val="457E4BFD"/>
    <w:rsid w:val="457F0571"/>
    <w:rsid w:val="45851176"/>
    <w:rsid w:val="45853C91"/>
    <w:rsid w:val="458A2D71"/>
    <w:rsid w:val="458E4BD4"/>
    <w:rsid w:val="45C63B94"/>
    <w:rsid w:val="45F134FD"/>
    <w:rsid w:val="460E7DA5"/>
    <w:rsid w:val="461B579A"/>
    <w:rsid w:val="46323D4A"/>
    <w:rsid w:val="463351B6"/>
    <w:rsid w:val="46422483"/>
    <w:rsid w:val="46426740"/>
    <w:rsid w:val="4659254A"/>
    <w:rsid w:val="465B0637"/>
    <w:rsid w:val="465E3F0D"/>
    <w:rsid w:val="466A16E6"/>
    <w:rsid w:val="46791209"/>
    <w:rsid w:val="46893F2B"/>
    <w:rsid w:val="46C4686E"/>
    <w:rsid w:val="46D06EA9"/>
    <w:rsid w:val="46FD7572"/>
    <w:rsid w:val="472A3E43"/>
    <w:rsid w:val="472A6B09"/>
    <w:rsid w:val="47391126"/>
    <w:rsid w:val="473D0E4D"/>
    <w:rsid w:val="477B778F"/>
    <w:rsid w:val="478203EC"/>
    <w:rsid w:val="478464A5"/>
    <w:rsid w:val="47B025FA"/>
    <w:rsid w:val="47B40579"/>
    <w:rsid w:val="47BA3F16"/>
    <w:rsid w:val="47EC7057"/>
    <w:rsid w:val="47EC7D13"/>
    <w:rsid w:val="48010DED"/>
    <w:rsid w:val="4809698F"/>
    <w:rsid w:val="48097DF4"/>
    <w:rsid w:val="480C2553"/>
    <w:rsid w:val="4811697D"/>
    <w:rsid w:val="484A2C8B"/>
    <w:rsid w:val="4867796E"/>
    <w:rsid w:val="48756309"/>
    <w:rsid w:val="487A3E25"/>
    <w:rsid w:val="487B0FC2"/>
    <w:rsid w:val="48833F78"/>
    <w:rsid w:val="488B5503"/>
    <w:rsid w:val="48937E21"/>
    <w:rsid w:val="48975AF1"/>
    <w:rsid w:val="489A0361"/>
    <w:rsid w:val="489D4E79"/>
    <w:rsid w:val="48B94FF3"/>
    <w:rsid w:val="48CD3EBF"/>
    <w:rsid w:val="48E37AAB"/>
    <w:rsid w:val="48EC362B"/>
    <w:rsid w:val="48FB2C50"/>
    <w:rsid w:val="48FD4B4C"/>
    <w:rsid w:val="490606C8"/>
    <w:rsid w:val="490A68E0"/>
    <w:rsid w:val="491055FE"/>
    <w:rsid w:val="49131B61"/>
    <w:rsid w:val="49261002"/>
    <w:rsid w:val="493A2D00"/>
    <w:rsid w:val="494C6EA1"/>
    <w:rsid w:val="494D4D8B"/>
    <w:rsid w:val="495F5B3E"/>
    <w:rsid w:val="496F77D7"/>
    <w:rsid w:val="497654FD"/>
    <w:rsid w:val="498F505D"/>
    <w:rsid w:val="49961747"/>
    <w:rsid w:val="49B64211"/>
    <w:rsid w:val="49F6167F"/>
    <w:rsid w:val="4A064FA0"/>
    <w:rsid w:val="4A0C76B0"/>
    <w:rsid w:val="4A16615C"/>
    <w:rsid w:val="4A4424D7"/>
    <w:rsid w:val="4A493572"/>
    <w:rsid w:val="4A525E27"/>
    <w:rsid w:val="4A5634BC"/>
    <w:rsid w:val="4A621223"/>
    <w:rsid w:val="4A6E0CA4"/>
    <w:rsid w:val="4A83134F"/>
    <w:rsid w:val="4AAC469A"/>
    <w:rsid w:val="4AB00BDC"/>
    <w:rsid w:val="4AB82D0F"/>
    <w:rsid w:val="4AD57AA1"/>
    <w:rsid w:val="4AEB7664"/>
    <w:rsid w:val="4AFD7C19"/>
    <w:rsid w:val="4B0567D1"/>
    <w:rsid w:val="4B1067E7"/>
    <w:rsid w:val="4B236AAE"/>
    <w:rsid w:val="4B555D27"/>
    <w:rsid w:val="4B707271"/>
    <w:rsid w:val="4B9739F7"/>
    <w:rsid w:val="4B974368"/>
    <w:rsid w:val="4B9A6B21"/>
    <w:rsid w:val="4B9C1FA2"/>
    <w:rsid w:val="4BB73B85"/>
    <w:rsid w:val="4BE96C25"/>
    <w:rsid w:val="4BEE2503"/>
    <w:rsid w:val="4C237EAA"/>
    <w:rsid w:val="4C245A30"/>
    <w:rsid w:val="4C2537F3"/>
    <w:rsid w:val="4C4579F1"/>
    <w:rsid w:val="4C5C2F8D"/>
    <w:rsid w:val="4C5D53ED"/>
    <w:rsid w:val="4C676029"/>
    <w:rsid w:val="4C8C2DBA"/>
    <w:rsid w:val="4CAF7256"/>
    <w:rsid w:val="4CB005C1"/>
    <w:rsid w:val="4CB6685F"/>
    <w:rsid w:val="4CBD71A8"/>
    <w:rsid w:val="4CC367FE"/>
    <w:rsid w:val="4D077F3C"/>
    <w:rsid w:val="4D123355"/>
    <w:rsid w:val="4D2A3B31"/>
    <w:rsid w:val="4D312C52"/>
    <w:rsid w:val="4D3D0468"/>
    <w:rsid w:val="4D3F03B7"/>
    <w:rsid w:val="4D4B0F25"/>
    <w:rsid w:val="4D905305"/>
    <w:rsid w:val="4D964A72"/>
    <w:rsid w:val="4D9C1254"/>
    <w:rsid w:val="4DDC25D7"/>
    <w:rsid w:val="4E526455"/>
    <w:rsid w:val="4E5A0B37"/>
    <w:rsid w:val="4E5F2074"/>
    <w:rsid w:val="4E793892"/>
    <w:rsid w:val="4E800872"/>
    <w:rsid w:val="4E9532A8"/>
    <w:rsid w:val="4E9A20A5"/>
    <w:rsid w:val="4EBD1C34"/>
    <w:rsid w:val="4EC569ED"/>
    <w:rsid w:val="4ED50EA1"/>
    <w:rsid w:val="4EEC050C"/>
    <w:rsid w:val="4EF833C6"/>
    <w:rsid w:val="4F104EC3"/>
    <w:rsid w:val="4F47354A"/>
    <w:rsid w:val="4F911C54"/>
    <w:rsid w:val="4F94527E"/>
    <w:rsid w:val="4FCD637F"/>
    <w:rsid w:val="4FE625E0"/>
    <w:rsid w:val="4FEB08B0"/>
    <w:rsid w:val="4FED5402"/>
    <w:rsid w:val="50003B61"/>
    <w:rsid w:val="5021480F"/>
    <w:rsid w:val="505D15FC"/>
    <w:rsid w:val="50707CB0"/>
    <w:rsid w:val="50755E1B"/>
    <w:rsid w:val="50962ECB"/>
    <w:rsid w:val="50A42E38"/>
    <w:rsid w:val="50A4577F"/>
    <w:rsid w:val="50B73D1F"/>
    <w:rsid w:val="50BD5BC9"/>
    <w:rsid w:val="50C11EEE"/>
    <w:rsid w:val="50D73351"/>
    <w:rsid w:val="50E97CFC"/>
    <w:rsid w:val="50F1399D"/>
    <w:rsid w:val="50FA4028"/>
    <w:rsid w:val="50FE434C"/>
    <w:rsid w:val="510D65B7"/>
    <w:rsid w:val="511157AB"/>
    <w:rsid w:val="51373825"/>
    <w:rsid w:val="513A1AEF"/>
    <w:rsid w:val="5142540C"/>
    <w:rsid w:val="518832C8"/>
    <w:rsid w:val="51A0432A"/>
    <w:rsid w:val="51A86090"/>
    <w:rsid w:val="51B7396D"/>
    <w:rsid w:val="51BF0246"/>
    <w:rsid w:val="51F4743E"/>
    <w:rsid w:val="52090ACB"/>
    <w:rsid w:val="522E4CC3"/>
    <w:rsid w:val="5244713B"/>
    <w:rsid w:val="52615633"/>
    <w:rsid w:val="526A04DD"/>
    <w:rsid w:val="52977FD4"/>
    <w:rsid w:val="52A25790"/>
    <w:rsid w:val="52A96B6F"/>
    <w:rsid w:val="52B45975"/>
    <w:rsid w:val="52CB543D"/>
    <w:rsid w:val="52D94AA4"/>
    <w:rsid w:val="52EA3A62"/>
    <w:rsid w:val="52F50BB8"/>
    <w:rsid w:val="53097272"/>
    <w:rsid w:val="53152E87"/>
    <w:rsid w:val="53544462"/>
    <w:rsid w:val="53676980"/>
    <w:rsid w:val="53960CB2"/>
    <w:rsid w:val="5397158E"/>
    <w:rsid w:val="53D42C20"/>
    <w:rsid w:val="53E42050"/>
    <w:rsid w:val="53E67D0C"/>
    <w:rsid w:val="54013861"/>
    <w:rsid w:val="541C372E"/>
    <w:rsid w:val="544032D3"/>
    <w:rsid w:val="54487265"/>
    <w:rsid w:val="544D6070"/>
    <w:rsid w:val="545B4ECF"/>
    <w:rsid w:val="54605E1E"/>
    <w:rsid w:val="54910775"/>
    <w:rsid w:val="54AC5238"/>
    <w:rsid w:val="54B3506A"/>
    <w:rsid w:val="54CA0D16"/>
    <w:rsid w:val="54DD4057"/>
    <w:rsid w:val="54E7490F"/>
    <w:rsid w:val="54FF4546"/>
    <w:rsid w:val="55061018"/>
    <w:rsid w:val="550764A4"/>
    <w:rsid w:val="550B2BF6"/>
    <w:rsid w:val="55214EB5"/>
    <w:rsid w:val="55364EFD"/>
    <w:rsid w:val="555D4828"/>
    <w:rsid w:val="557A4C8B"/>
    <w:rsid w:val="558931E1"/>
    <w:rsid w:val="55923347"/>
    <w:rsid w:val="55925180"/>
    <w:rsid w:val="55983B1B"/>
    <w:rsid w:val="55A8376B"/>
    <w:rsid w:val="55C248FD"/>
    <w:rsid w:val="55D87B28"/>
    <w:rsid w:val="55DC29B6"/>
    <w:rsid w:val="55DD4241"/>
    <w:rsid w:val="55F16964"/>
    <w:rsid w:val="55FA20BB"/>
    <w:rsid w:val="561C1BE8"/>
    <w:rsid w:val="565D3B8A"/>
    <w:rsid w:val="56620283"/>
    <w:rsid w:val="566B6D1E"/>
    <w:rsid w:val="569E129D"/>
    <w:rsid w:val="56BD5854"/>
    <w:rsid w:val="56C76EC1"/>
    <w:rsid w:val="57032A2C"/>
    <w:rsid w:val="570F5219"/>
    <w:rsid w:val="575D12B5"/>
    <w:rsid w:val="57610A87"/>
    <w:rsid w:val="577B1140"/>
    <w:rsid w:val="577B7F21"/>
    <w:rsid w:val="577F181B"/>
    <w:rsid w:val="57921984"/>
    <w:rsid w:val="579737F0"/>
    <w:rsid w:val="579D4CED"/>
    <w:rsid w:val="57AB7B30"/>
    <w:rsid w:val="57AF5251"/>
    <w:rsid w:val="57B26373"/>
    <w:rsid w:val="57B3517E"/>
    <w:rsid w:val="57B63F04"/>
    <w:rsid w:val="57CD20C2"/>
    <w:rsid w:val="57D675AB"/>
    <w:rsid w:val="57D95FDD"/>
    <w:rsid w:val="57FD2F22"/>
    <w:rsid w:val="584D2325"/>
    <w:rsid w:val="584E184D"/>
    <w:rsid w:val="58917D2F"/>
    <w:rsid w:val="5894085C"/>
    <w:rsid w:val="58AE4F0C"/>
    <w:rsid w:val="58B85899"/>
    <w:rsid w:val="58C0702C"/>
    <w:rsid w:val="58E363A9"/>
    <w:rsid w:val="58F3790B"/>
    <w:rsid w:val="59272ECB"/>
    <w:rsid w:val="59307B25"/>
    <w:rsid w:val="595E1678"/>
    <w:rsid w:val="596D5BD4"/>
    <w:rsid w:val="596E0FB1"/>
    <w:rsid w:val="597E3DD8"/>
    <w:rsid w:val="59AB1AC0"/>
    <w:rsid w:val="59B31026"/>
    <w:rsid w:val="59F80043"/>
    <w:rsid w:val="5A09252F"/>
    <w:rsid w:val="5A0B2778"/>
    <w:rsid w:val="5A1B7FE4"/>
    <w:rsid w:val="5A2A7C7B"/>
    <w:rsid w:val="5A3E2560"/>
    <w:rsid w:val="5A5D3B6E"/>
    <w:rsid w:val="5A637A76"/>
    <w:rsid w:val="5A686384"/>
    <w:rsid w:val="5A6D33BA"/>
    <w:rsid w:val="5A792B1F"/>
    <w:rsid w:val="5A874767"/>
    <w:rsid w:val="5AA85BE2"/>
    <w:rsid w:val="5AAC4A22"/>
    <w:rsid w:val="5AAD6F28"/>
    <w:rsid w:val="5AC451BA"/>
    <w:rsid w:val="5AD63A24"/>
    <w:rsid w:val="5AE51FB6"/>
    <w:rsid w:val="5B1E5FDD"/>
    <w:rsid w:val="5B2E1A1D"/>
    <w:rsid w:val="5B455011"/>
    <w:rsid w:val="5B5559B5"/>
    <w:rsid w:val="5B843A1C"/>
    <w:rsid w:val="5B873E3F"/>
    <w:rsid w:val="5BC76675"/>
    <w:rsid w:val="5BF00249"/>
    <w:rsid w:val="5C02690E"/>
    <w:rsid w:val="5C196DA7"/>
    <w:rsid w:val="5C2A048C"/>
    <w:rsid w:val="5C35640B"/>
    <w:rsid w:val="5C7422AE"/>
    <w:rsid w:val="5C80234E"/>
    <w:rsid w:val="5C8A680C"/>
    <w:rsid w:val="5CBB1164"/>
    <w:rsid w:val="5CCE758F"/>
    <w:rsid w:val="5CD256AC"/>
    <w:rsid w:val="5CE45C2B"/>
    <w:rsid w:val="5CEB387F"/>
    <w:rsid w:val="5CF27722"/>
    <w:rsid w:val="5CFB5325"/>
    <w:rsid w:val="5D0C4701"/>
    <w:rsid w:val="5D0F0395"/>
    <w:rsid w:val="5D221076"/>
    <w:rsid w:val="5D38043B"/>
    <w:rsid w:val="5D397964"/>
    <w:rsid w:val="5D551783"/>
    <w:rsid w:val="5D5A391C"/>
    <w:rsid w:val="5D5C31CE"/>
    <w:rsid w:val="5D5F10C0"/>
    <w:rsid w:val="5D6308F7"/>
    <w:rsid w:val="5D891B7B"/>
    <w:rsid w:val="5D8A5E82"/>
    <w:rsid w:val="5D930F65"/>
    <w:rsid w:val="5D945FAA"/>
    <w:rsid w:val="5DAD38EE"/>
    <w:rsid w:val="5E006862"/>
    <w:rsid w:val="5E0207B9"/>
    <w:rsid w:val="5E093CEF"/>
    <w:rsid w:val="5E1834A1"/>
    <w:rsid w:val="5E261785"/>
    <w:rsid w:val="5E4A7017"/>
    <w:rsid w:val="5E552BBA"/>
    <w:rsid w:val="5E56783C"/>
    <w:rsid w:val="5E611C10"/>
    <w:rsid w:val="5E626095"/>
    <w:rsid w:val="5E6B4108"/>
    <w:rsid w:val="5E74631F"/>
    <w:rsid w:val="5E765627"/>
    <w:rsid w:val="5E7A0F3F"/>
    <w:rsid w:val="5E866777"/>
    <w:rsid w:val="5E9A5DEE"/>
    <w:rsid w:val="5EB15FBF"/>
    <w:rsid w:val="5EB91404"/>
    <w:rsid w:val="5EF13A09"/>
    <w:rsid w:val="5EF50A1B"/>
    <w:rsid w:val="5EFC7377"/>
    <w:rsid w:val="5F012A1A"/>
    <w:rsid w:val="5F06174D"/>
    <w:rsid w:val="5F101225"/>
    <w:rsid w:val="5F32711A"/>
    <w:rsid w:val="5F3A3602"/>
    <w:rsid w:val="5F45733B"/>
    <w:rsid w:val="5F4C0C3F"/>
    <w:rsid w:val="5F5B211E"/>
    <w:rsid w:val="5F6277C6"/>
    <w:rsid w:val="5F6D0B1D"/>
    <w:rsid w:val="5F8D0B82"/>
    <w:rsid w:val="5FCC5339"/>
    <w:rsid w:val="5FE34A5B"/>
    <w:rsid w:val="5FFE1E36"/>
    <w:rsid w:val="5FFF5CB2"/>
    <w:rsid w:val="60002155"/>
    <w:rsid w:val="60172C7B"/>
    <w:rsid w:val="60232584"/>
    <w:rsid w:val="602745AC"/>
    <w:rsid w:val="60275934"/>
    <w:rsid w:val="60305BC5"/>
    <w:rsid w:val="604D4C6F"/>
    <w:rsid w:val="605864BB"/>
    <w:rsid w:val="607330CE"/>
    <w:rsid w:val="607A3F88"/>
    <w:rsid w:val="60825176"/>
    <w:rsid w:val="60873AD9"/>
    <w:rsid w:val="60883EF9"/>
    <w:rsid w:val="609F2AC4"/>
    <w:rsid w:val="60C413D5"/>
    <w:rsid w:val="60FA2EE8"/>
    <w:rsid w:val="61054A27"/>
    <w:rsid w:val="6109503A"/>
    <w:rsid w:val="610A52BC"/>
    <w:rsid w:val="611D2366"/>
    <w:rsid w:val="61421856"/>
    <w:rsid w:val="615227C4"/>
    <w:rsid w:val="61626939"/>
    <w:rsid w:val="61654E3F"/>
    <w:rsid w:val="6182292A"/>
    <w:rsid w:val="618B5F69"/>
    <w:rsid w:val="61985864"/>
    <w:rsid w:val="619F7F92"/>
    <w:rsid w:val="61BB155E"/>
    <w:rsid w:val="61BD2EFD"/>
    <w:rsid w:val="61D1061E"/>
    <w:rsid w:val="61D70960"/>
    <w:rsid w:val="61F94C26"/>
    <w:rsid w:val="61FE4473"/>
    <w:rsid w:val="62000E56"/>
    <w:rsid w:val="62244584"/>
    <w:rsid w:val="624F3E49"/>
    <w:rsid w:val="62540537"/>
    <w:rsid w:val="625473B0"/>
    <w:rsid w:val="62586279"/>
    <w:rsid w:val="62632286"/>
    <w:rsid w:val="62775066"/>
    <w:rsid w:val="62885958"/>
    <w:rsid w:val="628903DB"/>
    <w:rsid w:val="62B47667"/>
    <w:rsid w:val="62C860CC"/>
    <w:rsid w:val="62F40B65"/>
    <w:rsid w:val="62FC2CFE"/>
    <w:rsid w:val="63024505"/>
    <w:rsid w:val="633923BD"/>
    <w:rsid w:val="63540CCD"/>
    <w:rsid w:val="635B1DB5"/>
    <w:rsid w:val="63711FED"/>
    <w:rsid w:val="63880DDC"/>
    <w:rsid w:val="63885935"/>
    <w:rsid w:val="6389298F"/>
    <w:rsid w:val="638D750D"/>
    <w:rsid w:val="639C0AAF"/>
    <w:rsid w:val="63AC52D2"/>
    <w:rsid w:val="63AC6CC0"/>
    <w:rsid w:val="63AE3C76"/>
    <w:rsid w:val="63B048E8"/>
    <w:rsid w:val="63BE65AF"/>
    <w:rsid w:val="63C17E4E"/>
    <w:rsid w:val="63C578FA"/>
    <w:rsid w:val="64043733"/>
    <w:rsid w:val="64055776"/>
    <w:rsid w:val="64175397"/>
    <w:rsid w:val="641A130C"/>
    <w:rsid w:val="64240056"/>
    <w:rsid w:val="643979E4"/>
    <w:rsid w:val="643E143A"/>
    <w:rsid w:val="644A0C02"/>
    <w:rsid w:val="647452F7"/>
    <w:rsid w:val="648B6EEF"/>
    <w:rsid w:val="64C158BF"/>
    <w:rsid w:val="64CE2EAA"/>
    <w:rsid w:val="65092215"/>
    <w:rsid w:val="653C3090"/>
    <w:rsid w:val="6545060B"/>
    <w:rsid w:val="65854376"/>
    <w:rsid w:val="658767BE"/>
    <w:rsid w:val="65882CD5"/>
    <w:rsid w:val="65892531"/>
    <w:rsid w:val="65E616BA"/>
    <w:rsid w:val="66153939"/>
    <w:rsid w:val="66195831"/>
    <w:rsid w:val="662B5A52"/>
    <w:rsid w:val="662E75B1"/>
    <w:rsid w:val="66342C2E"/>
    <w:rsid w:val="663E784C"/>
    <w:rsid w:val="66551A38"/>
    <w:rsid w:val="66662834"/>
    <w:rsid w:val="666D1F69"/>
    <w:rsid w:val="667133EA"/>
    <w:rsid w:val="6683763C"/>
    <w:rsid w:val="6688495F"/>
    <w:rsid w:val="668B6A45"/>
    <w:rsid w:val="66DE04FB"/>
    <w:rsid w:val="66F85C8F"/>
    <w:rsid w:val="67000CC4"/>
    <w:rsid w:val="67090CF6"/>
    <w:rsid w:val="671C2EDD"/>
    <w:rsid w:val="671E7365"/>
    <w:rsid w:val="67230B7E"/>
    <w:rsid w:val="672A3F5C"/>
    <w:rsid w:val="672B557E"/>
    <w:rsid w:val="672F3320"/>
    <w:rsid w:val="672F3F24"/>
    <w:rsid w:val="673B7F17"/>
    <w:rsid w:val="673E055F"/>
    <w:rsid w:val="67551CE3"/>
    <w:rsid w:val="677B0314"/>
    <w:rsid w:val="678F3DBF"/>
    <w:rsid w:val="67A22552"/>
    <w:rsid w:val="67A530AB"/>
    <w:rsid w:val="67B00574"/>
    <w:rsid w:val="67B22DCC"/>
    <w:rsid w:val="67B90A82"/>
    <w:rsid w:val="67BE71AA"/>
    <w:rsid w:val="67D90273"/>
    <w:rsid w:val="67DE5875"/>
    <w:rsid w:val="67E212BA"/>
    <w:rsid w:val="67E55852"/>
    <w:rsid w:val="67EB1AB4"/>
    <w:rsid w:val="67FA1285"/>
    <w:rsid w:val="68551F4F"/>
    <w:rsid w:val="68647B92"/>
    <w:rsid w:val="687C10C9"/>
    <w:rsid w:val="68840C16"/>
    <w:rsid w:val="68876EFB"/>
    <w:rsid w:val="68884654"/>
    <w:rsid w:val="688E6E24"/>
    <w:rsid w:val="689F444F"/>
    <w:rsid w:val="68A1639F"/>
    <w:rsid w:val="68B96DBB"/>
    <w:rsid w:val="68BB1E56"/>
    <w:rsid w:val="68CA2805"/>
    <w:rsid w:val="68E85AE5"/>
    <w:rsid w:val="68E937A3"/>
    <w:rsid w:val="68FC5484"/>
    <w:rsid w:val="692D78DC"/>
    <w:rsid w:val="693E15D3"/>
    <w:rsid w:val="69627681"/>
    <w:rsid w:val="696D1EDE"/>
    <w:rsid w:val="6977531D"/>
    <w:rsid w:val="69B51747"/>
    <w:rsid w:val="69BD5BBB"/>
    <w:rsid w:val="69CC2BFF"/>
    <w:rsid w:val="69D327F2"/>
    <w:rsid w:val="69FD55B8"/>
    <w:rsid w:val="6A0B1C62"/>
    <w:rsid w:val="6A0C584D"/>
    <w:rsid w:val="6A0D3F4C"/>
    <w:rsid w:val="6A2406C8"/>
    <w:rsid w:val="6A4B328A"/>
    <w:rsid w:val="6A4B36BE"/>
    <w:rsid w:val="6A4F6D30"/>
    <w:rsid w:val="6A60728C"/>
    <w:rsid w:val="6A8F2B46"/>
    <w:rsid w:val="6A9C2A7B"/>
    <w:rsid w:val="6AA47B81"/>
    <w:rsid w:val="6AB20DE6"/>
    <w:rsid w:val="6ABA3454"/>
    <w:rsid w:val="6ADA106E"/>
    <w:rsid w:val="6ADC5EF8"/>
    <w:rsid w:val="6ADE0BD1"/>
    <w:rsid w:val="6AE96859"/>
    <w:rsid w:val="6B147746"/>
    <w:rsid w:val="6B24787C"/>
    <w:rsid w:val="6B33152A"/>
    <w:rsid w:val="6B573233"/>
    <w:rsid w:val="6B5B6274"/>
    <w:rsid w:val="6B694FD4"/>
    <w:rsid w:val="6B710BD6"/>
    <w:rsid w:val="6B7D36B3"/>
    <w:rsid w:val="6B935D53"/>
    <w:rsid w:val="6BCC7390"/>
    <w:rsid w:val="6C196F71"/>
    <w:rsid w:val="6C226FCB"/>
    <w:rsid w:val="6C31226F"/>
    <w:rsid w:val="6C390C24"/>
    <w:rsid w:val="6C552F0B"/>
    <w:rsid w:val="6C830396"/>
    <w:rsid w:val="6C8C2DF7"/>
    <w:rsid w:val="6C8C67B7"/>
    <w:rsid w:val="6C9D744C"/>
    <w:rsid w:val="6CE1459D"/>
    <w:rsid w:val="6CFD6256"/>
    <w:rsid w:val="6CFE67A8"/>
    <w:rsid w:val="6D167928"/>
    <w:rsid w:val="6D261515"/>
    <w:rsid w:val="6D26299B"/>
    <w:rsid w:val="6D4772EC"/>
    <w:rsid w:val="6D6D4FC1"/>
    <w:rsid w:val="6D785A21"/>
    <w:rsid w:val="6D8007DE"/>
    <w:rsid w:val="6D9078AF"/>
    <w:rsid w:val="6DAA3FEF"/>
    <w:rsid w:val="6DB523BB"/>
    <w:rsid w:val="6DC0172B"/>
    <w:rsid w:val="6DC47772"/>
    <w:rsid w:val="6DCB690C"/>
    <w:rsid w:val="6DD41A5B"/>
    <w:rsid w:val="6DD80303"/>
    <w:rsid w:val="6DF43C2E"/>
    <w:rsid w:val="6DF51CA3"/>
    <w:rsid w:val="6E684D47"/>
    <w:rsid w:val="6E8335BD"/>
    <w:rsid w:val="6E8E12EF"/>
    <w:rsid w:val="6E9045AA"/>
    <w:rsid w:val="6E972936"/>
    <w:rsid w:val="6EB74327"/>
    <w:rsid w:val="6EC91D52"/>
    <w:rsid w:val="6ED35697"/>
    <w:rsid w:val="6ED446C5"/>
    <w:rsid w:val="6F184A18"/>
    <w:rsid w:val="6F2A7D94"/>
    <w:rsid w:val="6F347F1E"/>
    <w:rsid w:val="6F6D0E8A"/>
    <w:rsid w:val="6F802313"/>
    <w:rsid w:val="6F8331F1"/>
    <w:rsid w:val="6FAE1A09"/>
    <w:rsid w:val="6FD75BF8"/>
    <w:rsid w:val="6FEF3B3E"/>
    <w:rsid w:val="6FF70753"/>
    <w:rsid w:val="70115CB9"/>
    <w:rsid w:val="705362D1"/>
    <w:rsid w:val="707723D0"/>
    <w:rsid w:val="70980188"/>
    <w:rsid w:val="70DB77AC"/>
    <w:rsid w:val="70F27898"/>
    <w:rsid w:val="70F5661B"/>
    <w:rsid w:val="70FF0D7D"/>
    <w:rsid w:val="71360107"/>
    <w:rsid w:val="713B688E"/>
    <w:rsid w:val="71593474"/>
    <w:rsid w:val="7183561A"/>
    <w:rsid w:val="71BE6408"/>
    <w:rsid w:val="71C64881"/>
    <w:rsid w:val="71D43752"/>
    <w:rsid w:val="71D7083C"/>
    <w:rsid w:val="71F1796A"/>
    <w:rsid w:val="720846CC"/>
    <w:rsid w:val="72154626"/>
    <w:rsid w:val="72202699"/>
    <w:rsid w:val="72262B5D"/>
    <w:rsid w:val="72283FF7"/>
    <w:rsid w:val="722E7212"/>
    <w:rsid w:val="723A0474"/>
    <w:rsid w:val="724A6828"/>
    <w:rsid w:val="725923E4"/>
    <w:rsid w:val="72864BF7"/>
    <w:rsid w:val="729023FC"/>
    <w:rsid w:val="72D153FC"/>
    <w:rsid w:val="72E72D01"/>
    <w:rsid w:val="733470C6"/>
    <w:rsid w:val="734E304B"/>
    <w:rsid w:val="73533CC2"/>
    <w:rsid w:val="73757CC9"/>
    <w:rsid w:val="739D75B7"/>
    <w:rsid w:val="73B06FFE"/>
    <w:rsid w:val="73BE3A62"/>
    <w:rsid w:val="73C0646E"/>
    <w:rsid w:val="74085625"/>
    <w:rsid w:val="742222F5"/>
    <w:rsid w:val="742348D0"/>
    <w:rsid w:val="74476126"/>
    <w:rsid w:val="744A23BB"/>
    <w:rsid w:val="7460720F"/>
    <w:rsid w:val="74624977"/>
    <w:rsid w:val="74706664"/>
    <w:rsid w:val="7475702A"/>
    <w:rsid w:val="747F3682"/>
    <w:rsid w:val="749C4185"/>
    <w:rsid w:val="749F7D37"/>
    <w:rsid w:val="74A60E8D"/>
    <w:rsid w:val="74A73931"/>
    <w:rsid w:val="74BE006A"/>
    <w:rsid w:val="74C91165"/>
    <w:rsid w:val="75067759"/>
    <w:rsid w:val="752E6DCD"/>
    <w:rsid w:val="752F65C4"/>
    <w:rsid w:val="75417C86"/>
    <w:rsid w:val="7551380D"/>
    <w:rsid w:val="75600BE5"/>
    <w:rsid w:val="75615E38"/>
    <w:rsid w:val="7564475C"/>
    <w:rsid w:val="75834A5C"/>
    <w:rsid w:val="7583797F"/>
    <w:rsid w:val="758A310F"/>
    <w:rsid w:val="75952EE8"/>
    <w:rsid w:val="75D03F20"/>
    <w:rsid w:val="75D20F1D"/>
    <w:rsid w:val="75DA2C18"/>
    <w:rsid w:val="75F54412"/>
    <w:rsid w:val="760342F6"/>
    <w:rsid w:val="761969BC"/>
    <w:rsid w:val="761D08E0"/>
    <w:rsid w:val="76400B70"/>
    <w:rsid w:val="765D347C"/>
    <w:rsid w:val="76826699"/>
    <w:rsid w:val="768F7938"/>
    <w:rsid w:val="76C87133"/>
    <w:rsid w:val="76CD08D5"/>
    <w:rsid w:val="76DB4B92"/>
    <w:rsid w:val="76DF266D"/>
    <w:rsid w:val="76FF4961"/>
    <w:rsid w:val="77052AA4"/>
    <w:rsid w:val="77136511"/>
    <w:rsid w:val="77340A39"/>
    <w:rsid w:val="77351FD0"/>
    <w:rsid w:val="77472422"/>
    <w:rsid w:val="77745210"/>
    <w:rsid w:val="777F31F2"/>
    <w:rsid w:val="77BC4C63"/>
    <w:rsid w:val="77D1700D"/>
    <w:rsid w:val="77DA1086"/>
    <w:rsid w:val="77E4568D"/>
    <w:rsid w:val="77EC04CC"/>
    <w:rsid w:val="78006A23"/>
    <w:rsid w:val="7859644F"/>
    <w:rsid w:val="78664B90"/>
    <w:rsid w:val="78775729"/>
    <w:rsid w:val="78A42DB0"/>
    <w:rsid w:val="78A656AB"/>
    <w:rsid w:val="78B2245C"/>
    <w:rsid w:val="78E172CC"/>
    <w:rsid w:val="78EA1D1F"/>
    <w:rsid w:val="7904172F"/>
    <w:rsid w:val="79062AD2"/>
    <w:rsid w:val="790F7E27"/>
    <w:rsid w:val="792A231A"/>
    <w:rsid w:val="79316829"/>
    <w:rsid w:val="79404FE3"/>
    <w:rsid w:val="79692435"/>
    <w:rsid w:val="797777F3"/>
    <w:rsid w:val="797C7409"/>
    <w:rsid w:val="797E66A9"/>
    <w:rsid w:val="79A97383"/>
    <w:rsid w:val="79C16FDE"/>
    <w:rsid w:val="79D5067E"/>
    <w:rsid w:val="79E27E8B"/>
    <w:rsid w:val="79F850CE"/>
    <w:rsid w:val="79FD443C"/>
    <w:rsid w:val="7A1D1975"/>
    <w:rsid w:val="7A3902E6"/>
    <w:rsid w:val="7A3E5150"/>
    <w:rsid w:val="7A4670D6"/>
    <w:rsid w:val="7A534B63"/>
    <w:rsid w:val="7A615382"/>
    <w:rsid w:val="7A653600"/>
    <w:rsid w:val="7A666C01"/>
    <w:rsid w:val="7A67303B"/>
    <w:rsid w:val="7A8772A3"/>
    <w:rsid w:val="7A910122"/>
    <w:rsid w:val="7AAB1D04"/>
    <w:rsid w:val="7ABA4368"/>
    <w:rsid w:val="7ABD2CC5"/>
    <w:rsid w:val="7AD05746"/>
    <w:rsid w:val="7AD90381"/>
    <w:rsid w:val="7B0F1951"/>
    <w:rsid w:val="7B226FCC"/>
    <w:rsid w:val="7B257FFD"/>
    <w:rsid w:val="7B2C7CAA"/>
    <w:rsid w:val="7B343476"/>
    <w:rsid w:val="7B5A2978"/>
    <w:rsid w:val="7B5A7E4C"/>
    <w:rsid w:val="7B667AF9"/>
    <w:rsid w:val="7B7468F8"/>
    <w:rsid w:val="7BE64CF7"/>
    <w:rsid w:val="7BEE0103"/>
    <w:rsid w:val="7BFA3AA5"/>
    <w:rsid w:val="7BFD48E8"/>
    <w:rsid w:val="7C0515F5"/>
    <w:rsid w:val="7C0A0FE4"/>
    <w:rsid w:val="7C254906"/>
    <w:rsid w:val="7C4022C0"/>
    <w:rsid w:val="7C5022FF"/>
    <w:rsid w:val="7C590818"/>
    <w:rsid w:val="7C6E0182"/>
    <w:rsid w:val="7C7C10F6"/>
    <w:rsid w:val="7C853BEA"/>
    <w:rsid w:val="7C881368"/>
    <w:rsid w:val="7CE27788"/>
    <w:rsid w:val="7D0357E5"/>
    <w:rsid w:val="7D0C32F1"/>
    <w:rsid w:val="7D0F408D"/>
    <w:rsid w:val="7D287F1A"/>
    <w:rsid w:val="7D491C6C"/>
    <w:rsid w:val="7D4E22FA"/>
    <w:rsid w:val="7D5429C0"/>
    <w:rsid w:val="7D561D8E"/>
    <w:rsid w:val="7D6E6D43"/>
    <w:rsid w:val="7D6F7570"/>
    <w:rsid w:val="7D7069D2"/>
    <w:rsid w:val="7D7D498E"/>
    <w:rsid w:val="7D894AA5"/>
    <w:rsid w:val="7D8F021D"/>
    <w:rsid w:val="7D9B4E14"/>
    <w:rsid w:val="7DAD6DD7"/>
    <w:rsid w:val="7DB57A34"/>
    <w:rsid w:val="7DDB10A1"/>
    <w:rsid w:val="7DE60973"/>
    <w:rsid w:val="7DEF0916"/>
    <w:rsid w:val="7E184065"/>
    <w:rsid w:val="7E1E5218"/>
    <w:rsid w:val="7E7514D4"/>
    <w:rsid w:val="7E8D6E52"/>
    <w:rsid w:val="7E9764C7"/>
    <w:rsid w:val="7E9A4E1F"/>
    <w:rsid w:val="7EA7723A"/>
    <w:rsid w:val="7EB659FE"/>
    <w:rsid w:val="7EBC6AFC"/>
    <w:rsid w:val="7EF56FBB"/>
    <w:rsid w:val="7EFC38CE"/>
    <w:rsid w:val="7F067E4D"/>
    <w:rsid w:val="7F0768EB"/>
    <w:rsid w:val="7F143BEC"/>
    <w:rsid w:val="7F1629A4"/>
    <w:rsid w:val="7F49042A"/>
    <w:rsid w:val="7F5265F7"/>
    <w:rsid w:val="7F565496"/>
    <w:rsid w:val="7F6137FA"/>
    <w:rsid w:val="7F715AF2"/>
    <w:rsid w:val="7F793597"/>
    <w:rsid w:val="7F886E69"/>
    <w:rsid w:val="7FCF2D12"/>
    <w:rsid w:val="7FE44850"/>
    <w:rsid w:val="7FE707E4"/>
    <w:rsid w:val="7FF01447"/>
    <w:rsid w:val="7FFA1DC8"/>
    <w:rsid w:val="7FFD7480"/>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4">
    <w:name w:val="heading 3"/>
    <w:basedOn w:val="1"/>
    <w:next w:val="5"/>
    <w:link w:val="126"/>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30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20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basedOn w:val="1"/>
    <w:next w:val="1"/>
    <w:qFormat/>
    <w:uiPriority w:val="0"/>
    <w:pPr>
      <w:ind w:left="2940"/>
    </w:p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11"/>
    <w:qFormat/>
    <w:uiPriority w:val="0"/>
    <w:pPr>
      <w:shd w:val="clear" w:color="auto" w:fill="000080"/>
    </w:pPr>
  </w:style>
  <w:style w:type="paragraph" w:styleId="20">
    <w:name w:val="annotation text"/>
    <w:basedOn w:val="1"/>
    <w:link w:val="351"/>
    <w:qFormat/>
    <w:uiPriority w:val="99"/>
    <w:pPr>
      <w:jc w:val="left"/>
    </w:pPr>
  </w:style>
  <w:style w:type="paragraph" w:styleId="21">
    <w:name w:val="Salutation"/>
    <w:basedOn w:val="1"/>
    <w:next w:val="1"/>
    <w:link w:val="305"/>
    <w:qFormat/>
    <w:uiPriority w:val="0"/>
    <w:rPr>
      <w:rFonts w:ascii="仿宋_GB2312" w:eastAsia="仿宋_GB2312"/>
      <w:sz w:val="28"/>
      <w:szCs w:val="20"/>
    </w:rPr>
  </w:style>
  <w:style w:type="paragraph" w:styleId="22">
    <w:name w:val="Body Text 3"/>
    <w:basedOn w:val="1"/>
    <w:link w:val="33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7"/>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7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90"/>
    <w:qFormat/>
    <w:uiPriority w:val="0"/>
    <w:pPr>
      <w:ind w:left="100" w:leftChars="2500"/>
    </w:pPr>
    <w:rPr>
      <w:rFonts w:ascii="宋体"/>
      <w:sz w:val="24"/>
      <w:szCs w:val="21"/>
      <w:lang w:val="zh-CN"/>
    </w:rPr>
  </w:style>
  <w:style w:type="paragraph" w:styleId="37">
    <w:name w:val="Body Text Indent 2"/>
    <w:basedOn w:val="1"/>
    <w:link w:val="315"/>
    <w:qFormat/>
    <w:uiPriority w:val="0"/>
    <w:pPr>
      <w:spacing w:line="360" w:lineRule="auto"/>
      <w:ind w:firstLine="601"/>
      <w:textAlignment w:val="baseline"/>
    </w:pPr>
    <w:rPr>
      <w:rFonts w:ascii="宋体"/>
      <w:kern w:val="0"/>
      <w:sz w:val="28"/>
      <w:szCs w:val="20"/>
    </w:rPr>
  </w:style>
  <w:style w:type="paragraph" w:styleId="38">
    <w:name w:val="endnote text"/>
    <w:basedOn w:val="1"/>
    <w:link w:val="938"/>
    <w:qFormat/>
    <w:uiPriority w:val="0"/>
    <w:rPr>
      <w:lang w:val="zh-CN"/>
    </w:rPr>
  </w:style>
  <w:style w:type="paragraph" w:styleId="39">
    <w:name w:val="Balloon Text"/>
    <w:basedOn w:val="1"/>
    <w:link w:val="197"/>
    <w:qFormat/>
    <w:uiPriority w:val="0"/>
    <w:rPr>
      <w:sz w:val="18"/>
      <w:szCs w:val="18"/>
    </w:rPr>
  </w:style>
  <w:style w:type="paragraph" w:styleId="40">
    <w:name w:val="footer"/>
    <w:basedOn w:val="1"/>
    <w:link w:val="390"/>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rPr>
  </w:style>
  <w:style w:type="paragraph" w:styleId="42">
    <w:name w:val="header"/>
    <w:basedOn w:val="1"/>
    <w:link w:val="39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4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7"/>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8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9"/>
    <w:qFormat/>
    <w:uiPriority w:val="0"/>
    <w:pPr>
      <w:spacing w:after="120" w:line="480" w:lineRule="auto"/>
    </w:pPr>
  </w:style>
  <w:style w:type="paragraph" w:styleId="58">
    <w:name w:val="HTML Preformatted"/>
    <w:basedOn w:val="1"/>
    <w:link w:val="3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5"/>
    <w:qFormat/>
    <w:uiPriority w:val="0"/>
    <w:rPr>
      <w:b/>
      <w:bCs/>
    </w:rPr>
  </w:style>
  <w:style w:type="paragraph" w:styleId="62">
    <w:name w:val="Body Text First Indent"/>
    <w:basedOn w:val="24"/>
    <w:next w:val="52"/>
    <w:link w:val="328"/>
    <w:qFormat/>
    <w:uiPriority w:val="0"/>
    <w:pPr>
      <w:ind w:firstLine="420"/>
    </w:pPr>
    <w:rPr>
      <w:rFonts w:hAnsi="Calibri" w:cs="Times New Roman"/>
      <w:snapToGrid/>
      <w:szCs w:val="20"/>
    </w:rPr>
  </w:style>
  <w:style w:type="paragraph" w:styleId="63">
    <w:name w:val="Body Text First Indent 2"/>
    <w:basedOn w:val="25"/>
    <w:link w:val="130"/>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文章正文"/>
    <w:basedOn w:val="1"/>
    <w:next w:val="82"/>
    <w:qFormat/>
    <w:uiPriority w:val="0"/>
    <w:pPr>
      <w:spacing w:line="360" w:lineRule="auto"/>
      <w:ind w:firstLine="200" w:firstLineChars="200"/>
    </w:pPr>
    <w:rPr>
      <w:sz w:val="24"/>
    </w:rPr>
  </w:style>
  <w:style w:type="paragraph" w:customStyle="1" w:styleId="82">
    <w:name w:val="公式样式 变量"/>
    <w:qFormat/>
    <w:uiPriority w:val="0"/>
    <w:rPr>
      <w:rFonts w:ascii="Times New Roman" w:hAnsi="Times New Roman" w:eastAsia="宋体" w:cs="Times New Roman"/>
      <w:i/>
      <w:lang w:val="en-US" w:eastAsia="zh-CN" w:bidi="ar-SA"/>
    </w:rPr>
  </w:style>
  <w:style w:type="paragraph" w:customStyle="1" w:styleId="83">
    <w:name w:val="正文文本首行缩进 21"/>
    <w:basedOn w:val="25"/>
    <w:qFormat/>
    <w:uiPriority w:val="99"/>
    <w:pPr>
      <w:spacing w:line="200" w:lineRule="atLeast"/>
      <w:ind w:firstLine="420"/>
    </w:pPr>
    <w:rPr>
      <w:rFonts w:hAnsi="Courier New"/>
      <w:spacing w:val="-4"/>
      <w:sz w:val="18"/>
    </w:rPr>
  </w:style>
  <w:style w:type="paragraph" w:customStyle="1" w:styleId="84">
    <w:name w:val="xl53"/>
    <w:basedOn w:val="1"/>
    <w:next w:val="1"/>
    <w:qFormat/>
    <w:uiPriority w:val="0"/>
    <w:pPr>
      <w:spacing w:before="280" w:after="280" w:line="100" w:lineRule="exact"/>
      <w:jc w:val="center"/>
    </w:pPr>
    <w:rPr>
      <w:b/>
      <w:sz w:val="20"/>
    </w:rPr>
  </w:style>
  <w:style w:type="paragraph" w:customStyle="1" w:styleId="85">
    <w:name w:val="正文首行缩进1"/>
    <w:basedOn w:val="24"/>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6">
    <w:name w:val="Default"/>
    <w:next w:val="87"/>
    <w:link w:val="24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8">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9">
    <w:name w:val="[Normal]"/>
    <w:qFormat/>
    <w:uiPriority w:val="0"/>
    <w:rPr>
      <w:rFonts w:ascii="宋体" w:hAnsi="宋体" w:eastAsia="宋体" w:cs="Times New Roman"/>
      <w:sz w:val="24"/>
      <w:lang w:val="zh-CN" w:eastAsia="zh-CN" w:bidi="ar-SA"/>
    </w:rPr>
  </w:style>
  <w:style w:type="paragraph" w:styleId="90">
    <w:name w:val="List Paragraph"/>
    <w:basedOn w:val="1"/>
    <w:qFormat/>
    <w:uiPriority w:val="34"/>
    <w:pPr>
      <w:spacing w:line="360" w:lineRule="auto"/>
      <w:ind w:firstLine="200" w:firstLineChars="200"/>
    </w:pPr>
    <w:rPr>
      <w:rFonts w:eastAsia="楷体_GB2312" w:cs="Lucida Sans"/>
      <w:sz w:val="24"/>
    </w:rPr>
  </w:style>
  <w:style w:type="character" w:customStyle="1" w:styleId="91">
    <w:name w:val="表格非标题文字 Char"/>
    <w:link w:val="92"/>
    <w:qFormat/>
    <w:uiPriority w:val="0"/>
    <w:rPr>
      <w:rFonts w:ascii="Futura Bk" w:hAnsi="Futura Bk"/>
      <w:kern w:val="2"/>
      <w:sz w:val="18"/>
      <w:szCs w:val="21"/>
      <w:lang w:val="en-US" w:eastAsia="zh-CN" w:bidi="ar-SA"/>
    </w:rPr>
  </w:style>
  <w:style w:type="paragraph" w:customStyle="1" w:styleId="92">
    <w:name w:val="表格非标题文字"/>
    <w:link w:val="9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3">
    <w:name w:val="*正文 Char"/>
    <w:link w:val="94"/>
    <w:qFormat/>
    <w:locked/>
    <w:uiPriority w:val="0"/>
    <w:rPr>
      <w:rFonts w:ascii="宋体" w:hAnsi="宋体"/>
      <w:sz w:val="24"/>
    </w:rPr>
  </w:style>
  <w:style w:type="paragraph" w:customStyle="1" w:styleId="94">
    <w:name w:val="*正文"/>
    <w:basedOn w:val="1"/>
    <w:link w:val="93"/>
    <w:qFormat/>
    <w:uiPriority w:val="0"/>
    <w:pPr>
      <w:snapToGrid w:val="0"/>
      <w:spacing w:line="360" w:lineRule="auto"/>
      <w:ind w:firstLine="482"/>
      <w:jc w:val="left"/>
    </w:pPr>
    <w:rPr>
      <w:rFonts w:ascii="宋体" w:hAnsi="宋体"/>
      <w:kern w:val="0"/>
      <w:sz w:val="24"/>
      <w:szCs w:val="20"/>
    </w:rPr>
  </w:style>
  <w:style w:type="character" w:customStyle="1" w:styleId="95">
    <w:name w:val="Char Char71"/>
    <w:semiHidden/>
    <w:qFormat/>
    <w:uiPriority w:val="0"/>
    <w:rPr>
      <w:rFonts w:eastAsia="宋体"/>
      <w:kern w:val="2"/>
      <w:sz w:val="21"/>
      <w:szCs w:val="24"/>
      <w:lang w:val="en-US" w:eastAsia="zh-CN" w:bidi="ar-SA"/>
    </w:rPr>
  </w:style>
  <w:style w:type="character" w:customStyle="1" w:styleId="96">
    <w:name w:val="Char Char6"/>
    <w:qFormat/>
    <w:uiPriority w:val="0"/>
    <w:rPr>
      <w:rFonts w:eastAsia="宋体"/>
      <w:kern w:val="2"/>
      <w:sz w:val="21"/>
      <w:szCs w:val="24"/>
      <w:lang w:val="en-US" w:eastAsia="zh-CN" w:bidi="ar-SA"/>
    </w:rPr>
  </w:style>
  <w:style w:type="character" w:customStyle="1" w:styleId="97">
    <w:name w:val="正文缩进 Char"/>
    <w:qFormat/>
    <w:uiPriority w:val="0"/>
    <w:rPr>
      <w:rFonts w:eastAsia="宋体"/>
      <w:kern w:val="2"/>
      <w:sz w:val="21"/>
      <w:lang w:val="en-US" w:eastAsia="zh-CN"/>
    </w:rPr>
  </w:style>
  <w:style w:type="character" w:customStyle="1" w:styleId="98">
    <w:name w:val="正文首行缩进 Char1"/>
    <w:qFormat/>
    <w:uiPriority w:val="0"/>
    <w:rPr>
      <w:rFonts w:ascii="宋体" w:hAnsi="Times New Roman" w:eastAsia="宋体" w:cs="Times New Roman"/>
      <w:snapToGrid w:val="0"/>
      <w:kern w:val="2"/>
      <w:sz w:val="24"/>
      <w:szCs w:val="21"/>
      <w:lang w:val="zh-CN"/>
    </w:rPr>
  </w:style>
  <w:style w:type="character" w:customStyle="1" w:styleId="99">
    <w:name w:val="Char Char28"/>
    <w:qFormat/>
    <w:uiPriority w:val="6"/>
    <w:rPr>
      <w:rFonts w:ascii="仿宋_GB2312" w:hAnsi="仿宋_GB2312" w:eastAsia="仿宋_GB2312"/>
      <w:kern w:val="1"/>
      <w:sz w:val="28"/>
    </w:rPr>
  </w:style>
  <w:style w:type="character" w:customStyle="1" w:styleId="10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1">
    <w:name w:val="Heading 1 Char"/>
    <w:qFormat/>
    <w:uiPriority w:val="6"/>
    <w:rPr>
      <w:rFonts w:ascii="Times New Roman" w:hAnsi="Times New Roman" w:eastAsia="黑体" w:cs="Times New Roman"/>
      <w:b/>
      <w:kern w:val="0"/>
      <w:sz w:val="24"/>
      <w:szCs w:val="24"/>
    </w:rPr>
  </w:style>
  <w:style w:type="character" w:customStyle="1" w:styleId="102">
    <w:name w:val="U_正文 Char"/>
    <w:link w:val="103"/>
    <w:qFormat/>
    <w:uiPriority w:val="0"/>
    <w:rPr>
      <w:sz w:val="24"/>
      <w:szCs w:val="24"/>
    </w:rPr>
  </w:style>
  <w:style w:type="paragraph" w:customStyle="1" w:styleId="103">
    <w:name w:val="U_正文"/>
    <w:basedOn w:val="1"/>
    <w:link w:val="102"/>
    <w:qFormat/>
    <w:uiPriority w:val="0"/>
    <w:pPr>
      <w:adjustRightInd/>
      <w:spacing w:beforeLines="20" w:afterLines="20" w:line="300" w:lineRule="auto"/>
      <w:ind w:firstLine="200" w:firstLineChars="200"/>
    </w:pPr>
    <w:rPr>
      <w:kern w:val="0"/>
      <w:sz w:val="24"/>
    </w:rPr>
  </w:style>
  <w:style w:type="character" w:customStyle="1" w:styleId="104">
    <w:name w:val="HTML 地址 Char1"/>
    <w:qFormat/>
    <w:uiPriority w:val="0"/>
    <w:rPr>
      <w:rFonts w:ascii="Times New Roman" w:hAnsi="Times New Roman" w:eastAsia="宋体" w:cs="Times New Roman"/>
      <w:i/>
      <w:iCs/>
      <w:szCs w:val="24"/>
    </w:rPr>
  </w:style>
  <w:style w:type="character" w:customStyle="1" w:styleId="105">
    <w:name w:val="批注主题 字符"/>
    <w:link w:val="61"/>
    <w:qFormat/>
    <w:uiPriority w:val="0"/>
    <w:rPr>
      <w:b/>
      <w:bCs/>
      <w:kern w:val="2"/>
      <w:sz w:val="21"/>
      <w:szCs w:val="24"/>
    </w:rPr>
  </w:style>
  <w:style w:type="character" w:customStyle="1" w:styleId="106">
    <w:name w:val="Char Char51"/>
    <w:qFormat/>
    <w:uiPriority w:val="0"/>
    <w:rPr>
      <w:rFonts w:ascii="宋体" w:hAnsi="Courier New" w:eastAsia="宋体"/>
      <w:kern w:val="2"/>
      <w:sz w:val="21"/>
      <w:lang w:val="en-US" w:eastAsia="zh-CN"/>
    </w:rPr>
  </w:style>
  <w:style w:type="character" w:customStyle="1" w:styleId="107">
    <w:name w:val="表正文 Char"/>
    <w:qFormat/>
    <w:uiPriority w:val="0"/>
    <w:rPr>
      <w:rFonts w:ascii="宋体" w:eastAsia="宋体"/>
      <w:snapToGrid w:val="0"/>
      <w:color w:val="000000"/>
      <w:kern w:val="28"/>
      <w:sz w:val="28"/>
      <w:lang w:val="en-US" w:eastAsia="zh-CN" w:bidi="ar-SA"/>
    </w:rPr>
  </w:style>
  <w:style w:type="character" w:customStyle="1" w:styleId="108">
    <w:name w:val="Char Char34"/>
    <w:qFormat/>
    <w:uiPriority w:val="6"/>
    <w:rPr>
      <w:b/>
      <w:kern w:val="1"/>
      <w:sz w:val="28"/>
      <w:szCs w:val="28"/>
    </w:rPr>
  </w:style>
  <w:style w:type="character" w:customStyle="1" w:styleId="10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0">
    <w:name w:val="哈哈正文 Char"/>
    <w:link w:val="111"/>
    <w:qFormat/>
    <w:uiPriority w:val="0"/>
    <w:rPr>
      <w:rFonts w:ascii="宋体" w:hAnsi="宋体" w:eastAsia="宋体"/>
      <w:kern w:val="2"/>
      <w:sz w:val="24"/>
      <w:lang w:bidi="ar-SA"/>
    </w:rPr>
  </w:style>
  <w:style w:type="paragraph" w:customStyle="1" w:styleId="111">
    <w:name w:val="哈哈正文"/>
    <w:basedOn w:val="1"/>
    <w:link w:val="110"/>
    <w:qFormat/>
    <w:uiPriority w:val="0"/>
    <w:pPr>
      <w:adjustRightInd/>
      <w:spacing w:line="360" w:lineRule="auto"/>
      <w:ind w:firstLine="200" w:firstLineChars="200"/>
    </w:pPr>
    <w:rPr>
      <w:rFonts w:ascii="宋体" w:hAnsi="宋体"/>
      <w:sz w:val="24"/>
      <w:szCs w:val="20"/>
    </w:rPr>
  </w:style>
  <w:style w:type="character" w:customStyle="1" w:styleId="112">
    <w:name w:val="未处理的提及1"/>
    <w:qFormat/>
    <w:uiPriority w:val="0"/>
    <w:rPr>
      <w:color w:val="808080"/>
      <w:shd w:val="clear" w:color="auto" w:fill="E6E6E6"/>
    </w:rPr>
  </w:style>
  <w:style w:type="character" w:customStyle="1" w:styleId="113">
    <w:name w:val="txt"/>
    <w:qFormat/>
    <w:uiPriority w:val="0"/>
    <w:rPr>
      <w:rFonts w:ascii="仿宋_GB2312" w:eastAsia="微软雅黑"/>
      <w:b/>
      <w:kern w:val="2"/>
      <w:sz w:val="32"/>
      <w:szCs w:val="32"/>
      <w:lang w:val="en-US" w:eastAsia="zh-CN" w:bidi="ar-SA"/>
    </w:rPr>
  </w:style>
  <w:style w:type="character" w:customStyle="1" w:styleId="114">
    <w:name w:val="二级标题 Char Char"/>
    <w:qFormat/>
    <w:uiPriority w:val="0"/>
    <w:rPr>
      <w:rFonts w:ascii="宋体" w:hAnsi="宋体" w:eastAsia="宋体"/>
      <w:b/>
      <w:snapToGrid w:val="0"/>
      <w:kern w:val="2"/>
      <w:sz w:val="24"/>
      <w:szCs w:val="24"/>
      <w:lang w:val="en-US" w:eastAsia="zh-CN" w:bidi="ar-SA"/>
    </w:rPr>
  </w:style>
  <w:style w:type="character" w:customStyle="1" w:styleId="115">
    <w:name w:val="Char Char32"/>
    <w:qFormat/>
    <w:uiPriority w:val="6"/>
    <w:rPr>
      <w:b/>
      <w:kern w:val="1"/>
      <w:sz w:val="24"/>
      <w:szCs w:val="24"/>
    </w:rPr>
  </w:style>
  <w:style w:type="character" w:customStyle="1" w:styleId="116">
    <w:name w:val="PI Char1"/>
    <w:qFormat/>
    <w:uiPriority w:val="0"/>
    <w:rPr>
      <w:rFonts w:ascii="宋体" w:hAnsi="宋体"/>
      <w:kern w:val="2"/>
      <w:sz w:val="24"/>
      <w:szCs w:val="24"/>
    </w:rPr>
  </w:style>
  <w:style w:type="character" w:customStyle="1" w:styleId="117">
    <w:name w:val="tw4winTerm"/>
    <w:qFormat/>
    <w:uiPriority w:val="0"/>
    <w:rPr>
      <w:color w:val="0000FF"/>
    </w:rPr>
  </w:style>
  <w:style w:type="character" w:customStyle="1" w:styleId="118">
    <w:name w:val="Footer Char"/>
    <w:qFormat/>
    <w:locked/>
    <w:uiPriority w:val="0"/>
    <w:rPr>
      <w:rFonts w:eastAsia="宋体"/>
      <w:kern w:val="2"/>
      <w:sz w:val="18"/>
      <w:lang w:val="en-US" w:eastAsia="zh-CN" w:bidi="ar-SA"/>
    </w:rPr>
  </w:style>
  <w:style w:type="character" w:customStyle="1" w:styleId="119">
    <w:name w:val="普通文字 Char Char1"/>
    <w:qFormat/>
    <w:uiPriority w:val="0"/>
    <w:rPr>
      <w:rFonts w:ascii="宋体" w:hAnsi="Courier New"/>
      <w:kern w:val="2"/>
      <w:sz w:val="21"/>
    </w:rPr>
  </w:style>
  <w:style w:type="character" w:customStyle="1" w:styleId="120">
    <w:name w:val="Char Char101"/>
    <w:qFormat/>
    <w:uiPriority w:val="6"/>
    <w:rPr>
      <w:rFonts w:ascii="宋体" w:hAnsi="宋体"/>
      <w:kern w:val="2"/>
      <w:sz w:val="21"/>
      <w:szCs w:val="24"/>
      <w:lang w:val="en-US" w:eastAsia="zh-CN"/>
    </w:rPr>
  </w:style>
  <w:style w:type="character" w:customStyle="1" w:styleId="121">
    <w:name w:val="标题 4 Char"/>
    <w:qFormat/>
    <w:uiPriority w:val="0"/>
    <w:rPr>
      <w:rFonts w:ascii="Arial" w:hAnsi="Arial" w:eastAsia="黑体"/>
      <w:b/>
      <w:kern w:val="2"/>
      <w:sz w:val="28"/>
    </w:rPr>
  </w:style>
  <w:style w:type="character" w:customStyle="1" w:styleId="122">
    <w:name w:val="链接"/>
    <w:qFormat/>
    <w:uiPriority w:val="0"/>
    <w:rPr>
      <w:color w:val="0000FF"/>
      <w:sz w:val="21"/>
      <w:szCs w:val="21"/>
      <w:u w:val="single"/>
    </w:rPr>
  </w:style>
  <w:style w:type="character" w:customStyle="1" w:styleId="123">
    <w:name w:val="h4 Char"/>
    <w:qFormat/>
    <w:uiPriority w:val="0"/>
    <w:rPr>
      <w:rFonts w:ascii="Arial" w:hAnsi="Arial" w:eastAsia="黑体"/>
      <w:b/>
      <w:bCs/>
      <w:kern w:val="2"/>
      <w:sz w:val="28"/>
      <w:szCs w:val="28"/>
      <w:lang w:val="zh-CN" w:eastAsia="zh-CN" w:bidi="ar-SA"/>
    </w:rPr>
  </w:style>
  <w:style w:type="character" w:customStyle="1" w:styleId="124">
    <w:name w:val="5正文 Char"/>
    <w:link w:val="125"/>
    <w:qFormat/>
    <w:uiPriority w:val="0"/>
    <w:rPr>
      <w:rFonts w:ascii="仿宋_GB2312" w:hAnsi="微软雅黑" w:eastAsia="仿宋_GB2312"/>
      <w:sz w:val="28"/>
      <w:szCs w:val="21"/>
    </w:rPr>
  </w:style>
  <w:style w:type="paragraph" w:customStyle="1" w:styleId="125">
    <w:name w:val="5正文"/>
    <w:basedOn w:val="1"/>
    <w:link w:val="12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6">
    <w:name w:val="标题 3 字符"/>
    <w:basedOn w:val="71"/>
    <w:link w:val="4"/>
    <w:qFormat/>
    <w:uiPriority w:val="9"/>
    <w:rPr>
      <w:b/>
      <w:bCs/>
      <w:sz w:val="32"/>
      <w:szCs w:val="32"/>
    </w:rPr>
  </w:style>
  <w:style w:type="character" w:customStyle="1" w:styleId="127">
    <w:name w:val="样式6 Char"/>
    <w:qFormat/>
    <w:uiPriority w:val="0"/>
    <w:rPr>
      <w:rFonts w:ascii="仿宋_GB2312" w:hAnsi="宋体" w:eastAsia="仿宋_GB2312"/>
      <w:b/>
      <w:bCs/>
      <w:kern w:val="2"/>
      <w:sz w:val="24"/>
      <w:szCs w:val="24"/>
      <w:lang w:val="en-US" w:eastAsia="zh-CN" w:bidi="ar-SA"/>
    </w:rPr>
  </w:style>
  <w:style w:type="character" w:customStyle="1" w:styleId="128">
    <w:name w:val="Char Char14"/>
    <w:qFormat/>
    <w:uiPriority w:val="6"/>
    <w:rPr>
      <w:rFonts w:ascii="黑体" w:hAnsi="黑体" w:eastAsia="黑体"/>
    </w:rPr>
  </w:style>
  <w:style w:type="character" w:customStyle="1" w:styleId="129">
    <w:name w:val="Heading 2 Hidden Char"/>
    <w:qFormat/>
    <w:uiPriority w:val="0"/>
    <w:rPr>
      <w:rFonts w:ascii="仿宋_GB2312" w:eastAsia="仿宋_GB2312"/>
      <w:b/>
      <w:bCs/>
      <w:kern w:val="2"/>
      <w:sz w:val="24"/>
      <w:szCs w:val="24"/>
      <w:lang w:val="zh-CN" w:eastAsia="zh-CN" w:bidi="ar-SA"/>
    </w:rPr>
  </w:style>
  <w:style w:type="character" w:customStyle="1" w:styleId="130">
    <w:name w:val="正文文本首行缩进 2 字符"/>
    <w:link w:val="63"/>
    <w:qFormat/>
    <w:uiPriority w:val="0"/>
    <w:rPr>
      <w:rFonts w:ascii="宋体" w:hAnsi="宋体"/>
      <w:kern w:val="2"/>
      <w:sz w:val="21"/>
      <w:szCs w:val="24"/>
    </w:rPr>
  </w:style>
  <w:style w:type="character" w:customStyle="1" w:styleId="131">
    <w:name w:val="font11"/>
    <w:qFormat/>
    <w:uiPriority w:val="0"/>
    <w:rPr>
      <w:rFonts w:hint="default" w:ascii="Times New Roman" w:hAnsi="Times New Roman" w:cs="Times New Roman"/>
      <w:color w:val="000000"/>
      <w:sz w:val="22"/>
      <w:szCs w:val="22"/>
      <w:u w:val="none"/>
    </w:rPr>
  </w:style>
  <w:style w:type="character" w:customStyle="1" w:styleId="132">
    <w:name w:val="表正文 Char1"/>
    <w:qFormat/>
    <w:uiPriority w:val="0"/>
    <w:rPr>
      <w:rFonts w:ascii="宋体" w:eastAsia="宋体"/>
      <w:snapToGrid w:val="0"/>
      <w:color w:val="000000"/>
      <w:kern w:val="28"/>
      <w:sz w:val="28"/>
    </w:rPr>
  </w:style>
  <w:style w:type="character" w:customStyle="1" w:styleId="133">
    <w:name w:val="blue1"/>
    <w:basedOn w:val="71"/>
    <w:qFormat/>
    <w:uiPriority w:val="0"/>
    <w:rPr>
      <w:rFonts w:ascii="Arial" w:hAnsi="Arial" w:eastAsia="黑体" w:cs="Arial"/>
      <w:snapToGrid w:val="0"/>
      <w:kern w:val="0"/>
      <w:szCs w:val="21"/>
    </w:rPr>
  </w:style>
  <w:style w:type="character" w:customStyle="1" w:styleId="134">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5">
    <w:name w:val="标书1 Char"/>
    <w:qFormat/>
    <w:uiPriority w:val="0"/>
    <w:rPr>
      <w:rFonts w:eastAsia="宋体"/>
      <w:b/>
      <w:bCs/>
      <w:kern w:val="44"/>
      <w:sz w:val="44"/>
      <w:szCs w:val="44"/>
      <w:lang w:val="en-US" w:eastAsia="zh-CN" w:bidi="ar-SA"/>
    </w:rPr>
  </w:style>
  <w:style w:type="character" w:customStyle="1" w:styleId="136">
    <w:name w:val="样式5 Char"/>
    <w:qFormat/>
    <w:uiPriority w:val="0"/>
    <w:rPr>
      <w:rFonts w:ascii="仿宋_GB2312" w:hAnsi="仿宋" w:eastAsia="仿宋_GB2312"/>
      <w:kern w:val="2"/>
      <w:sz w:val="24"/>
      <w:szCs w:val="24"/>
    </w:rPr>
  </w:style>
  <w:style w:type="character" w:customStyle="1" w:styleId="137">
    <w:name w:val="样式4 Char"/>
    <w:qFormat/>
    <w:uiPriority w:val="0"/>
    <w:rPr>
      <w:rFonts w:ascii="仿宋_GB2312" w:hAnsi="仿宋" w:eastAsia="仿宋_GB2312"/>
      <w:b/>
      <w:kern w:val="2"/>
      <w:sz w:val="32"/>
      <w:szCs w:val="32"/>
      <w:lang w:bidi="ar-SA"/>
    </w:rPr>
  </w:style>
  <w:style w:type="character" w:customStyle="1" w:styleId="138">
    <w:name w:val="插图说明 Char"/>
    <w:qFormat/>
    <w:uiPriority w:val="0"/>
    <w:rPr>
      <w:rFonts w:eastAsia="黑体"/>
      <w:sz w:val="24"/>
      <w:lang w:val="en-US" w:eastAsia="zh-CN"/>
    </w:rPr>
  </w:style>
  <w:style w:type="character" w:customStyle="1" w:styleId="139">
    <w:name w:val="正文2 Char Char"/>
    <w:link w:val="140"/>
    <w:qFormat/>
    <w:uiPriority w:val="0"/>
    <w:rPr>
      <w:rFonts w:eastAsia="宋体"/>
      <w:kern w:val="2"/>
      <w:sz w:val="24"/>
      <w:lang w:val="en-US" w:eastAsia="zh-CN" w:bidi="ar-SA"/>
    </w:rPr>
  </w:style>
  <w:style w:type="paragraph" w:customStyle="1" w:styleId="140">
    <w:name w:val="正文2"/>
    <w:basedOn w:val="1"/>
    <w:link w:val="139"/>
    <w:qFormat/>
    <w:uiPriority w:val="0"/>
    <w:pPr>
      <w:spacing w:before="156" w:line="360" w:lineRule="auto"/>
      <w:ind w:firstLine="510" w:firstLineChars="200"/>
    </w:pPr>
    <w:rPr>
      <w:sz w:val="24"/>
      <w:szCs w:val="20"/>
    </w:rPr>
  </w:style>
  <w:style w:type="character" w:customStyle="1" w:styleId="141">
    <w:name w:val="Char Char24"/>
    <w:qFormat/>
    <w:uiPriority w:val="6"/>
    <w:rPr>
      <w:kern w:val="1"/>
      <w:sz w:val="21"/>
    </w:rPr>
  </w:style>
  <w:style w:type="character" w:customStyle="1" w:styleId="142">
    <w:name w:val="副标题 字符"/>
    <w:link w:val="48"/>
    <w:qFormat/>
    <w:uiPriority w:val="0"/>
    <w:rPr>
      <w:rFonts w:ascii="Arial" w:hAnsi="Arial" w:eastAsia="隶书"/>
      <w:b/>
      <w:bCs/>
      <w:kern w:val="28"/>
      <w:sz w:val="44"/>
      <w:szCs w:val="32"/>
      <w:lang w:val="en-US" w:eastAsia="zh-CN" w:bidi="ar-SA"/>
    </w:rPr>
  </w:style>
  <w:style w:type="character" w:customStyle="1" w:styleId="143">
    <w:name w:val="普通文字 Char1 Char"/>
    <w:qFormat/>
    <w:uiPriority w:val="0"/>
    <w:rPr>
      <w:rFonts w:ascii="宋体" w:hAnsi="Courier New" w:eastAsia="宋体"/>
      <w:kern w:val="2"/>
      <w:sz w:val="21"/>
      <w:szCs w:val="24"/>
      <w:lang w:val="en-US" w:eastAsia="zh-CN" w:bidi="ar-SA"/>
    </w:rPr>
  </w:style>
  <w:style w:type="character" w:customStyle="1" w:styleId="144">
    <w:name w:val="h3 Char1"/>
    <w:qFormat/>
    <w:uiPriority w:val="0"/>
    <w:rPr>
      <w:rFonts w:eastAsia="宋体"/>
      <w:b/>
      <w:bCs/>
      <w:kern w:val="2"/>
      <w:sz w:val="32"/>
      <w:szCs w:val="32"/>
      <w:lang w:bidi="ar-SA"/>
    </w:rPr>
  </w:style>
  <w:style w:type="character" w:customStyle="1" w:styleId="145">
    <w:name w:val="标题 Char1"/>
    <w:qFormat/>
    <w:uiPriority w:val="0"/>
    <w:rPr>
      <w:rFonts w:ascii="Cambria" w:hAnsi="Cambria" w:eastAsia="宋体" w:cs="Times New Roman"/>
      <w:b/>
      <w:bCs/>
      <w:sz w:val="32"/>
      <w:szCs w:val="32"/>
      <w:lang w:bidi="ar-SA"/>
    </w:rPr>
  </w:style>
  <w:style w:type="character" w:customStyle="1" w:styleId="146">
    <w:name w:val="gf正文1 Char"/>
    <w:qFormat/>
    <w:uiPriority w:val="0"/>
    <w:rPr>
      <w:rFonts w:ascii="宋体" w:hAnsi="宋体" w:eastAsia="宋体" w:cs="宋体"/>
      <w:kern w:val="2"/>
      <w:sz w:val="24"/>
      <w:szCs w:val="24"/>
      <w:lang w:val="en-US" w:eastAsia="zh-CN" w:bidi="ar-SA"/>
    </w:rPr>
  </w:style>
  <w:style w:type="character" w:customStyle="1" w:styleId="147">
    <w:name w:val="正文文本缩进 Char1"/>
    <w:qFormat/>
    <w:uiPriority w:val="0"/>
    <w:rPr>
      <w:rFonts w:ascii="Calibri" w:hAnsi="Calibri"/>
      <w:sz w:val="28"/>
    </w:rPr>
  </w:style>
  <w:style w:type="character" w:customStyle="1" w:styleId="148">
    <w:name w:val="No Spacing Char"/>
    <w:link w:val="149"/>
    <w:qFormat/>
    <w:uiPriority w:val="1"/>
    <w:rPr>
      <w:sz w:val="22"/>
      <w:szCs w:val="22"/>
      <w:lang w:val="en-US" w:eastAsia="zh-CN" w:bidi="ar-SA"/>
    </w:rPr>
  </w:style>
  <w:style w:type="paragraph" w:customStyle="1" w:styleId="149">
    <w:name w:val="无间隔1"/>
    <w:link w:val="148"/>
    <w:qFormat/>
    <w:uiPriority w:val="1"/>
    <w:rPr>
      <w:rFonts w:ascii="Times New Roman" w:hAnsi="Times New Roman" w:eastAsia="宋体" w:cs="Times New Roman"/>
      <w:sz w:val="22"/>
      <w:szCs w:val="22"/>
      <w:lang w:val="en-US" w:eastAsia="zh-CN" w:bidi="ar-SA"/>
    </w:rPr>
  </w:style>
  <w:style w:type="character" w:customStyle="1" w:styleId="150">
    <w:name w:val="样式7 Char"/>
    <w:qFormat/>
    <w:uiPriority w:val="0"/>
    <w:rPr>
      <w:rFonts w:ascii="仿宋_GB2312" w:hAnsi="仿宋" w:eastAsia="仿宋_GB2312"/>
      <w:b/>
      <w:kern w:val="2"/>
      <w:sz w:val="24"/>
      <w:szCs w:val="24"/>
    </w:rPr>
  </w:style>
  <w:style w:type="character" w:customStyle="1" w:styleId="151">
    <w:name w:val="font12gray1"/>
    <w:qFormat/>
    <w:uiPriority w:val="0"/>
    <w:rPr>
      <w:rFonts w:ascii="仿宋_GB2312" w:eastAsia="微软雅黑"/>
      <w:b/>
      <w:spacing w:val="300"/>
      <w:kern w:val="2"/>
      <w:sz w:val="18"/>
      <w:szCs w:val="18"/>
      <w:lang w:val="en-US" w:eastAsia="zh-CN" w:bidi="ar-SA"/>
    </w:rPr>
  </w:style>
  <w:style w:type="character" w:customStyle="1" w:styleId="152">
    <w:name w:val="Char Char7"/>
    <w:semiHidden/>
    <w:qFormat/>
    <w:uiPriority w:val="0"/>
    <w:rPr>
      <w:rFonts w:eastAsia="宋体"/>
      <w:kern w:val="2"/>
      <w:sz w:val="21"/>
      <w:szCs w:val="24"/>
      <w:lang w:val="en-US" w:eastAsia="zh-CN" w:bidi="ar-SA"/>
    </w:rPr>
  </w:style>
  <w:style w:type="character" w:customStyle="1" w:styleId="153">
    <w:name w:val="表名 Char"/>
    <w:qFormat/>
    <w:uiPriority w:val="0"/>
    <w:rPr>
      <w:rFonts w:eastAsia="宋体"/>
      <w:b/>
      <w:bCs/>
      <w:kern w:val="2"/>
      <w:sz w:val="24"/>
      <w:szCs w:val="24"/>
      <w:lang w:val="en-US" w:eastAsia="zh-CN" w:bidi="ar-SA"/>
    </w:rPr>
  </w:style>
  <w:style w:type="character" w:customStyle="1" w:styleId="154">
    <w:name w:val="Document Map Char"/>
    <w:qFormat/>
    <w:locked/>
    <w:uiPriority w:val="0"/>
    <w:rPr>
      <w:rFonts w:eastAsia="宋体"/>
      <w:kern w:val="2"/>
      <w:sz w:val="21"/>
      <w:szCs w:val="24"/>
      <w:lang w:val="en-US" w:eastAsia="zh-CN" w:bidi="ar-SA"/>
    </w:rPr>
  </w:style>
  <w:style w:type="character" w:customStyle="1" w:styleId="155">
    <w:name w:val="font41"/>
    <w:qFormat/>
    <w:uiPriority w:val="0"/>
    <w:rPr>
      <w:rFonts w:hint="eastAsia" w:ascii="仿宋_GB2312" w:eastAsia="仿宋_GB2312" w:cs="仿宋_GB2312"/>
      <w:color w:val="000000"/>
      <w:sz w:val="22"/>
      <w:szCs w:val="22"/>
      <w:u w:val="none"/>
    </w:rPr>
  </w:style>
  <w:style w:type="character" w:customStyle="1" w:styleId="156">
    <w:name w:val="标题 6 字符"/>
    <w:link w:val="8"/>
    <w:qFormat/>
    <w:uiPriority w:val="0"/>
    <w:rPr>
      <w:rFonts w:ascii="Arial" w:hAnsi="Arial" w:eastAsia="黑体"/>
      <w:b/>
      <w:bCs/>
      <w:kern w:val="2"/>
      <w:sz w:val="24"/>
      <w:szCs w:val="24"/>
    </w:rPr>
  </w:style>
  <w:style w:type="character" w:customStyle="1" w:styleId="157">
    <w:name w:val="纯文本 Char_0"/>
    <w:link w:val="158"/>
    <w:qFormat/>
    <w:uiPriority w:val="0"/>
    <w:rPr>
      <w:rFonts w:ascii="宋体" w:hAnsi="Courier New"/>
      <w:kern w:val="2"/>
      <w:sz w:val="21"/>
      <w:szCs w:val="21"/>
      <w:lang w:val="en-US" w:eastAsia="zh-CN"/>
    </w:rPr>
  </w:style>
  <w:style w:type="paragraph" w:customStyle="1" w:styleId="158">
    <w:name w:val="纯文本_0_0"/>
    <w:basedOn w:val="159"/>
    <w:link w:val="157"/>
    <w:qFormat/>
    <w:uiPriority w:val="0"/>
    <w:rPr>
      <w:rFonts w:ascii="宋体" w:hAnsi="Courier New"/>
      <w:szCs w:val="21"/>
    </w:rPr>
  </w:style>
  <w:style w:type="paragraph" w:customStyle="1" w:styleId="15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Balloon Text Char"/>
    <w:qFormat/>
    <w:locked/>
    <w:uiPriority w:val="0"/>
    <w:rPr>
      <w:rFonts w:eastAsia="宋体"/>
      <w:kern w:val="2"/>
      <w:sz w:val="18"/>
      <w:szCs w:val="18"/>
      <w:lang w:val="en-US" w:eastAsia="zh-CN" w:bidi="ar-SA"/>
    </w:rPr>
  </w:style>
  <w:style w:type="character" w:customStyle="1" w:styleId="161">
    <w:name w:val="正文 项目2 Char"/>
    <w:basedOn w:val="162"/>
    <w:qFormat/>
    <w:uiPriority w:val="0"/>
    <w:rPr>
      <w:rFonts w:ascii="仿宋_GB2312" w:hAnsi="仿宋_GB2312" w:eastAsia="仿宋_GB2312"/>
      <w:kern w:val="2"/>
      <w:sz w:val="24"/>
      <w:lang w:bidi="ar-SA"/>
    </w:rPr>
  </w:style>
  <w:style w:type="character" w:customStyle="1" w:styleId="162">
    <w:name w:val="正文 项目 Char"/>
    <w:qFormat/>
    <w:uiPriority w:val="0"/>
    <w:rPr>
      <w:rFonts w:ascii="仿宋_GB2312" w:hAnsi="仿宋_GB2312" w:eastAsia="仿宋_GB2312"/>
      <w:kern w:val="2"/>
      <w:sz w:val="24"/>
      <w:lang w:bidi="ar-SA"/>
    </w:rPr>
  </w:style>
  <w:style w:type="character" w:customStyle="1" w:styleId="163">
    <w:name w:val="h Char Char1"/>
    <w:qFormat/>
    <w:uiPriority w:val="0"/>
    <w:rPr>
      <w:rFonts w:eastAsia="宋体"/>
      <w:kern w:val="2"/>
      <w:sz w:val="18"/>
      <w:szCs w:val="18"/>
      <w:lang w:val="en-US" w:eastAsia="zh-CN" w:bidi="ar-SA"/>
    </w:rPr>
  </w:style>
  <w:style w:type="character" w:customStyle="1" w:styleId="164">
    <w:name w:val="Char Char27"/>
    <w:qFormat/>
    <w:uiPriority w:val="6"/>
    <w:rPr>
      <w:rFonts w:ascii="宋体" w:hAnsi="宋体" w:eastAsia="宋体"/>
      <w:color w:val="000000"/>
      <w:kern w:val="1"/>
      <w:sz w:val="28"/>
      <w:lang w:val="en-US" w:eastAsia="zh-CN" w:bidi="ar-SA"/>
    </w:rPr>
  </w:style>
  <w:style w:type="character" w:customStyle="1" w:styleId="165">
    <w:name w:val="px14"/>
    <w:qFormat/>
    <w:uiPriority w:val="0"/>
    <w:rPr>
      <w:rFonts w:ascii="仿宋_GB2312" w:eastAsia="微软雅黑" w:cs="Times New Roman"/>
      <w:b/>
      <w:kern w:val="2"/>
      <w:sz w:val="32"/>
      <w:szCs w:val="32"/>
      <w:lang w:val="en-US" w:eastAsia="zh-CN" w:bidi="ar-SA"/>
    </w:rPr>
  </w:style>
  <w:style w:type="character" w:customStyle="1" w:styleId="166">
    <w:name w:val="HTML 预设格式 Char1"/>
    <w:qFormat/>
    <w:uiPriority w:val="0"/>
    <w:rPr>
      <w:rFonts w:ascii="Courier New" w:hAnsi="Courier New" w:eastAsia="宋体" w:cs="Courier New"/>
      <w:sz w:val="20"/>
      <w:szCs w:val="20"/>
    </w:rPr>
  </w:style>
  <w:style w:type="character" w:customStyle="1" w:styleId="167">
    <w:name w:val="普通文字 Char1"/>
    <w:qFormat/>
    <w:uiPriority w:val="0"/>
    <w:rPr>
      <w:rFonts w:ascii="宋体" w:hAnsi="Courier New" w:eastAsia="宋体"/>
      <w:kern w:val="2"/>
      <w:sz w:val="21"/>
      <w:lang w:val="en-US" w:eastAsia="zh-CN"/>
    </w:rPr>
  </w:style>
  <w:style w:type="character" w:customStyle="1" w:styleId="168">
    <w:name w:val="hei16b1"/>
    <w:qFormat/>
    <w:uiPriority w:val="0"/>
    <w:rPr>
      <w:rFonts w:hint="default" w:ascii="Arial" w:hAnsi="Arial" w:cs="Arial"/>
      <w:b/>
      <w:bCs/>
      <w:color w:val="000000"/>
      <w:sz w:val="24"/>
      <w:szCs w:val="24"/>
    </w:rPr>
  </w:style>
  <w:style w:type="character" w:customStyle="1" w:styleId="169">
    <w:name w:val="正文（绿盟科技） Char"/>
    <w:link w:val="170"/>
    <w:qFormat/>
    <w:uiPriority w:val="0"/>
    <w:rPr>
      <w:rFonts w:ascii="Arial" w:hAnsi="Arial"/>
      <w:sz w:val="21"/>
      <w:szCs w:val="21"/>
    </w:rPr>
  </w:style>
  <w:style w:type="paragraph" w:customStyle="1" w:styleId="170">
    <w:name w:val="正文（绿盟科技）"/>
    <w:link w:val="169"/>
    <w:qFormat/>
    <w:uiPriority w:val="0"/>
    <w:pPr>
      <w:spacing w:line="300" w:lineRule="auto"/>
    </w:pPr>
    <w:rPr>
      <w:rFonts w:ascii="Arial" w:hAnsi="Arial" w:eastAsia="宋体" w:cs="Times New Roman"/>
      <w:sz w:val="21"/>
      <w:szCs w:val="21"/>
      <w:lang w:val="en-US" w:eastAsia="zh-CN" w:bidi="ar-SA"/>
    </w:rPr>
  </w:style>
  <w:style w:type="character" w:customStyle="1" w:styleId="171">
    <w:name w:val="Char Char19"/>
    <w:qFormat/>
    <w:uiPriority w:val="6"/>
    <w:rPr>
      <w:rFonts w:ascii="宋体" w:hAnsi="宋体"/>
      <w:i/>
      <w:sz w:val="24"/>
      <w:szCs w:val="24"/>
    </w:rPr>
  </w:style>
  <w:style w:type="character" w:customStyle="1" w:styleId="172">
    <w:name w:val="页脚 Char"/>
    <w:qFormat/>
    <w:uiPriority w:val="0"/>
    <w:rPr>
      <w:rFonts w:eastAsia="仿宋_GB2312"/>
      <w:kern w:val="2"/>
      <w:sz w:val="18"/>
      <w:lang w:val="en-US" w:eastAsia="zh-CN"/>
    </w:rPr>
  </w:style>
  <w:style w:type="character" w:customStyle="1" w:styleId="173">
    <w:name w:val="批注主题 Char"/>
    <w:qFormat/>
    <w:uiPriority w:val="0"/>
    <w:rPr>
      <w:rFonts w:eastAsia="宋体"/>
      <w:b/>
      <w:bCs/>
      <w:kern w:val="2"/>
      <w:sz w:val="21"/>
      <w:szCs w:val="24"/>
      <w:lang w:val="en-US" w:eastAsia="zh-CN" w:bidi="ar-SA"/>
    </w:rPr>
  </w:style>
  <w:style w:type="character" w:customStyle="1" w:styleId="174">
    <w:name w:val="Comment Text Char"/>
    <w:qFormat/>
    <w:locked/>
    <w:uiPriority w:val="0"/>
    <w:rPr>
      <w:rFonts w:ascii="宋体" w:hAnsi="宋体" w:eastAsia="宋体"/>
      <w:kern w:val="2"/>
      <w:sz w:val="24"/>
      <w:lang w:val="en-US" w:eastAsia="zh-CN" w:bidi="ar-SA"/>
    </w:rPr>
  </w:style>
  <w:style w:type="character" w:customStyle="1" w:styleId="175">
    <w:name w:val="标题 2 字符"/>
    <w:qFormat/>
    <w:uiPriority w:val="1"/>
    <w:rPr>
      <w:rFonts w:ascii="仿宋_GB2312" w:hAnsi="Times New Roman" w:eastAsia="仿宋_GB2312" w:cs="Times New Roman"/>
      <w:b/>
      <w:kern w:val="2"/>
      <w:sz w:val="24"/>
      <w:lang w:val="zh-CN"/>
    </w:rPr>
  </w:style>
  <w:style w:type="character" w:customStyle="1" w:styleId="176">
    <w:name w:val="Char Char72"/>
    <w:qFormat/>
    <w:uiPriority w:val="0"/>
    <w:rPr>
      <w:rFonts w:eastAsia="宋体"/>
      <w:kern w:val="2"/>
      <w:sz w:val="21"/>
      <w:szCs w:val="24"/>
      <w:lang w:val="en-US" w:eastAsia="zh-CN" w:bidi="ar-SA"/>
    </w:rPr>
  </w:style>
  <w:style w:type="character" w:customStyle="1" w:styleId="177">
    <w:name w:val="正文文本缩进 Char2"/>
    <w:qFormat/>
    <w:uiPriority w:val="0"/>
    <w:rPr>
      <w:rFonts w:ascii="Times New Roman" w:hAnsi="Times New Roman" w:eastAsia="宋体" w:cs="Times New Roman"/>
      <w:snapToGrid w:val="0"/>
      <w:kern w:val="0"/>
      <w:szCs w:val="24"/>
    </w:rPr>
  </w:style>
  <w:style w:type="character" w:customStyle="1" w:styleId="178">
    <w:name w:val="样式2 Char"/>
    <w:qFormat/>
    <w:uiPriority w:val="0"/>
    <w:rPr>
      <w:rFonts w:ascii="仿宋_GB2312" w:hAnsi="仿宋" w:eastAsia="仿宋_GB2312" w:cs="仿宋_GB2312"/>
      <w:b/>
      <w:bCs/>
      <w:sz w:val="32"/>
      <w:szCs w:val="30"/>
      <w:lang w:val="zh-CN"/>
    </w:rPr>
  </w:style>
  <w:style w:type="character" w:customStyle="1" w:styleId="179">
    <w:name w:val="表格名称[858D7CFB-ED40-4347-BF05-701D383B685F]"/>
    <w:link w:val="180"/>
    <w:qFormat/>
    <w:uiPriority w:val="0"/>
    <w:rPr>
      <w:sz w:val="32"/>
    </w:rPr>
  </w:style>
  <w:style w:type="paragraph" w:customStyle="1" w:styleId="180">
    <w:name w:val="表格名称"/>
    <w:basedOn w:val="3"/>
    <w:link w:val="179"/>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81">
    <w:name w:val="Char Char4"/>
    <w:qFormat/>
    <w:uiPriority w:val="0"/>
    <w:rPr>
      <w:rFonts w:eastAsia="宋体"/>
      <w:b/>
      <w:sz w:val="24"/>
      <w:lang w:val="en-GB" w:eastAsia="zh-CN" w:bidi="ar-SA"/>
    </w:rPr>
  </w:style>
  <w:style w:type="character" w:customStyle="1" w:styleId="182">
    <w:name w:val="c7 style3"/>
    <w:qFormat/>
    <w:uiPriority w:val="0"/>
  </w:style>
  <w:style w:type="character" w:customStyle="1" w:styleId="183">
    <w:name w:val="正文文本 3 Char1"/>
    <w:semiHidden/>
    <w:qFormat/>
    <w:uiPriority w:val="99"/>
    <w:rPr>
      <w:rFonts w:ascii="Times New Roman" w:hAnsi="Times New Roman" w:eastAsia="宋体" w:cs="Times New Roman"/>
      <w:sz w:val="16"/>
      <w:szCs w:val="16"/>
    </w:rPr>
  </w:style>
  <w:style w:type="character" w:customStyle="1" w:styleId="184">
    <w:name w:val="tw4winInternal"/>
    <w:qFormat/>
    <w:uiPriority w:val="0"/>
    <w:rPr>
      <w:rFonts w:ascii="Courier New" w:hAnsi="Courier New" w:cs="Courier New"/>
      <w:color w:val="FF0000"/>
      <w:lang w:val="en-US" w:eastAsia="zh-CN"/>
    </w:rPr>
  </w:style>
  <w:style w:type="character" w:customStyle="1" w:styleId="185">
    <w:name w:val="Char Char10"/>
    <w:semiHidden/>
    <w:qFormat/>
    <w:uiPriority w:val="0"/>
    <w:rPr>
      <w:rFonts w:ascii="宋体" w:hAnsi="宋体"/>
      <w:kern w:val="2"/>
      <w:sz w:val="21"/>
      <w:szCs w:val="24"/>
      <w:lang w:val="en-US" w:eastAsia="zh-CN"/>
    </w:rPr>
  </w:style>
  <w:style w:type="character" w:customStyle="1" w:styleId="186">
    <w:name w:val="shadow11"/>
    <w:qFormat/>
    <w:uiPriority w:val="0"/>
    <w:rPr>
      <w:color w:val="000000"/>
      <w:sz w:val="21"/>
    </w:rPr>
  </w:style>
  <w:style w:type="character" w:customStyle="1" w:styleId="187">
    <w:name w:val="正文非缩进 Char3"/>
    <w:qFormat/>
    <w:uiPriority w:val="0"/>
    <w:rPr>
      <w:rFonts w:ascii="宋体" w:eastAsia="宋体"/>
      <w:snapToGrid w:val="0"/>
      <w:color w:val="000000"/>
      <w:kern w:val="28"/>
      <w:sz w:val="28"/>
      <w:lang w:val="en-US" w:eastAsia="zh-CN" w:bidi="ar-SA"/>
    </w:rPr>
  </w:style>
  <w:style w:type="character" w:customStyle="1" w:styleId="188">
    <w:name w:val="Char Char"/>
    <w:qFormat/>
    <w:uiPriority w:val="0"/>
    <w:rPr>
      <w:rFonts w:ascii="宋体" w:hAnsi="Courier New" w:eastAsia="宋体"/>
      <w:kern w:val="2"/>
      <w:sz w:val="21"/>
      <w:lang w:val="en-US" w:eastAsia="zh-CN" w:bidi="ar-SA"/>
    </w:rPr>
  </w:style>
  <w:style w:type="character" w:customStyle="1" w:styleId="189">
    <w:name w:val="签名 Char1"/>
    <w:qFormat/>
    <w:uiPriority w:val="0"/>
    <w:rPr>
      <w:rFonts w:ascii="Times New Roman" w:hAnsi="Times New Roman" w:eastAsia="宋体" w:cs="Times New Roman"/>
      <w:szCs w:val="24"/>
    </w:rPr>
  </w:style>
  <w:style w:type="character" w:customStyle="1" w:styleId="190">
    <w:name w:val="日期 字符"/>
    <w:link w:val="36"/>
    <w:qFormat/>
    <w:uiPriority w:val="0"/>
    <w:rPr>
      <w:rFonts w:ascii="宋体"/>
      <w:kern w:val="2"/>
      <w:sz w:val="24"/>
      <w:szCs w:val="21"/>
      <w:lang w:val="zh-CN"/>
    </w:rPr>
  </w:style>
  <w:style w:type="character" w:customStyle="1" w:styleId="191">
    <w:name w:val="标题 9 字符"/>
    <w:link w:val="11"/>
    <w:qFormat/>
    <w:uiPriority w:val="0"/>
    <w:rPr>
      <w:rFonts w:ascii="Arial" w:hAnsi="Arial" w:eastAsia="黑体"/>
      <w:kern w:val="2"/>
      <w:sz w:val="21"/>
      <w:szCs w:val="21"/>
    </w:rPr>
  </w:style>
  <w:style w:type="character" w:customStyle="1" w:styleId="192">
    <w:name w:val="Char Char18"/>
    <w:qFormat/>
    <w:uiPriority w:val="6"/>
    <w:rPr>
      <w:rFonts w:ascii="宋体" w:hAnsi="宋体"/>
      <w:sz w:val="28"/>
    </w:rPr>
  </w:style>
  <w:style w:type="character" w:customStyle="1" w:styleId="193">
    <w:name w:val="批注文字 Char"/>
    <w:qFormat/>
    <w:uiPriority w:val="99"/>
    <w:rPr>
      <w:kern w:val="2"/>
      <w:sz w:val="21"/>
      <w:szCs w:val="24"/>
    </w:rPr>
  </w:style>
  <w:style w:type="character" w:customStyle="1" w:styleId="194">
    <w:name w:val="Char Char22"/>
    <w:qFormat/>
    <w:uiPriority w:val="6"/>
    <w:rPr>
      <w:rFonts w:ascii="宋体" w:hAnsi="宋体"/>
      <w:kern w:val="1"/>
      <w:sz w:val="24"/>
      <w:szCs w:val="24"/>
    </w:rPr>
  </w:style>
  <w:style w:type="character" w:customStyle="1" w:styleId="195">
    <w:name w:val="pt141"/>
    <w:qFormat/>
    <w:uiPriority w:val="0"/>
    <w:rPr>
      <w:color w:val="330066"/>
      <w:sz w:val="22"/>
      <w:szCs w:val="22"/>
    </w:rPr>
  </w:style>
  <w:style w:type="character" w:customStyle="1" w:styleId="196">
    <w:name w:val="正文文本缩进 2 Char1"/>
    <w:semiHidden/>
    <w:qFormat/>
    <w:uiPriority w:val="99"/>
    <w:rPr>
      <w:rFonts w:ascii="Times New Roman" w:hAnsi="Times New Roman" w:eastAsia="宋体" w:cs="Times New Roman"/>
      <w:szCs w:val="24"/>
    </w:rPr>
  </w:style>
  <w:style w:type="character" w:customStyle="1" w:styleId="197">
    <w:name w:val="批注框文本 字符1"/>
    <w:link w:val="39"/>
    <w:qFormat/>
    <w:uiPriority w:val="0"/>
    <w:rPr>
      <w:kern w:val="2"/>
      <w:sz w:val="18"/>
      <w:szCs w:val="18"/>
    </w:rPr>
  </w:style>
  <w:style w:type="character" w:customStyle="1" w:styleId="198">
    <w:name w:val="Char Char611"/>
    <w:qFormat/>
    <w:uiPriority w:val="0"/>
    <w:rPr>
      <w:rFonts w:eastAsia="宋体"/>
      <w:kern w:val="2"/>
      <w:sz w:val="21"/>
      <w:szCs w:val="24"/>
      <w:lang w:val="en-US" w:eastAsia="zh-CN" w:bidi="ar-SA"/>
    </w:rPr>
  </w:style>
  <w:style w:type="character" w:customStyle="1" w:styleId="199">
    <w:name w:val="highlight1"/>
    <w:qFormat/>
    <w:uiPriority w:val="0"/>
    <w:rPr>
      <w:rFonts w:ascii="仿宋_GB2312" w:eastAsia="微软雅黑"/>
      <w:b/>
      <w:kern w:val="2"/>
      <w:sz w:val="23"/>
      <w:szCs w:val="23"/>
      <w:lang w:val="en-US" w:eastAsia="zh-CN" w:bidi="ar-SA"/>
    </w:rPr>
  </w:style>
  <w:style w:type="character" w:customStyle="1" w:styleId="200">
    <w:name w:val="my正文 Char"/>
    <w:link w:val="201"/>
    <w:qFormat/>
    <w:locked/>
    <w:uiPriority w:val="0"/>
    <w:rPr>
      <w:rFonts w:ascii="Tahoma" w:hAnsi="Tahoma"/>
      <w:sz w:val="24"/>
      <w:szCs w:val="24"/>
    </w:rPr>
  </w:style>
  <w:style w:type="paragraph" w:customStyle="1" w:styleId="201">
    <w:name w:val="my正文"/>
    <w:basedOn w:val="1"/>
    <w:link w:val="200"/>
    <w:qFormat/>
    <w:uiPriority w:val="0"/>
    <w:pPr>
      <w:adjustRightInd/>
      <w:spacing w:line="360" w:lineRule="auto"/>
      <w:ind w:firstLine="480" w:firstLineChars="200"/>
    </w:pPr>
    <w:rPr>
      <w:rFonts w:ascii="Tahoma" w:hAnsi="Tahoma"/>
      <w:kern w:val="0"/>
      <w:sz w:val="24"/>
    </w:rPr>
  </w:style>
  <w:style w:type="character" w:customStyle="1" w:styleId="202">
    <w:name w:val="正文缩进 字符2"/>
    <w:link w:val="5"/>
    <w:qFormat/>
    <w:uiPriority w:val="0"/>
    <w:rPr>
      <w:rFonts w:ascii="宋体" w:eastAsia="宋体"/>
      <w:snapToGrid w:val="0"/>
      <w:color w:val="000000"/>
      <w:kern w:val="28"/>
      <w:sz w:val="28"/>
      <w:lang w:val="en-US" w:eastAsia="zh-CN" w:bidi="ar-SA"/>
    </w:rPr>
  </w:style>
  <w:style w:type="character" w:customStyle="1" w:styleId="203">
    <w:name w:val="Used by Word for text of Help footnotes Char Char1"/>
    <w:qFormat/>
    <w:uiPriority w:val="0"/>
    <w:rPr>
      <w:color w:val="0000FF"/>
      <w:sz w:val="21"/>
    </w:rPr>
  </w:style>
  <w:style w:type="character" w:customStyle="1" w:styleId="204">
    <w:name w:val="页眉 Char"/>
    <w:qFormat/>
    <w:uiPriority w:val="0"/>
    <w:rPr>
      <w:rFonts w:eastAsia="仿宋_GB2312"/>
      <w:kern w:val="2"/>
      <w:sz w:val="18"/>
      <w:lang w:val="en-US" w:eastAsia="zh-CN"/>
    </w:rPr>
  </w:style>
  <w:style w:type="character" w:customStyle="1" w:styleId="205">
    <w:name w:val="FA正文 Char Char"/>
    <w:qFormat/>
    <w:uiPriority w:val="0"/>
    <w:rPr>
      <w:rFonts w:hAnsi="宋体"/>
      <w:kern w:val="2"/>
      <w:sz w:val="24"/>
      <w:lang w:bidi="ar-SA"/>
    </w:rPr>
  </w:style>
  <w:style w:type="character" w:customStyle="1" w:styleId="206">
    <w:name w:val="纯文本 字符"/>
    <w:qFormat/>
    <w:uiPriority w:val="0"/>
    <w:rPr>
      <w:rFonts w:ascii="宋体" w:hAnsi="Courier New" w:eastAsia="宋体" w:cs="Arial"/>
      <w:snapToGrid w:val="0"/>
      <w:kern w:val="2"/>
      <w:sz w:val="21"/>
      <w:szCs w:val="21"/>
      <w:lang w:val="en-US" w:eastAsia="zh-CN" w:bidi="ar-SA"/>
    </w:rPr>
  </w:style>
  <w:style w:type="character" w:customStyle="1" w:styleId="207">
    <w:name w:val="3级 Char"/>
    <w:link w:val="208"/>
    <w:qFormat/>
    <w:uiPriority w:val="0"/>
    <w:rPr>
      <w:rFonts w:ascii="宋体" w:hAnsi="宋体"/>
      <w:b/>
      <w:bCs/>
      <w:snapToGrid/>
      <w:sz w:val="28"/>
    </w:rPr>
  </w:style>
  <w:style w:type="paragraph" w:customStyle="1" w:styleId="208">
    <w:name w:val="3级"/>
    <w:basedOn w:val="209"/>
    <w:link w:val="207"/>
    <w:qFormat/>
    <w:uiPriority w:val="0"/>
    <w:pPr>
      <w:ind w:left="0" w:right="466" w:firstLine="288"/>
    </w:pPr>
    <w:rPr>
      <w:rFonts w:hAnsi="宋体"/>
      <w:snapToGrid/>
    </w:rPr>
  </w:style>
  <w:style w:type="paragraph" w:customStyle="1" w:styleId="20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0">
    <w:name w:val="myp11"/>
    <w:qFormat/>
    <w:uiPriority w:val="0"/>
    <w:rPr>
      <w:rFonts w:ascii="仿宋_GB2312" w:eastAsia="微软雅黑"/>
      <w:b/>
      <w:kern w:val="2"/>
      <w:sz w:val="32"/>
      <w:szCs w:val="32"/>
      <w:lang w:val="en-US" w:eastAsia="zh-CN" w:bidi="ar-SA"/>
    </w:rPr>
  </w:style>
  <w:style w:type="character" w:customStyle="1" w:styleId="211">
    <w:name w:val="文档结构图 字符"/>
    <w:link w:val="19"/>
    <w:qFormat/>
    <w:uiPriority w:val="0"/>
    <w:rPr>
      <w:kern w:val="2"/>
      <w:sz w:val="21"/>
      <w:szCs w:val="24"/>
      <w:shd w:val="clear" w:color="auto" w:fill="000080"/>
    </w:rPr>
  </w:style>
  <w:style w:type="character" w:customStyle="1" w:styleId="212">
    <w:name w:val="H6 Char"/>
    <w:qFormat/>
    <w:uiPriority w:val="0"/>
    <w:rPr>
      <w:rFonts w:ascii="Arial" w:hAnsi="Arial" w:eastAsia="黑体"/>
      <w:b/>
      <w:bCs/>
      <w:kern w:val="2"/>
      <w:sz w:val="24"/>
      <w:szCs w:val="24"/>
    </w:rPr>
  </w:style>
  <w:style w:type="character" w:customStyle="1" w:styleId="213">
    <w:name w:val="Char Char91"/>
    <w:qFormat/>
    <w:uiPriority w:val="0"/>
    <w:rPr>
      <w:rFonts w:eastAsia="宋体"/>
      <w:kern w:val="2"/>
      <w:sz w:val="18"/>
      <w:szCs w:val="18"/>
      <w:lang w:val="en-US" w:eastAsia="zh-CN" w:bidi="ar-SA"/>
    </w:rPr>
  </w:style>
  <w:style w:type="character" w:customStyle="1" w:styleId="214">
    <w:name w:val="副标题 Char1"/>
    <w:qFormat/>
    <w:uiPriority w:val="0"/>
    <w:rPr>
      <w:rFonts w:ascii="Cambria" w:hAnsi="Cambria" w:eastAsia="宋体" w:cs="Times New Roman"/>
      <w:b/>
      <w:bCs/>
      <w:snapToGrid w:val="0"/>
      <w:kern w:val="28"/>
      <w:sz w:val="32"/>
      <w:szCs w:val="32"/>
    </w:rPr>
  </w:style>
  <w:style w:type="character" w:customStyle="1" w:styleId="215">
    <w:name w:val="font61"/>
    <w:qFormat/>
    <w:uiPriority w:val="0"/>
    <w:rPr>
      <w:rFonts w:hint="eastAsia" w:ascii="仿宋" w:hAnsi="仿宋" w:eastAsia="仿宋" w:cs="仿宋"/>
      <w:color w:val="000000"/>
      <w:sz w:val="20"/>
      <w:szCs w:val="20"/>
      <w:u w:val="none"/>
    </w:rPr>
  </w:style>
  <w:style w:type="character" w:customStyle="1" w:styleId="21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7">
    <w:name w:val="Char Char211"/>
    <w:qFormat/>
    <w:uiPriority w:val="0"/>
    <w:rPr>
      <w:rFonts w:eastAsia="宋体"/>
      <w:b/>
      <w:bCs/>
      <w:kern w:val="2"/>
      <w:sz w:val="21"/>
      <w:szCs w:val="24"/>
      <w:lang w:val="en-US" w:eastAsia="zh-CN" w:bidi="ar-SA"/>
    </w:rPr>
  </w:style>
  <w:style w:type="character" w:customStyle="1" w:styleId="218">
    <w:name w:val="标题 2 Char"/>
    <w:qFormat/>
    <w:uiPriority w:val="0"/>
    <w:rPr>
      <w:rFonts w:ascii="Arial" w:hAnsi="Arial" w:eastAsia="黑体"/>
      <w:b/>
      <w:kern w:val="2"/>
      <w:sz w:val="32"/>
      <w:lang w:val="en-US" w:eastAsia="zh-CN"/>
    </w:rPr>
  </w:style>
  <w:style w:type="character" w:customStyle="1" w:styleId="219">
    <w:name w:val="maywed421"/>
    <w:qFormat/>
    <w:uiPriority w:val="0"/>
    <w:rPr>
      <w:color w:val="366FB6"/>
      <w:u w:val="none"/>
    </w:rPr>
  </w:style>
  <w:style w:type="character" w:customStyle="1" w:styleId="220">
    <w:name w:val="正文文本缩进 Char"/>
    <w:qFormat/>
    <w:uiPriority w:val="0"/>
    <w:rPr>
      <w:rFonts w:ascii="宋体" w:hAnsi="宋体"/>
      <w:kern w:val="2"/>
      <w:sz w:val="24"/>
      <w:szCs w:val="24"/>
    </w:rPr>
  </w:style>
  <w:style w:type="character" w:customStyle="1" w:styleId="221">
    <w:name w:val="Char Char102"/>
    <w:semiHidden/>
    <w:qFormat/>
    <w:uiPriority w:val="0"/>
    <w:rPr>
      <w:rFonts w:ascii="宋体" w:hAnsi="宋体"/>
      <w:kern w:val="2"/>
      <w:sz w:val="21"/>
      <w:szCs w:val="24"/>
      <w:lang w:val="en-US" w:eastAsia="zh-CN"/>
    </w:rPr>
  </w:style>
  <w:style w:type="character" w:customStyle="1" w:styleId="222">
    <w:name w:val="页眉 Char1"/>
    <w:qFormat/>
    <w:uiPriority w:val="0"/>
    <w:rPr>
      <w:rFonts w:eastAsia="宋体"/>
      <w:kern w:val="2"/>
      <w:sz w:val="18"/>
      <w:szCs w:val="18"/>
      <w:lang w:val="en-US" w:eastAsia="zh-CN" w:bidi="ar-SA"/>
    </w:rPr>
  </w:style>
  <w:style w:type="character" w:customStyle="1" w:styleId="223">
    <w:name w:val="md"/>
    <w:basedOn w:val="71"/>
    <w:qFormat/>
    <w:uiPriority w:val="0"/>
    <w:rPr>
      <w:rFonts w:ascii="Arial" w:hAnsi="Arial" w:eastAsia="黑体" w:cs="Arial"/>
      <w:snapToGrid w:val="0"/>
      <w:kern w:val="0"/>
      <w:szCs w:val="21"/>
    </w:rPr>
  </w:style>
  <w:style w:type="character" w:customStyle="1" w:styleId="224">
    <w:name w:val="big1"/>
    <w:qFormat/>
    <w:uiPriority w:val="0"/>
    <w:rPr>
      <w:rFonts w:hint="eastAsia" w:ascii="宋体" w:hAnsi="宋体" w:eastAsia="宋体"/>
      <w:color w:val="333333"/>
      <w:sz w:val="22"/>
      <w:szCs w:val="22"/>
    </w:rPr>
  </w:style>
  <w:style w:type="character" w:customStyle="1" w:styleId="225">
    <w:name w:val="Char Char311"/>
    <w:qFormat/>
    <w:uiPriority w:val="0"/>
    <w:rPr>
      <w:rFonts w:eastAsia="宋体"/>
      <w:kern w:val="2"/>
      <w:sz w:val="21"/>
      <w:szCs w:val="24"/>
      <w:lang w:val="en-US" w:eastAsia="zh-CN" w:bidi="ar-SA"/>
    </w:rPr>
  </w:style>
  <w:style w:type="character" w:customStyle="1" w:styleId="226">
    <w:name w:val="Char Char81"/>
    <w:qFormat/>
    <w:uiPriority w:val="6"/>
    <w:rPr>
      <w:rFonts w:eastAsia="宋体"/>
      <w:b/>
      <w:sz w:val="24"/>
      <w:lang w:val="en-GB" w:eastAsia="zh-CN"/>
    </w:rPr>
  </w:style>
  <w:style w:type="character" w:customStyle="1" w:styleId="227">
    <w:name w:val="样式3 Char"/>
    <w:basedOn w:val="178"/>
    <w:qFormat/>
    <w:uiPriority w:val="0"/>
    <w:rPr>
      <w:rFonts w:ascii="仿宋_GB2312" w:hAnsi="仿宋" w:eastAsia="仿宋_GB2312" w:cs="仿宋_GB2312"/>
      <w:sz w:val="32"/>
      <w:szCs w:val="30"/>
      <w:lang w:val="zh-CN"/>
    </w:rPr>
  </w:style>
  <w:style w:type="character" w:customStyle="1" w:styleId="228">
    <w:name w:val="HTML 地址 字符"/>
    <w:link w:val="30"/>
    <w:qFormat/>
    <w:uiPriority w:val="0"/>
    <w:rPr>
      <w:rFonts w:ascii="宋体" w:hAnsi="宋体"/>
      <w:i/>
      <w:iCs/>
      <w:sz w:val="24"/>
      <w:szCs w:val="24"/>
    </w:rPr>
  </w:style>
  <w:style w:type="character" w:customStyle="1" w:styleId="229">
    <w:name w:val="正文首行缩进 2 Char1"/>
    <w:qFormat/>
    <w:uiPriority w:val="0"/>
    <w:rPr>
      <w:rFonts w:ascii="Times New Roman" w:hAnsi="Times New Roman" w:eastAsia="宋体" w:cs="Times New Roman"/>
      <w:kern w:val="2"/>
      <w:sz w:val="24"/>
      <w:szCs w:val="24"/>
    </w:rPr>
  </w:style>
  <w:style w:type="character" w:customStyle="1" w:styleId="230">
    <w:name w:val="副标题 Char2"/>
    <w:qFormat/>
    <w:uiPriority w:val="0"/>
    <w:rPr>
      <w:rFonts w:ascii="Cambria" w:hAnsi="Cambria" w:eastAsia="宋体" w:cs="Times New Roman"/>
      <w:b/>
      <w:bCs/>
      <w:snapToGrid w:val="0"/>
      <w:kern w:val="28"/>
      <w:sz w:val="32"/>
      <w:szCs w:val="32"/>
    </w:rPr>
  </w:style>
  <w:style w:type="character" w:customStyle="1" w:styleId="231">
    <w:name w:val="标题4-dyf Char"/>
    <w:link w:val="232"/>
    <w:qFormat/>
    <w:uiPriority w:val="0"/>
    <w:rPr>
      <w:rFonts w:ascii="Cambria" w:hAnsi="Cambria"/>
      <w:b/>
      <w:bCs/>
      <w:color w:val="000000"/>
      <w:kern w:val="2"/>
      <w:sz w:val="21"/>
      <w:szCs w:val="21"/>
    </w:rPr>
  </w:style>
  <w:style w:type="paragraph" w:customStyle="1" w:styleId="232">
    <w:name w:val="标题4-dyf"/>
    <w:basedOn w:val="6"/>
    <w:link w:val="23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3">
    <w:name w:val="dectext1"/>
    <w:qFormat/>
    <w:uiPriority w:val="0"/>
    <w:rPr>
      <w:rFonts w:ascii="宋体" w:hAnsi="宋体" w:eastAsia="宋体"/>
      <w:color w:val="333333"/>
      <w:sz w:val="21"/>
      <w:szCs w:val="21"/>
      <w:u w:val="none"/>
    </w:rPr>
  </w:style>
  <w:style w:type="character" w:customStyle="1" w:styleId="234">
    <w:name w:val="冯 Char"/>
    <w:link w:val="235"/>
    <w:qFormat/>
    <w:uiPriority w:val="0"/>
    <w:rPr>
      <w:rFonts w:ascii="宋体" w:hAnsi="宋体"/>
      <w:color w:val="000000"/>
      <w:sz w:val="24"/>
      <w:szCs w:val="24"/>
    </w:rPr>
  </w:style>
  <w:style w:type="paragraph" w:customStyle="1" w:styleId="235">
    <w:name w:val="冯"/>
    <w:basedOn w:val="1"/>
    <w:link w:val="234"/>
    <w:qFormat/>
    <w:uiPriority w:val="0"/>
    <w:pPr>
      <w:widowControl/>
      <w:adjustRightInd/>
      <w:spacing w:line="360" w:lineRule="auto"/>
      <w:ind w:firstLine="480" w:firstLineChars="200"/>
    </w:pPr>
    <w:rPr>
      <w:rFonts w:ascii="宋体" w:hAnsi="宋体"/>
      <w:color w:val="000000"/>
      <w:kern w:val="0"/>
      <w:sz w:val="24"/>
    </w:rPr>
  </w:style>
  <w:style w:type="character" w:customStyle="1" w:styleId="236">
    <w:name w:val="Header Char"/>
    <w:qFormat/>
    <w:locked/>
    <w:uiPriority w:val="0"/>
    <w:rPr>
      <w:rFonts w:eastAsia="宋体"/>
      <w:kern w:val="2"/>
      <w:sz w:val="18"/>
      <w:szCs w:val="18"/>
      <w:lang w:val="en-US" w:eastAsia="zh-CN" w:bidi="ar-SA"/>
    </w:rPr>
  </w:style>
  <w:style w:type="character" w:customStyle="1" w:styleId="237">
    <w:name w:val="Char Char12"/>
    <w:qFormat/>
    <w:uiPriority w:val="0"/>
    <w:rPr>
      <w:rFonts w:ascii="仿宋_GB2312" w:eastAsia="仿宋_GB2312"/>
      <w:b/>
      <w:bCs/>
      <w:kern w:val="2"/>
      <w:sz w:val="24"/>
      <w:szCs w:val="24"/>
      <w:lang w:val="zh-CN" w:eastAsia="zh-CN" w:bidi="ar-SA"/>
    </w:rPr>
  </w:style>
  <w:style w:type="character" w:customStyle="1" w:styleId="238">
    <w:name w:val="题注 字符"/>
    <w:link w:val="17"/>
    <w:qFormat/>
    <w:uiPriority w:val="0"/>
    <w:rPr>
      <w:b/>
      <w:kern w:val="2"/>
      <w:sz w:val="28"/>
    </w:rPr>
  </w:style>
  <w:style w:type="character" w:customStyle="1" w:styleId="239">
    <w:name w:val="普通文字 Char3"/>
    <w:qFormat/>
    <w:uiPriority w:val="0"/>
    <w:rPr>
      <w:rFonts w:ascii="宋体" w:hAnsi="Courier New" w:eastAsia="宋体"/>
      <w:kern w:val="2"/>
      <w:sz w:val="21"/>
      <w:lang w:val="en-US" w:eastAsia="zh-CN" w:bidi="ar-SA"/>
    </w:rPr>
  </w:style>
  <w:style w:type="character" w:customStyle="1" w:styleId="240">
    <w:name w:val="公文正文 Char"/>
    <w:qFormat/>
    <w:uiPriority w:val="0"/>
    <w:rPr>
      <w:rFonts w:ascii="仿宋_GB2312" w:eastAsia="仿宋_GB2312"/>
      <w:kern w:val="2"/>
      <w:sz w:val="24"/>
      <w:szCs w:val="24"/>
      <w:lang w:val="en-US" w:eastAsia="zh-CN" w:bidi="ar-SA"/>
    </w:rPr>
  </w:style>
  <w:style w:type="character" w:customStyle="1" w:styleId="241">
    <w:name w:val="正文首行缩进 Char Char Char Char Char"/>
    <w:qFormat/>
    <w:uiPriority w:val="0"/>
    <w:rPr>
      <w:rFonts w:ascii="宋体"/>
      <w:kern w:val="2"/>
      <w:sz w:val="24"/>
      <w:lang w:val="zh-CN"/>
    </w:rPr>
  </w:style>
  <w:style w:type="character" w:customStyle="1" w:styleId="242">
    <w:name w:val="PI Char"/>
    <w:qFormat/>
    <w:uiPriority w:val="0"/>
    <w:rPr>
      <w:rFonts w:ascii="宋体" w:hAnsi="宋体" w:eastAsia="宋体"/>
      <w:kern w:val="2"/>
      <w:sz w:val="24"/>
      <w:szCs w:val="24"/>
      <w:lang w:val="en-US" w:eastAsia="zh-CN" w:bidi="ar-SA"/>
    </w:rPr>
  </w:style>
  <w:style w:type="character" w:customStyle="1" w:styleId="243">
    <w:name w:val="Default Char"/>
    <w:link w:val="86"/>
    <w:qFormat/>
    <w:uiPriority w:val="0"/>
    <w:rPr>
      <w:rFonts w:ascii="仿宋_GB2312" w:eastAsia="仿宋_GB2312" w:cs="仿宋_GB2312"/>
      <w:color w:val="000000"/>
      <w:sz w:val="24"/>
      <w:szCs w:val="24"/>
      <w:lang w:val="en-US" w:eastAsia="zh-CN" w:bidi="ar-SA"/>
    </w:rPr>
  </w:style>
  <w:style w:type="character" w:customStyle="1" w:styleId="244">
    <w:name w:val="style91"/>
    <w:qFormat/>
    <w:uiPriority w:val="0"/>
    <w:rPr>
      <w:color w:val="333333"/>
    </w:rPr>
  </w:style>
  <w:style w:type="character" w:customStyle="1" w:styleId="245">
    <w:name w:val="列出段落 Char2"/>
    <w:qFormat/>
    <w:uiPriority w:val="34"/>
    <w:rPr>
      <w:rFonts w:ascii="Calibri" w:hAnsi="Calibri"/>
      <w:kern w:val="2"/>
      <w:sz w:val="28"/>
    </w:rPr>
  </w:style>
  <w:style w:type="character" w:customStyle="1" w:styleId="246">
    <w:name w:val="mdeck"/>
    <w:qFormat/>
    <w:uiPriority w:val="0"/>
    <w:rPr>
      <w:rFonts w:ascii="仿宋_GB2312" w:eastAsia="微软雅黑"/>
      <w:b/>
      <w:kern w:val="2"/>
      <w:sz w:val="32"/>
      <w:szCs w:val="32"/>
      <w:lang w:val="en-US" w:eastAsia="zh-CN" w:bidi="ar-SA"/>
    </w:rPr>
  </w:style>
  <w:style w:type="character" w:customStyle="1" w:styleId="247">
    <w:name w:val="unnamed11"/>
    <w:qFormat/>
    <w:uiPriority w:val="0"/>
    <w:rPr>
      <w:sz w:val="20"/>
      <w:szCs w:val="20"/>
    </w:rPr>
  </w:style>
  <w:style w:type="character" w:customStyle="1" w:styleId="248">
    <w:name w:val="正文文本 Char2"/>
    <w:semiHidden/>
    <w:qFormat/>
    <w:uiPriority w:val="99"/>
    <w:rPr>
      <w:rFonts w:ascii="Times New Roman" w:hAnsi="Times New Roman" w:eastAsia="宋体" w:cs="Times New Roman"/>
      <w:snapToGrid w:val="0"/>
      <w:kern w:val="0"/>
      <w:szCs w:val="24"/>
    </w:rPr>
  </w:style>
  <w:style w:type="character" w:customStyle="1" w:styleId="249">
    <w:name w:val="标书正文格式 Char"/>
    <w:qFormat/>
    <w:uiPriority w:val="0"/>
    <w:rPr>
      <w:rFonts w:eastAsia="楷体_GB2312"/>
      <w:kern w:val="2"/>
      <w:sz w:val="24"/>
      <w:szCs w:val="24"/>
      <w:lang w:bidi="ar-SA"/>
    </w:rPr>
  </w:style>
  <w:style w:type="character" w:customStyle="1" w:styleId="250">
    <w:name w:val="Char Char11"/>
    <w:qFormat/>
    <w:locked/>
    <w:uiPriority w:val="0"/>
    <w:rPr>
      <w:rFonts w:ascii="宋体" w:hAnsi="宋体" w:eastAsia="宋体"/>
      <w:b/>
      <w:kern w:val="2"/>
      <w:sz w:val="24"/>
      <w:szCs w:val="24"/>
      <w:lang w:val="en-US" w:eastAsia="zh-CN" w:bidi="ar-SA"/>
    </w:rPr>
  </w:style>
  <w:style w:type="character" w:customStyle="1" w:styleId="251">
    <w:name w:val="ca-131"/>
    <w:qFormat/>
    <w:uiPriority w:val="0"/>
    <w:rPr>
      <w:rFonts w:hint="eastAsia" w:ascii="仿宋_GB2312" w:eastAsia="仿宋_GB2312"/>
      <w:b/>
      <w:bCs/>
      <w:color w:val="000000"/>
      <w:spacing w:val="-20"/>
      <w:sz w:val="24"/>
      <w:szCs w:val="24"/>
    </w:rPr>
  </w:style>
  <w:style w:type="character" w:customStyle="1" w:styleId="252">
    <w:name w:val="tw4winMark"/>
    <w:qFormat/>
    <w:uiPriority w:val="0"/>
    <w:rPr>
      <w:rFonts w:ascii="Courier New" w:hAnsi="Courier New" w:cs="Courier New"/>
      <w:vanish/>
      <w:color w:val="800080"/>
      <w:sz w:val="24"/>
      <w:szCs w:val="24"/>
      <w:vertAlign w:val="subscript"/>
    </w:rPr>
  </w:style>
  <w:style w:type="character" w:customStyle="1" w:styleId="253">
    <w:name w:val="正文样式 Char"/>
    <w:link w:val="254"/>
    <w:qFormat/>
    <w:uiPriority w:val="0"/>
    <w:rPr>
      <w:rFonts w:ascii="Calibri" w:hAnsi="Calibri"/>
      <w:sz w:val="24"/>
      <w:szCs w:val="24"/>
    </w:rPr>
  </w:style>
  <w:style w:type="paragraph" w:customStyle="1" w:styleId="254">
    <w:name w:val="正文样式"/>
    <w:basedOn w:val="1"/>
    <w:link w:val="253"/>
    <w:qFormat/>
    <w:uiPriority w:val="0"/>
    <w:pPr>
      <w:adjustRightInd/>
      <w:spacing w:line="360" w:lineRule="auto"/>
      <w:ind w:firstLine="480" w:firstLineChars="200"/>
    </w:pPr>
    <w:rPr>
      <w:kern w:val="0"/>
      <w:sz w:val="24"/>
    </w:rPr>
  </w:style>
  <w:style w:type="character" w:customStyle="1" w:styleId="255">
    <w:name w:val="表正文 Char3"/>
    <w:qFormat/>
    <w:uiPriority w:val="0"/>
    <w:rPr>
      <w:rFonts w:eastAsia="宋体"/>
    </w:rPr>
  </w:style>
  <w:style w:type="character" w:customStyle="1" w:styleId="256">
    <w:name w:val="H5 Char"/>
    <w:qFormat/>
    <w:uiPriority w:val="0"/>
    <w:rPr>
      <w:b/>
      <w:bCs/>
      <w:kern w:val="2"/>
      <w:sz w:val="28"/>
      <w:szCs w:val="28"/>
    </w:rPr>
  </w:style>
  <w:style w:type="character" w:customStyle="1" w:styleId="257">
    <w:name w:val="Char Char3"/>
    <w:qFormat/>
    <w:uiPriority w:val="0"/>
    <w:rPr>
      <w:rFonts w:eastAsia="宋体"/>
      <w:kern w:val="2"/>
      <w:sz w:val="21"/>
      <w:szCs w:val="24"/>
      <w:lang w:val="en-US" w:eastAsia="zh-CN" w:bidi="ar-SA"/>
    </w:rPr>
  </w:style>
  <w:style w:type="character" w:customStyle="1" w:styleId="258">
    <w:name w:val="正文 编号 Char"/>
    <w:qFormat/>
    <w:uiPriority w:val="0"/>
    <w:rPr>
      <w:rFonts w:ascii="仿宋_GB2312" w:hAnsi="仿宋_GB2312" w:eastAsia="仿宋_GB2312"/>
      <w:kern w:val="2"/>
      <w:sz w:val="24"/>
      <w:lang w:bidi="ar-SA"/>
    </w:rPr>
  </w:style>
  <w:style w:type="character" w:customStyle="1" w:styleId="259">
    <w:name w:val="question-title2"/>
    <w:qFormat/>
    <w:uiPriority w:val="6"/>
    <w:rPr>
      <w:rFonts w:ascii="Arial" w:hAnsi="Arial" w:eastAsia="黑体" w:cs="Arial"/>
      <w:snapToGrid w:val="0"/>
      <w:kern w:val="0"/>
      <w:szCs w:val="21"/>
    </w:rPr>
  </w:style>
  <w:style w:type="character" w:customStyle="1" w:styleId="260">
    <w:name w:val="gf正文1 Char Char"/>
    <w:link w:val="261"/>
    <w:qFormat/>
    <w:uiPriority w:val="0"/>
    <w:rPr>
      <w:rFonts w:ascii="宋体" w:hAnsi="宋体" w:cs="宋体"/>
      <w:kern w:val="2"/>
      <w:sz w:val="24"/>
      <w:szCs w:val="24"/>
    </w:rPr>
  </w:style>
  <w:style w:type="paragraph" w:customStyle="1" w:styleId="261">
    <w:name w:val="gf正文1"/>
    <w:basedOn w:val="1"/>
    <w:link w:val="26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qFormat/>
    <w:uiPriority w:val="6"/>
    <w:rPr>
      <w:rFonts w:ascii="宋体" w:hAnsi="宋体"/>
      <w:kern w:val="1"/>
      <w:sz w:val="21"/>
    </w:rPr>
  </w:style>
  <w:style w:type="character" w:customStyle="1" w:styleId="263">
    <w:name w:val="正文缩进 Char3"/>
    <w:qFormat/>
    <w:uiPriority w:val="0"/>
    <w:rPr>
      <w:rFonts w:ascii="宋体" w:eastAsia="宋体"/>
      <w:snapToGrid w:val="0"/>
      <w:color w:val="000000"/>
      <w:kern w:val="28"/>
      <w:sz w:val="28"/>
      <w:lang w:val="en-US" w:eastAsia="zh-CN" w:bidi="ar-SA"/>
    </w:rPr>
  </w:style>
  <w:style w:type="character" w:customStyle="1" w:styleId="264">
    <w:name w:val="列出段落 Char1"/>
    <w:link w:val="265"/>
    <w:qFormat/>
    <w:uiPriority w:val="0"/>
    <w:rPr>
      <w:rFonts w:ascii="Calibri" w:hAnsi="Calibri"/>
      <w:sz w:val="24"/>
      <w:lang w:eastAsia="en-US"/>
    </w:rPr>
  </w:style>
  <w:style w:type="paragraph" w:customStyle="1" w:styleId="265">
    <w:name w:val="列表1"/>
    <w:basedOn w:val="1"/>
    <w:next w:val="90"/>
    <w:link w:val="264"/>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字符1"/>
    <w:link w:val="25"/>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字符1"/>
    <w:link w:val="2"/>
    <w:qFormat/>
    <w:uiPriority w:val="9"/>
    <w:rPr>
      <w:b/>
      <w:bCs/>
      <w:kern w:val="44"/>
      <w:sz w:val="44"/>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字符"/>
    <w:link w:val="60"/>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5 字符"/>
    <w:link w:val="7"/>
    <w:qFormat/>
    <w:uiPriority w:val="9"/>
    <w:rPr>
      <w:b/>
      <w:bCs/>
      <w:kern w:val="2"/>
      <w:sz w:val="28"/>
      <w:szCs w:val="28"/>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字符"/>
    <w:link w:val="21"/>
    <w:qFormat/>
    <w:uiPriority w:val="0"/>
    <w:rPr>
      <w:rFonts w:ascii="仿宋_GB2312" w:eastAsia="仿宋_GB2312"/>
      <w:kern w:val="2"/>
      <w:sz w:val="28"/>
    </w:rPr>
  </w:style>
  <w:style w:type="character" w:customStyle="1" w:styleId="306">
    <w:name w:val="文本正文 Char Char"/>
    <w:qFormat/>
    <w:locked/>
    <w:uiPriority w:val="0"/>
    <w:rPr>
      <w:sz w:val="24"/>
      <w:lang w:bidi="ar-SA"/>
    </w:rPr>
  </w:style>
  <w:style w:type="character" w:customStyle="1" w:styleId="307">
    <w:name w:val="正文缩进 字符"/>
    <w:qFormat/>
    <w:uiPriority w:val="0"/>
    <w:rPr>
      <w:rFonts w:ascii="宋体" w:eastAsia="宋体"/>
      <w:snapToGrid w:val="0"/>
      <w:color w:val="000000"/>
      <w:kern w:val="28"/>
      <w:sz w:val="28"/>
      <w:lang w:val="en-US" w:eastAsia="zh-CN" w:bidi="ar-SA"/>
    </w:rPr>
  </w:style>
  <w:style w:type="character" w:customStyle="1" w:styleId="308">
    <w:name w:val="HTML 预设格式 字符"/>
    <w:link w:val="58"/>
    <w:qFormat/>
    <w:uiPriority w:val="0"/>
    <w:rPr>
      <w:rFonts w:ascii="黑体" w:hAnsi="Courier New" w:eastAsia="黑体"/>
    </w:rPr>
  </w:style>
  <w:style w:type="character" w:customStyle="1" w:styleId="309">
    <w:name w:val="正文文本 2 字符1"/>
    <w:link w:val="57"/>
    <w:qFormat/>
    <w:uiPriority w:val="0"/>
    <w:rPr>
      <w:kern w:val="2"/>
      <w:sz w:val="21"/>
      <w:szCs w:val="24"/>
    </w:rPr>
  </w:style>
  <w:style w:type="character" w:customStyle="1" w:styleId="310">
    <w:name w:val="样式 样式 标题 4h4H4Fab-4T5Ref Heading 1rh1Heading sqlsect 1.2.3.... +... Char"/>
    <w:link w:val="311"/>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qFormat/>
    <w:uiPriority w:val="0"/>
    <w:pPr>
      <w:tabs>
        <w:tab w:val="left" w:pos="2356"/>
      </w:tabs>
    </w:pPr>
  </w:style>
  <w:style w:type="paragraph" w:customStyle="1" w:styleId="312">
    <w:name w:val="样式 标题 4h4H4Fab-4T5Ref Heading 1rh1Heading sqlsect 1.2.3...."/>
    <w:basedOn w:val="6"/>
    <w:link w:val="4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qFormat/>
    <w:uiPriority w:val="0"/>
    <w:rPr>
      <w:rFonts w:ascii="宋体" w:eastAsia="宋体"/>
      <w:snapToGrid w:val="0"/>
      <w:color w:val="000000"/>
      <w:kern w:val="28"/>
      <w:sz w:val="28"/>
      <w:lang w:val="en-US" w:eastAsia="zh-CN" w:bidi="ar-SA"/>
    </w:rPr>
  </w:style>
  <w:style w:type="character" w:customStyle="1" w:styleId="314">
    <w:name w:val="标题 7 字符"/>
    <w:link w:val="9"/>
    <w:qFormat/>
    <w:uiPriority w:val="0"/>
    <w:rPr>
      <w:b/>
      <w:bCs/>
      <w:kern w:val="2"/>
      <w:sz w:val="24"/>
      <w:szCs w:val="24"/>
    </w:rPr>
  </w:style>
  <w:style w:type="character" w:customStyle="1" w:styleId="315">
    <w:name w:val="正文文本缩进 2 字符"/>
    <w:link w:val="37"/>
    <w:qFormat/>
    <w:uiPriority w:val="0"/>
    <w:rPr>
      <w:rFonts w:ascii="宋体" w:hAnsi="Times New Roman" w:eastAsia="宋体" w:cs="Times New Roman"/>
      <w:kern w:val="0"/>
      <w:sz w:val="28"/>
      <w:szCs w:val="20"/>
      <w:lang w:val="en-US" w:eastAsia="zh-CN" w:bidi="ar-SA"/>
    </w:rPr>
  </w:style>
  <w:style w:type="character" w:customStyle="1" w:styleId="316">
    <w:name w:val="Char Char5"/>
    <w:qFormat/>
    <w:uiPriority w:val="0"/>
    <w:rPr>
      <w:rFonts w:ascii="宋体" w:hAnsi="Courier New" w:eastAsia="宋体"/>
      <w:kern w:val="2"/>
      <w:sz w:val="21"/>
      <w:lang w:val="en-US" w:eastAsia="zh-CN"/>
    </w:rPr>
  </w:style>
  <w:style w:type="character" w:customStyle="1" w:styleId="317">
    <w:name w:val="脚注文本 字符"/>
    <w:link w:val="51"/>
    <w:qFormat/>
    <w:uiPriority w:val="0"/>
    <w:rPr>
      <w:color w:val="0000FF"/>
      <w:sz w:val="21"/>
    </w:rPr>
  </w:style>
  <w:style w:type="character" w:customStyle="1" w:styleId="318">
    <w:name w:val="称呼 Char1"/>
    <w:qFormat/>
    <w:uiPriority w:val="0"/>
    <w:rPr>
      <w:rFonts w:ascii="Times New Roman" w:hAnsi="Times New Roman" w:eastAsia="宋体" w:cs="Times New Roman"/>
      <w:szCs w:val="24"/>
    </w:rPr>
  </w:style>
  <w:style w:type="character" w:customStyle="1" w:styleId="319">
    <w:name w:val="正文1 Char"/>
    <w:qFormat/>
    <w:uiPriority w:val="0"/>
    <w:rPr>
      <w:rFonts w:ascii="宋体" w:eastAsia="宋体"/>
      <w:snapToGrid w:val="0"/>
      <w:color w:val="000000"/>
      <w:kern w:val="28"/>
      <w:sz w:val="28"/>
      <w:lang w:val="en-US" w:eastAsia="zh-CN" w:bidi="ar-SA"/>
    </w:rPr>
  </w:style>
  <w:style w:type="character" w:customStyle="1" w:styleId="320">
    <w:name w:val="正文缩进 Char1"/>
    <w:qFormat/>
    <w:uiPriority w:val="0"/>
    <w:rPr>
      <w:rFonts w:ascii="宋体" w:eastAsia="宋体"/>
      <w:snapToGrid w:val="0"/>
      <w:color w:val="000000"/>
      <w:kern w:val="28"/>
      <w:sz w:val="28"/>
      <w:lang w:val="en-US" w:eastAsia="zh-CN" w:bidi="ar-SA"/>
    </w:rPr>
  </w:style>
  <w:style w:type="character" w:customStyle="1" w:styleId="321">
    <w:name w:val="font21"/>
    <w:qFormat/>
    <w:uiPriority w:val="0"/>
    <w:rPr>
      <w:rFonts w:hint="eastAsia" w:ascii="宋体" w:hAnsi="宋体" w:eastAsia="宋体"/>
      <w:kern w:val="2"/>
      <w:sz w:val="28"/>
      <w:szCs w:val="28"/>
      <w:lang w:val="en-US" w:eastAsia="zh-CN" w:bidi="ar-SA"/>
    </w:rPr>
  </w:style>
  <w:style w:type="character" w:customStyle="1" w:styleId="322">
    <w:name w:val="Char Char26"/>
    <w:qFormat/>
    <w:uiPriority w:val="6"/>
    <w:rPr>
      <w:kern w:val="1"/>
      <w:sz w:val="21"/>
      <w:szCs w:val="24"/>
    </w:rPr>
  </w:style>
  <w:style w:type="character" w:customStyle="1" w:styleId="323">
    <w:name w:val="Item List Char"/>
    <w:link w:val="324"/>
    <w:qFormat/>
    <w:uiPriority w:val="0"/>
    <w:rPr>
      <w:rFonts w:ascii="Arial"/>
      <w:bCs/>
      <w:sz w:val="21"/>
      <w:szCs w:val="21"/>
      <w:lang w:val="en-US" w:eastAsia="zh-CN" w:bidi="ar-SA"/>
    </w:rPr>
  </w:style>
  <w:style w:type="paragraph" w:customStyle="1" w:styleId="324">
    <w:name w:val="Item List"/>
    <w:link w:val="32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qFormat/>
    <w:uiPriority w:val="0"/>
    <w:rPr>
      <w:rFonts w:ascii="Times New Roman" w:hAnsi="Times New Roman" w:eastAsia="宋体" w:cs="Times New Roman"/>
      <w:sz w:val="18"/>
      <w:szCs w:val="18"/>
    </w:rPr>
  </w:style>
  <w:style w:type="character" w:customStyle="1" w:styleId="326">
    <w:name w:val="纯文本 Char1"/>
    <w:link w:val="327"/>
    <w:qFormat/>
    <w:uiPriority w:val="0"/>
    <w:rPr>
      <w:rFonts w:ascii="宋体" w:hAnsi="Courier New"/>
    </w:rPr>
  </w:style>
  <w:style w:type="paragraph" w:customStyle="1" w:styleId="327">
    <w:name w:val="纯文本1"/>
    <w:basedOn w:val="1"/>
    <w:link w:val="326"/>
    <w:qFormat/>
    <w:uiPriority w:val="0"/>
    <w:pPr>
      <w:adjustRightInd/>
    </w:pPr>
    <w:rPr>
      <w:rFonts w:ascii="宋体" w:hAnsi="Courier New"/>
      <w:kern w:val="0"/>
      <w:sz w:val="20"/>
      <w:szCs w:val="20"/>
    </w:rPr>
  </w:style>
  <w:style w:type="character" w:customStyle="1" w:styleId="328">
    <w:name w:val="正文文本首行缩进 字符"/>
    <w:link w:val="62"/>
    <w:qFormat/>
    <w:uiPriority w:val="0"/>
    <w:rPr>
      <w:rFonts w:ascii="宋体"/>
      <w:kern w:val="2"/>
      <w:sz w:val="24"/>
      <w:lang w:val="zh-CN"/>
    </w:rPr>
  </w:style>
  <w:style w:type="character" w:customStyle="1" w:styleId="329">
    <w:name w:val="h3 Char"/>
    <w:qFormat/>
    <w:uiPriority w:val="0"/>
    <w:rPr>
      <w:rFonts w:eastAsia="宋体"/>
      <w:b/>
      <w:kern w:val="2"/>
      <w:sz w:val="32"/>
      <w:lang w:val="en-US" w:eastAsia="zh-CN" w:bidi="ar-SA"/>
    </w:rPr>
  </w:style>
  <w:style w:type="character" w:customStyle="1" w:styleId="330">
    <w:name w:val="dandyren_title1"/>
    <w:qFormat/>
    <w:uiPriority w:val="0"/>
    <w:rPr>
      <w:b/>
      <w:bCs/>
      <w:color w:val="FF6633"/>
      <w:sz w:val="18"/>
      <w:szCs w:val="18"/>
    </w:rPr>
  </w:style>
  <w:style w:type="character" w:customStyle="1" w:styleId="331">
    <w:name w:val="Char Char31"/>
    <w:qFormat/>
    <w:uiPriority w:val="6"/>
    <w:rPr>
      <w:rFonts w:ascii="Arial" w:hAnsi="Arial" w:eastAsia="黑体"/>
      <w:kern w:val="1"/>
      <w:sz w:val="24"/>
      <w:szCs w:val="24"/>
    </w:rPr>
  </w:style>
  <w:style w:type="character" w:customStyle="1" w:styleId="332">
    <w:name w:val="h Char1"/>
    <w:qFormat/>
    <w:uiPriority w:val="0"/>
    <w:rPr>
      <w:sz w:val="18"/>
      <w:szCs w:val="18"/>
    </w:rPr>
  </w:style>
  <w:style w:type="character" w:customStyle="1" w:styleId="333">
    <w:name w:val="solutionfonts"/>
    <w:qFormat/>
    <w:uiPriority w:val="0"/>
  </w:style>
  <w:style w:type="character" w:customStyle="1" w:styleId="334">
    <w:name w:val="标题 4 字符1"/>
    <w:link w:val="6"/>
    <w:qFormat/>
    <w:uiPriority w:val="9"/>
    <w:rPr>
      <w:rFonts w:ascii="Arial" w:hAnsi="Arial" w:eastAsia="黑体"/>
      <w:b/>
      <w:bCs/>
      <w:kern w:val="2"/>
      <w:sz w:val="28"/>
      <w:szCs w:val="28"/>
      <w:lang w:val="zh-CN"/>
    </w:rPr>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正文文本 3 字符"/>
    <w:link w:val="22"/>
    <w:qFormat/>
    <w:uiPriority w:val="0"/>
    <w:rPr>
      <w:kern w:val="2"/>
      <w:sz w:val="21"/>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spacing w:line="360" w:lineRule="auto"/>
    </w:pPr>
    <w:rPr>
      <w:kern w:val="0"/>
      <w:sz w:val="24"/>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sz w:val="24"/>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批注文字 字符1"/>
    <w:link w:val="20"/>
    <w:qFormat/>
    <w:uiPriority w:val="0"/>
    <w:rPr>
      <w:kern w:val="2"/>
      <w:sz w:val="21"/>
      <w:szCs w:val="24"/>
    </w:rPr>
  </w:style>
  <w:style w:type="character" w:customStyle="1" w:styleId="352">
    <w:name w:val="签名 字符"/>
    <w:link w:val="43"/>
    <w:qFormat/>
    <w:uiPriority w:val="0"/>
    <w:rPr>
      <w:rFonts w:eastAsia="仿宋_GB2312"/>
      <w:sz w:val="24"/>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semiHidden/>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字符"/>
    <w:link w:val="10"/>
    <w:qFormat/>
    <w:uiPriority w:val="0"/>
    <w:rPr>
      <w:rFonts w:ascii="Arial" w:hAnsi="Arial" w:eastAsia="黑体"/>
      <w:kern w:val="2"/>
      <w:sz w:val="24"/>
      <w:szCs w:val="24"/>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字符"/>
    <w:link w:val="54"/>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字符2"/>
    <w:link w:val="40"/>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页眉 字符2"/>
    <w:link w:val="42"/>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156"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qFormat/>
    <w:uiPriority w:val="9"/>
    <w:rPr>
      <w:rFonts w:ascii="Arial" w:hAnsi="Arial" w:eastAsia="黑体" w:cs="Arial"/>
      <w:b/>
      <w:bCs/>
      <w:snapToGrid w:val="0"/>
      <w:kern w:val="44"/>
      <w:sz w:val="44"/>
      <w:szCs w:val="44"/>
    </w:rPr>
  </w:style>
  <w:style w:type="character" w:customStyle="1" w:styleId="428">
    <w:name w:val="style36"/>
    <w:basedOn w:val="71"/>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qFormat/>
    <w:uiPriority w:val="99"/>
    <w:rPr>
      <w:kern w:val="2"/>
      <w:sz w:val="18"/>
      <w:szCs w:val="18"/>
    </w:rPr>
  </w:style>
  <w:style w:type="character" w:customStyle="1" w:styleId="433">
    <w:name w:val="正文2 Char"/>
    <w:qFormat/>
    <w:uiPriority w:val="0"/>
    <w:rPr>
      <w:rFonts w:eastAsia="宋体"/>
      <w:kern w:val="2"/>
      <w:sz w:val="24"/>
      <w:lang w:val="en-US" w:eastAsia="zh-CN" w:bidi="ar-SA"/>
    </w:rPr>
  </w:style>
  <w:style w:type="character" w:customStyle="1" w:styleId="434">
    <w:name w:val="Char Char21"/>
    <w:qFormat/>
    <w:uiPriority w:val="6"/>
    <w:rPr>
      <w:rFonts w:ascii="宋体" w:hAnsi="宋体"/>
      <w:kern w:val="1"/>
      <w:sz w:val="24"/>
      <w:szCs w:val="21"/>
      <w:lang w:val="zh-CN"/>
    </w:rPr>
  </w:style>
  <w:style w:type="character" w:customStyle="1" w:styleId="435">
    <w:name w:val="样式 正文缩进 + 首行缩进:  2 字符 Char Char"/>
    <w:link w:val="436"/>
    <w:qFormat/>
    <w:uiPriority w:val="0"/>
    <w:rPr>
      <w:rFonts w:cs="宋体"/>
      <w:kern w:val="2"/>
      <w:sz w:val="24"/>
    </w:rPr>
  </w:style>
  <w:style w:type="paragraph" w:customStyle="1" w:styleId="436">
    <w:name w:val="样式 正文缩进 + 首行缩进:  2 字符"/>
    <w:basedOn w:val="5"/>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8">
    <w:name w:val="gray6"/>
    <w:basedOn w:val="71"/>
    <w:qFormat/>
    <w:uiPriority w:val="0"/>
    <w:rPr>
      <w:rFonts w:ascii="Arial" w:hAnsi="Arial" w:eastAsia="黑体" w:cs="Arial"/>
      <w:snapToGrid w:val="0"/>
      <w:kern w:val="0"/>
      <w:szCs w:val="21"/>
    </w:rPr>
  </w:style>
  <w:style w:type="character" w:customStyle="1" w:styleId="439">
    <w:name w:val="hui"/>
    <w:basedOn w:val="71"/>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6"/>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qFormat/>
    <w:uiPriority w:val="0"/>
    <w:pPr>
      <w:tabs>
        <w:tab w:val="left" w:pos="2790"/>
        <w:tab w:val="left" w:pos="4230"/>
      </w:tabs>
      <w:spacing w:before="312" w:beforeLines="100"/>
      <w:jc w:val="left"/>
    </w:pPr>
  </w:style>
  <w:style w:type="paragraph" w:customStyle="1" w:styleId="46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qFormat/>
    <w:uiPriority w:val="0"/>
    <w:pPr>
      <w:tabs>
        <w:tab w:val="left" w:pos="840"/>
      </w:tabs>
      <w:ind w:left="840" w:hanging="420"/>
    </w:pPr>
    <w:rPr>
      <w:rFonts w:ascii="Tahoma" w:hAnsi="Tahoma"/>
      <w:sz w:val="24"/>
    </w:rPr>
  </w:style>
  <w:style w:type="paragraph" w:customStyle="1" w:styleId="4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spacing w:before="0" w:after="0"/>
      <w:outlineLvl w:val="5"/>
    </w:pPr>
  </w:style>
  <w:style w:type="paragraph" w:customStyle="1" w:styleId="481">
    <w:name w:val="5级标题"/>
    <w:basedOn w:val="48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2">
    <w:name w:val="4级标题"/>
    <w:basedOn w:val="9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 w:val="24"/>
      <w:szCs w:val="20"/>
    </w:rPr>
  </w:style>
  <w:style w:type="paragraph" w:customStyle="1" w:styleId="485">
    <w:name w:val="_Style 11"/>
    <w:basedOn w:val="1"/>
    <w:qFormat/>
    <w:uiPriority w:val="34"/>
    <w:pPr>
      <w:adjustRightInd/>
      <w:ind w:firstLine="420" w:firstLineChars="20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 w:val="24"/>
      <w:szCs w:val="20"/>
    </w:rPr>
  </w:style>
  <w:style w:type="paragraph" w:customStyle="1" w:styleId="48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9"/>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3"/>
    <w:qFormat/>
    <w:uiPriority w:val="0"/>
    <w:pPr>
      <w:tabs>
        <w:tab w:val="left" w:pos="1260"/>
      </w:tabs>
      <w:ind w:left="1260" w:hanging="420"/>
    </w:pPr>
    <w:rPr>
      <w:rFonts w:ascii="Arial" w:hAnsi="Arial" w:eastAsia="黑体"/>
      <w:lang w:val="en-US"/>
    </w:rPr>
  </w:style>
  <w:style w:type="paragraph" w:customStyle="1" w:styleId="497">
    <w:name w:val="五级无标题条"/>
    <w:basedOn w:val="1"/>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4"/>
    <w:next w:val="1"/>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7"/>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qFormat/>
    <w:uiPriority w:val="0"/>
    <w:rPr>
      <w:rFonts w:ascii="仿宋_GB2312" w:eastAsia="仿宋_GB2312"/>
      <w:b/>
      <w:sz w:val="32"/>
      <w:szCs w:val="32"/>
    </w:rPr>
  </w:style>
  <w:style w:type="paragraph" w:customStyle="1" w:styleId="510">
    <w:name w:val="Char2 Char Char Char1"/>
    <w:basedOn w:val="1"/>
    <w:qFormat/>
    <w:uiPriority w:val="6"/>
    <w:rPr>
      <w:rFonts w:ascii="仿宋_GB2312" w:eastAsia="仿宋_GB2312"/>
      <w:b/>
      <w:sz w:val="32"/>
      <w:szCs w:val="32"/>
    </w:rPr>
  </w:style>
  <w:style w:type="paragraph" w:customStyle="1" w:styleId="511">
    <w:name w:val="默认段落样式"/>
    <w:basedOn w:val="140"/>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4"/>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next w:val="1"/>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qFormat/>
    <w:uiPriority w:val="0"/>
    <w:pPr>
      <w:adjustRightInd/>
      <w:ind w:firstLine="200" w:firstLineChars="200"/>
      <w:jc w:val="right"/>
    </w:pPr>
  </w:style>
  <w:style w:type="paragraph" w:customStyle="1" w:styleId="532">
    <w:name w:val="Char Char11 Char Char Char Char Char Char Char Char Char"/>
    <w:basedOn w:val="1"/>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6"/>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6"/>
    <w:next w:val="86"/>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6"/>
    <w:next w:val="86"/>
    <w:qFormat/>
    <w:uiPriority w:val="0"/>
    <w:rPr>
      <w:rFonts w:ascii="宋体" w:eastAsia="宋体" w:cs="Times New Roman"/>
      <w:color w:val="auto"/>
    </w:rPr>
  </w:style>
  <w:style w:type="paragraph" w:customStyle="1" w:styleId="55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qFormat/>
    <w:uiPriority w:val="0"/>
    <w:pPr>
      <w:spacing w:line="360" w:lineRule="auto"/>
    </w:pPr>
    <w:rPr>
      <w:szCs w:val="20"/>
    </w:rPr>
  </w:style>
  <w:style w:type="paragraph" w:customStyle="1" w:styleId="562">
    <w:name w:val="Char"/>
    <w:basedOn w:val="1"/>
    <w:qFormat/>
    <w:uiPriority w:val="0"/>
    <w:rPr>
      <w:rFonts w:ascii="仿宋_GB2312" w:eastAsia="仿宋_GB2312"/>
      <w:b/>
      <w:sz w:val="32"/>
      <w:szCs w:val="32"/>
    </w:rPr>
  </w:style>
  <w:style w:type="paragraph" w:customStyle="1" w:styleId="5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qFormat/>
    <w:uiPriority w:val="0"/>
    <w:rPr>
      <w:szCs w:val="20"/>
    </w:rPr>
  </w:style>
  <w:style w:type="paragraph" w:customStyle="1" w:styleId="566">
    <w:name w:val="正文标准"/>
    <w:basedOn w:val="1"/>
    <w:qFormat/>
    <w:uiPriority w:val="0"/>
    <w:pPr>
      <w:adjustRightInd/>
      <w:spacing w:line="360" w:lineRule="auto"/>
      <w:ind w:firstLine="200" w:firstLineChars="200"/>
    </w:pPr>
    <w:rPr>
      <w:rFonts w:ascii="宋体" w:hAnsi="Calibri"/>
      <w:sz w:val="24"/>
    </w:rPr>
  </w:style>
  <w:style w:type="paragraph" w:customStyle="1" w:styleId="56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156"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7"/>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3"/>
    <w:next w:val="1"/>
    <w:qFormat/>
    <w:uiPriority w:val="0"/>
    <w:pPr>
      <w:tabs>
        <w:tab w:val="left" w:pos="578"/>
        <w:tab w:val="left" w:pos="900"/>
        <w:tab w:val="left" w:pos="1440"/>
      </w:tabs>
      <w:ind w:left="1440" w:hanging="360"/>
    </w:pPr>
    <w:rPr>
      <w:rFonts w:ascii="仿宋" w:eastAsia="仿宋" w:cs="宋体"/>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2"/>
    <w:qFormat/>
    <w:uiPriority w:val="0"/>
    <w:pPr>
      <w:tabs>
        <w:tab w:val="left" w:pos="840"/>
      </w:tabs>
      <w:adjustRightInd/>
      <w:ind w:left="840" w:hanging="420"/>
    </w:pPr>
  </w:style>
  <w:style w:type="paragraph" w:customStyle="1" w:styleId="63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qFormat/>
    <w:uiPriority w:val="0"/>
    <w:pPr>
      <w:snapToGrid w:val="0"/>
      <w:ind w:firstLine="42" w:firstLineChars="21"/>
    </w:pPr>
    <w:rPr>
      <w:rFonts w:ascii="宋体" w:hAnsi="宋体"/>
      <w:kern w:val="0"/>
      <w:sz w:val="20"/>
      <w:szCs w:val="20"/>
    </w:rPr>
  </w:style>
  <w:style w:type="paragraph" w:customStyle="1" w:styleId="63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156"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spacing w:before="0" w:beforeLines="0" w:after="0" w:afterLines="0"/>
      <w:ind w:left="1680"/>
      <w:outlineLvl w:val="2"/>
    </w:pPr>
  </w:style>
  <w:style w:type="paragraph" w:customStyle="1" w:styleId="665">
    <w:name w:val="章标题"/>
    <w:next w:val="64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9">
    <w:name w:val="2级标题"/>
    <w:basedOn w:val="680"/>
    <w:qFormat/>
    <w:uiPriority w:val="0"/>
    <w:pPr>
      <w:jc w:val="left"/>
      <w:outlineLvl w:val="1"/>
    </w:pPr>
    <w:rPr>
      <w:rFonts w:ascii="Times New Roman" w:hAnsi="Times New Roman" w:eastAsia="仿宋"/>
      <w:sz w:val="30"/>
    </w:rPr>
  </w:style>
  <w:style w:type="paragraph" w:customStyle="1" w:styleId="68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0"/>
    <w:pPr>
      <w:tabs>
        <w:tab w:val="left" w:pos="840"/>
      </w:tabs>
      <w:adjustRightInd/>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6"/>
    <w:qFormat/>
    <w:uiPriority w:val="0"/>
    <w:pPr>
      <w:tabs>
        <w:tab w:val="left" w:pos="2100"/>
      </w:tabs>
      <w:adjustRightInd/>
      <w:ind w:left="2100" w:hanging="420"/>
    </w:pPr>
    <w:rPr>
      <w:lang w:val="en-US"/>
    </w:rPr>
  </w:style>
  <w:style w:type="paragraph" w:customStyle="1" w:styleId="69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6"/>
    <w:pPr>
      <w:spacing w:line="360" w:lineRule="auto"/>
    </w:pPr>
    <w:rPr>
      <w:szCs w:val="20"/>
    </w:rPr>
  </w:style>
  <w:style w:type="paragraph" w:customStyle="1" w:styleId="69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6"/>
    <w:rPr>
      <w:rFonts w:ascii="仿宋_GB2312" w:eastAsia="仿宋_GB2312"/>
      <w:b/>
      <w:sz w:val="32"/>
      <w:szCs w:val="32"/>
    </w:rPr>
  </w:style>
  <w:style w:type="paragraph" w:customStyle="1" w:styleId="70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adjustRightInd/>
      <w:spacing w:after="160" w:line="240" w:lineRule="exact"/>
      <w:jc w:val="left"/>
    </w:pPr>
    <w:rPr>
      <w:szCs w:val="20"/>
    </w:rPr>
  </w:style>
  <w:style w:type="paragraph" w:customStyle="1" w:styleId="712">
    <w:name w:val="Char Char1121"/>
    <w:basedOn w:val="1"/>
    <w:qFormat/>
    <w:uiPriority w:val="0"/>
    <w:pPr>
      <w:spacing w:line="360" w:lineRule="auto"/>
    </w:pPr>
    <w:rPr>
      <w:szCs w:val="20"/>
    </w:rPr>
  </w:style>
  <w:style w:type="paragraph" w:customStyle="1" w:styleId="7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0"/>
    <w:pPr>
      <w:spacing w:line="360" w:lineRule="atLeast"/>
      <w:jc w:val="right"/>
      <w:textAlignment w:val="baseline"/>
    </w:pPr>
    <w:rPr>
      <w:rFonts w:ascii="Symbol" w:hAnsi="Symbol"/>
      <w:kern w:val="0"/>
      <w:szCs w:val="20"/>
    </w:rPr>
  </w:style>
  <w:style w:type="paragraph" w:customStyle="1" w:styleId="7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qFormat/>
    <w:uiPriority w:val="0"/>
    <w:pPr>
      <w:spacing w:line="240" w:lineRule="atLeast"/>
      <w:ind w:left="420" w:firstLine="420"/>
    </w:pPr>
    <w:rPr>
      <w:sz w:val="24"/>
    </w:rPr>
  </w:style>
  <w:style w:type="paragraph" w:customStyle="1" w:styleId="723">
    <w:name w:val="WW-正文文字缩进 2"/>
    <w:basedOn w:val="1"/>
    <w:qFormat/>
    <w:uiPriority w:val="0"/>
    <w:pPr>
      <w:suppressAutoHyphens/>
      <w:adjustRightInd/>
      <w:ind w:firstLine="420"/>
    </w:pPr>
    <w:rPr>
      <w:kern w:val="1"/>
      <w:szCs w:val="20"/>
    </w:rPr>
  </w:style>
  <w:style w:type="paragraph" w:customStyle="1" w:styleId="7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0"/>
    <w:pPr>
      <w:adjustRightInd/>
      <w:spacing w:line="400" w:lineRule="exact"/>
      <w:ind w:firstLine="200" w:firstLineChars="200"/>
    </w:pPr>
    <w:rPr>
      <w:rFonts w:ascii="Arial" w:hAnsi="Arial"/>
    </w:rPr>
  </w:style>
  <w:style w:type="paragraph" w:customStyle="1" w:styleId="72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7"/>
    <w:qFormat/>
    <w:uiPriority w:val="0"/>
    <w:pPr>
      <w:spacing w:after="120" w:line="480" w:lineRule="auto"/>
      <w:ind w:left="420" w:leftChars="200"/>
    </w:pPr>
    <w:rPr>
      <w:sz w:val="24"/>
      <w:szCs w:val="20"/>
    </w:rPr>
  </w:style>
  <w:style w:type="paragraph" w:customStyle="1" w:styleId="7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4"/>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0"/>
    <w:rPr>
      <w:rFonts w:ascii="仿宋_GB2312" w:eastAsia="仿宋_GB2312"/>
      <w:b/>
      <w:sz w:val="32"/>
      <w:szCs w:val="32"/>
    </w:rPr>
  </w:style>
  <w:style w:type="paragraph" w:customStyle="1" w:styleId="743">
    <w:name w:val="Char3 Char Char Char1"/>
    <w:basedOn w:val="1"/>
    <w:qFormat/>
    <w:uiPriority w:val="6"/>
    <w:pPr>
      <w:widowControl/>
      <w:adjustRightInd/>
      <w:spacing w:after="160" w:line="240" w:lineRule="exact"/>
      <w:jc w:val="left"/>
    </w:pPr>
    <w:rPr>
      <w:szCs w:val="20"/>
    </w:rPr>
  </w:style>
  <w:style w:type="paragraph" w:customStyle="1" w:styleId="744">
    <w:name w:val="Char1 Char Char Char21"/>
    <w:basedOn w:val="1"/>
    <w:qFormat/>
    <w:uiPriority w:val="0"/>
    <w:rPr>
      <w:rFonts w:ascii="Tahoma" w:hAnsi="Tahoma"/>
      <w:sz w:val="24"/>
      <w:szCs w:val="20"/>
    </w:rPr>
  </w:style>
  <w:style w:type="paragraph" w:customStyle="1" w:styleId="74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qFormat/>
    <w:uiPriority w:val="0"/>
    <w:pPr>
      <w:spacing w:line="360" w:lineRule="auto"/>
      <w:ind w:firstLine="200" w:firstLineChars="200"/>
    </w:pPr>
    <w:rPr>
      <w:sz w:val="24"/>
    </w:rPr>
  </w:style>
  <w:style w:type="paragraph" w:customStyle="1" w:styleId="74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0"/>
    <w:pPr>
      <w:adjustRightInd/>
      <w:ind w:firstLine="200" w:firstLineChars="200"/>
    </w:pPr>
    <w:rPr>
      <w:rFonts w:ascii="Tahoma" w:hAnsi="Tahoma"/>
      <w:sz w:val="24"/>
      <w:szCs w:val="20"/>
    </w:rPr>
  </w:style>
  <w:style w:type="paragraph" w:customStyle="1" w:styleId="753">
    <w:name w:val="_标题2"/>
    <w:basedOn w:val="720"/>
    <w:next w:val="72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0"/>
    <w:pPr>
      <w:adjustRightInd/>
    </w:pPr>
    <w:rPr>
      <w:rFonts w:ascii="Tahoma" w:hAnsi="Tahoma"/>
      <w:sz w:val="24"/>
    </w:rPr>
  </w:style>
  <w:style w:type="paragraph" w:customStyle="1" w:styleId="761">
    <w:name w:val="Char Char Char Char11"/>
    <w:basedOn w:val="1"/>
    <w:qFormat/>
    <w:uiPriority w:val="0"/>
    <w:rPr>
      <w:rFonts w:ascii="Tahoma" w:hAnsi="Tahoma"/>
      <w:sz w:val="24"/>
      <w:szCs w:val="20"/>
    </w:rPr>
  </w:style>
  <w:style w:type="paragraph" w:customStyle="1" w:styleId="76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0"/>
    <w:pPr>
      <w:adjustRightInd/>
    </w:pPr>
    <w:rPr>
      <w:szCs w:val="20"/>
    </w:rPr>
  </w:style>
  <w:style w:type="paragraph" w:customStyle="1" w:styleId="7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34"/>
    <w:pPr>
      <w:adjustRightInd/>
      <w:ind w:firstLine="420" w:firstLineChars="200"/>
    </w:pPr>
    <w:rPr>
      <w:rFonts w:eastAsia="仿宋_GB2312"/>
      <w:sz w:val="28"/>
    </w:rPr>
  </w:style>
  <w:style w:type="paragraph" w:customStyle="1" w:styleId="7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0"/>
    <w:pPr>
      <w:adjustRightInd/>
      <w:ind w:firstLine="200" w:firstLineChars="200"/>
    </w:pPr>
    <w:rPr>
      <w:rFonts w:ascii="Tahoma" w:hAnsi="Tahoma"/>
      <w:sz w:val="24"/>
      <w:szCs w:val="20"/>
    </w:rPr>
  </w:style>
  <w:style w:type="paragraph" w:customStyle="1" w:styleId="79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qFormat/>
    <w:uiPriority w:val="0"/>
    <w:rPr>
      <w:rFonts w:ascii="仿宋_GB2312" w:eastAsia="仿宋_GB2312"/>
      <w:b/>
      <w:sz w:val="32"/>
      <w:szCs w:val="32"/>
    </w:rPr>
  </w:style>
  <w:style w:type="paragraph" w:customStyle="1" w:styleId="801">
    <w:name w:val="五级条标题"/>
    <w:basedOn w:val="802"/>
    <w:next w:val="647"/>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qFormat/>
    <w:uiPriority w:val="0"/>
    <w:pPr>
      <w:tabs>
        <w:tab w:val="left" w:pos="2940"/>
        <w:tab w:val="clear" w:pos="2520"/>
      </w:tabs>
      <w:ind w:left="2940"/>
      <w:outlineLvl w:val="5"/>
    </w:pPr>
  </w:style>
  <w:style w:type="paragraph" w:customStyle="1" w:styleId="80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31"/>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2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19"/>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90"/>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5"/>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6"/>
    <w:qFormat/>
    <w:uiPriority w:val="0"/>
    <w:rPr>
      <w:b w:val="0"/>
      <w:sz w:val="20"/>
    </w:rPr>
  </w:style>
  <w:style w:type="paragraph" w:customStyle="1" w:styleId="90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7"/>
    <w:next w:val="1"/>
    <w:qFormat/>
    <w:uiPriority w:val="0"/>
    <w:pPr>
      <w:tabs>
        <w:tab w:val="left" w:pos="1080"/>
      </w:tabs>
      <w:ind w:left="1080" w:hanging="1080"/>
    </w:pPr>
  </w:style>
  <w:style w:type="paragraph" w:customStyle="1" w:styleId="903">
    <w:name w:val="数字标题1"/>
    <w:basedOn w:val="2"/>
    <w:next w:val="1"/>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qFormat/>
    <w:uiPriority w:val="0"/>
    <w:pPr>
      <w:widowControl/>
    </w:pPr>
    <w:rPr>
      <w:kern w:val="0"/>
      <w:sz w:val="24"/>
      <w:szCs w:val="20"/>
    </w:rPr>
  </w:style>
  <w:style w:type="paragraph" w:customStyle="1" w:styleId="911">
    <w:name w:val="Char Char113"/>
    <w:basedOn w:val="1"/>
    <w:qFormat/>
    <w:uiPriority w:val="0"/>
    <w:pPr>
      <w:widowControl/>
      <w:spacing w:after="160" w:line="240" w:lineRule="exact"/>
      <w:jc w:val="left"/>
    </w:pPr>
    <w:rPr>
      <w:rFonts w:eastAsia="仿宋_GB2312"/>
      <w:sz w:val="28"/>
    </w:rPr>
  </w:style>
  <w:style w:type="paragraph" w:customStyle="1" w:styleId="9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qFormat/>
    <w:uiPriority w:val="34"/>
    <w:pPr>
      <w:adjustRightInd/>
      <w:ind w:firstLine="420" w:firstLineChars="200"/>
    </w:pPr>
    <w:rPr>
      <w:rFonts w:eastAsia="仿宋_GB2312"/>
      <w:sz w:val="28"/>
    </w:rPr>
  </w:style>
  <w:style w:type="paragraph" w:customStyle="1" w:styleId="91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qFormat/>
    <w:uiPriority w:val="6"/>
    <w:pPr>
      <w:widowControl/>
      <w:spacing w:after="160" w:line="240" w:lineRule="exact"/>
      <w:jc w:val="left"/>
    </w:pPr>
    <w:rPr>
      <w:rFonts w:eastAsia="仿宋_GB2312"/>
      <w:sz w:val="28"/>
    </w:rPr>
  </w:style>
  <w:style w:type="paragraph" w:customStyle="1" w:styleId="920">
    <w:name w:val="正文 图"/>
    <w:basedOn w:val="450"/>
    <w:qFormat/>
    <w:uiPriority w:val="0"/>
    <w:pPr>
      <w:adjustRightInd/>
      <w:spacing w:before="0"/>
      <w:ind w:firstLine="0"/>
      <w:jc w:val="center"/>
    </w:pPr>
    <w:rPr>
      <w:rFonts w:ascii="微软雅黑" w:hAnsi="微软雅黑"/>
    </w:rPr>
  </w:style>
  <w:style w:type="paragraph" w:customStyle="1" w:styleId="92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9"/>
    <w:qFormat/>
    <w:uiPriority w:val="0"/>
    <w:pPr>
      <w:ind w:left="0"/>
    </w:pPr>
  </w:style>
  <w:style w:type="paragraph" w:customStyle="1" w:styleId="92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qFormat/>
    <w:uiPriority w:val="0"/>
    <w:pPr>
      <w:adjustRightInd/>
      <w:spacing w:line="360" w:lineRule="auto"/>
      <w:ind w:firstLine="480"/>
    </w:pPr>
    <w:rPr>
      <w:sz w:val="24"/>
    </w:rPr>
  </w:style>
  <w:style w:type="table" w:customStyle="1" w:styleId="927">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3">
    <w:name w:val="列出段落111"/>
    <w:basedOn w:val="1"/>
    <w:qFormat/>
    <w:uiPriority w:val="34"/>
    <w:pPr>
      <w:ind w:firstLine="420" w:firstLineChars="200"/>
    </w:p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字符"/>
    <w:link w:val="38"/>
    <w:qFormat/>
    <w:uiPriority w:val="0"/>
    <w:rPr>
      <w:kern w:val="2"/>
      <w:sz w:val="21"/>
      <w:szCs w:val="24"/>
      <w:lang w:val="zh-CN"/>
    </w:rPr>
  </w:style>
  <w:style w:type="character" w:customStyle="1" w:styleId="939">
    <w:name w:val="无间隔 字符"/>
    <w:link w:val="490"/>
    <w:qFormat/>
    <w:uiPriority w:val="99"/>
    <w:rPr>
      <w:kern w:val="2"/>
      <w:sz w:val="21"/>
      <w:szCs w:val="22"/>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90"/>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3"/>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1"/>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paragraph" w:customStyle="1" w:styleId="970">
    <w:name w:val="Body text|1"/>
    <w:basedOn w:val="1"/>
    <w:qFormat/>
    <w:uiPriority w:val="0"/>
    <w:pPr>
      <w:spacing w:line="391" w:lineRule="auto"/>
      <w:ind w:firstLine="400"/>
    </w:pPr>
    <w:rPr>
      <w:rFonts w:ascii="宋体" w:hAnsi="宋体" w:cs="宋体"/>
      <w:lang w:val="zh-TW" w:eastAsia="zh-TW" w:bidi="zh-TW"/>
    </w:rPr>
  </w:style>
  <w:style w:type="character" w:customStyle="1" w:styleId="971">
    <w:name w:val="font101"/>
    <w:basedOn w:val="71"/>
    <w:qFormat/>
    <w:uiPriority w:val="0"/>
    <w:rPr>
      <w:rFonts w:hint="eastAsia" w:ascii="宋体" w:hAnsi="宋体" w:eastAsia="宋体" w:cs="宋体"/>
      <w:color w:val="FF0000"/>
      <w:sz w:val="20"/>
      <w:szCs w:val="20"/>
      <w:u w:val="none"/>
    </w:rPr>
  </w:style>
  <w:style w:type="paragraph" w:customStyle="1" w:styleId="972">
    <w:name w:val="封面编号"/>
    <w:basedOn w:val="1"/>
    <w:qFormat/>
    <w:uiPriority w:val="0"/>
    <w:pPr>
      <w:spacing w:line="360" w:lineRule="auto"/>
      <w:jc w:val="center"/>
    </w:pPr>
    <w:rPr>
      <w:rFonts w:ascii="黑体" w:hAnsi="宋体" w:eastAsia="黑体" w:cs="宋体"/>
      <w:b/>
      <w:bCs/>
      <w:sz w:val="38"/>
      <w:szCs w:val="20"/>
    </w:rPr>
  </w:style>
  <w:style w:type="table" w:customStyle="1" w:styleId="973">
    <w:name w:val="Table Normal"/>
    <w:semiHidden/>
    <w:unhideWhenUsed/>
    <w:qFormat/>
    <w:uiPriority w:val="0"/>
    <w:tblPr>
      <w:tblCellMar>
        <w:top w:w="0" w:type="dxa"/>
        <w:left w:w="0" w:type="dxa"/>
        <w:bottom w:w="0" w:type="dxa"/>
        <w:right w:w="0" w:type="dxa"/>
      </w:tblCellMar>
    </w:tblPr>
  </w:style>
  <w:style w:type="character" w:customStyle="1" w:styleId="97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5">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44</Pages>
  <Words>18927</Words>
  <Characters>19970</Characters>
  <Lines>191</Lines>
  <Paragraphs>53</Paragraphs>
  <TotalTime>8</TotalTime>
  <ScaleCrop>false</ScaleCrop>
  <LinksUpToDate>false</LinksUpToDate>
  <CharactersWithSpaces>23255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DELL</cp:lastModifiedBy>
  <cp:lastPrinted>2021-12-27T03:06:00Z</cp:lastPrinted>
  <dcterms:modified xsi:type="dcterms:W3CDTF">2024-05-29T00:47:15Z</dcterms:modified>
  <dc:title>杭州市市民卡扩大发卡工程</dc:title>
  <cp:revision>211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53E76045FAEA480990621F351BBF5DC2_13</vt:lpwstr>
  </property>
  <property fmtid="{D5CDD505-2E9C-101B-9397-08002B2CF9AE}" pid="5" name="commondata">
    <vt:lpwstr>eyJoZGlkIjoiMzdkYTNjODAzOWEyZTBjZWI2OWE0Y2U2MTNhOGNiNmUifQ==</vt:lpwstr>
  </property>
</Properties>
</file>