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lang w:val="en-US"/>
        </w:rPr>
      </w:pPr>
    </w:p>
    <w:p>
      <w:pPr>
        <w:pStyle w:val="969"/>
        <w:spacing w:line="760" w:lineRule="exact"/>
        <w:rPr>
          <w:rFonts w:hint="eastAsia" w:ascii="宋体" w:hAnsi="宋体" w:eastAsia="宋体" w:cs="宋体"/>
          <w:b/>
          <w:bCs/>
          <w:color w:val="auto"/>
          <w:kern w:val="2"/>
          <w:sz w:val="72"/>
          <w:szCs w:val="72"/>
          <w:highlight w:val="none"/>
          <w:lang w:val="en-US" w:eastAsia="zh-CN" w:bidi="ar-SA"/>
        </w:rPr>
      </w:pPr>
    </w:p>
    <w:p>
      <w:pPr>
        <w:pStyle w:val="2"/>
        <w:jc w:val="center"/>
        <w:rPr>
          <w:rFonts w:hint="eastAsia" w:ascii="宋体" w:hAnsi="宋体" w:eastAsia="宋体" w:cs="宋体"/>
          <w:b/>
          <w:bCs/>
          <w:color w:val="auto"/>
          <w:kern w:val="2"/>
          <w:sz w:val="52"/>
          <w:szCs w:val="52"/>
          <w:highlight w:val="none"/>
          <w:lang w:val="en-US" w:eastAsia="zh-CN" w:bidi="ar-SA"/>
        </w:rPr>
      </w:pPr>
      <w:r>
        <w:rPr>
          <w:rFonts w:hint="eastAsia" w:hAnsi="宋体" w:cs="宋体"/>
          <w:b/>
          <w:bCs/>
          <w:color w:val="auto"/>
          <w:kern w:val="2"/>
          <w:sz w:val="44"/>
          <w:szCs w:val="44"/>
          <w:highlight w:val="none"/>
          <w:lang w:val="en-US" w:eastAsia="zh-CN" w:bidi="ar-SA"/>
        </w:rPr>
        <w:t>杭州萧山供水有限公司年度保温材料采购项目</w:t>
      </w:r>
    </w:p>
    <w:p>
      <w:pPr>
        <w:pStyle w:val="81"/>
        <w:rPr>
          <w:rFonts w:hint="eastAsia" w:ascii="宋体" w:hAnsi="宋体" w:eastAsia="宋体" w:cs="宋体"/>
          <w:color w:val="auto"/>
          <w:highlight w:val="none"/>
          <w:lang w:val="en-US" w:eastAsia="zh-CN"/>
        </w:rPr>
      </w:pPr>
    </w:p>
    <w:p>
      <w:pPr>
        <w:adjustRightInd/>
        <w:spacing w:line="360" w:lineRule="auto"/>
        <w:jc w:val="center"/>
        <w:rPr>
          <w:rFonts w:hint="eastAsia" w:ascii="宋体" w:hAnsi="宋体" w:eastAsia="宋体" w:cs="宋体"/>
          <w:b/>
          <w:bCs/>
          <w:color w:val="auto"/>
          <w:sz w:val="72"/>
          <w:szCs w:val="72"/>
          <w:highlight w:val="none"/>
          <w:lang w:eastAsia="zh-CN"/>
        </w:rPr>
      </w:pPr>
      <w:bookmarkStart w:id="383" w:name="_GoBack"/>
      <w:bookmarkEnd w:id="383"/>
    </w:p>
    <w:p>
      <w:pPr>
        <w:adjustRightInd/>
        <w:spacing w:line="360" w:lineRule="auto"/>
        <w:jc w:val="center"/>
        <w:rPr>
          <w:rFonts w:ascii="仿宋" w:hAnsi="仿宋" w:eastAsia="仿宋" w:cs="仿宋"/>
          <w:b/>
          <w:color w:val="auto"/>
          <w:sz w:val="84"/>
          <w:szCs w:val="84"/>
          <w:highlight w:val="none"/>
        </w:rPr>
      </w:pPr>
      <w:r>
        <w:rPr>
          <w:rFonts w:hint="eastAsia" w:ascii="仿宋" w:hAnsi="仿宋" w:eastAsia="仿宋" w:cs="仿宋"/>
          <w:b/>
          <w:color w:val="auto"/>
          <w:sz w:val="84"/>
          <w:szCs w:val="84"/>
          <w:highlight w:val="none"/>
        </w:rPr>
        <w:t>交易文件</w:t>
      </w:r>
    </w:p>
    <w:p>
      <w:pPr>
        <w:adjustRightInd/>
        <w:spacing w:line="360" w:lineRule="auto"/>
        <w:jc w:val="center"/>
        <w:rPr>
          <w:rFonts w:ascii="仿宋" w:hAnsi="仿宋" w:eastAsia="仿宋" w:cs="仿宋"/>
          <w:b/>
          <w:color w:val="auto"/>
          <w:sz w:val="56"/>
          <w:szCs w:val="72"/>
          <w:highlight w:val="none"/>
        </w:rPr>
      </w:pPr>
      <w:r>
        <w:rPr>
          <w:rFonts w:hint="eastAsia" w:ascii="仿宋" w:hAnsi="仿宋" w:eastAsia="仿宋" w:cs="仿宋"/>
          <w:b/>
          <w:color w:val="auto"/>
          <w:sz w:val="56"/>
          <w:szCs w:val="72"/>
          <w:highlight w:val="none"/>
        </w:rPr>
        <w:t>（电子交易标）</w:t>
      </w:r>
    </w:p>
    <w:p>
      <w:pPr>
        <w:adjustRightInd/>
        <w:spacing w:line="360" w:lineRule="auto"/>
        <w:jc w:val="center"/>
        <w:rPr>
          <w:rFonts w:hint="eastAsia" w:ascii="宋体" w:hAnsi="宋体" w:eastAsia="宋体" w:cs="宋体"/>
          <w:b/>
          <w:color w:val="auto"/>
          <w:sz w:val="44"/>
          <w:szCs w:val="44"/>
          <w:highlight w:val="none"/>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交易</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w:t>
      </w:r>
      <w:r>
        <w:rPr>
          <w:rFonts w:hint="eastAsia" w:ascii="宋体" w:hAnsi="宋体" w:cs="宋体"/>
          <w:b/>
          <w:bCs/>
          <w:color w:val="auto"/>
          <w:sz w:val="30"/>
          <w:szCs w:val="30"/>
          <w:highlight w:val="none"/>
          <w:lang w:eastAsia="zh-CN"/>
        </w:rPr>
        <w:t>BWZBDL2024</w:t>
      </w:r>
      <w:r>
        <w:rPr>
          <w:rFonts w:hint="eastAsia" w:ascii="宋体" w:hAnsi="宋体" w:eastAsia="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101（2）</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pStyle w:val="84"/>
        <w:rPr>
          <w:rFonts w:hint="eastAsia" w:ascii="宋体" w:hAnsi="宋体" w:eastAsia="宋体" w:cs="宋体"/>
          <w:color w:val="auto"/>
          <w:sz w:val="24"/>
          <w:highlight w:val="none"/>
        </w:rPr>
      </w:pPr>
    </w:p>
    <w:p>
      <w:pPr>
        <w:pStyle w:val="84"/>
        <w:rPr>
          <w:rFonts w:hint="eastAsia" w:ascii="宋体" w:hAnsi="宋体" w:eastAsia="宋体" w:cs="宋体"/>
          <w:color w:val="auto"/>
          <w:sz w:val="24"/>
          <w:highlight w:val="none"/>
        </w:rPr>
      </w:pPr>
    </w:p>
    <w:p>
      <w:pPr>
        <w:pStyle w:val="81"/>
        <w:ind w:left="0" w:leftChars="0" w:firstLine="0" w:firstLineChars="0"/>
        <w:rPr>
          <w:rFonts w:hint="eastAsia" w:ascii="宋体" w:hAnsi="宋体" w:eastAsia="宋体" w:cs="宋体"/>
          <w:color w:val="auto"/>
          <w:highlight w:val="none"/>
          <w:lang w:val="en-US" w:eastAsia="zh-CN"/>
        </w:rPr>
      </w:pPr>
    </w:p>
    <w:p>
      <w:pPr>
        <w:spacing w:line="360" w:lineRule="auto"/>
        <w:ind w:firstLine="964" w:firstLineChars="300"/>
        <w:jc w:val="both"/>
        <w:rPr>
          <w:rFonts w:hint="eastAsia" w:ascii="宋体" w:hAnsi="宋体" w:eastAsia="宋体" w:cs="宋体"/>
          <w:b/>
          <w:color w:val="auto"/>
          <w:spacing w:val="0"/>
          <w:kern w:val="2"/>
          <w:sz w:val="32"/>
          <w:szCs w:val="30"/>
          <w:highlight w:val="none"/>
          <w:lang w:val="en-US" w:eastAsia="zh-CN"/>
        </w:rPr>
      </w:pPr>
    </w:p>
    <w:p>
      <w:pPr>
        <w:spacing w:line="360" w:lineRule="auto"/>
        <w:ind w:firstLine="964" w:firstLineChars="300"/>
        <w:jc w:val="both"/>
        <w:rPr>
          <w:rFonts w:hint="eastAsia" w:ascii="宋体" w:hAnsi="宋体" w:eastAsia="宋体" w:cs="宋体"/>
          <w:b/>
          <w:color w:val="auto"/>
          <w:spacing w:val="0"/>
          <w:kern w:val="2"/>
          <w:sz w:val="32"/>
          <w:szCs w:val="30"/>
          <w:highlight w:val="none"/>
          <w:lang w:eastAsia="zh-CN"/>
        </w:rPr>
      </w:pPr>
      <w:r>
        <w:rPr>
          <w:rFonts w:hint="eastAsia" w:ascii="宋体" w:hAnsi="宋体" w:eastAsia="宋体" w:cs="宋体"/>
          <w:b/>
          <w:color w:val="auto"/>
          <w:spacing w:val="0"/>
          <w:kern w:val="2"/>
          <w:sz w:val="32"/>
          <w:szCs w:val="30"/>
          <w:highlight w:val="none"/>
          <w:lang w:val="en-US" w:eastAsia="zh-CN"/>
        </w:rPr>
        <w:t>交易</w:t>
      </w:r>
      <w:r>
        <w:rPr>
          <w:rFonts w:hint="eastAsia" w:ascii="宋体" w:hAnsi="宋体" w:eastAsia="宋体" w:cs="宋体"/>
          <w:b/>
          <w:color w:val="auto"/>
          <w:spacing w:val="0"/>
          <w:kern w:val="2"/>
          <w:sz w:val="32"/>
          <w:szCs w:val="30"/>
          <w:highlight w:val="none"/>
          <w:lang w:eastAsia="zh-CN"/>
        </w:rPr>
        <w:t>发起人：</w:t>
      </w:r>
      <w:r>
        <w:rPr>
          <w:rFonts w:hint="eastAsia" w:ascii="宋体" w:hAnsi="宋体" w:cs="宋体"/>
          <w:b/>
          <w:color w:val="auto"/>
          <w:spacing w:val="0"/>
          <w:kern w:val="2"/>
          <w:sz w:val="32"/>
          <w:szCs w:val="30"/>
          <w:highlight w:val="none"/>
          <w:lang w:eastAsia="zh-CN"/>
        </w:rPr>
        <w:t>杭州萧山供水有限公司</w:t>
      </w:r>
    </w:p>
    <w:p>
      <w:pPr>
        <w:spacing w:line="360" w:lineRule="auto"/>
        <w:ind w:firstLine="964" w:firstLineChars="300"/>
        <w:jc w:val="both"/>
        <w:rPr>
          <w:rFonts w:hint="eastAsia" w:ascii="宋体" w:hAnsi="宋体" w:eastAsia="宋体" w:cs="宋体"/>
          <w:b/>
          <w:bCs w:val="0"/>
          <w:color w:val="auto"/>
          <w:spacing w:val="0"/>
          <w:sz w:val="32"/>
          <w:szCs w:val="32"/>
          <w:highlight w:val="none"/>
          <w:lang w:eastAsia="zh-CN"/>
        </w:rPr>
      </w:pPr>
      <w:r>
        <w:rPr>
          <w:rFonts w:hint="eastAsia" w:ascii="宋体" w:hAnsi="宋体" w:eastAsia="宋体" w:cs="宋体"/>
          <w:b/>
          <w:bCs w:val="0"/>
          <w:color w:val="auto"/>
          <w:spacing w:val="0"/>
          <w:sz w:val="32"/>
          <w:szCs w:val="30"/>
          <w:highlight w:val="none"/>
          <w:lang w:val="en-US" w:eastAsia="zh-CN"/>
        </w:rPr>
        <w:t>代理机构</w:t>
      </w:r>
      <w:r>
        <w:rPr>
          <w:rFonts w:hint="eastAsia" w:ascii="宋体" w:hAnsi="宋体" w:eastAsia="宋体" w:cs="宋体"/>
          <w:b/>
          <w:bCs w:val="0"/>
          <w:color w:val="auto"/>
          <w:spacing w:val="0"/>
          <w:sz w:val="32"/>
          <w:szCs w:val="30"/>
          <w:highlight w:val="none"/>
          <w:lang w:eastAsia="zh-CN"/>
        </w:rPr>
        <w:t>：杭州博望建设工程招标投标代理有限公司</w:t>
      </w:r>
    </w:p>
    <w:p>
      <w:pPr>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二〇二</w:t>
      </w:r>
      <w:r>
        <w:rPr>
          <w:rFonts w:hint="eastAsia" w:ascii="宋体" w:hAnsi="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五</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三十</w:t>
      </w:r>
      <w:r>
        <w:rPr>
          <w:rFonts w:hint="eastAsia" w:ascii="宋体" w:hAnsi="宋体" w:eastAsia="宋体" w:cs="宋体"/>
          <w:b/>
          <w:bCs w:val="0"/>
          <w:color w:val="auto"/>
          <w:sz w:val="32"/>
          <w:szCs w:val="32"/>
          <w:highlight w:val="none"/>
          <w:lang w:eastAsia="zh-CN"/>
        </w:rPr>
        <w:t>日</w:t>
      </w:r>
    </w:p>
    <w:p>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响应人</w:t>
      </w:r>
      <w:r>
        <w:rPr>
          <w:rFonts w:hint="eastAsia" w:ascii="宋体" w:hAnsi="宋体" w:eastAsia="宋体" w:cs="宋体"/>
          <w:color w:val="auto"/>
          <w:sz w:val="32"/>
          <w:szCs w:val="32"/>
          <w:highlight w:val="none"/>
        </w:rPr>
        <w:t>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color w:val="auto"/>
          <w:sz w:val="32"/>
          <w:szCs w:val="32"/>
          <w:highlight w:val="none"/>
          <w:lang w:eastAsia="zh-CN"/>
        </w:rPr>
        <w:t>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b/>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编号：</w:t>
      </w:r>
      <w:r>
        <w:rPr>
          <w:rFonts w:hint="eastAsia" w:ascii="宋体" w:hAnsi="宋体" w:cs="宋体"/>
          <w:b w:val="0"/>
          <w:bCs/>
          <w:color w:val="auto"/>
          <w:sz w:val="24"/>
          <w:highlight w:val="none"/>
          <w:u w:val="none"/>
          <w:lang w:eastAsia="zh-CN"/>
        </w:rPr>
        <w:t>BWZBDL2024</w:t>
      </w:r>
      <w:r>
        <w:rPr>
          <w:rFonts w:hint="eastAsia" w:ascii="宋体" w:hAnsi="宋体" w:eastAsia="宋体" w:cs="宋体"/>
          <w:b w:val="0"/>
          <w:bCs/>
          <w:color w:val="auto"/>
          <w:sz w:val="24"/>
          <w:highlight w:val="none"/>
          <w:u w:val="none"/>
          <w:lang w:eastAsia="zh-CN"/>
        </w:rPr>
        <w:t>-</w:t>
      </w:r>
      <w:r>
        <w:rPr>
          <w:rFonts w:hint="eastAsia" w:ascii="宋体" w:hAnsi="宋体" w:cs="宋体"/>
          <w:b w:val="0"/>
          <w:bCs/>
          <w:color w:val="auto"/>
          <w:sz w:val="24"/>
          <w:highlight w:val="none"/>
          <w:u w:val="none"/>
          <w:lang w:val="en-US" w:eastAsia="zh-CN"/>
        </w:rPr>
        <w:t>101（2）</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val="0"/>
          <w:bCs/>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名称：</w:t>
      </w:r>
      <w:r>
        <w:rPr>
          <w:rFonts w:hint="eastAsia" w:ascii="宋体" w:hAnsi="宋体" w:cs="宋体"/>
          <w:b w:val="0"/>
          <w:bCs/>
          <w:color w:val="auto"/>
          <w:sz w:val="24"/>
          <w:highlight w:val="none"/>
          <w:u w:val="none"/>
          <w:lang w:val="en-US" w:eastAsia="zh-CN"/>
        </w:rPr>
        <w:t>杭州萧山供水有限公司年度保温材料采购项目</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color w:val="auto"/>
          <w:sz w:val="24"/>
          <w:szCs w:val="28"/>
          <w:highlight w:val="none"/>
          <w:u w:val="none"/>
          <w:lang w:val="en-US" w:eastAsia="zh-CN"/>
        </w:rPr>
      </w:pPr>
      <w:r>
        <w:rPr>
          <w:rFonts w:hint="eastAsia" w:ascii="宋体" w:hAnsi="宋体" w:eastAsia="宋体" w:cs="宋体"/>
          <w:b/>
          <w:color w:val="auto"/>
          <w:sz w:val="24"/>
          <w:highlight w:val="none"/>
          <w:u w:val="none"/>
        </w:rPr>
        <w:t>预算金额：</w:t>
      </w:r>
      <w:r>
        <w:rPr>
          <w:rFonts w:hint="eastAsia" w:ascii="宋体" w:hAnsi="宋体" w:cs="宋体"/>
          <w:color w:val="auto"/>
          <w:sz w:val="24"/>
          <w:szCs w:val="28"/>
          <w:highlight w:val="none"/>
          <w:u w:val="none"/>
          <w:lang w:val="en-US" w:eastAsia="zh-CN"/>
        </w:rPr>
        <w:t>390000.00元/年</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color w:val="auto"/>
          <w:sz w:val="24"/>
          <w:highlight w:val="none"/>
          <w:u w:val="none"/>
          <w:lang w:val="en-US"/>
        </w:rPr>
      </w:pPr>
      <w:r>
        <w:rPr>
          <w:rFonts w:hint="eastAsia" w:ascii="宋体" w:hAnsi="宋体" w:eastAsia="宋体" w:cs="宋体"/>
          <w:b/>
          <w:color w:val="auto"/>
          <w:sz w:val="24"/>
          <w:highlight w:val="none"/>
          <w:u w:val="none"/>
        </w:rPr>
        <w:t>最高限价：</w:t>
      </w:r>
      <w:r>
        <w:rPr>
          <w:rFonts w:hint="eastAsia" w:ascii="宋体" w:hAnsi="宋体" w:cs="宋体"/>
          <w:b w:val="0"/>
          <w:bCs/>
          <w:color w:val="auto"/>
          <w:sz w:val="24"/>
          <w:highlight w:val="none"/>
          <w:u w:val="none"/>
          <w:lang w:val="en-US" w:eastAsia="zh-CN"/>
        </w:rPr>
        <w:t>统一折扣100.00%</w:t>
      </w:r>
    </w:p>
    <w:p>
      <w:pPr>
        <w:pStyle w:val="18"/>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需求：</w:t>
      </w:r>
      <w:r>
        <w:rPr>
          <w:rFonts w:hint="eastAsia" w:ascii="宋体" w:hAnsi="宋体" w:cs="宋体"/>
          <w:b w:val="0"/>
          <w:bCs/>
          <w:color w:val="auto"/>
          <w:sz w:val="24"/>
          <w:highlight w:val="none"/>
          <w:u w:val="none"/>
          <w:lang w:val="en-US" w:eastAsia="zh-CN"/>
        </w:rPr>
        <w:t>年度保温材料</w:t>
      </w:r>
      <w:r>
        <w:rPr>
          <w:rFonts w:hint="eastAsia" w:hAnsi="宋体" w:cs="宋体"/>
          <w:color w:val="auto"/>
          <w:sz w:val="24"/>
          <w:highlight w:val="none"/>
          <w:u w:val="none"/>
          <w:lang w:val="en-US" w:eastAsia="zh-CN"/>
        </w:rPr>
        <w:t>，1批，</w:t>
      </w:r>
      <w:r>
        <w:rPr>
          <w:rFonts w:hint="eastAsia" w:ascii="宋体" w:hAnsi="宋体" w:eastAsia="宋体" w:cs="宋体"/>
          <w:color w:val="auto"/>
          <w:sz w:val="24"/>
          <w:highlight w:val="none"/>
          <w:u w:val="none"/>
          <w:lang w:val="en-US" w:eastAsia="zh-CN"/>
        </w:rPr>
        <w:t>详见交易需求。</w:t>
      </w:r>
    </w:p>
    <w:p>
      <w:pPr>
        <w:pStyle w:val="18"/>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公开竞争文件</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）是；（√）否</w:t>
      </w:r>
      <w:r>
        <w:rPr>
          <w:rFonts w:hint="eastAsia" w:ascii="宋体" w:hAnsi="宋体" w:eastAsia="宋体" w:cs="宋体"/>
          <w:b w:val="0"/>
          <w:bCs/>
          <w:color w:val="auto"/>
          <w:sz w:val="24"/>
          <w:highlight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3"/>
        <w:keepNext w:val="0"/>
        <w:keepLines w:val="0"/>
        <w:pageBreakBefore w:val="0"/>
        <w:widowControl w:val="0"/>
        <w:kinsoku/>
        <w:wordWrap/>
        <w:overflowPunct/>
        <w:topLinePunct w:val="0"/>
        <w:bidi w:val="0"/>
        <w:adjustRightInd w:val="0"/>
        <w:snapToGrid/>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hAnsi="宋体" w:cs="宋体"/>
          <w:color w:val="auto"/>
          <w:sz w:val="24"/>
          <w:highlight w:val="none"/>
          <w:lang w:val="en-US" w:eastAsia="zh-CN"/>
        </w:rPr>
        <w:t>7、</w:t>
      </w:r>
      <w:r>
        <w:rPr>
          <w:rFonts w:hint="eastAsia" w:ascii="宋体" w:hAnsi="宋体" w:eastAsia="宋体" w:cs="宋体"/>
          <w:color w:val="auto"/>
          <w:sz w:val="24"/>
          <w:highlight w:val="none"/>
        </w:rPr>
        <w:t>本项目的特定资格要求：萧山区供水范围内</w:t>
      </w:r>
      <w:r>
        <w:rPr>
          <w:rFonts w:hint="eastAsia" w:hAnsi="宋体" w:cs="宋体"/>
          <w:color w:val="auto"/>
          <w:sz w:val="24"/>
          <w:highlight w:val="none"/>
          <w:lang w:val="en-US" w:eastAsia="zh-CN"/>
        </w:rPr>
        <w:t>具有</w:t>
      </w:r>
      <w:r>
        <w:rPr>
          <w:rFonts w:hint="eastAsia" w:ascii="宋体" w:hAnsi="宋体" w:eastAsia="宋体" w:cs="宋体"/>
          <w:color w:val="auto"/>
          <w:sz w:val="24"/>
          <w:highlight w:val="none"/>
        </w:rPr>
        <w:t>不小于500平米的材料仓库，保证极端天气情况下能应急供货的能力</w:t>
      </w:r>
      <w:r>
        <w:rPr>
          <w:rFonts w:hint="eastAsia" w:hAnsi="宋体" w:cs="宋体"/>
          <w:color w:val="auto"/>
          <w:sz w:val="24"/>
          <w:highlight w:val="none"/>
          <w:lang w:eastAsia="zh-CN"/>
        </w:rPr>
        <w:t>（</w:t>
      </w:r>
      <w:r>
        <w:rPr>
          <w:rFonts w:hint="eastAsia" w:ascii="宋体" w:hAnsi="宋体" w:eastAsia="宋体" w:cs="宋体"/>
          <w:color w:val="auto"/>
          <w:sz w:val="24"/>
          <w:highlight w:val="none"/>
        </w:rPr>
        <w:t>具体以</w:t>
      </w:r>
      <w:r>
        <w:rPr>
          <w:rFonts w:hint="eastAsia" w:hAnsi="宋体" w:cs="宋体"/>
          <w:color w:val="auto"/>
          <w:sz w:val="24"/>
          <w:highlight w:val="none"/>
          <w:lang w:val="en-US" w:eastAsia="zh-CN"/>
        </w:rPr>
        <w:t>响应人</w:t>
      </w:r>
      <w:r>
        <w:rPr>
          <w:rFonts w:hint="eastAsia" w:ascii="宋体" w:hAnsi="宋体" w:eastAsia="宋体" w:cs="宋体"/>
          <w:color w:val="auto"/>
          <w:sz w:val="24"/>
          <w:highlight w:val="none"/>
        </w:rPr>
        <w:t>房产证或房屋租赁合同为准</w:t>
      </w:r>
      <w:r>
        <w:rPr>
          <w:rFonts w:hint="eastAsia" w:hAnsi="宋体" w:cs="宋体"/>
          <w:color w:val="auto"/>
          <w:sz w:val="24"/>
          <w:highlight w:val="none"/>
          <w:lang w:eastAsia="zh-CN"/>
        </w:rPr>
        <w:t>）</w:t>
      </w:r>
      <w:r>
        <w:rPr>
          <w:rFonts w:hint="eastAsia" w:ascii="宋体" w:hAnsi="宋体" w:eastAsia="宋体" w:cs="宋体"/>
          <w:color w:val="auto"/>
          <w:sz w:val="24"/>
          <w:highlight w:val="none"/>
          <w:lang w:val="en-US" w:eastAsia="zh-CN"/>
        </w:rPr>
        <w:t>；</w:t>
      </w:r>
    </w:p>
    <w:p>
      <w:pPr>
        <w:pStyle w:val="3"/>
        <w:keepNext w:val="0"/>
        <w:keepLines w:val="0"/>
        <w:pageBreakBefore w:val="0"/>
        <w:widowControl w:val="0"/>
        <w:kinsoku/>
        <w:wordWrap/>
        <w:overflowPunct/>
        <w:topLinePunct w:val="0"/>
        <w:bidi w:val="0"/>
        <w:adjustRightInd w:val="0"/>
        <w:snapToGrid/>
        <w:ind w:left="0" w:leftChars="0" w:firstLine="480" w:firstLineChars="200"/>
        <w:textAlignment w:val="auto"/>
        <w:rPr>
          <w:rFonts w:hint="eastAsia" w:ascii="宋体" w:hAnsi="宋体" w:eastAsia="宋体" w:cs="宋体"/>
          <w:color w:val="auto"/>
          <w:highlight w:val="none"/>
          <w:u w:val="none"/>
          <w:lang w:val="en-US" w:eastAsia="zh-CN"/>
        </w:rPr>
      </w:pPr>
      <w:r>
        <w:rPr>
          <w:rFonts w:hint="eastAsia" w:hAnsi="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本项目不接受联合体参与（潜在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能独立完成本项目）</w:t>
      </w:r>
      <w:r>
        <w:rPr>
          <w:rFonts w:hint="eastAsia" w:ascii="宋体" w:hAnsi="宋体" w:eastAsia="宋体" w:cs="宋体"/>
          <w:color w:val="auto"/>
          <w:sz w:val="24"/>
          <w:highlight w:val="none"/>
          <w:u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 xml:space="preserve">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 xml:space="preserve">（https://www.zcygov.cn/）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https://www.zcygov.cn/在线申请获取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文件（进入“项目采购”应用，在获取采购文件菜单中选择项目，申请获取</w:t>
      </w: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 xml:space="preserve">文件）。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和地点</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（https://www.zcygov.cn/）</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（https://www.zcygov.cn/）</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、其他补充事宜</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使自己的权益受到损害的，可以自获取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和代理机构提出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、代理机构的答复不满意或者</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、代理机构未在规定的时间内作出答复的，可以在答复期满后</w:t>
      </w:r>
      <w:r>
        <w:rPr>
          <w:rFonts w:hint="eastAsia" w:ascii="宋体" w:hAnsi="宋体" w:eastAsia="宋体" w:cs="宋体"/>
          <w:color w:val="auto"/>
          <w:sz w:val="24"/>
          <w:highlight w:val="none"/>
          <w:lang w:val="en-US" w:eastAsia="zh-CN"/>
        </w:rPr>
        <w:t>10日</w:t>
      </w:r>
      <w:r>
        <w:rPr>
          <w:rFonts w:hint="eastAsia" w:ascii="宋体" w:hAnsi="宋体" w:eastAsia="宋体" w:cs="宋体"/>
          <w:color w:val="auto"/>
          <w:sz w:val="24"/>
          <w:highlight w:val="none"/>
        </w:rPr>
        <w:t>内向</w:t>
      </w:r>
      <w:r>
        <w:rPr>
          <w:rFonts w:hint="eastAsia" w:ascii="宋体" w:hAnsi="宋体" w:eastAsia="宋体" w:cs="宋体"/>
          <w:color w:val="auto"/>
          <w:sz w:val="24"/>
          <w:highlight w:val="none"/>
          <w:lang w:eastAsia="zh-CN"/>
        </w:rPr>
        <w:t>基层交易</w:t>
      </w:r>
      <w:r>
        <w:rPr>
          <w:rFonts w:hint="eastAsia" w:ascii="宋体" w:hAnsi="宋体" w:eastAsia="宋体" w:cs="宋体"/>
          <w:color w:val="auto"/>
          <w:sz w:val="24"/>
          <w:highlight w:val="none"/>
        </w:rPr>
        <w:t>监督</w:t>
      </w:r>
      <w:r>
        <w:rPr>
          <w:rFonts w:hint="eastAsia" w:ascii="宋体" w:hAnsi="宋体" w:eastAsia="宋体" w:cs="宋体"/>
          <w:color w:val="auto"/>
          <w:sz w:val="24"/>
          <w:highlight w:val="none"/>
          <w:lang w:eastAsia="zh-CN"/>
        </w:rPr>
        <w:t>机构提出</w:t>
      </w:r>
      <w:r>
        <w:rPr>
          <w:rFonts w:hint="eastAsia" w:ascii="宋体" w:hAnsi="宋体" w:eastAsia="宋体" w:cs="宋体"/>
          <w:color w:val="auto"/>
          <w:sz w:val="24"/>
          <w:highlight w:val="none"/>
        </w:rPr>
        <w:t>投诉。</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其他事项：电子招投标的说明：①电子招投标：本项目以数据电文形式，依托“政府采购云平台（www.zcygov.cn）”进行招投标活动，不接受纸质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；②投标准备：注册账号--点击“商家入驻”，进行政府采购</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的获取：使用账号登录或者使用CA登录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；进入“项目采购”应用，在获取采购文件菜单中选择项目，获取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的制作：在“政采云电子交易客户端”中完成“填写基本信息”“导入</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将依托</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完成本项目的电子交易活动，平台不接受未按上述方式获取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进行投标活动； ⑥对未按上述方式获取</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对该文件提出的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或代理机构将不予处理；⑦不提供</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纸质版；⑧</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截止时间前将加密的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上传至政府采购云平台；⑨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的规定在半小时内完成在线解密。通过“政府采购云平台”上传递交的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无法按时解密，视为</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撤回；⑩具体操作指南：详见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“服务中心-帮助文档-项目采购-操作流程-电子招投标-政府采购项目电子交易管理操作指南-</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、对本次</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提出</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、投诉，请按以下方式联系</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、交易发起人</w:t>
      </w:r>
      <w:r>
        <w:rPr>
          <w:rFonts w:hint="eastAsia" w:ascii="宋体" w:hAnsi="宋体" w:eastAsia="宋体" w:cs="宋体"/>
          <w:color w:val="auto"/>
          <w:sz w:val="24"/>
          <w:szCs w:val="28"/>
          <w:highlight w:val="none"/>
        </w:rPr>
        <w:t>信息</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名称：</w:t>
      </w:r>
      <w:r>
        <w:rPr>
          <w:rFonts w:hint="eastAsia" w:ascii="宋体" w:hAnsi="宋体" w:cs="宋体"/>
          <w:bCs/>
          <w:color w:val="auto"/>
          <w:sz w:val="24"/>
          <w:highlight w:val="none"/>
          <w:lang w:eastAsia="zh-CN"/>
        </w:rPr>
        <w:t>杭州萧山供水有限公司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杭州市萧山区蜀山街道潘水路428号</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项目联系人（询问）：沈工</w:t>
      </w:r>
    </w:p>
    <w:p>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项目联系方式（询问）：0571-82828967</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rPr>
      </w:pPr>
      <w:bookmarkStart w:id="10" w:name="_Toc28359009"/>
      <w:bookmarkStart w:id="11" w:name="_Toc28359086"/>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代理机构信息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szCs w:val="28"/>
          <w:highlight w:val="none"/>
          <w:lang w:val="en-US" w:eastAsia="zh-CN"/>
        </w:rPr>
        <w:t>赵鑫华</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szCs w:val="28"/>
          <w:highlight w:val="none"/>
        </w:rPr>
        <w:t>项目联系方式（询问）：0571-838812</w:t>
      </w:r>
      <w:r>
        <w:rPr>
          <w:rFonts w:hint="eastAsia" w:ascii="宋体" w:hAnsi="宋体" w:eastAsia="宋体" w:cs="宋体"/>
          <w:color w:val="auto"/>
          <w:sz w:val="24"/>
          <w:szCs w:val="28"/>
          <w:highlight w:val="none"/>
          <w:lang w:val="en-US" w:eastAsia="zh-CN"/>
        </w:rPr>
        <w:t>08</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（https://www.zcygov.cn/），点击右侧咨询小采，获取采小蜜智能服务管家帮助，或拨打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eastAsia="宋体" w:cs="宋体"/>
          <w:color w:val="auto"/>
          <w:sz w:val="24"/>
          <w:highlight w:val="none"/>
        </w:rPr>
        <w:t>服务热线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获取热线服务帮助。</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响应人</w:t>
      </w:r>
      <w:r>
        <w:rPr>
          <w:rFonts w:hint="eastAsia" w:ascii="宋体" w:hAnsi="宋体" w:eastAsia="宋体" w:cs="宋体"/>
          <w:b/>
          <w:color w:val="auto"/>
          <w:sz w:val="36"/>
          <w:szCs w:val="20"/>
          <w:highlight w:val="none"/>
        </w:rPr>
        <w:t>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A货物类</w:t>
            </w:r>
            <w:r>
              <w:rPr>
                <w:rFonts w:hint="eastAsia" w:ascii="宋体" w:hAnsi="宋体" w:eastAsia="宋体" w:cs="宋体"/>
                <w:color w:val="auto"/>
                <w:sz w:val="24"/>
                <w:highlight w:val="none"/>
              </w:rPr>
              <w:t>。</w:t>
            </w:r>
          </w:p>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240" w:lineRule="auto"/>
              <w:jc w:val="center"/>
              <w:rPr>
                <w:rFonts w:hint="eastAsia" w:ascii="宋体" w:hAnsi="宋体" w:eastAsia="宋体" w:cs="宋体"/>
                <w:color w:val="auto"/>
                <w:sz w:val="24"/>
                <w:highlight w:val="none"/>
              </w:rPr>
            </w:pPr>
          </w:p>
          <w:p>
            <w:pPr>
              <w:snapToGrid w:val="0"/>
              <w:spacing w:line="240" w:lineRule="auto"/>
              <w:jc w:val="center"/>
              <w:rPr>
                <w:rFonts w:hint="eastAsia" w:ascii="宋体" w:hAnsi="宋体" w:eastAsia="宋体" w:cs="宋体"/>
                <w:color w:val="auto"/>
                <w:sz w:val="24"/>
                <w:highlight w:val="none"/>
              </w:rPr>
            </w:pPr>
          </w:p>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A适用</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转包、</w:t>
            </w: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w:t>
            </w:r>
            <w:r>
              <w:rPr>
                <w:rFonts w:hint="eastAsia" w:ascii="宋体" w:hAnsi="宋体" w:cs="宋体"/>
                <w:b w:val="0"/>
                <w:bCs/>
                <w:color w:val="auto"/>
                <w:sz w:val="24"/>
                <w:highlight w:val="none"/>
                <w:lang w:val="en-US" w:eastAsia="zh-CN"/>
              </w:rPr>
              <w:t>转包、</w:t>
            </w:r>
            <w:r>
              <w:rPr>
                <w:rFonts w:hint="eastAsia" w:ascii="宋体" w:hAnsi="宋体" w:eastAsia="宋体" w:cs="宋体"/>
                <w:b w:val="0"/>
                <w:bCs/>
                <w:color w:val="auto"/>
                <w:sz w:val="24"/>
                <w:highlight w:val="none"/>
              </w:rPr>
              <w:t>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A要求提供</w:t>
            </w:r>
            <w:r>
              <w:rPr>
                <w:rFonts w:hint="eastAsia" w:ascii="宋体" w:hAnsi="宋体" w:eastAsia="宋体" w:cs="宋体"/>
                <w:color w:val="auto"/>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pacing w:line="380" w:lineRule="exact"/>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eastAsia="宋体" w:cs="宋体"/>
                <w:b w:val="0"/>
                <w:bCs/>
                <w:color w:val="auto"/>
                <w:sz w:val="24"/>
                <w:highlight w:val="none"/>
              </w:rPr>
              <w:t>样品：</w:t>
            </w:r>
            <w:r>
              <w:rPr>
                <w:rFonts w:hint="eastAsia" w:ascii="宋体" w:hAnsi="宋体" w:eastAsia="宋体" w:cs="宋体"/>
                <w:b w:val="0"/>
                <w:bCs/>
                <w:color w:val="auto"/>
                <w:sz w:val="24"/>
                <w:highlight w:val="none"/>
                <w:lang w:val="en-US" w:eastAsia="zh-CN"/>
              </w:rPr>
              <w:t>序号</w:t>
            </w:r>
            <w:r>
              <w:rPr>
                <w:rFonts w:hint="eastAsia" w:ascii="宋体" w:hAnsi="宋体" w:eastAsia="宋体" w:cs="宋体"/>
                <w:b w:val="0"/>
                <w:bCs/>
                <w:color w:val="auto"/>
                <w:sz w:val="24"/>
                <w:highlight w:val="none"/>
              </w:rPr>
              <w:t>5</w:t>
            </w:r>
            <w:r>
              <w:rPr>
                <w:rFonts w:hint="eastAsia" w:ascii="宋体" w:hAnsi="宋体" w:eastAsia="宋体" w:cs="宋体"/>
                <w:b w:val="0"/>
                <w:bCs/>
                <w:color w:val="auto"/>
                <w:sz w:val="24"/>
                <w:highlight w:val="none"/>
              </w:rPr>
              <w:tab/>
            </w:r>
            <w:r>
              <w:rPr>
                <w:rFonts w:hint="eastAsia" w:ascii="宋体" w:hAnsi="宋体" w:eastAsia="宋体" w:cs="宋体"/>
                <w:b w:val="0"/>
                <w:bCs/>
                <w:color w:val="auto"/>
                <w:sz w:val="24"/>
                <w:highlight w:val="none"/>
              </w:rPr>
              <w:t>橡塑保温管</w:t>
            </w:r>
            <w:r>
              <w:rPr>
                <w:rFonts w:hint="eastAsia" w:ascii="宋体" w:hAnsi="宋体" w:eastAsia="宋体" w:cs="宋体"/>
                <w:b w:val="0"/>
                <w:bCs/>
                <w:color w:val="auto"/>
                <w:sz w:val="24"/>
                <w:highlight w:val="none"/>
                <w:lang w:val="en-US" w:eastAsia="zh-CN"/>
              </w:rPr>
              <w:t>0.5米、序号</w:t>
            </w:r>
            <w:r>
              <w:rPr>
                <w:rFonts w:hint="eastAsia" w:ascii="宋体" w:hAnsi="宋体" w:eastAsia="宋体" w:cs="宋体"/>
                <w:b w:val="0"/>
                <w:bCs/>
                <w:color w:val="auto"/>
                <w:sz w:val="24"/>
                <w:highlight w:val="none"/>
              </w:rPr>
              <w:t>13铝箔橡塑保温管</w:t>
            </w:r>
            <w:r>
              <w:rPr>
                <w:rFonts w:hint="eastAsia" w:ascii="宋体" w:hAnsi="宋体" w:eastAsia="宋体" w:cs="宋体"/>
                <w:b w:val="0"/>
                <w:bCs/>
                <w:color w:val="auto"/>
                <w:sz w:val="24"/>
                <w:highlight w:val="none"/>
                <w:lang w:val="en-US" w:eastAsia="zh-CN"/>
              </w:rPr>
              <w:t>0.5米、序号19</w:t>
            </w:r>
            <w:r>
              <w:rPr>
                <w:rFonts w:hint="eastAsia" w:ascii="宋体" w:hAnsi="宋体" w:eastAsia="宋体" w:cs="宋体"/>
                <w:b w:val="0"/>
                <w:bCs/>
                <w:color w:val="auto"/>
                <w:sz w:val="24"/>
                <w:highlight w:val="none"/>
                <w:lang w:eastAsia="zh-CN"/>
              </w:rPr>
              <w:t>水表保温衣</w:t>
            </w:r>
            <w:r>
              <w:rPr>
                <w:rFonts w:hint="eastAsia" w:ascii="宋体" w:hAnsi="宋体" w:eastAsia="宋体" w:cs="宋体"/>
                <w:b w:val="0"/>
                <w:bCs/>
                <w:color w:val="auto"/>
                <w:sz w:val="24"/>
                <w:highlight w:val="none"/>
                <w:lang w:val="en-US" w:eastAsia="zh-CN"/>
              </w:rPr>
              <w:t>1只。</w:t>
            </w:r>
          </w:p>
          <w:p>
            <w:pPr>
              <w:keepNext w:val="0"/>
              <w:keepLines w:val="0"/>
              <w:pageBreakBefore w:val="0"/>
              <w:widowControl w:val="0"/>
              <w:numPr>
                <w:ilvl w:val="0"/>
                <w:numId w:val="0"/>
              </w:numPr>
              <w:kinsoku/>
              <w:wordWrap/>
              <w:overflowPunct/>
              <w:topLinePunct w:val="0"/>
              <w:autoSpaceDE/>
              <w:autoSpaceDN/>
              <w:bidi w:val="0"/>
              <w:adjustRightInd w:val="0"/>
              <w:spacing w:line="38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kern w:val="2"/>
                <w:sz w:val="24"/>
                <w:szCs w:val="24"/>
                <w:highlight w:val="none"/>
                <w:lang w:val="en-US" w:eastAsia="zh-CN" w:bidi="ar-SA"/>
              </w:rPr>
              <w:t>（2）</w:t>
            </w:r>
            <w:r>
              <w:rPr>
                <w:rFonts w:hint="eastAsia" w:ascii="宋体" w:hAnsi="宋体" w:eastAsia="宋体" w:cs="宋体"/>
                <w:b w:val="0"/>
                <w:bCs/>
                <w:color w:val="auto"/>
                <w:sz w:val="24"/>
                <w:highlight w:val="none"/>
              </w:rPr>
              <w:t>按</w:t>
            </w:r>
            <w:r>
              <w:rPr>
                <w:rFonts w:hint="eastAsia" w:ascii="宋体" w:hAnsi="宋体" w:cs="宋体"/>
                <w:b w:val="0"/>
                <w:bCs/>
                <w:color w:val="auto"/>
                <w:sz w:val="24"/>
                <w:highlight w:val="none"/>
                <w:lang w:val="en-US" w:eastAsia="zh-CN"/>
              </w:rPr>
              <w:t>交易</w:t>
            </w:r>
            <w:r>
              <w:rPr>
                <w:rFonts w:hint="eastAsia" w:ascii="宋体" w:hAnsi="宋体" w:eastAsia="宋体" w:cs="宋体"/>
                <w:b w:val="0"/>
                <w:bCs/>
                <w:color w:val="auto"/>
                <w:sz w:val="24"/>
                <w:highlight w:val="none"/>
              </w:rPr>
              <w:t>需求规定的制作标准和要求提供样品。评</w:t>
            </w:r>
            <w:r>
              <w:rPr>
                <w:rFonts w:hint="eastAsia" w:ascii="宋体" w:hAnsi="宋体" w:cs="宋体"/>
                <w:b w:val="0"/>
                <w:bCs/>
                <w:color w:val="auto"/>
                <w:sz w:val="24"/>
                <w:highlight w:val="none"/>
                <w:lang w:val="en-US" w:eastAsia="zh-CN"/>
              </w:rPr>
              <w:t>审</w:t>
            </w:r>
            <w:r>
              <w:rPr>
                <w:rFonts w:hint="eastAsia" w:ascii="宋体" w:hAnsi="宋体" w:eastAsia="宋体" w:cs="宋体"/>
                <w:b w:val="0"/>
                <w:bCs/>
                <w:color w:val="auto"/>
                <w:sz w:val="24"/>
                <w:highlight w:val="none"/>
              </w:rPr>
              <w:t>委员会将根据评</w:t>
            </w:r>
            <w:r>
              <w:rPr>
                <w:rFonts w:hint="eastAsia" w:ascii="宋体" w:hAnsi="宋体" w:cs="宋体"/>
                <w:b w:val="0"/>
                <w:bCs/>
                <w:color w:val="auto"/>
                <w:sz w:val="24"/>
                <w:highlight w:val="none"/>
                <w:lang w:val="en-US" w:eastAsia="zh-CN"/>
              </w:rPr>
              <w:t>审</w:t>
            </w:r>
            <w:r>
              <w:rPr>
                <w:rFonts w:hint="eastAsia" w:ascii="宋体" w:hAnsi="宋体" w:eastAsia="宋体" w:cs="宋体"/>
                <w:b w:val="0"/>
                <w:bCs/>
                <w:color w:val="auto"/>
                <w:sz w:val="24"/>
                <w:highlight w:val="none"/>
              </w:rPr>
              <w:t>方法及评</w:t>
            </w:r>
            <w:r>
              <w:rPr>
                <w:rFonts w:hint="eastAsia" w:ascii="宋体" w:hAnsi="宋体" w:cs="宋体"/>
                <w:b w:val="0"/>
                <w:bCs/>
                <w:color w:val="auto"/>
                <w:sz w:val="24"/>
                <w:highlight w:val="none"/>
                <w:lang w:val="en-US" w:eastAsia="zh-CN"/>
              </w:rPr>
              <w:t>审</w:t>
            </w:r>
            <w:r>
              <w:rPr>
                <w:rFonts w:hint="eastAsia" w:ascii="宋体" w:hAnsi="宋体" w:eastAsia="宋体" w:cs="宋体"/>
                <w:b w:val="0"/>
                <w:bCs/>
                <w:color w:val="auto"/>
                <w:sz w:val="24"/>
                <w:highlight w:val="none"/>
              </w:rPr>
              <w:t>标准的规定对样品的进行评审。</w:t>
            </w:r>
          </w:p>
          <w:p>
            <w:pPr>
              <w:keepNext w:val="0"/>
              <w:keepLines w:val="0"/>
              <w:pageBreakBefore w:val="0"/>
              <w:widowControl w:val="0"/>
              <w:kinsoku/>
              <w:wordWrap/>
              <w:overflowPunct/>
              <w:topLinePunct w:val="0"/>
              <w:autoSpaceDE/>
              <w:autoSpaceDN/>
              <w:bidi w:val="0"/>
              <w:adjustRightInd w:val="0"/>
              <w:spacing w:line="38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rPr>
              <w:t>）样品递交时须携带授权委托书</w:t>
            </w:r>
            <w:r>
              <w:rPr>
                <w:rFonts w:hint="eastAsia" w:ascii="宋体" w:hAnsi="宋体" w:cs="宋体"/>
                <w:b w:val="0"/>
                <w:bCs/>
                <w:color w:val="auto"/>
                <w:sz w:val="24"/>
                <w:highlight w:val="none"/>
                <w:lang w:val="en-US" w:eastAsia="zh-CN"/>
              </w:rPr>
              <w:t>和身份证件</w:t>
            </w:r>
            <w:r>
              <w:rPr>
                <w:rFonts w:hint="eastAsia" w:ascii="宋体" w:hAnsi="宋体" w:eastAsia="宋体" w:cs="宋体"/>
                <w:b w:val="0"/>
                <w:bCs/>
                <w:color w:val="auto"/>
                <w:sz w:val="24"/>
                <w:highlight w:val="none"/>
              </w:rPr>
              <w:t>按时到达指定地点，委托书格式</w:t>
            </w:r>
            <w:r>
              <w:rPr>
                <w:rFonts w:hint="eastAsia" w:ascii="宋体" w:hAnsi="宋体" w:cs="宋体"/>
                <w:b w:val="0"/>
                <w:bCs/>
                <w:color w:val="auto"/>
                <w:sz w:val="24"/>
                <w:highlight w:val="none"/>
                <w:lang w:val="en-US" w:eastAsia="zh-CN"/>
              </w:rPr>
              <w:t>自拟</w:t>
            </w:r>
            <w:r>
              <w:rPr>
                <w:rFonts w:hint="eastAsia" w:ascii="宋体" w:hAnsi="宋体" w:eastAsia="宋体" w:cs="宋体"/>
                <w:b w:val="0"/>
                <w:bCs/>
                <w:color w:val="auto"/>
                <w:sz w:val="24"/>
                <w:highlight w:val="none"/>
              </w:rPr>
              <w:t>。</w:t>
            </w:r>
          </w:p>
          <w:p>
            <w:pPr>
              <w:keepNext w:val="0"/>
              <w:keepLines w:val="0"/>
              <w:pageBreakBefore w:val="0"/>
              <w:widowControl w:val="0"/>
              <w:kinsoku/>
              <w:wordWrap/>
              <w:overflowPunct/>
              <w:topLinePunct w:val="0"/>
              <w:autoSpaceDE/>
              <w:autoSpaceDN/>
              <w:bidi w:val="0"/>
              <w:adjustRightInd w:val="0"/>
              <w:spacing w:line="380" w:lineRule="exac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4</w:t>
            </w:r>
            <w:r>
              <w:rPr>
                <w:rFonts w:hint="eastAsia" w:ascii="宋体" w:hAnsi="宋体" w:eastAsia="宋体" w:cs="宋体"/>
                <w:b w:val="0"/>
                <w:bCs/>
                <w:color w:val="auto"/>
                <w:sz w:val="24"/>
                <w:highlight w:val="none"/>
              </w:rPr>
              <w:t>）提供样品的时间：</w:t>
            </w:r>
            <w:r>
              <w:rPr>
                <w:rFonts w:hint="eastAsia" w:ascii="宋体" w:hAnsi="宋体" w:cs="宋体"/>
                <w:bCs/>
                <w:color w:val="auto"/>
                <w:sz w:val="24"/>
                <w:highlight w:val="none"/>
                <w:lang w:val="en-US" w:eastAsia="zh-CN"/>
              </w:rPr>
              <w:t>响应人于开标当天</w:t>
            </w:r>
            <w:r>
              <w:rPr>
                <w:rFonts w:hint="eastAsia" w:ascii="宋体" w:hAnsi="宋体" w:cs="宋体"/>
                <w:b w:val="0"/>
                <w:bCs/>
                <w:color w:val="auto"/>
                <w:sz w:val="24"/>
                <w:highlight w:val="none"/>
                <w:lang w:val="en-US" w:eastAsia="zh-CN"/>
              </w:rPr>
              <w:t>08：30至09：00止</w:t>
            </w:r>
            <w:r>
              <w:rPr>
                <w:rFonts w:hint="eastAsia" w:ascii="宋体" w:hAnsi="宋体" w:eastAsia="宋体" w:cs="宋体"/>
                <w:b w:val="0"/>
                <w:bCs/>
                <w:color w:val="auto"/>
                <w:sz w:val="24"/>
                <w:highlight w:val="none"/>
              </w:rPr>
              <w:t>统一放置</w:t>
            </w:r>
            <w:r>
              <w:rPr>
                <w:rFonts w:hint="eastAsia" w:ascii="宋体" w:hAnsi="宋体" w:eastAsia="宋体" w:cs="宋体"/>
                <w:b w:val="0"/>
                <w:bCs/>
                <w:color w:val="auto"/>
                <w:sz w:val="24"/>
                <w:highlight w:val="none"/>
                <w:lang w:eastAsia="zh-CN"/>
              </w:rPr>
              <w:t>（</w:t>
            </w:r>
            <w:r>
              <w:rPr>
                <w:rFonts w:hint="eastAsia" w:ascii="宋体" w:hAnsi="宋体" w:cs="宋体"/>
                <w:b w:val="0"/>
                <w:bCs/>
                <w:color w:val="auto"/>
                <w:sz w:val="24"/>
                <w:highlight w:val="none"/>
                <w:lang w:val="en-US" w:eastAsia="zh-CN"/>
              </w:rPr>
              <w:t>杭州市萧山区金城路433号天汇园一幢A座5楼，杭州博望建设工程招标投标代理有限公司开标室</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，由工作人员引导安放至统一位置，样品递交人须提供</w:t>
            </w:r>
            <w:r>
              <w:rPr>
                <w:rFonts w:hint="eastAsia" w:ascii="宋体" w:hAnsi="宋体" w:cs="宋体"/>
                <w:b w:val="0"/>
                <w:bCs/>
                <w:color w:val="auto"/>
                <w:sz w:val="24"/>
                <w:highlight w:val="none"/>
                <w:lang w:val="en-US" w:eastAsia="zh-CN"/>
              </w:rPr>
              <w:t>响应</w:t>
            </w:r>
            <w:r>
              <w:rPr>
                <w:rFonts w:hint="eastAsia" w:ascii="宋体" w:hAnsi="宋体" w:eastAsia="宋体" w:cs="宋体"/>
                <w:b w:val="0"/>
                <w:bCs/>
                <w:color w:val="auto"/>
                <w:sz w:val="24"/>
                <w:highlight w:val="none"/>
              </w:rPr>
              <w:t>单位的授权书</w:t>
            </w:r>
            <w:r>
              <w:rPr>
                <w:rFonts w:hint="eastAsia" w:ascii="宋体" w:hAnsi="宋体" w:eastAsia="宋体" w:cs="宋体"/>
                <w:b w:val="0"/>
                <w:bCs/>
                <w:color w:val="auto"/>
                <w:sz w:val="24"/>
                <w:highlight w:val="none"/>
                <w:lang w:val="en-US" w:eastAsia="zh-CN"/>
              </w:rPr>
              <w:t>和</w:t>
            </w:r>
            <w:r>
              <w:rPr>
                <w:rFonts w:hint="eastAsia" w:ascii="宋体" w:hAnsi="宋体" w:eastAsia="宋体" w:cs="宋体"/>
                <w:b w:val="0"/>
                <w:bCs/>
                <w:color w:val="auto"/>
                <w:sz w:val="24"/>
                <w:highlight w:val="none"/>
              </w:rPr>
              <w:t>身份证</w:t>
            </w:r>
            <w:r>
              <w:rPr>
                <w:rFonts w:hint="eastAsia" w:ascii="宋体" w:hAnsi="宋体" w:cs="宋体"/>
                <w:b w:val="0"/>
                <w:bCs/>
                <w:color w:val="auto"/>
                <w:sz w:val="24"/>
                <w:highlight w:val="none"/>
                <w:lang w:val="en-US" w:eastAsia="zh-CN"/>
              </w:rPr>
              <w:t>件</w:t>
            </w:r>
            <w:r>
              <w:rPr>
                <w:rFonts w:hint="eastAsia" w:ascii="宋体" w:hAnsi="宋体" w:cs="宋体"/>
                <w:b w:val="0"/>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pacing w:line="380" w:lineRule="exact"/>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（5）交易</w:t>
            </w:r>
            <w:r>
              <w:rPr>
                <w:rFonts w:hint="eastAsia" w:ascii="宋体" w:hAnsi="宋体" w:eastAsia="宋体" w:cs="宋体"/>
                <w:b w:val="0"/>
                <w:bCs/>
                <w:color w:val="auto"/>
                <w:sz w:val="24"/>
                <w:highlight w:val="none"/>
              </w:rPr>
              <w:t>活动结束后，对于未</w:t>
            </w:r>
            <w:r>
              <w:rPr>
                <w:rFonts w:hint="eastAsia" w:ascii="宋体" w:hAnsi="宋体" w:cs="宋体"/>
                <w:b w:val="0"/>
                <w:bCs/>
                <w:color w:val="auto"/>
                <w:sz w:val="24"/>
                <w:highlight w:val="none"/>
                <w:lang w:val="en-US" w:eastAsia="zh-CN"/>
              </w:rPr>
              <w:t>成交</w:t>
            </w:r>
            <w:r>
              <w:rPr>
                <w:rFonts w:hint="eastAsia" w:ascii="宋体" w:hAnsi="宋体" w:eastAsia="宋体" w:cs="宋体"/>
                <w:b w:val="0"/>
                <w:bCs/>
                <w:color w:val="auto"/>
                <w:sz w:val="24"/>
                <w:highlight w:val="none"/>
              </w:rPr>
              <w:t>人提供的样品，</w:t>
            </w:r>
            <w:r>
              <w:rPr>
                <w:rFonts w:hint="eastAsia" w:ascii="宋体" w:hAnsi="宋体" w:cs="宋体"/>
                <w:b w:val="0"/>
                <w:bCs/>
                <w:color w:val="auto"/>
                <w:sz w:val="24"/>
                <w:highlight w:val="none"/>
                <w:lang w:val="en-US" w:eastAsia="zh-CN"/>
              </w:rPr>
              <w:t>交易发起</w:t>
            </w:r>
            <w:r>
              <w:rPr>
                <w:rFonts w:hint="eastAsia" w:ascii="宋体" w:hAnsi="宋体" w:eastAsia="宋体" w:cs="宋体"/>
                <w:b w:val="0"/>
                <w:bCs/>
                <w:color w:val="auto"/>
                <w:sz w:val="24"/>
                <w:highlight w:val="none"/>
              </w:rPr>
              <w:t>人、</w:t>
            </w:r>
            <w:r>
              <w:rPr>
                <w:rFonts w:hint="eastAsia" w:ascii="宋体" w:hAnsi="宋体" w:cs="宋体"/>
                <w:b w:val="0"/>
                <w:bCs/>
                <w:color w:val="auto"/>
                <w:sz w:val="24"/>
                <w:highlight w:val="none"/>
                <w:lang w:val="en-US" w:eastAsia="zh-CN"/>
              </w:rPr>
              <w:t>代理</w:t>
            </w:r>
            <w:r>
              <w:rPr>
                <w:rFonts w:hint="eastAsia" w:ascii="宋体" w:hAnsi="宋体" w:eastAsia="宋体" w:cs="宋体"/>
                <w:b w:val="0"/>
                <w:bCs/>
                <w:color w:val="auto"/>
                <w:sz w:val="24"/>
                <w:highlight w:val="none"/>
              </w:rPr>
              <w:t>机构将通知未</w:t>
            </w:r>
            <w:r>
              <w:rPr>
                <w:rFonts w:hint="eastAsia" w:ascii="宋体" w:hAnsi="宋体" w:cs="宋体"/>
                <w:b w:val="0"/>
                <w:bCs/>
                <w:color w:val="auto"/>
                <w:sz w:val="24"/>
                <w:highlight w:val="none"/>
                <w:lang w:val="en-US" w:eastAsia="zh-CN"/>
              </w:rPr>
              <w:t>成交</w:t>
            </w:r>
            <w:r>
              <w:rPr>
                <w:rFonts w:hint="eastAsia" w:ascii="宋体" w:hAnsi="宋体" w:eastAsia="宋体" w:cs="宋体"/>
                <w:b w:val="0"/>
                <w:bCs/>
                <w:color w:val="auto"/>
                <w:sz w:val="24"/>
                <w:highlight w:val="none"/>
              </w:rPr>
              <w:t>人在规定的时间内取回，逾期未取回的，</w:t>
            </w:r>
            <w:r>
              <w:rPr>
                <w:rFonts w:hint="eastAsia" w:ascii="宋体" w:hAnsi="宋体" w:cs="宋体"/>
                <w:b w:val="0"/>
                <w:bCs/>
                <w:color w:val="auto"/>
                <w:sz w:val="24"/>
                <w:highlight w:val="none"/>
                <w:lang w:val="en-US" w:eastAsia="zh-CN"/>
              </w:rPr>
              <w:t>交易发起</w:t>
            </w:r>
            <w:r>
              <w:rPr>
                <w:rFonts w:hint="eastAsia" w:ascii="宋体" w:hAnsi="宋体" w:eastAsia="宋体" w:cs="宋体"/>
                <w:b w:val="0"/>
                <w:bCs/>
                <w:color w:val="auto"/>
                <w:sz w:val="24"/>
                <w:highlight w:val="none"/>
              </w:rPr>
              <w:t>人、</w:t>
            </w:r>
            <w:r>
              <w:rPr>
                <w:rFonts w:hint="eastAsia" w:ascii="宋体" w:hAnsi="宋体" w:cs="宋体"/>
                <w:b w:val="0"/>
                <w:bCs/>
                <w:color w:val="auto"/>
                <w:sz w:val="24"/>
                <w:highlight w:val="none"/>
                <w:lang w:val="en-US" w:eastAsia="zh-CN"/>
              </w:rPr>
              <w:t>代理</w:t>
            </w:r>
            <w:r>
              <w:rPr>
                <w:rFonts w:hint="eastAsia" w:ascii="宋体" w:hAnsi="宋体" w:eastAsia="宋体" w:cs="宋体"/>
                <w:b w:val="0"/>
                <w:bCs/>
                <w:color w:val="auto"/>
                <w:sz w:val="24"/>
                <w:highlight w:val="none"/>
              </w:rPr>
              <w:t>机构不负</w:t>
            </w:r>
            <w:r>
              <w:rPr>
                <w:rFonts w:hint="eastAsia" w:ascii="宋体" w:hAnsi="宋体" w:cs="宋体"/>
                <w:b w:val="0"/>
                <w:bCs/>
                <w:color w:val="auto"/>
                <w:sz w:val="24"/>
                <w:highlight w:val="none"/>
                <w:lang w:val="en-US" w:eastAsia="zh-CN"/>
              </w:rPr>
              <w:t>责</w:t>
            </w:r>
            <w:r>
              <w:rPr>
                <w:rFonts w:hint="eastAsia" w:ascii="宋体" w:hAnsi="宋体" w:eastAsia="宋体" w:cs="宋体"/>
                <w:b w:val="0"/>
                <w:bCs/>
                <w:color w:val="auto"/>
                <w:sz w:val="24"/>
                <w:highlight w:val="none"/>
              </w:rPr>
              <w:t>保管义务；对于</w:t>
            </w:r>
            <w:r>
              <w:rPr>
                <w:rFonts w:hint="eastAsia" w:ascii="宋体" w:hAnsi="宋体" w:cs="宋体"/>
                <w:b w:val="0"/>
                <w:bCs/>
                <w:color w:val="auto"/>
                <w:sz w:val="24"/>
                <w:highlight w:val="none"/>
                <w:lang w:val="en-US" w:eastAsia="zh-CN"/>
              </w:rPr>
              <w:t>成交</w:t>
            </w:r>
            <w:r>
              <w:rPr>
                <w:rFonts w:hint="eastAsia" w:ascii="宋体" w:hAnsi="宋体" w:eastAsia="宋体" w:cs="宋体"/>
                <w:b w:val="0"/>
                <w:bCs/>
                <w:color w:val="auto"/>
                <w:sz w:val="24"/>
                <w:highlight w:val="none"/>
              </w:rPr>
              <w:t>人的样品，</w:t>
            </w:r>
            <w:r>
              <w:rPr>
                <w:rFonts w:hint="eastAsia" w:ascii="宋体" w:hAnsi="宋体" w:cs="宋体"/>
                <w:b w:val="0"/>
                <w:bCs/>
                <w:color w:val="auto"/>
                <w:sz w:val="24"/>
                <w:highlight w:val="none"/>
                <w:lang w:val="en-US" w:eastAsia="zh-CN"/>
              </w:rPr>
              <w:t>交易发起</w:t>
            </w:r>
            <w:r>
              <w:rPr>
                <w:rFonts w:hint="eastAsia" w:ascii="宋体" w:hAnsi="宋体" w:eastAsia="宋体" w:cs="宋体"/>
                <w:b w:val="0"/>
                <w:bCs/>
                <w:color w:val="auto"/>
                <w:sz w:val="24"/>
                <w:highlight w:val="none"/>
              </w:rPr>
              <w:t>人、</w:t>
            </w:r>
            <w:r>
              <w:rPr>
                <w:rFonts w:hint="eastAsia" w:ascii="宋体" w:hAnsi="宋体" w:cs="宋体"/>
                <w:b w:val="0"/>
                <w:bCs/>
                <w:color w:val="auto"/>
                <w:sz w:val="24"/>
                <w:highlight w:val="none"/>
                <w:lang w:val="en-US" w:eastAsia="zh-CN"/>
              </w:rPr>
              <w:t>代理</w:t>
            </w:r>
            <w:r>
              <w:rPr>
                <w:rFonts w:hint="eastAsia" w:ascii="宋体" w:hAnsi="宋体" w:eastAsia="宋体" w:cs="宋体"/>
                <w:b w:val="0"/>
                <w:bCs/>
                <w:color w:val="auto"/>
                <w:sz w:val="24"/>
                <w:highlight w:val="none"/>
              </w:rPr>
              <w:t>机构将进行保管、封存，并作为履约验收的参考。</w:t>
            </w:r>
          </w:p>
          <w:p>
            <w:pPr>
              <w:keepNext w:val="0"/>
              <w:keepLines w:val="0"/>
              <w:pageBreakBefore w:val="0"/>
              <w:widowControl w:val="0"/>
              <w:kinsoku/>
              <w:wordWrap/>
              <w:overflowPunct/>
              <w:topLinePunct w:val="0"/>
              <w:autoSpaceDE/>
              <w:autoSpaceDN/>
              <w:bidi w:val="0"/>
              <w:adjustRightInd w:val="0"/>
              <w:spacing w:line="38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6</w:t>
            </w:r>
            <w:r>
              <w:rPr>
                <w:rFonts w:hint="eastAsia" w:ascii="宋体" w:hAnsi="宋体" w:eastAsia="宋体" w:cs="宋体"/>
                <w:b w:val="0"/>
                <w:bCs/>
                <w:color w:val="auto"/>
                <w:sz w:val="24"/>
                <w:highlight w:val="none"/>
              </w:rPr>
              <w:t>）制作、运输、安装和保管样品所发生的一切费用由</w:t>
            </w:r>
            <w:r>
              <w:rPr>
                <w:rFonts w:hint="eastAsia" w:ascii="宋体" w:hAnsi="宋体" w:cs="宋体"/>
                <w:b w:val="0"/>
                <w:bCs/>
                <w:color w:val="auto"/>
                <w:sz w:val="24"/>
                <w:highlight w:val="none"/>
                <w:lang w:val="en-US" w:eastAsia="zh-CN"/>
              </w:rPr>
              <w:t>响应</w:t>
            </w:r>
            <w:r>
              <w:rPr>
                <w:rFonts w:hint="eastAsia" w:ascii="宋体" w:hAnsi="宋体" w:eastAsia="宋体" w:cs="宋体"/>
                <w:b w:val="0"/>
                <w:bCs/>
                <w:color w:val="auto"/>
                <w:sz w:val="24"/>
                <w:highlight w:val="none"/>
              </w:rPr>
              <w:t>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（√）A不组织。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交易一览表</w:t>
            </w:r>
            <w:r>
              <w:rPr>
                <w:rFonts w:hint="eastAsia" w:ascii="宋体" w:hAnsi="宋体" w:eastAsia="宋体" w:cs="宋体"/>
                <w:b w:val="0"/>
                <w:bCs/>
                <w:color w:val="auto"/>
                <w:kern w:val="0"/>
                <w:sz w:val="24"/>
                <w:highlight w:val="none"/>
              </w:rPr>
              <w:t>（报价表）是报价的唯一载体</w:t>
            </w:r>
            <w:r>
              <w:rPr>
                <w:rFonts w:hint="eastAsia" w:ascii="宋体" w:hAnsi="宋体" w:eastAsia="宋体" w:cs="宋体"/>
                <w:b w:val="0"/>
                <w:bCs/>
                <w:color w:val="auto"/>
                <w:kern w:val="0"/>
                <w:sz w:val="24"/>
                <w:highlight w:val="none"/>
                <w:lang w:val="zh-CN"/>
              </w:rPr>
              <w:t>。响应文件中价格全部采用人民币报价。公开竞争文件未列明，而响应人认为必需的费用也需列入报价。</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交易报价出现下列情形的，交易无效：</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响应文件出现不是唯一的、有选择性交易报价的；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交易报价超过公开竞争文件中规定的预算金额或者最高限价的；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b w:val="0"/>
                <w:bCs/>
                <w:color w:val="auto"/>
                <w:kern w:val="0"/>
                <w:sz w:val="24"/>
                <w:highlight w:val="none"/>
                <w:lang w:eastAsia="zh-CN"/>
              </w:rPr>
              <w:t>响应人</w:t>
            </w:r>
            <w:r>
              <w:rPr>
                <w:rFonts w:hint="eastAsia" w:ascii="宋体" w:hAnsi="宋体" w:eastAsia="宋体" w:cs="宋体"/>
                <w:b w:val="0"/>
                <w:bCs/>
                <w:color w:val="auto"/>
                <w:kern w:val="0"/>
                <w:sz w:val="24"/>
                <w:highlight w:val="none"/>
              </w:rPr>
              <w:t>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5"/>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备份文件是否收取：不收取。</w:t>
            </w:r>
          </w:p>
          <w:p>
            <w:pPr>
              <w:pStyle w:val="35"/>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单位在</w:t>
            </w: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后提供纸质</w:t>
            </w:r>
            <w:r>
              <w:rPr>
                <w:rFonts w:hint="eastAsia" w:ascii="宋体" w:hAnsi="宋体" w:eastAsia="宋体" w:cs="宋体"/>
                <w:b/>
                <w:bCs w:val="0"/>
                <w:color w:val="auto"/>
                <w:sz w:val="24"/>
                <w:highlight w:val="none"/>
                <w:lang w:val="en-US" w:eastAsia="zh-CN"/>
              </w:rPr>
              <w:t>响应</w:t>
            </w:r>
            <w:r>
              <w:rPr>
                <w:rFonts w:hint="eastAsia" w:ascii="宋体" w:hAnsi="宋体" w:eastAsia="宋体" w:cs="宋体"/>
                <w:b/>
                <w:bCs w:val="0"/>
                <w:color w:val="auto"/>
                <w:sz w:val="24"/>
                <w:highlight w:val="none"/>
                <w:lang w:eastAsia="zh-CN"/>
              </w:rPr>
              <w:t>文件一正</w:t>
            </w:r>
            <w:r>
              <w:rPr>
                <w:rFonts w:hint="eastAsia" w:ascii="宋体" w:hAnsi="宋体" w:eastAsia="宋体" w:cs="宋体"/>
                <w:b/>
                <w:bCs w:val="0"/>
                <w:color w:val="auto"/>
                <w:sz w:val="24"/>
                <w:highlight w:val="none"/>
                <w:lang w:val="en-US" w:eastAsia="zh-CN"/>
              </w:rPr>
              <w:t>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代理</w:t>
            </w:r>
          </w:p>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val="zh-CN" w:eastAsia="zh-CN"/>
              </w:rPr>
              <w:t>本项目代理服务费由</w:t>
            </w:r>
            <w:r>
              <w:rPr>
                <w:rFonts w:hint="eastAsia" w:ascii="宋体" w:hAnsi="宋体" w:cs="宋体"/>
                <w:b w:val="0"/>
                <w:bCs/>
                <w:color w:val="auto"/>
                <w:kern w:val="0"/>
                <w:sz w:val="24"/>
                <w:highlight w:val="none"/>
                <w:lang w:val="en-US" w:eastAsia="zh-CN"/>
              </w:rPr>
              <w:t>交易发起人</w:t>
            </w:r>
            <w:r>
              <w:rPr>
                <w:rFonts w:hint="eastAsia" w:ascii="宋体" w:hAnsi="宋体" w:eastAsia="宋体" w:cs="宋体"/>
                <w:b w:val="0"/>
                <w:bCs/>
                <w:color w:val="auto"/>
                <w:kern w:val="0"/>
                <w:sz w:val="24"/>
                <w:highlight w:val="none"/>
                <w:lang w:val="zh-CN" w:eastAsia="zh-CN"/>
              </w:rPr>
              <w:t>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履约保证金：</w:t>
            </w:r>
            <w:r>
              <w:rPr>
                <w:rFonts w:hint="eastAsia" w:ascii="宋体" w:hAnsi="宋体" w:cs="宋体"/>
                <w:b w:val="0"/>
                <w:bCs/>
                <w:color w:val="auto"/>
                <w:kern w:val="0"/>
                <w:sz w:val="24"/>
                <w:highlight w:val="none"/>
                <w:lang w:val="en-US" w:eastAsia="zh-CN"/>
              </w:rPr>
              <w:t>10000.00元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rPr>
              <w:t>本项目由</w:t>
            </w:r>
            <w:r>
              <w:rPr>
                <w:rFonts w:hint="eastAsia" w:ascii="宋体" w:hAnsi="宋体" w:eastAsia="宋体" w:cs="宋体"/>
                <w:b w:val="0"/>
                <w:bCs/>
                <w:color w:val="auto"/>
                <w:kern w:val="0"/>
                <w:sz w:val="24"/>
                <w:highlight w:val="none"/>
                <w:lang w:eastAsia="zh-CN"/>
              </w:rPr>
              <w:t>交易发起人</w:t>
            </w:r>
            <w:r>
              <w:rPr>
                <w:rFonts w:hint="eastAsia" w:ascii="宋体" w:hAnsi="宋体" w:eastAsia="宋体" w:cs="宋体"/>
                <w:b w:val="0"/>
                <w:bCs/>
                <w:color w:val="auto"/>
                <w:kern w:val="0"/>
                <w:sz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8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异议接收人及</w:t>
            </w:r>
          </w:p>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eastAsia="zh-CN"/>
              </w:rPr>
              <w:t>代理机构异议</w:t>
            </w:r>
            <w:r>
              <w:rPr>
                <w:rFonts w:hint="eastAsia" w:ascii="宋体" w:hAnsi="宋体" w:eastAsia="宋体" w:cs="宋体"/>
                <w:color w:val="auto"/>
                <w:sz w:val="24"/>
                <w:highlight w:val="none"/>
                <w:u w:val="none"/>
              </w:rPr>
              <w:t>接收人：</w:t>
            </w:r>
            <w:r>
              <w:rPr>
                <w:rFonts w:hint="eastAsia" w:ascii="宋体" w:hAnsi="宋体" w:eastAsia="宋体" w:cs="宋体"/>
                <w:color w:val="auto"/>
                <w:sz w:val="24"/>
                <w:highlight w:val="none"/>
                <w:u w:val="single"/>
                <w:lang w:val="en-US" w:eastAsia="zh-CN"/>
              </w:rPr>
              <w:t>高华萍</w:t>
            </w:r>
            <w:r>
              <w:rPr>
                <w:rFonts w:hint="eastAsia" w:ascii="宋体" w:hAnsi="宋体" w:eastAsia="宋体" w:cs="宋体"/>
                <w:color w:val="auto"/>
                <w:sz w:val="24"/>
                <w:highlight w:val="none"/>
                <w:u w:val="none"/>
              </w:rPr>
              <w:t xml:space="preserve"> 联系方式：</w:t>
            </w:r>
            <w:r>
              <w:rPr>
                <w:rFonts w:hint="eastAsia" w:ascii="宋体" w:hAnsi="宋体" w:eastAsia="宋体" w:cs="宋体"/>
                <w:color w:val="auto"/>
                <w:sz w:val="24"/>
                <w:highlight w:val="none"/>
                <w:u w:val="single"/>
              </w:rPr>
              <w:t>0571-83881208</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地址：</w:t>
            </w:r>
            <w:r>
              <w:rPr>
                <w:rFonts w:hint="eastAsia" w:ascii="宋体" w:hAnsi="宋体" w:eastAsia="宋体" w:cs="宋体"/>
                <w:color w:val="auto"/>
                <w:sz w:val="24"/>
                <w:highlight w:val="none"/>
                <w:u w:val="single"/>
              </w:rPr>
              <w:t>杭州市萧山区金城路433号天汇园一幢A座5楼</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邮箱：</w:t>
            </w:r>
            <w:r>
              <w:rPr>
                <w:rFonts w:hint="eastAsia" w:ascii="宋体" w:hAnsi="宋体" w:eastAsia="宋体" w:cs="宋体"/>
                <w:color w:val="auto"/>
                <w:sz w:val="24"/>
                <w:highlight w:val="none"/>
                <w:u w:val="single"/>
              </w:rPr>
              <w:t>751200605@qq.com</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，须提交符合法规及</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要求的</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文件（参考附件</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），盖章扫描后发送，</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的受理按答复主体划分以</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或</w:t>
            </w:r>
            <w:r>
              <w:rPr>
                <w:rFonts w:hint="eastAsia" w:ascii="宋体" w:hAnsi="宋体" w:eastAsia="宋体" w:cs="宋体"/>
                <w:b/>
                <w:color w:val="auto"/>
                <w:sz w:val="24"/>
                <w:highlight w:val="none"/>
                <w:lang w:eastAsia="zh-CN"/>
              </w:rPr>
              <w:t>代理机构</w:t>
            </w:r>
            <w:r>
              <w:rPr>
                <w:rFonts w:hint="eastAsia" w:ascii="宋体" w:hAnsi="宋体" w:eastAsia="宋体" w:cs="宋体"/>
                <w:b/>
                <w:color w:val="auto"/>
                <w:sz w:val="24"/>
                <w:highlight w:val="none"/>
              </w:rPr>
              <w:t>邮箱回复确认受理为准。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过程中有关现场考察或开标前答疑会事项由</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进行答复。</w:t>
            </w:r>
          </w:p>
          <w:p>
            <w:pPr>
              <w:pStyle w:val="35"/>
              <w:keepNext w:val="0"/>
              <w:keepLines w:val="0"/>
              <w:pageBreakBefore w:val="0"/>
              <w:widowControl w:val="0"/>
              <w:kinsoku/>
              <w:wordWrap/>
              <w:overflowPunct/>
              <w:topLinePunct w:val="0"/>
              <w:autoSpaceDE/>
              <w:autoSpaceDN/>
              <w:bidi w:val="0"/>
              <w:adjustRightInd w:val="0"/>
              <w:spacing w:line="240" w:lineRule="auto"/>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keepNext w:val="0"/>
        <w:keepLines w:val="0"/>
        <w:pageBreakBefore w:val="0"/>
        <w:kinsoku/>
        <w:wordWrap/>
        <w:overflowPunct/>
        <w:topLinePunct w:val="0"/>
        <w:bidi w:val="0"/>
        <w:snapToGrid w:val="0"/>
        <w:spacing w:line="46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keepNext w:val="0"/>
        <w:keepLines w:val="0"/>
        <w:pageBreakBefore w:val="0"/>
        <w:kinsoku/>
        <w:wordWrap/>
        <w:overflowPunct/>
        <w:topLinePunct w:val="0"/>
        <w:bidi w:val="0"/>
        <w:snapToGrid w:val="0"/>
        <w:spacing w:line="46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、资格审查及信用信息查询、评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、定标、合同、验收等行为（法律、法规另有规定的，从其规定）。</w:t>
      </w:r>
    </w:p>
    <w:p>
      <w:pPr>
        <w:keepNext w:val="0"/>
        <w:keepLines w:val="0"/>
        <w:pageBreakBefore w:val="0"/>
        <w:kinsoku/>
        <w:wordWrap/>
        <w:overflowPunct/>
        <w:topLinePunct w:val="0"/>
        <w:bidi w:val="0"/>
        <w:adjustRightInd/>
        <w:spacing w:line="46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”系指响应招标、参加投标竞争的法人、其他组织或者自然人。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响应人电子签名指响应人电子公章</w:t>
      </w:r>
      <w:r>
        <w:rPr>
          <w:rFonts w:hint="eastAsia" w:ascii="宋体" w:hAnsi="宋体" w:eastAsia="宋体" w:cs="宋体"/>
          <w:color w:val="auto"/>
          <w:sz w:val="24"/>
          <w:highlight w:val="none"/>
        </w:rPr>
        <w:t>；“公章”系指单位法定名称章。因特殊原因需要使用冠以法定名称的业务专用章的，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活动所依托的</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w:t>
      </w:r>
      <w:r>
        <w:rPr>
          <w:rFonts w:hint="eastAsia" w:ascii="宋体" w:hAnsi="宋体" w:eastAsia="宋体" w:cs="宋体"/>
          <w:color w:val="auto"/>
          <w:sz w:val="24"/>
          <w:highlight w:val="none"/>
        </w:rPr>
        <w:t>（https://www.zcygov.cn/）。</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、投诉</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.1响应人</w:t>
      </w:r>
      <w:r>
        <w:rPr>
          <w:rFonts w:hint="eastAsia" w:ascii="宋体" w:hAnsi="宋体" w:eastAsia="宋体" w:cs="宋体"/>
          <w:color w:val="auto"/>
          <w:kern w:val="0"/>
          <w:sz w:val="24"/>
          <w:highlight w:val="none"/>
          <w:lang w:val="zh-CN" w:eastAsia="zh-CN"/>
        </w:rPr>
        <w:t>异议</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活动事项有疑问的，可以提出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.2响应人</w:t>
      </w:r>
      <w:r>
        <w:rPr>
          <w:rFonts w:hint="eastAsia" w:ascii="宋体" w:hAnsi="宋体" w:eastAsia="宋体" w:cs="宋体"/>
          <w:color w:val="auto"/>
          <w:kern w:val="0"/>
          <w:sz w:val="24"/>
          <w:highlight w:val="none"/>
          <w:lang w:val="zh-CN" w:eastAsia="zh-CN"/>
        </w:rPr>
        <w:t>异议</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应当是参与所质</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。潜在</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已依法获取其可</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的，可以对该文件提出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认为</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过程和</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使自己的权益受到损害的，可以在知道或者应知其权益受到损害之日起</w:t>
      </w:r>
      <w:r>
        <w:rPr>
          <w:rFonts w:hint="eastAsia" w:ascii="宋体" w:hAnsi="宋体" w:eastAsia="宋体" w:cs="宋体"/>
          <w:color w:val="auto"/>
          <w:sz w:val="24"/>
          <w:highlight w:val="none"/>
          <w:lang w:val="en-US" w:eastAsia="zh-CN"/>
        </w:rPr>
        <w:t>3日内</w:t>
      </w:r>
      <w:r>
        <w:rPr>
          <w:rFonts w:hint="eastAsia" w:ascii="宋体" w:hAnsi="宋体" w:eastAsia="宋体" w:cs="宋体"/>
          <w:color w:val="auto"/>
          <w:sz w:val="24"/>
          <w:highlight w:val="none"/>
        </w:rPr>
        <w:t>，以书面形式向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，否则，</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不予受理：</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过程提出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期限为各</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程序环节结束之日起计算。对同一</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程序环节的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须一次性提出。</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sz w:val="24"/>
          <w:highlight w:val="none"/>
        </w:rPr>
        <w:t>函应当包括下列内容：</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.2.3.1响应人的姓名或者名称、地址、邮编、联系人及联系电话；</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.2.3.2</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项目的名称、编号；</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.2.3.3具体、明确的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事项和与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事项相关的请求；</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.2.3.4事实依据；</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.2.3.6提出</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的日期。</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提交的</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函需一式三份。</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为自然人的，应当由本人签字；</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为法人或者其他组织的，应当由法定代表人、主要负责人，或者其授权代表签字或者盖章，并加盖公章。</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函范本及制作说明详见附件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.2.4</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或者</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应当在收到</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的书面</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后</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日内作出答复，并以书面形式通知</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和其他与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处理结果有利害关系的</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当事人，但答复的内容不得涉及商业秘密。</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.2.5询问或者</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事项可能影响</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结果的，</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应当暂停签订合同，已经签订合同的，应当中止履行合同。</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.3响应人投诉</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.3.1</w:t>
      </w:r>
      <w:r>
        <w:rPr>
          <w:rFonts w:hint="eastAsia" w:ascii="宋体" w:hAnsi="宋体" w:eastAsia="宋体" w:cs="宋体"/>
          <w:color w:val="auto"/>
          <w:kern w:val="0"/>
          <w:sz w:val="24"/>
          <w:highlight w:val="none"/>
          <w:lang w:val="zh-CN" w:eastAsia="zh-CN"/>
        </w:rPr>
        <w:t>异议响应人</w:t>
      </w:r>
      <w:r>
        <w:rPr>
          <w:rFonts w:hint="eastAsia" w:ascii="宋体" w:hAnsi="宋体" w:eastAsia="宋体" w:cs="宋体"/>
          <w:color w:val="auto"/>
          <w:kern w:val="0"/>
          <w:sz w:val="24"/>
          <w:highlight w:val="none"/>
          <w:lang w:val="zh-CN"/>
        </w:rPr>
        <w:t>对</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的答复不满意或者</w:t>
      </w:r>
      <w:r>
        <w:rPr>
          <w:rFonts w:hint="eastAsia" w:ascii="宋体" w:hAnsi="宋体" w:eastAsia="宋体" w:cs="宋体"/>
          <w:color w:val="auto"/>
          <w:kern w:val="0"/>
          <w:sz w:val="24"/>
          <w:highlight w:val="none"/>
          <w:lang w:val="zh-CN" w:eastAsia="zh-CN"/>
        </w:rPr>
        <w:t>交易发起人</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代理机构</w:t>
      </w:r>
      <w:r>
        <w:rPr>
          <w:rFonts w:hint="eastAsia" w:ascii="宋体" w:hAnsi="宋体" w:eastAsia="宋体" w:cs="宋体"/>
          <w:color w:val="auto"/>
          <w:kern w:val="0"/>
          <w:sz w:val="24"/>
          <w:highlight w:val="none"/>
          <w:lang w:val="zh-CN"/>
        </w:rPr>
        <w:t>未在规定的时间内作出答复的，可以在答复期满后</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lang w:val="zh-CN"/>
        </w:rPr>
        <w:t>日内向</w:t>
      </w:r>
      <w:r>
        <w:rPr>
          <w:rFonts w:hint="eastAsia" w:ascii="宋体" w:hAnsi="宋体" w:eastAsia="宋体" w:cs="宋体"/>
          <w:color w:val="auto"/>
          <w:kern w:val="0"/>
          <w:sz w:val="24"/>
          <w:highlight w:val="none"/>
          <w:lang w:val="zh-CN" w:eastAsia="zh-CN"/>
        </w:rPr>
        <w:t>基层</w:t>
      </w:r>
      <w:r>
        <w:rPr>
          <w:rFonts w:hint="eastAsia" w:ascii="宋体" w:hAnsi="宋体" w:eastAsia="宋体" w:cs="宋体"/>
          <w:color w:val="auto"/>
          <w:kern w:val="0"/>
          <w:sz w:val="24"/>
          <w:highlight w:val="none"/>
          <w:lang w:val="zh-CN"/>
        </w:rPr>
        <w:t>监督</w:t>
      </w:r>
      <w:r>
        <w:rPr>
          <w:rFonts w:hint="eastAsia" w:ascii="宋体" w:hAnsi="宋体" w:eastAsia="宋体" w:cs="宋体"/>
          <w:color w:val="auto"/>
          <w:kern w:val="0"/>
          <w:sz w:val="24"/>
          <w:highlight w:val="none"/>
          <w:lang w:val="zh-CN" w:eastAsia="zh-CN"/>
        </w:rPr>
        <w:t>机构</w:t>
      </w:r>
      <w:r>
        <w:rPr>
          <w:rFonts w:hint="eastAsia" w:ascii="宋体" w:hAnsi="宋体" w:eastAsia="宋体" w:cs="宋体"/>
          <w:color w:val="auto"/>
          <w:kern w:val="0"/>
          <w:sz w:val="24"/>
          <w:highlight w:val="none"/>
          <w:lang w:val="zh-CN"/>
        </w:rPr>
        <w:t>部门提出投诉。</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.3.2</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投诉的事项不得超出已</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事项的范围，基于</w:t>
      </w:r>
      <w:r>
        <w:rPr>
          <w:rFonts w:hint="eastAsia" w:ascii="宋体" w:hAnsi="宋体" w:eastAsia="宋体" w:cs="宋体"/>
          <w:color w:val="auto"/>
          <w:kern w:val="0"/>
          <w:sz w:val="24"/>
          <w:highlight w:val="none"/>
          <w:lang w:val="zh-CN" w:eastAsia="zh-CN"/>
        </w:rPr>
        <w:t>异议</w:t>
      </w:r>
      <w:r>
        <w:rPr>
          <w:rFonts w:hint="eastAsia" w:ascii="宋体" w:hAnsi="宋体" w:eastAsia="宋体" w:cs="宋体"/>
          <w:color w:val="auto"/>
          <w:kern w:val="0"/>
          <w:sz w:val="24"/>
          <w:highlight w:val="none"/>
          <w:lang w:val="zh-CN"/>
        </w:rPr>
        <w:t>答复内容提出的投诉事项除外。</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.3.3</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投诉应当有明确的请求和必要的证明材料。</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以联合体形式参加</w:t>
      </w:r>
      <w:r>
        <w:rPr>
          <w:rFonts w:hint="eastAsia" w:ascii="宋体" w:hAnsi="宋体" w:eastAsia="宋体" w:cs="宋体"/>
          <w:color w:val="auto"/>
          <w:kern w:val="0"/>
          <w:sz w:val="24"/>
          <w:highlight w:val="none"/>
          <w:lang w:val="zh-CN" w:eastAsia="zh-CN"/>
        </w:rPr>
        <w:t>交易</w:t>
      </w:r>
      <w:r>
        <w:rPr>
          <w:rFonts w:hint="eastAsia" w:ascii="宋体" w:hAnsi="宋体" w:eastAsia="宋体" w:cs="宋体"/>
          <w:color w:val="auto"/>
          <w:kern w:val="0"/>
          <w:sz w:val="24"/>
          <w:highlight w:val="none"/>
          <w:lang w:val="zh-CN"/>
        </w:rPr>
        <w:t>活动的，其投诉应当由组成联合体的所有</w:t>
      </w:r>
      <w:r>
        <w:rPr>
          <w:rFonts w:hint="eastAsia" w:ascii="宋体" w:hAnsi="宋体" w:eastAsia="宋体" w:cs="宋体"/>
          <w:color w:val="auto"/>
          <w:kern w:val="0"/>
          <w:sz w:val="24"/>
          <w:highlight w:val="none"/>
          <w:lang w:val="zh-CN" w:eastAsia="zh-CN"/>
        </w:rPr>
        <w:t>响应人</w:t>
      </w:r>
      <w:r>
        <w:rPr>
          <w:rFonts w:hint="eastAsia" w:ascii="宋体" w:hAnsi="宋体" w:eastAsia="宋体" w:cs="宋体"/>
          <w:color w:val="auto"/>
          <w:kern w:val="0"/>
          <w:sz w:val="24"/>
          <w:highlight w:val="none"/>
          <w:lang w:val="zh-CN"/>
        </w:rPr>
        <w:t>共同提出。</w:t>
      </w:r>
    </w:p>
    <w:p>
      <w:pPr>
        <w:pStyle w:val="35"/>
        <w:keepNext w:val="0"/>
        <w:keepLines w:val="0"/>
        <w:pageBreakBefore w:val="0"/>
        <w:widowControl w:val="0"/>
        <w:kinsoku/>
        <w:wordWrap/>
        <w:overflowPunct/>
        <w:topLinePunct w:val="0"/>
        <w:bidi w:val="0"/>
        <w:adjustRightInd w:val="0"/>
        <w:snapToGrid/>
        <w:spacing w:line="460" w:lineRule="exact"/>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w:t>
      </w:r>
    </w:p>
    <w:p>
      <w:pPr>
        <w:pStyle w:val="136"/>
        <w:keepNext w:val="0"/>
        <w:keepLines w:val="0"/>
        <w:pageBreakBefore w:val="0"/>
        <w:kinsoku/>
        <w:wordWrap/>
        <w:overflowPunct/>
        <w:topLinePunct w:val="0"/>
        <w:bidi w:val="0"/>
        <w:snapToGrid w:val="0"/>
        <w:spacing w:before="0" w:line="460" w:lineRule="exact"/>
        <w:ind w:firstLine="360"/>
        <w:textAlignment w:val="auto"/>
        <w:rPr>
          <w:rFonts w:hint="eastAsia" w:ascii="宋体" w:hAnsi="宋体" w:eastAsia="宋体" w:cs="宋体"/>
          <w:color w:val="auto"/>
          <w:sz w:val="18"/>
          <w:szCs w:val="18"/>
          <w:highlight w:val="none"/>
        </w:rPr>
      </w:pP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公开竞争文件</w:t>
      </w:r>
      <w:r>
        <w:rPr>
          <w:rFonts w:hint="eastAsia" w:ascii="宋体" w:hAnsi="宋体" w:eastAsia="宋体" w:cs="宋体"/>
          <w:b/>
          <w:color w:val="auto"/>
          <w:sz w:val="32"/>
          <w:szCs w:val="20"/>
          <w:highlight w:val="none"/>
        </w:rPr>
        <w:t>的构成、澄清、修改</w:t>
      </w:r>
    </w:p>
    <w:p>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的构成</w:t>
      </w:r>
    </w:p>
    <w:p>
      <w:pPr>
        <w:pStyle w:val="35"/>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包括下列文件及附件：</w:t>
      </w:r>
    </w:p>
    <w:p>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w:t>
      </w:r>
    </w:p>
    <w:p>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交易办法</w:t>
      </w:r>
      <w:r>
        <w:rPr>
          <w:rFonts w:hint="eastAsia" w:ascii="宋体" w:hAnsi="宋体" w:eastAsia="宋体" w:cs="宋体"/>
          <w:color w:val="auto"/>
          <w:sz w:val="24"/>
          <w:szCs w:val="24"/>
          <w:highlight w:val="none"/>
        </w:rPr>
        <w:t>；</w:t>
      </w:r>
    </w:p>
    <w:p>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pPr>
        <w:pStyle w:val="35"/>
        <w:keepNext w:val="0"/>
        <w:keepLines w:val="0"/>
        <w:pageBreakBefore w:val="0"/>
        <w:tabs>
          <w:tab w:val="left" w:pos="840"/>
        </w:tabs>
        <w:kinsoku/>
        <w:wordWrap/>
        <w:overflowPunct/>
        <w:topLinePunct w:val="0"/>
        <w:bidi w:val="0"/>
        <w:spacing w:line="46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公开竞争文件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的澄清、修改</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截止时间前，以书面形式向</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提出。</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的组成部分。</w:t>
      </w: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rPr>
      </w:pPr>
    </w:p>
    <w:p>
      <w:pPr>
        <w:keepNext w:val="0"/>
        <w:keepLines w:val="0"/>
        <w:pageBreakBefore w:val="0"/>
        <w:kinsoku/>
        <w:wordWrap/>
        <w:overflowPunct/>
        <w:topLinePunct w:val="0"/>
        <w:bidi w:val="0"/>
        <w:adjustRightInd/>
        <w:spacing w:line="460" w:lineRule="exact"/>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响应</w:t>
      </w:r>
    </w:p>
    <w:p>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公开竞争文件</w:t>
      </w:r>
      <w:r>
        <w:rPr>
          <w:rFonts w:hint="eastAsia" w:ascii="宋体" w:hAnsi="宋体" w:eastAsia="宋体" w:cs="宋体"/>
          <w:b/>
          <w:color w:val="auto"/>
          <w:sz w:val="24"/>
          <w:szCs w:val="24"/>
          <w:highlight w:val="none"/>
        </w:rPr>
        <w:t>的获取</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公开竞争文件</w:t>
      </w:r>
      <w:r>
        <w:rPr>
          <w:rFonts w:hint="eastAsia" w:ascii="宋体" w:hAnsi="宋体" w:eastAsia="宋体" w:cs="宋体"/>
          <w:snapToGrid w:val="0"/>
          <w:color w:val="auto"/>
          <w:kern w:val="28"/>
          <w:sz w:val="24"/>
          <w:highlight w:val="none"/>
        </w:rPr>
        <w:t>售价。</w:t>
      </w:r>
    </w:p>
    <w:p>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pPr>
        <w:pStyle w:val="35"/>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须知前附表的规定参加现场考察或者开标前答疑会。</w:t>
      </w:r>
    </w:p>
    <w:p>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交易保证金</w:t>
      </w:r>
    </w:p>
    <w:p>
      <w:pPr>
        <w:pStyle w:val="18"/>
        <w:keepNext w:val="0"/>
        <w:keepLines w:val="0"/>
        <w:pageBreakBefore w:val="0"/>
        <w:kinsoku/>
        <w:wordWrap/>
        <w:overflowPunct/>
        <w:topLinePunct w:val="0"/>
        <w:bidi w:val="0"/>
        <w:spacing w:line="46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交易保证金</w:t>
      </w:r>
      <w:r>
        <w:rPr>
          <w:rFonts w:hint="eastAsia" w:ascii="宋体" w:hAnsi="宋体" w:eastAsia="宋体" w:cs="宋体"/>
          <w:color w:val="auto"/>
          <w:sz w:val="24"/>
          <w:highlight w:val="none"/>
        </w:rPr>
        <w:t>。</w:t>
      </w:r>
    </w:p>
    <w:p>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pPr>
        <w:keepNext w:val="0"/>
        <w:keepLines w:val="0"/>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pPr>
        <w:pStyle w:val="35"/>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.1资格文件</w:t>
      </w:r>
      <w:r>
        <w:rPr>
          <w:rFonts w:hint="eastAsia" w:ascii="宋体" w:hAnsi="宋体" w:cs="宋体"/>
          <w:b/>
          <w:bCs/>
          <w:color w:val="auto"/>
          <w:sz w:val="24"/>
          <w:highlight w:val="none"/>
          <w:lang w:eastAsia="zh-CN"/>
        </w:rPr>
        <w:t>：</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.2授权委托书或法定代表人（单位负责人、自然人本人）身份证明；</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.4符合性审查资料；</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响应人廉洁自律承诺书。</w:t>
      </w:r>
    </w:p>
    <w:p>
      <w:pPr>
        <w:keepNext w:val="0"/>
        <w:keepLines w:val="0"/>
        <w:pageBreakBefore w:val="0"/>
        <w:kinsoku/>
        <w:wordWrap/>
        <w:overflowPunct/>
        <w:topLinePunct w:val="0"/>
        <w:bidi w:val="0"/>
        <w:snapToGrid w:val="0"/>
        <w:spacing w:line="460" w:lineRule="exact"/>
        <w:ind w:firstLine="482" w:firstLineChars="200"/>
        <w:textAlignment w:val="auto"/>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keepNext w:val="0"/>
        <w:keepLines w:val="0"/>
        <w:pageBreakBefore w:val="0"/>
        <w:kinsoku/>
        <w:wordWrap/>
        <w:overflowPunct/>
        <w:topLinePunct w:val="0"/>
        <w:bidi w:val="0"/>
        <w:snapToGrid w:val="0"/>
        <w:spacing w:line="460" w:lineRule="exact"/>
        <w:ind w:firstLine="960" w:firstLine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val="en-US" w:eastAsia="zh-CN"/>
        </w:rPr>
        <w:t>。</w:t>
      </w:r>
    </w:p>
    <w:p>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keepNext w:val="0"/>
        <w:keepLines w:val="0"/>
        <w:pageBreakBefore w:val="0"/>
        <w:kinsoku/>
        <w:wordWrap/>
        <w:overflowPunct/>
        <w:topLinePunct w:val="0"/>
        <w:bidi w:val="0"/>
        <w:spacing w:line="460" w:lineRule="exact"/>
        <w:ind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响应人</w:t>
      </w:r>
      <w:r>
        <w:rPr>
          <w:rFonts w:hint="eastAsia" w:ascii="宋体" w:hAnsi="宋体" w:eastAsia="宋体" w:cs="宋体"/>
          <w:b/>
          <w:color w:val="auto"/>
          <w:sz w:val="24"/>
          <w:highlight w:val="none"/>
        </w:rPr>
        <w:t>提供虚假材料投标的，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pStyle w:val="136"/>
        <w:keepNext w:val="0"/>
        <w:keepLines w:val="0"/>
        <w:pageBreakBefore w:val="0"/>
        <w:kinsoku/>
        <w:wordWrap/>
        <w:overflowPunct/>
        <w:topLinePunct w:val="0"/>
        <w:bidi w:val="0"/>
        <w:snapToGrid w:val="0"/>
        <w:spacing w:before="0" w:line="460" w:lineRule="exact"/>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公开竞争文件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响应人</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交易无效</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应当在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截止时间前完成在“政府采购云平台”的身份认证，确保在电子投标过程中能够对相关数据电文进行加密和使用电子签名。</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pPr>
        <w:pStyle w:val="136"/>
        <w:keepNext w:val="0"/>
        <w:keepLines w:val="0"/>
        <w:pageBreakBefore w:val="0"/>
        <w:kinsoku/>
        <w:wordWrap/>
        <w:overflowPunct/>
        <w:topLinePunct w:val="0"/>
        <w:bidi w:val="0"/>
        <w:spacing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应当在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的，应当先行撤回原文件，补充、修改后重新传输递交。投标截止时间前未完成传输的，视为撤回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发出确认回执通知。在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截止时间前，除</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w:t>
      </w:r>
      <w:r>
        <w:rPr>
          <w:rFonts w:hint="eastAsia" w:ascii="宋体" w:hAnsi="宋体" w:eastAsia="宋体" w:cs="宋体"/>
          <w:color w:val="auto"/>
          <w:szCs w:val="24"/>
          <w:highlight w:val="none"/>
          <w:lang w:eastAsia="zh-CN"/>
        </w:rPr>
        <w:t>代理机构</w:t>
      </w:r>
      <w:r>
        <w:rPr>
          <w:rFonts w:hint="eastAsia" w:ascii="宋体" w:hAnsi="宋体" w:eastAsia="宋体" w:cs="宋体"/>
          <w:color w:val="auto"/>
          <w:szCs w:val="24"/>
          <w:highlight w:val="none"/>
        </w:rPr>
        <w:t>与</w:t>
      </w:r>
      <w:r>
        <w:rPr>
          <w:rFonts w:hint="eastAsia" w:ascii="宋体" w:hAnsi="宋体" w:eastAsia="宋体" w:cs="宋体"/>
          <w:color w:val="auto"/>
          <w:szCs w:val="24"/>
          <w:highlight w:val="none"/>
          <w:lang w:eastAsia="zh-CN"/>
        </w:rPr>
        <w:t>响应人</w:t>
      </w:r>
      <w:r>
        <w:rPr>
          <w:rFonts w:hint="eastAsia" w:ascii="宋体" w:hAnsi="宋体" w:eastAsia="宋体" w:cs="宋体"/>
          <w:color w:val="auto"/>
          <w:szCs w:val="24"/>
          <w:highlight w:val="none"/>
        </w:rPr>
        <w:t>以前在投标截止期方面的全部权利、责任和义务，将适用于延长至新的投标截止期。</w:t>
      </w:r>
    </w:p>
    <w:p>
      <w:pPr>
        <w:pStyle w:val="35"/>
        <w:keepNext w:val="0"/>
        <w:keepLines w:val="0"/>
        <w:pageBreakBefore w:val="0"/>
        <w:numPr>
          <w:ilvl w:val="0"/>
          <w:numId w:val="1"/>
        </w:numPr>
        <w:kinsoku/>
        <w:wordWrap/>
        <w:overflowPunct/>
        <w:topLinePunct w:val="0"/>
        <w:bidi w:val="0"/>
        <w:spacing w:line="46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pPr>
        <w:pStyle w:val="35"/>
        <w:keepNext w:val="0"/>
        <w:keepLines w:val="0"/>
        <w:pageBreakBefore w:val="0"/>
        <w:numPr>
          <w:ilvl w:val="0"/>
          <w:numId w:val="0"/>
        </w:numPr>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pPr>
        <w:pStyle w:val="26"/>
        <w:keepNext w:val="0"/>
        <w:keepLines w:val="0"/>
        <w:pageBreakBefore w:val="0"/>
        <w:kinsoku/>
        <w:wordWrap/>
        <w:overflowPunct/>
        <w:topLinePunct w:val="0"/>
        <w:bidi w:val="0"/>
        <w:spacing w:line="460" w:lineRule="exact"/>
        <w:ind w:left="0" w:leftChars="0"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公开竞争文件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交易无效</w:t>
      </w:r>
      <w:r>
        <w:rPr>
          <w:rFonts w:hint="eastAsia" w:cs="宋体"/>
          <w:color w:val="auto"/>
          <w:szCs w:val="21"/>
          <w:highlight w:val="none"/>
          <w:lang w:eastAsia="zh-CN"/>
        </w:rPr>
        <w:t>。</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交易有效期</w:t>
      </w:r>
    </w:p>
    <w:p>
      <w:pPr>
        <w:keepNext w:val="0"/>
        <w:keepLines w:val="0"/>
        <w:pageBreakBefore w:val="0"/>
        <w:kinsoku/>
        <w:wordWrap/>
        <w:overflowPunct/>
        <w:topLinePunct w:val="0"/>
        <w:bidi w:val="0"/>
        <w:spacing w:line="460" w:lineRule="exact"/>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交易有效期</w:t>
      </w:r>
      <w:r>
        <w:rPr>
          <w:rFonts w:hint="eastAsia" w:ascii="宋体" w:hAnsi="宋体" w:eastAsia="宋体" w:cs="宋体"/>
          <w:color w:val="auto"/>
          <w:sz w:val="24"/>
          <w:szCs w:val="20"/>
          <w:highlight w:val="none"/>
        </w:rPr>
        <w:t>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响应人</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少于</w:t>
      </w:r>
      <w:r>
        <w:rPr>
          <w:rFonts w:hint="eastAsia" w:ascii="宋体" w:hAnsi="宋体" w:eastAsia="宋体" w:cs="宋体"/>
          <w:b/>
          <w:color w:val="auto"/>
          <w:sz w:val="24"/>
          <w:szCs w:val="21"/>
          <w:highlight w:val="none"/>
          <w:lang w:eastAsia="zh-CN"/>
        </w:rPr>
        <w:t>公开竞争文件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eastAsia="zh-CN"/>
        </w:rPr>
        <w:t>交易无效</w:t>
      </w:r>
      <w:r>
        <w:rPr>
          <w:rFonts w:hint="eastAsia" w:ascii="宋体" w:hAnsi="宋体" w:eastAsia="宋体" w:cs="宋体"/>
          <w:b/>
          <w:color w:val="auto"/>
          <w:sz w:val="24"/>
          <w:szCs w:val="21"/>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合格投递后，自投标截止日期起，在</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内有效。</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满之前，如果出现特殊情况，</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可以以书面形式通知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pPr>
        <w:pStyle w:val="136"/>
        <w:keepNext w:val="0"/>
        <w:keepLines w:val="0"/>
        <w:pageBreakBefore w:val="0"/>
        <w:kinsoku/>
        <w:wordWrap/>
        <w:overflowPunct/>
        <w:topLinePunct w:val="0"/>
        <w:bidi w:val="0"/>
        <w:spacing w:before="0" w:line="460" w:lineRule="exact"/>
        <w:ind w:firstLine="643"/>
        <w:textAlignment w:val="auto"/>
        <w:rPr>
          <w:rFonts w:hint="eastAsia" w:ascii="宋体" w:hAnsi="宋体" w:eastAsia="宋体" w:cs="宋体"/>
          <w:b/>
          <w:color w:val="auto"/>
          <w:sz w:val="32"/>
          <w:highlight w:val="none"/>
        </w:rPr>
      </w:pPr>
    </w:p>
    <w:p>
      <w:pPr>
        <w:pStyle w:val="136"/>
        <w:keepNext w:val="0"/>
        <w:keepLines w:val="0"/>
        <w:pageBreakBefore w:val="0"/>
        <w:kinsoku/>
        <w:wordWrap/>
        <w:overflowPunct/>
        <w:topLinePunct w:val="0"/>
        <w:bidi w:val="0"/>
        <w:spacing w:before="0" w:line="460" w:lineRule="exact"/>
        <w:ind w:left="0" w:leftChars="0" w:firstLine="0" w:firstLineChars="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、资格审查</w:t>
      </w:r>
    </w:p>
    <w:p>
      <w:pPr>
        <w:pStyle w:val="561"/>
        <w:keepNext w:val="0"/>
        <w:keepLines w:val="0"/>
        <w:pageBreakBefore w:val="0"/>
        <w:kinsoku/>
        <w:wordWrap/>
        <w:overflowPunct/>
        <w:topLinePunct w:val="0"/>
        <w:bidi w:val="0"/>
        <w:spacing w:before="0" w:line="460" w:lineRule="exact"/>
        <w:ind w:left="0" w:leftChars="0" w:firstLine="0" w:firstLineChars="0"/>
        <w:contextualSpacing/>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17.交易 </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规定的时间通过电子交易平台组织开标，所有</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均</w:t>
      </w:r>
      <w:r>
        <w:rPr>
          <w:rFonts w:hint="eastAsia" w:ascii="宋体" w:hAnsi="宋体" w:eastAsia="宋体" w:cs="宋体"/>
          <w:b w:val="0"/>
          <w:bCs w:val="0"/>
          <w:color w:val="auto"/>
          <w:sz w:val="24"/>
          <w:highlight w:val="none"/>
        </w:rPr>
        <w:t>应当准时在线参加。</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不足3家的，不得开标。</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交易</w:t>
      </w:r>
      <w:r>
        <w:rPr>
          <w:rFonts w:hint="eastAsia" w:ascii="宋体" w:hAnsi="宋体" w:eastAsia="宋体" w:cs="宋体"/>
          <w:b w:val="0"/>
          <w:bCs w:val="0"/>
          <w:color w:val="auto"/>
          <w:sz w:val="24"/>
          <w:highlight w:val="none"/>
        </w:rPr>
        <w:t>时，电子交易平台按</w:t>
      </w:r>
      <w:r>
        <w:rPr>
          <w:rFonts w:hint="eastAsia" w:ascii="宋体" w:hAnsi="宋体" w:eastAsia="宋体" w:cs="宋体"/>
          <w:b w:val="0"/>
          <w:bCs w:val="0"/>
          <w:color w:val="auto"/>
          <w:sz w:val="24"/>
          <w:highlight w:val="none"/>
          <w:lang w:eastAsia="zh-CN"/>
        </w:rPr>
        <w:t>交易时间</w:t>
      </w:r>
      <w:r>
        <w:rPr>
          <w:rFonts w:hint="eastAsia" w:ascii="宋体" w:hAnsi="宋体" w:eastAsia="宋体" w:cs="宋体"/>
          <w:b w:val="0"/>
          <w:bCs w:val="0"/>
          <w:color w:val="auto"/>
          <w:sz w:val="24"/>
          <w:highlight w:val="none"/>
        </w:rPr>
        <w:t>自动提取所有</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代理机构</w:t>
      </w:r>
      <w:r>
        <w:rPr>
          <w:rFonts w:hint="eastAsia" w:ascii="宋体" w:hAnsi="宋体" w:eastAsia="宋体" w:cs="宋体"/>
          <w:b w:val="0"/>
          <w:bCs w:val="0"/>
          <w:color w:val="auto"/>
          <w:sz w:val="24"/>
          <w:highlight w:val="none"/>
        </w:rPr>
        <w:t>依托电子交易平台发起开始解密指令，</w:t>
      </w:r>
      <w:r>
        <w:rPr>
          <w:rFonts w:hint="eastAsia" w:ascii="宋体" w:hAnsi="宋体" w:eastAsia="宋体" w:cs="宋体"/>
          <w:b w:val="0"/>
          <w:bCs w:val="0"/>
          <w:color w:val="auto"/>
          <w:sz w:val="24"/>
          <w:highlight w:val="none"/>
          <w:lang w:eastAsia="zh-CN"/>
        </w:rPr>
        <w:t>响应人</w:t>
      </w:r>
      <w:r>
        <w:rPr>
          <w:rFonts w:hint="eastAsia" w:ascii="宋体" w:hAnsi="宋体" w:eastAsia="宋体" w:cs="宋体"/>
          <w:b w:val="0"/>
          <w:bCs w:val="0"/>
          <w:color w:val="auto"/>
          <w:sz w:val="24"/>
          <w:highlight w:val="none"/>
        </w:rPr>
        <w:t>按照平台提示和</w:t>
      </w:r>
      <w:r>
        <w:rPr>
          <w:rFonts w:hint="eastAsia" w:ascii="宋体" w:hAnsi="宋体" w:eastAsia="宋体" w:cs="宋体"/>
          <w:b w:val="0"/>
          <w:bCs w:val="0"/>
          <w:color w:val="auto"/>
          <w:sz w:val="24"/>
          <w:highlight w:val="none"/>
          <w:lang w:eastAsia="zh-CN"/>
        </w:rPr>
        <w:t>公开竞争文件</w:t>
      </w:r>
      <w:r>
        <w:rPr>
          <w:rFonts w:hint="eastAsia" w:ascii="宋体" w:hAnsi="宋体" w:eastAsia="宋体" w:cs="宋体"/>
          <w:b w:val="0"/>
          <w:bCs w:val="0"/>
          <w:color w:val="auto"/>
          <w:sz w:val="24"/>
          <w:highlight w:val="none"/>
        </w:rPr>
        <w:t>的规定在半小时内完成在线解密。</w:t>
      </w:r>
    </w:p>
    <w:p>
      <w:pPr>
        <w:pStyle w:val="561"/>
        <w:keepNext w:val="0"/>
        <w:keepLines w:val="0"/>
        <w:pageBreakBefore w:val="0"/>
        <w:kinsoku/>
        <w:wordWrap/>
        <w:overflowPunct/>
        <w:topLinePunct w:val="0"/>
        <w:bidi w:val="0"/>
        <w:spacing w:before="0" w:line="460" w:lineRule="exact"/>
        <w:ind w:left="0" w:leftChars="0" w:firstLine="420" w:firstLineChars="175"/>
        <w:contextualSpacing/>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未按时解密，视为</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撤回。</w:t>
      </w:r>
    </w:p>
    <w:p>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1</w:t>
      </w:r>
      <w:r>
        <w:rPr>
          <w:rFonts w:hint="eastAsia" w:ascii="宋体" w:hAnsi="宋体" w:eastAsia="宋体" w:cs="宋体"/>
          <w:b/>
          <w:color w:val="auto"/>
          <w:highlight w:val="none"/>
          <w:lang w:val="en-US" w:eastAsia="zh-CN"/>
        </w:rPr>
        <w:t>8</w:t>
      </w:r>
      <w:r>
        <w:rPr>
          <w:rFonts w:hint="eastAsia" w:ascii="宋体" w:hAnsi="宋体" w:eastAsia="宋体" w:cs="宋体"/>
          <w:b/>
          <w:color w:val="auto"/>
          <w:highlight w:val="none"/>
          <w:lang w:eastAsia="zh-CN"/>
        </w:rPr>
        <w:t>、资格审查</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交易发起人</w:t>
      </w:r>
      <w:r>
        <w:rPr>
          <w:rFonts w:hint="eastAsia" w:ascii="宋体" w:hAnsi="宋体" w:eastAsia="宋体" w:cs="宋体"/>
          <w:color w:val="auto"/>
          <w:kern w:val="0"/>
          <w:szCs w:val="24"/>
          <w:highlight w:val="none"/>
        </w:rPr>
        <w:t>或</w:t>
      </w:r>
      <w:r>
        <w:rPr>
          <w:rFonts w:hint="eastAsia" w:ascii="宋体" w:hAnsi="宋体" w:eastAsia="宋体" w:cs="宋体"/>
          <w:color w:val="auto"/>
          <w:kern w:val="0"/>
          <w:szCs w:val="24"/>
          <w:highlight w:val="none"/>
          <w:lang w:eastAsia="zh-CN"/>
        </w:rPr>
        <w:t>代理机构</w:t>
      </w:r>
      <w:r>
        <w:rPr>
          <w:rFonts w:hint="eastAsia" w:ascii="宋体" w:hAnsi="宋体" w:eastAsia="宋体" w:cs="宋体"/>
          <w:color w:val="auto"/>
          <w:kern w:val="0"/>
          <w:szCs w:val="24"/>
          <w:highlight w:val="none"/>
        </w:rPr>
        <w:t>将依法对</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的资格进行审查。</w:t>
      </w:r>
    </w:p>
    <w:p>
      <w:pPr>
        <w:keepNext w:val="0"/>
        <w:keepLines w:val="0"/>
        <w:pageBreakBefore w:val="0"/>
        <w:kinsoku/>
        <w:wordWrap/>
        <w:overflowPunct/>
        <w:topLinePunct w:val="0"/>
        <w:bidi w:val="0"/>
        <w:snapToGrid w:val="0"/>
        <w:spacing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依据法律法规和</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的基本资格条件、特定资格条件进行审查。</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公开竞争文件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交易无效</w:t>
      </w:r>
      <w:r>
        <w:rPr>
          <w:rFonts w:hint="eastAsia" w:ascii="宋体" w:hAnsi="宋体" w:eastAsia="宋体" w:cs="宋体"/>
          <w:color w:val="auto"/>
          <w:highlight w:val="none"/>
        </w:rPr>
        <w:t>。</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告知其未通过的原因。</w:t>
      </w:r>
    </w:p>
    <w:p>
      <w:pPr>
        <w:pStyle w:val="136"/>
        <w:keepNext w:val="0"/>
        <w:keepLines w:val="0"/>
        <w:pageBreakBefore w:val="0"/>
        <w:kinsoku/>
        <w:wordWrap/>
        <w:overflowPunct/>
        <w:topLinePunct w:val="0"/>
        <w:bidi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不足3家的，不再评标。</w:t>
      </w:r>
    </w:p>
    <w:p>
      <w:pPr>
        <w:pStyle w:val="136"/>
        <w:keepNext w:val="0"/>
        <w:keepLines w:val="0"/>
        <w:pageBreakBefore w:val="0"/>
        <w:kinsoku/>
        <w:wordWrap/>
        <w:overflowPunct/>
        <w:topLinePunct w:val="0"/>
        <w:bidi w:val="0"/>
        <w:spacing w:before="0" w:line="460" w:lineRule="exact"/>
        <w:ind w:firstLine="0" w:firstLineChars="0"/>
        <w:textAlignment w:val="auto"/>
        <w:rPr>
          <w:rFonts w:hint="eastAsia" w:ascii="宋体" w:hAnsi="宋体" w:eastAsia="宋体" w:cs="宋体"/>
          <w:color w:val="auto"/>
          <w:kern w:val="0"/>
          <w:szCs w:val="24"/>
          <w:highlight w:val="none"/>
        </w:rPr>
      </w:pPr>
    </w:p>
    <w:p>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pPr>
        <w:keepNext w:val="0"/>
        <w:keepLines w:val="0"/>
        <w:pageBreakBefore w:val="0"/>
        <w:kinsoku/>
        <w:wordWrap/>
        <w:overflowPunct/>
        <w:topLinePunct w:val="0"/>
        <w:bidi w:val="0"/>
        <w:spacing w:line="460" w:lineRule="exact"/>
        <w:textAlignment w:val="auto"/>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评审委员会</w:t>
      </w:r>
      <w:r>
        <w:rPr>
          <w:rFonts w:hint="eastAsia" w:ascii="宋体" w:hAnsi="宋体" w:eastAsia="宋体" w:cs="宋体"/>
          <w:color w:val="auto"/>
          <w:sz w:val="24"/>
          <w:highlight w:val="none"/>
        </w:rPr>
        <w:t>将根据</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的先后顺序，并按顺序提出授标建议。</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w:t>
      </w:r>
    </w:p>
    <w:p>
      <w:pPr>
        <w:keepNext w:val="0"/>
        <w:keepLines w:val="0"/>
        <w:pageBreakBefore w:val="0"/>
        <w:kinsoku/>
        <w:wordWrap/>
        <w:overflowPunct/>
        <w:topLinePunct w:val="0"/>
        <w:bidi w:val="0"/>
        <w:spacing w:line="460" w:lineRule="exact"/>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bidi w:val="0"/>
        <w:snapToGrid w:val="0"/>
        <w:spacing w:line="460" w:lineRule="exact"/>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w:t>
      </w:r>
      <w:r>
        <w:rPr>
          <w:rFonts w:hint="eastAsia" w:ascii="宋体" w:hAnsi="宋体" w:eastAsia="宋体" w:cs="宋体"/>
          <w:b/>
          <w:color w:val="auto"/>
          <w:highlight w:val="none"/>
          <w:lang w:eastAsia="zh-CN"/>
        </w:rPr>
        <w:t>成交响应人</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交易发起人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eastAsia="zh-CN"/>
        </w:rPr>
        <w:t>成交候选人</w:t>
      </w:r>
      <w:r>
        <w:rPr>
          <w:rFonts w:hint="eastAsia" w:ascii="宋体" w:hAnsi="宋体" w:eastAsia="宋体" w:cs="宋体"/>
          <w:color w:val="auto"/>
          <w:szCs w:val="24"/>
          <w:highlight w:val="none"/>
        </w:rPr>
        <w:t>中按顺序确定</w:t>
      </w:r>
      <w:r>
        <w:rPr>
          <w:rFonts w:hint="eastAsia" w:ascii="宋体" w:hAnsi="宋体" w:eastAsia="宋体" w:cs="宋体"/>
          <w:color w:val="auto"/>
          <w:szCs w:val="24"/>
          <w:highlight w:val="none"/>
          <w:lang w:eastAsia="zh-CN"/>
        </w:rPr>
        <w:t>成交响应人</w:t>
      </w:r>
      <w:r>
        <w:rPr>
          <w:rFonts w:hint="eastAsia" w:ascii="宋体" w:hAnsi="宋体" w:eastAsia="宋体" w:cs="宋体"/>
          <w:color w:val="auto"/>
          <w:szCs w:val="24"/>
          <w:highlight w:val="none"/>
        </w:rPr>
        <w:t>。</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成交通知</w:t>
      </w:r>
      <w:r>
        <w:rPr>
          <w:rFonts w:hint="eastAsia" w:ascii="宋体" w:hAnsi="宋体" w:eastAsia="宋体" w:cs="宋体"/>
          <w:b/>
          <w:color w:val="auto"/>
          <w:szCs w:val="24"/>
          <w:highlight w:val="none"/>
        </w:rPr>
        <w:t>与</w:t>
      </w:r>
      <w:r>
        <w:rPr>
          <w:rFonts w:hint="eastAsia" w:ascii="宋体" w:hAnsi="宋体" w:eastAsia="宋体" w:cs="宋体"/>
          <w:b/>
          <w:color w:val="auto"/>
          <w:szCs w:val="24"/>
          <w:highlight w:val="none"/>
          <w:lang w:eastAsia="zh-CN"/>
        </w:rPr>
        <w:t>成交结果</w:t>
      </w:r>
      <w:r>
        <w:rPr>
          <w:rFonts w:hint="eastAsia" w:ascii="宋体" w:hAnsi="宋体" w:eastAsia="宋体" w:cs="宋体"/>
          <w:b/>
          <w:color w:val="auto"/>
          <w:szCs w:val="24"/>
          <w:highlight w:val="none"/>
        </w:rPr>
        <w:t>公告</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确定之日起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通过电子交易平台向</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书，同时编制发布</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也可以以纸质形式进行</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公告内容包括</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及其委托的</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的名称、地址、联系方式，项目名称和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名称、地址和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金额。</w:t>
      </w: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pPr>
        <w:keepNext w:val="0"/>
        <w:keepLines w:val="0"/>
        <w:pageBreakBefore w:val="0"/>
        <w:widowControl/>
        <w:shd w:val="clear" w:color="auto" w:fill="FFFFFF"/>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成交通知</w:t>
      </w:r>
      <w:r>
        <w:rPr>
          <w:rFonts w:hint="eastAsia" w:ascii="宋体" w:hAnsi="宋体" w:eastAsia="宋体" w:cs="宋体"/>
          <w:color w:val="auto"/>
          <w:kern w:val="0"/>
          <w:sz w:val="24"/>
          <w:highlight w:val="none"/>
        </w:rPr>
        <w:t>书发出之日起三十日内，按照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确定的事项签订</w:t>
      </w:r>
      <w:r>
        <w:rPr>
          <w:rFonts w:hint="eastAsia" w:ascii="宋体" w:hAnsi="宋体" w:eastAsia="宋体" w:cs="宋体"/>
          <w:color w:val="auto"/>
          <w:kern w:val="0"/>
          <w:sz w:val="24"/>
          <w:highlight w:val="none"/>
          <w:lang w:eastAsia="zh-CN"/>
        </w:rPr>
        <w:t>书面</w:t>
      </w:r>
      <w:r>
        <w:rPr>
          <w:rFonts w:hint="eastAsia" w:ascii="宋体" w:hAnsi="宋体" w:eastAsia="宋体" w:cs="宋体"/>
          <w:color w:val="auto"/>
          <w:kern w:val="0"/>
          <w:sz w:val="24"/>
          <w:highlight w:val="none"/>
        </w:rPr>
        <w:t>合同。</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无故拒绝或延期，除按照合同条款处理外，列入不良行为记录一次，并给予通报。</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拒绝与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可以按照评审报告推荐的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，也可以重新开展</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136"/>
        <w:keepNext w:val="0"/>
        <w:keepLines w:val="0"/>
        <w:pageBreakBefore w:val="0"/>
        <w:kinsoku/>
        <w:wordWrap/>
        <w:overflowPunct/>
        <w:topLinePunct w:val="0"/>
        <w:bidi w:val="0"/>
        <w:snapToGrid w:val="0"/>
        <w:spacing w:before="0" w:after="12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合同由</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成交响应人</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等内容签订</w:t>
      </w:r>
      <w:r>
        <w:rPr>
          <w:rFonts w:hint="eastAsia" w:ascii="宋体" w:hAnsi="宋体" w:eastAsia="宋体" w:cs="宋体"/>
          <w:color w:val="auto"/>
          <w:highlight w:val="none"/>
          <w:lang w:eastAsia="zh-CN"/>
        </w:rPr>
        <w:t>合同</w:t>
      </w:r>
      <w:r>
        <w:rPr>
          <w:rFonts w:hint="eastAsia" w:ascii="宋体" w:hAnsi="宋体" w:eastAsia="宋体" w:cs="宋体"/>
          <w:color w:val="auto"/>
          <w:highlight w:val="none"/>
        </w:rPr>
        <w:t>。</w:t>
      </w:r>
    </w:p>
    <w:p>
      <w:pPr>
        <w:pStyle w:val="26"/>
        <w:keepNext w:val="0"/>
        <w:keepLines w:val="0"/>
        <w:pageBreakBefore w:val="0"/>
        <w:kinsoku/>
        <w:wordWrap/>
        <w:overflowPunct/>
        <w:topLinePunct w:val="0"/>
        <w:bidi w:val="0"/>
        <w:spacing w:line="460" w:lineRule="exact"/>
        <w:ind w:left="479" w:hanging="479" w:hangingChars="199"/>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r>
        <w:rPr>
          <w:rFonts w:hint="eastAsia" w:ascii="宋体" w:hAnsi="宋体" w:eastAsia="宋体" w:cs="宋体"/>
          <w:b/>
          <w:color w:val="auto"/>
          <w:highlight w:val="none"/>
          <w:lang w:eastAsia="zh-CN"/>
        </w:rPr>
        <w:t>：</w:t>
      </w:r>
      <w:r>
        <w:rPr>
          <w:rFonts w:hint="eastAsia" w:cs="宋体"/>
          <w:b w:val="0"/>
          <w:bCs/>
          <w:color w:val="auto"/>
          <w:highlight w:val="none"/>
          <w:lang w:val="en-US" w:eastAsia="zh-CN"/>
        </w:rPr>
        <w:t>详见前附表</w:t>
      </w:r>
      <w:r>
        <w:rPr>
          <w:rFonts w:hint="eastAsia" w:ascii="宋体" w:hAnsi="宋体" w:eastAsia="宋体" w:cs="宋体"/>
          <w:b w:val="0"/>
          <w:bCs/>
          <w:color w:val="auto"/>
          <w:sz w:val="24"/>
          <w:highlight w:val="none"/>
        </w:rPr>
        <w:t>。</w:t>
      </w:r>
    </w:p>
    <w:p>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32"/>
          <w:highlight w:val="none"/>
        </w:rPr>
      </w:pPr>
    </w:p>
    <w:p>
      <w:pPr>
        <w:keepNext w:val="0"/>
        <w:keepLines w:val="0"/>
        <w:pageBreakBefore w:val="0"/>
        <w:kinsoku/>
        <w:wordWrap/>
        <w:overflowPunct/>
        <w:topLinePunct w:val="0"/>
        <w:bidi w:val="0"/>
        <w:snapToGrid w:val="0"/>
        <w:spacing w:line="460" w:lineRule="exact"/>
        <w:ind w:firstLine="3357" w:firstLineChars="1045"/>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b w:val="0"/>
          <w:bCs/>
          <w:color w:val="auto"/>
          <w:szCs w:val="24"/>
          <w:highlight w:val="none"/>
          <w:lang w:eastAsia="zh-CN"/>
        </w:rPr>
        <w:t>交易</w:t>
      </w:r>
      <w:r>
        <w:rPr>
          <w:rFonts w:hint="eastAsia" w:ascii="宋体" w:hAnsi="宋体" w:eastAsia="宋体" w:cs="宋体"/>
          <w:color w:val="auto"/>
          <w:highlight w:val="none"/>
        </w:rPr>
        <w:t>过程中出现以下情形，导致电子交易平台无法正常运行，或者无法保证电子交易的公平、公正和安全时，</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可中止电子交易活动：</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pPr>
        <w:pStyle w:val="136"/>
        <w:keepNext w:val="0"/>
        <w:keepLines w:val="0"/>
        <w:pageBreakBefore w:val="0"/>
        <w:kinsoku/>
        <w:wordWrap/>
        <w:overflowPunct/>
        <w:topLinePunct w:val="0"/>
        <w:bidi w:val="0"/>
        <w:snapToGrid w:val="0"/>
        <w:spacing w:before="0" w:line="46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pPr>
        <w:pStyle w:val="136"/>
        <w:keepNext w:val="0"/>
        <w:keepLines w:val="0"/>
        <w:pageBreakBefore w:val="0"/>
        <w:kinsoku/>
        <w:wordWrap/>
        <w:overflowPunct/>
        <w:topLinePunct w:val="0"/>
        <w:bidi w:val="0"/>
        <w:snapToGrid w:val="0"/>
        <w:spacing w:before="0" w:line="460" w:lineRule="exact"/>
        <w:ind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可以待上述情形消除后继续组织电子交易活动，也可以决定某些环节以纸质形式进行；影响或可能影响</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公平、公正性的，应当重新</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w:t>
      </w:r>
    </w:p>
    <w:p>
      <w:pPr>
        <w:keepNext w:val="0"/>
        <w:keepLines w:val="0"/>
        <w:pageBreakBefore w:val="0"/>
        <w:kinsoku/>
        <w:wordWrap/>
        <w:overflowPunct/>
        <w:topLinePunct w:val="0"/>
        <w:bidi w:val="0"/>
        <w:snapToGrid w:val="0"/>
        <w:spacing w:line="460" w:lineRule="exact"/>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6"/>
        <w:keepNext w:val="0"/>
        <w:keepLines w:val="0"/>
        <w:pageBreakBefore w:val="0"/>
        <w:kinsoku/>
        <w:wordWrap/>
        <w:overflowPunct/>
        <w:topLinePunct w:val="0"/>
        <w:bidi w:val="0"/>
        <w:spacing w:line="460" w:lineRule="exact"/>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p>
    <w:p>
      <w:pPr>
        <w:keepNext w:val="0"/>
        <w:keepLines w:val="0"/>
        <w:pageBreakBefore w:val="0"/>
        <w:tabs>
          <w:tab w:val="left" w:pos="0"/>
        </w:tabs>
        <w:kinsoku/>
        <w:wordWrap/>
        <w:overflowPunct/>
        <w:topLinePunct w:val="0"/>
        <w:bidi w:val="0"/>
        <w:spacing w:line="460" w:lineRule="exact"/>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应当组织对</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交易一览表</w:t>
      </w:r>
    </w:p>
    <w:p>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4"/>
        <w:tblW w:w="9062" w:type="dxa"/>
        <w:jc w:val="center"/>
        <w:tblLayout w:type="fixed"/>
        <w:tblCellMar>
          <w:top w:w="0" w:type="dxa"/>
          <w:left w:w="0" w:type="dxa"/>
          <w:bottom w:w="0" w:type="dxa"/>
          <w:right w:w="0" w:type="dxa"/>
        </w:tblCellMar>
      </w:tblPr>
      <w:tblGrid>
        <w:gridCol w:w="716"/>
        <w:gridCol w:w="4013"/>
        <w:gridCol w:w="1968"/>
        <w:gridCol w:w="788"/>
        <w:gridCol w:w="788"/>
        <w:gridCol w:w="789"/>
      </w:tblGrid>
      <w:tr>
        <w:tblPrEx>
          <w:tblCellMar>
            <w:top w:w="0" w:type="dxa"/>
            <w:left w:w="0" w:type="dxa"/>
            <w:bottom w:w="0" w:type="dxa"/>
            <w:right w:w="0" w:type="dxa"/>
          </w:tblCellMar>
        </w:tblPrEx>
        <w:trPr>
          <w:cantSplit/>
          <w:trHeight w:val="514" w:hRule="atLeast"/>
          <w:jc w:val="center"/>
        </w:trPr>
        <w:tc>
          <w:tcPr>
            <w:tcW w:w="7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标项</w:t>
            </w:r>
          </w:p>
        </w:tc>
        <w:tc>
          <w:tcPr>
            <w:tcW w:w="40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7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8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0" w:type="dxa"/>
            <w:bottom w:w="0" w:type="dxa"/>
            <w:right w:w="0" w:type="dxa"/>
          </w:tblCellMar>
        </w:tblPrEx>
        <w:trPr>
          <w:cantSplit/>
          <w:trHeight w:val="735" w:hRule="atLeast"/>
          <w:jc w:val="center"/>
        </w:trPr>
        <w:tc>
          <w:tcPr>
            <w:tcW w:w="7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0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杭州萧山供水有限公司年度保温材料采购项目</w:t>
            </w:r>
          </w:p>
        </w:tc>
        <w:tc>
          <w:tcPr>
            <w:tcW w:w="1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7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批</w:t>
            </w:r>
          </w:p>
        </w:tc>
        <w:tc>
          <w:tcPr>
            <w:tcW w:w="7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78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bl>
    <w:p>
      <w:pPr>
        <w:numPr>
          <w:ilvl w:val="0"/>
          <w:numId w:val="0"/>
        </w:numPr>
        <w:spacing w:line="360" w:lineRule="auto"/>
        <w:ind w:leftChars="0"/>
        <w:jc w:val="center"/>
        <w:rPr>
          <w:rFonts w:hint="eastAsia" w:ascii="宋体" w:hAnsi="宋体" w:eastAsia="宋体" w:cs="宋体"/>
          <w:b/>
          <w:color w:val="auto"/>
          <w:sz w:val="24"/>
          <w:szCs w:val="24"/>
          <w:highlight w:val="none"/>
          <w:lang w:val="en-US" w:eastAsia="zh-CN"/>
        </w:rPr>
      </w:pPr>
    </w:p>
    <w:p>
      <w:pPr>
        <w:numPr>
          <w:ilvl w:val="0"/>
          <w:numId w:val="0"/>
        </w:numPr>
        <w:spacing w:line="360" w:lineRule="auto"/>
        <w:ind w:left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4"/>
          <w:szCs w:val="24"/>
          <w:highlight w:val="none"/>
          <w:lang w:val="en-US" w:eastAsia="zh-CN"/>
        </w:rPr>
        <w:t>二、交易</w:t>
      </w:r>
      <w:r>
        <w:rPr>
          <w:rFonts w:hint="eastAsia" w:ascii="宋体" w:hAnsi="宋体" w:eastAsia="宋体" w:cs="宋体"/>
          <w:b/>
          <w:color w:val="auto"/>
          <w:sz w:val="24"/>
          <w:szCs w:val="24"/>
          <w:highlight w:val="none"/>
        </w:rPr>
        <w:t>需求</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技术需求</w:t>
      </w:r>
    </w:p>
    <w:tbl>
      <w:tblPr>
        <w:tblStyle w:val="970"/>
        <w:tblW w:w="9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5"/>
        <w:gridCol w:w="2233"/>
        <w:gridCol w:w="2041"/>
        <w:gridCol w:w="994"/>
        <w:gridCol w:w="1888"/>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序号</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名称</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参考尺寸</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单位</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基准价</w:t>
            </w:r>
            <w:r>
              <w:rPr>
                <w:rFonts w:hint="eastAsia" w:ascii="宋体" w:hAnsi="宋体" w:cs="宋体"/>
                <w:color w:val="auto"/>
                <w:sz w:val="24"/>
                <w:highlight w:val="none"/>
                <w:lang w:eastAsia="zh-CN"/>
              </w:rPr>
              <w:t>（单价）</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25*20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32*20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6.5</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3</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43*20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48*20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9.2</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6</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eastAsia="zh-CN"/>
              </w:rPr>
              <w:t>*20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10.6</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样品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6</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76*20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7</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橡塑保温管</w:t>
            </w:r>
          </w:p>
        </w:tc>
        <w:tc>
          <w:tcPr>
            <w:tcW w:w="2041" w:type="dxa"/>
            <w:tcBorders>
              <w:bottom w:val="single" w:color="000000" w:sz="2" w:space="0"/>
            </w:tcBorders>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89*20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8</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橡塑保温管</w:t>
            </w:r>
          </w:p>
        </w:tc>
        <w:tc>
          <w:tcPr>
            <w:tcW w:w="2041" w:type="dxa"/>
            <w:tcBorders>
              <w:top w:val="single" w:color="000000" w:sz="2" w:space="0"/>
            </w:tcBorders>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108*20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16.5</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铝箔</w:t>
            </w: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25*20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7.92</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铝箔</w:t>
            </w: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32*20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8.55</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铝箔</w:t>
            </w: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w:t>
            </w:r>
            <w:r>
              <w:rPr>
                <w:rFonts w:hint="eastAsia" w:ascii="宋体" w:hAnsi="宋体" w:cs="宋体"/>
                <w:color w:val="auto"/>
                <w:sz w:val="24"/>
                <w:highlight w:val="none"/>
                <w:lang w:val="en-US" w:eastAsia="zh-CN"/>
              </w:rPr>
              <w:t>0</w:t>
            </w:r>
            <w:r>
              <w:rPr>
                <w:rFonts w:hint="eastAsia" w:ascii="宋体" w:hAnsi="宋体" w:cs="宋体"/>
                <w:color w:val="auto"/>
                <w:sz w:val="24"/>
                <w:highlight w:val="none"/>
                <w:lang w:eastAsia="zh-CN"/>
              </w:rPr>
              <w:t>*20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10.08</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铝箔</w:t>
            </w: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50</w:t>
            </w:r>
            <w:r>
              <w:rPr>
                <w:rFonts w:hint="eastAsia" w:ascii="宋体" w:hAnsi="宋体" w:cs="宋体"/>
                <w:color w:val="auto"/>
                <w:sz w:val="24"/>
                <w:highlight w:val="none"/>
                <w:lang w:eastAsia="zh-CN"/>
              </w:rPr>
              <w:t>*20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10.8</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铝箔</w:t>
            </w: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60</w:t>
            </w:r>
            <w:r>
              <w:rPr>
                <w:rFonts w:hint="eastAsia" w:ascii="宋体" w:hAnsi="宋体" w:cs="宋体"/>
                <w:color w:val="auto"/>
                <w:sz w:val="24"/>
                <w:highlight w:val="none"/>
                <w:lang w:eastAsia="zh-CN"/>
              </w:rPr>
              <w:t>*20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12.15</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样品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铝箔</w:t>
            </w:r>
            <w:r>
              <w:rPr>
                <w:rFonts w:hint="eastAsia" w:ascii="宋体" w:hAnsi="宋体" w:cs="宋体"/>
                <w:color w:val="auto"/>
                <w:sz w:val="24"/>
                <w:highlight w:val="none"/>
                <w:lang w:eastAsia="zh-CN"/>
              </w:rPr>
              <w:t>橡塑保温管</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80</w:t>
            </w:r>
            <w:r>
              <w:rPr>
                <w:rFonts w:hint="eastAsia" w:ascii="宋体" w:hAnsi="宋体" w:cs="宋体"/>
                <w:color w:val="auto"/>
                <w:sz w:val="24"/>
                <w:highlight w:val="none"/>
                <w:lang w:eastAsia="zh-CN"/>
              </w:rPr>
              <w:t>*20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14.58</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铝箔</w:t>
            </w:r>
            <w:r>
              <w:rPr>
                <w:rFonts w:hint="eastAsia" w:ascii="宋体" w:hAnsi="宋体" w:cs="宋体"/>
                <w:color w:val="auto"/>
                <w:sz w:val="24"/>
                <w:highlight w:val="none"/>
                <w:lang w:eastAsia="zh-CN"/>
              </w:rPr>
              <w:t>橡塑保温管</w:t>
            </w:r>
          </w:p>
        </w:tc>
        <w:tc>
          <w:tcPr>
            <w:tcW w:w="2041" w:type="dxa"/>
            <w:tcBorders>
              <w:bottom w:val="single" w:color="000000" w:sz="2" w:space="0"/>
            </w:tcBorders>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100</w:t>
            </w:r>
            <w:r>
              <w:rPr>
                <w:rFonts w:hint="eastAsia" w:ascii="宋体" w:hAnsi="宋体" w:cs="宋体"/>
                <w:color w:val="auto"/>
                <w:sz w:val="24"/>
                <w:highlight w:val="none"/>
                <w:lang w:eastAsia="zh-CN"/>
              </w:rPr>
              <w:t>*20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15.75</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铝箔</w:t>
            </w:r>
            <w:r>
              <w:rPr>
                <w:rFonts w:hint="eastAsia" w:ascii="宋体" w:hAnsi="宋体" w:cs="宋体"/>
                <w:color w:val="auto"/>
                <w:sz w:val="24"/>
                <w:highlight w:val="none"/>
                <w:lang w:eastAsia="zh-CN"/>
              </w:rPr>
              <w:t>橡塑保温管</w:t>
            </w:r>
          </w:p>
        </w:tc>
        <w:tc>
          <w:tcPr>
            <w:tcW w:w="2041" w:type="dxa"/>
            <w:tcBorders>
              <w:top w:val="single" w:color="000000" w:sz="2" w:space="0"/>
            </w:tcBorders>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w:t>
            </w:r>
            <w:r>
              <w:rPr>
                <w:rFonts w:hint="eastAsia" w:ascii="宋体" w:hAnsi="宋体" w:cs="宋体"/>
                <w:color w:val="auto"/>
                <w:sz w:val="24"/>
                <w:highlight w:val="none"/>
                <w:lang w:val="en-US" w:eastAsia="zh-CN"/>
              </w:rPr>
              <w:t>25</w:t>
            </w:r>
            <w:r>
              <w:rPr>
                <w:rFonts w:hint="eastAsia" w:ascii="宋体" w:hAnsi="宋体" w:cs="宋体"/>
                <w:color w:val="auto"/>
                <w:sz w:val="24"/>
                <w:highlight w:val="none"/>
                <w:lang w:eastAsia="zh-CN"/>
              </w:rPr>
              <w:t>*20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米</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铝箔保温棉</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平方</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33</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水表保温套</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120 mm*260mm</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只</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水表保温衣</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0mm*</w:t>
            </w:r>
            <w:r>
              <w:rPr>
                <w:rFonts w:hint="eastAsia" w:ascii="宋体" w:hAnsi="宋体" w:cs="宋体"/>
                <w:color w:val="auto"/>
                <w:sz w:val="24"/>
                <w:highlight w:val="none"/>
                <w:lang w:val="en-US" w:eastAsia="zh-CN"/>
              </w:rPr>
              <w:t>260</w:t>
            </w:r>
            <w:r>
              <w:rPr>
                <w:rFonts w:hint="eastAsia" w:ascii="宋体" w:hAnsi="宋体" w:cs="宋体"/>
                <w:color w:val="auto"/>
                <w:sz w:val="24"/>
                <w:highlight w:val="none"/>
                <w:lang w:eastAsia="zh-CN"/>
              </w:rPr>
              <w:t>mm</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只</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28.3</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防雨防风布保温棉（</w:t>
            </w:r>
            <w:r>
              <w:rPr>
                <w:rFonts w:hint="eastAsia" w:ascii="宋体" w:hAnsi="宋体" w:cs="宋体"/>
                <w:color w:val="auto"/>
                <w:sz w:val="24"/>
                <w:highlight w:val="none"/>
                <w:lang w:val="en-US" w:eastAsia="zh-CN"/>
              </w:rPr>
              <w:t>样品</w:t>
            </w:r>
            <w:r>
              <w:rPr>
                <w:rFonts w:hint="eastAsia" w:ascii="宋体" w:hAnsi="宋体" w:cs="宋体"/>
                <w:color w:val="auto"/>
                <w:sz w:val="24"/>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保温材料扎带</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根</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0.18</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地表保温板</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430</w:t>
            </w:r>
            <w:r>
              <w:rPr>
                <w:rFonts w:hint="default" w:ascii="宋体" w:hAnsi="宋体" w:cs="宋体"/>
                <w:color w:val="auto"/>
                <w:sz w:val="24"/>
                <w:highlight w:val="none"/>
                <w:lang w:eastAsia="zh-CN"/>
              </w:rPr>
              <w:t>mm*</w:t>
            </w:r>
            <w:r>
              <w:rPr>
                <w:rFonts w:hint="eastAsia" w:ascii="宋体" w:hAnsi="宋体" w:cs="宋体"/>
                <w:color w:val="auto"/>
                <w:sz w:val="24"/>
                <w:highlight w:val="none"/>
                <w:lang w:val="en-US" w:eastAsia="zh-CN"/>
              </w:rPr>
              <w:t>270</w:t>
            </w:r>
            <w:r>
              <w:rPr>
                <w:rFonts w:hint="default" w:ascii="宋体" w:hAnsi="宋体" w:cs="宋体"/>
                <w:color w:val="auto"/>
                <w:sz w:val="24"/>
                <w:highlight w:val="none"/>
                <w:lang w:eastAsia="zh-CN"/>
              </w:rPr>
              <w:t>mm</w:t>
            </w:r>
            <w:r>
              <w:rPr>
                <w:rFonts w:hint="eastAsia" w:ascii="宋体" w:hAnsi="宋体" w:cs="宋体"/>
                <w:color w:val="auto"/>
                <w:sz w:val="24"/>
                <w:highlight w:val="none"/>
                <w:lang w:val="en-US" w:eastAsia="zh-CN"/>
              </w:rPr>
              <w:t>*20</w:t>
            </w: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块</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jc w:val="center"/>
        </w:trPr>
        <w:tc>
          <w:tcPr>
            <w:tcW w:w="705"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233"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保温管专用胶水</w:t>
            </w:r>
          </w:p>
        </w:tc>
        <w:tc>
          <w:tcPr>
            <w:tcW w:w="2041"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c>
          <w:tcPr>
            <w:tcW w:w="994"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桶</w:t>
            </w:r>
          </w:p>
        </w:tc>
        <w:tc>
          <w:tcPr>
            <w:tcW w:w="1888" w:type="dxa"/>
            <w:vAlign w:val="center"/>
          </w:tcPr>
          <w:p>
            <w:pPr>
              <w:keepNext w:val="0"/>
              <w:keepLines w:val="0"/>
              <w:pageBreakBefore w:val="0"/>
              <w:kinsoku/>
              <w:wordWrap/>
              <w:overflowPunct/>
              <w:topLinePunct w:val="0"/>
              <w:bidi w:val="0"/>
              <w:adjustRightInd w:val="0"/>
              <w:spacing w:line="24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185</w:t>
            </w:r>
          </w:p>
        </w:tc>
        <w:tc>
          <w:tcPr>
            <w:tcW w:w="1177" w:type="dxa"/>
            <w:vAlign w:val="center"/>
          </w:tcPr>
          <w:p>
            <w:pPr>
              <w:keepNext w:val="0"/>
              <w:keepLines w:val="0"/>
              <w:pageBreakBefore w:val="0"/>
              <w:kinsoku/>
              <w:wordWrap/>
              <w:overflowPunct/>
              <w:topLinePunct w:val="0"/>
              <w:bidi w:val="0"/>
              <w:adjustRightInd w:val="0"/>
              <w:spacing w:line="240" w:lineRule="auto"/>
              <w:jc w:val="center"/>
              <w:textAlignment w:val="auto"/>
              <w:rPr>
                <w:rFonts w:hint="eastAsia" w:ascii="宋体" w:hAnsi="宋体" w:cs="宋体"/>
                <w:color w:val="auto"/>
                <w:sz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jc w:val="center"/>
        </w:trPr>
        <w:tc>
          <w:tcPr>
            <w:tcW w:w="9038" w:type="dxa"/>
            <w:gridSpan w:val="6"/>
            <w:vAlign w:val="center"/>
          </w:tcPr>
          <w:p>
            <w:pPr>
              <w:keepNext w:val="0"/>
              <w:keepLines w:val="0"/>
              <w:pageBreakBefore w:val="0"/>
              <w:kinsoku/>
              <w:wordWrap/>
              <w:overflowPunct/>
              <w:topLinePunct w:val="0"/>
              <w:bidi w:val="0"/>
              <w:adjustRightInd w:val="0"/>
              <w:spacing w:line="240" w:lineRule="auto"/>
              <w:jc w:val="both"/>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本项目</w:t>
            </w:r>
            <w:r>
              <w:rPr>
                <w:rFonts w:hint="eastAsia" w:ascii="宋体" w:hAnsi="宋体" w:cs="宋体"/>
                <w:color w:val="auto"/>
                <w:sz w:val="24"/>
                <w:highlight w:val="none"/>
                <w:lang w:val="en-US" w:eastAsia="zh-CN"/>
              </w:rPr>
              <w:t>响应报价按统一折扣形式报价</w:t>
            </w:r>
            <w:r>
              <w:rPr>
                <w:rFonts w:hint="eastAsia" w:ascii="宋体" w:hAnsi="宋体" w:cs="宋体"/>
                <w:color w:val="auto"/>
                <w:sz w:val="24"/>
                <w:highlight w:val="none"/>
                <w:lang w:eastAsia="zh-CN"/>
              </w:rPr>
              <w:t>，如</w:t>
            </w:r>
            <w:r>
              <w:rPr>
                <w:rFonts w:hint="eastAsia" w:ascii="宋体" w:hAnsi="宋体" w:cs="宋体"/>
                <w:color w:val="auto"/>
                <w:sz w:val="24"/>
                <w:highlight w:val="none"/>
                <w:lang w:val="en-US" w:eastAsia="zh-CN"/>
              </w:rPr>
              <w:t>报价统一折扣为</w:t>
            </w:r>
            <w:r>
              <w:rPr>
                <w:rFonts w:hint="eastAsia" w:ascii="宋体" w:hAnsi="宋体" w:cs="宋体"/>
                <w:color w:val="auto"/>
                <w:sz w:val="24"/>
                <w:highlight w:val="none"/>
                <w:lang w:eastAsia="zh-CN"/>
              </w:rPr>
              <w:t>70%，则所有报价</w:t>
            </w:r>
            <w:r>
              <w:rPr>
                <w:rFonts w:hint="eastAsia" w:ascii="宋体" w:hAnsi="宋体" w:cs="宋体"/>
                <w:color w:val="auto"/>
                <w:sz w:val="24"/>
                <w:highlight w:val="none"/>
                <w:lang w:val="en-US" w:eastAsia="zh-CN"/>
              </w:rPr>
              <w:t>折扣</w:t>
            </w:r>
            <w:r>
              <w:rPr>
                <w:rFonts w:hint="eastAsia" w:ascii="宋体" w:hAnsi="宋体" w:cs="宋体"/>
                <w:color w:val="auto"/>
                <w:sz w:val="24"/>
                <w:highlight w:val="none"/>
                <w:lang w:eastAsia="zh-CN"/>
              </w:rPr>
              <w:t>均为70%，政采云系统中所填报价</w:t>
            </w:r>
            <w:r>
              <w:rPr>
                <w:rFonts w:hint="eastAsia" w:ascii="宋体" w:hAnsi="宋体" w:cs="宋体"/>
                <w:color w:val="auto"/>
                <w:sz w:val="24"/>
                <w:highlight w:val="none"/>
                <w:lang w:val="en-US" w:eastAsia="zh-CN"/>
              </w:rPr>
              <w:t>统一折扣</w:t>
            </w:r>
            <w:r>
              <w:rPr>
                <w:rFonts w:hint="eastAsia" w:ascii="宋体" w:hAnsi="宋体" w:cs="宋体"/>
                <w:color w:val="auto"/>
                <w:sz w:val="24"/>
                <w:highlight w:val="none"/>
                <w:lang w:eastAsia="zh-CN"/>
              </w:rPr>
              <w:t>格式为</w:t>
            </w:r>
            <w:r>
              <w:rPr>
                <w:rFonts w:hint="eastAsia" w:ascii="宋体" w:hAnsi="宋体" w:cs="宋体"/>
                <w:color w:val="auto"/>
                <w:sz w:val="24"/>
                <w:highlight w:val="none"/>
                <w:u w:val="none"/>
                <w:lang w:val="en-US" w:eastAsia="zh-CN"/>
              </w:rPr>
              <w:t>70%</w:t>
            </w:r>
            <w:r>
              <w:rPr>
                <w:rFonts w:hint="eastAsia" w:ascii="宋体" w:hAnsi="宋体" w:cs="宋体"/>
                <w:color w:val="auto"/>
                <w:sz w:val="24"/>
                <w:highlight w:val="none"/>
                <w:u w:val="none"/>
                <w:lang w:eastAsia="zh-CN"/>
              </w:rPr>
              <w:t>。</w:t>
            </w:r>
          </w:p>
        </w:tc>
      </w:tr>
    </w:tbl>
    <w:p>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商务需求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质量及技术要求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保温材料材质在交易方认可后生产。</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保温材料要求全新、未使用，货物质保期为</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年（货到验收合格起计算），在质保期内发现质量问题（人为因素除外），成交方应在接到电话后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小时内响应，及时召回并更换有质量问题的材料。更换后的材料质保期按更换之日起计</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产品质量要求、技术标准、产品标记及验收标准依据《柔性泡沫橡塑绝热制品》（GB/T 17794-2021）常用型 CY 类产品执行。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燃烧性能等级达到《建筑材料及制品燃烧性能分级》（GB8624-2012）规定的B1等级（难燃材料）。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外观要求：表面平整光滑，无缺口，无大面积较深褶皱，厚度均匀，切口整齐，颜色均匀稳定。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橡塑保温材料专用胶水应符合HG/T3738-2004《溶剂型多用途氯丁橡胶胶粘剂》、GB18583-2008《室内装饰装修材料胶粘剂中有害物质限量》标准，供货时每桶重量不超过8kg包装，按实入库。</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eastAsia="zh-CN"/>
        </w:rPr>
        <w:t>橡塑布基胶带宽度</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厘米，允许偏差±1mm；厚度 0.15mm，允许偏差±0.02mm；初粘性≧10#钢球；剥离强度180°角测试≧12 N/25mm；拉伸强度≧45N/25mm；伸长率≦110%。</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供货时间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供方在合同期内接到用户单位的电话后，在</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小时内，按用户单位要求的规格、尺寸的货物送至指定地点。招标货物按各营业所需求，数量不分多少，必须送到指定施工现场。运费、装卸费等一切费用有响应方负担。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合同、服务要求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成交人应在接到《成交通知书》后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天内与</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lang w:eastAsia="zh-CN"/>
        </w:rPr>
        <w:t>签订合同。逾期不签的，根据《中华人民共和国政府采购法》有关规定处罚。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lang w:eastAsia="zh-CN"/>
        </w:rPr>
        <w:t>成交人应按合同（除</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lang w:eastAsia="zh-CN"/>
        </w:rPr>
        <w:t>有特殊要求说明和标项内说明外）在规定时间内供货。若有延期，每超过一天，扣每批次货物价2‰的滞纳金给</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lang w:eastAsia="zh-CN"/>
        </w:rPr>
        <w:t>成交人提供的成交物品，必须符合本</w:t>
      </w:r>
      <w:r>
        <w:rPr>
          <w:rFonts w:hint="eastAsia" w:ascii="宋体" w:hAnsi="宋体" w:cs="宋体"/>
          <w:color w:val="auto"/>
          <w:sz w:val="24"/>
          <w:szCs w:val="24"/>
          <w:highlight w:val="none"/>
          <w:lang w:eastAsia="zh-CN"/>
        </w:rPr>
        <w:t>公开竞争文件</w:t>
      </w:r>
      <w:r>
        <w:rPr>
          <w:rFonts w:hint="eastAsia" w:ascii="宋体" w:hAnsi="宋体" w:eastAsia="宋体" w:cs="宋体"/>
          <w:color w:val="auto"/>
          <w:sz w:val="24"/>
          <w:szCs w:val="24"/>
          <w:highlight w:val="none"/>
          <w:lang w:eastAsia="zh-CN"/>
        </w:rPr>
        <w:t>要求、原包装送达采购单位； 如有不符，</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lang w:eastAsia="zh-CN"/>
        </w:rPr>
        <w:t>可以无条件退货，所造成的损失由成交人承担。更换后的物品质保期按更换日起顺延。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lang w:eastAsia="zh-CN"/>
        </w:rPr>
        <w:t>采购的物品质保期</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年，在质保期内如出现质量问题（人为因素除外），供货单位在接到电话后，在</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小时内响应，</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个工作小时内到达，12个工作小时内不能修复的，则无偿更换有质量问题的原材料。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lang w:eastAsia="zh-CN"/>
        </w:rPr>
        <w:t>本次响应供货期为</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年，供货期间，如遇市场价格变动，本报价将不予调整，如合同到期甲乙双方未提出异议，经双方同意可以续签</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付款方式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货物数量为非固定数量，实际使用量按实际结算。结算方式：按实结算。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付款方式：每次货物送至</w:t>
      </w:r>
      <w:r>
        <w:rPr>
          <w:rFonts w:hint="eastAsia" w:ascii="宋体" w:hAnsi="宋体" w:cs="宋体"/>
          <w:color w:val="auto"/>
          <w:sz w:val="24"/>
          <w:szCs w:val="24"/>
          <w:highlight w:val="none"/>
          <w:lang w:eastAsia="zh-CN"/>
        </w:rPr>
        <w:t>交易发起人</w:t>
      </w:r>
      <w:r>
        <w:rPr>
          <w:rFonts w:hint="eastAsia" w:ascii="宋体" w:hAnsi="宋体" w:eastAsia="宋体" w:cs="宋体"/>
          <w:color w:val="auto"/>
          <w:sz w:val="24"/>
          <w:szCs w:val="24"/>
          <w:highlight w:val="none"/>
          <w:lang w:eastAsia="zh-CN"/>
        </w:rPr>
        <w:t>指定地点，供方开据增值税发票后，需方在两个月内付材料全额款的95%，其余5%作为质量保证金，在质保期满后一周内支付给成交人。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中打▲内容为实质性要求，不允许有负偏离，否则将以涉及无效响应条款作无效响应。</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numPr>
          <w:ilvl w:val="0"/>
          <w:numId w:val="3"/>
        </w:num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  </w:t>
      </w:r>
      <w:bookmarkStart w:id="16" w:name="_Toc184314417"/>
      <w:bookmarkEnd w:id="16"/>
      <w:bookmarkStart w:id="17" w:name="_Toc184310303"/>
      <w:bookmarkEnd w:id="17"/>
      <w:bookmarkStart w:id="18" w:name="_Toc184312089"/>
      <w:bookmarkEnd w:id="18"/>
      <w:bookmarkStart w:id="19" w:name="_Toc184313268"/>
      <w:bookmarkEnd w:id="19"/>
      <w:bookmarkStart w:id="20" w:name="_Toc184308087"/>
      <w:bookmarkEnd w:id="20"/>
      <w:bookmarkStart w:id="21" w:name="_Toc184308049"/>
      <w:bookmarkEnd w:id="21"/>
      <w:bookmarkStart w:id="22" w:name="_Toc184310336"/>
      <w:bookmarkEnd w:id="22"/>
      <w:bookmarkStart w:id="23" w:name="_Toc184308079"/>
      <w:bookmarkEnd w:id="23"/>
      <w:bookmarkStart w:id="24" w:name="_Toc184314456"/>
      <w:bookmarkEnd w:id="24"/>
      <w:bookmarkStart w:id="25" w:name="_Toc184312071"/>
      <w:bookmarkEnd w:id="25"/>
      <w:bookmarkStart w:id="26" w:name="_Toc184313259"/>
      <w:bookmarkEnd w:id="26"/>
      <w:bookmarkStart w:id="27" w:name="_Toc184308050"/>
      <w:bookmarkEnd w:id="27"/>
      <w:bookmarkStart w:id="28" w:name="_Toc184308104"/>
      <w:bookmarkEnd w:id="28"/>
      <w:bookmarkStart w:id="29" w:name="_Toc184312111"/>
      <w:bookmarkEnd w:id="29"/>
      <w:bookmarkStart w:id="30" w:name="_Toc184312095"/>
      <w:bookmarkEnd w:id="30"/>
      <w:bookmarkStart w:id="31" w:name="_Toc184310281"/>
      <w:bookmarkEnd w:id="31"/>
      <w:bookmarkStart w:id="32" w:name="_Toc184308077"/>
      <w:bookmarkEnd w:id="32"/>
      <w:bookmarkStart w:id="33" w:name="_Toc184314453"/>
      <w:bookmarkEnd w:id="33"/>
      <w:bookmarkStart w:id="34" w:name="_Toc184308097"/>
      <w:bookmarkEnd w:id="34"/>
      <w:bookmarkStart w:id="35" w:name="_Toc184310278"/>
      <w:bookmarkEnd w:id="35"/>
      <w:bookmarkStart w:id="36" w:name="_Toc184314423"/>
      <w:bookmarkEnd w:id="36"/>
      <w:bookmarkStart w:id="37" w:name="_Toc184308075"/>
      <w:bookmarkEnd w:id="37"/>
      <w:bookmarkStart w:id="38" w:name="_Toc184310322"/>
      <w:bookmarkEnd w:id="38"/>
      <w:bookmarkStart w:id="39" w:name="_Toc184314418"/>
      <w:bookmarkEnd w:id="39"/>
      <w:bookmarkStart w:id="40" w:name="_Toc184314472"/>
      <w:bookmarkEnd w:id="40"/>
      <w:bookmarkStart w:id="41" w:name="_Toc184312083"/>
      <w:bookmarkEnd w:id="41"/>
      <w:bookmarkStart w:id="42" w:name="_Toc184310285"/>
      <w:bookmarkEnd w:id="42"/>
      <w:bookmarkStart w:id="43" w:name="_Toc184310331"/>
      <w:bookmarkEnd w:id="43"/>
      <w:bookmarkStart w:id="44" w:name="_Toc184313294"/>
      <w:bookmarkEnd w:id="44"/>
      <w:bookmarkStart w:id="45" w:name="_Toc184308099"/>
      <w:bookmarkEnd w:id="45"/>
      <w:bookmarkStart w:id="46" w:name="_Toc184308061"/>
      <w:bookmarkEnd w:id="46"/>
      <w:bookmarkStart w:id="47" w:name="_Toc184308038"/>
      <w:bookmarkEnd w:id="47"/>
      <w:bookmarkStart w:id="48" w:name="_Toc184310282"/>
      <w:bookmarkEnd w:id="48"/>
      <w:bookmarkStart w:id="49" w:name="_Toc184310332"/>
      <w:bookmarkEnd w:id="49"/>
      <w:bookmarkStart w:id="50" w:name="_Toc184308108"/>
      <w:bookmarkEnd w:id="50"/>
      <w:bookmarkStart w:id="51" w:name="_Toc184313293"/>
      <w:bookmarkEnd w:id="51"/>
      <w:bookmarkStart w:id="52" w:name="_Toc184312117"/>
      <w:bookmarkEnd w:id="52"/>
      <w:bookmarkStart w:id="53" w:name="_Toc184313297"/>
      <w:bookmarkEnd w:id="53"/>
      <w:bookmarkStart w:id="54" w:name="_Toc184313273"/>
      <w:bookmarkEnd w:id="54"/>
      <w:bookmarkStart w:id="55" w:name="_Toc184314468"/>
      <w:bookmarkEnd w:id="55"/>
      <w:bookmarkStart w:id="56" w:name="_Toc184310334"/>
      <w:bookmarkEnd w:id="56"/>
      <w:bookmarkStart w:id="57" w:name="_Toc184314444"/>
      <w:bookmarkEnd w:id="57"/>
      <w:bookmarkStart w:id="58" w:name="_Toc184314415"/>
      <w:bookmarkEnd w:id="58"/>
      <w:bookmarkStart w:id="59" w:name="_Toc184314427"/>
      <w:bookmarkEnd w:id="59"/>
      <w:bookmarkStart w:id="60" w:name="_Toc184314449"/>
      <w:bookmarkEnd w:id="60"/>
      <w:bookmarkStart w:id="61" w:name="_Toc184314426"/>
      <w:bookmarkEnd w:id="61"/>
      <w:bookmarkStart w:id="62" w:name="_Toc184312122"/>
      <w:bookmarkEnd w:id="62"/>
      <w:bookmarkStart w:id="63" w:name="_Toc184310288"/>
      <w:bookmarkEnd w:id="63"/>
      <w:bookmarkStart w:id="64" w:name="_Toc184314475"/>
      <w:bookmarkEnd w:id="64"/>
      <w:bookmarkStart w:id="65" w:name="_Toc184313310"/>
      <w:bookmarkEnd w:id="65"/>
      <w:bookmarkStart w:id="66" w:name="_Toc184310325"/>
      <w:bookmarkEnd w:id="66"/>
      <w:bookmarkStart w:id="67" w:name="_Toc184313296"/>
      <w:bookmarkEnd w:id="67"/>
      <w:bookmarkStart w:id="68" w:name="_Toc184310343"/>
      <w:bookmarkEnd w:id="68"/>
      <w:bookmarkStart w:id="69" w:name="_Toc184314443"/>
      <w:bookmarkEnd w:id="69"/>
      <w:bookmarkStart w:id="70" w:name="_Toc184312079"/>
      <w:bookmarkEnd w:id="70"/>
      <w:bookmarkStart w:id="71" w:name="_Toc184314429"/>
      <w:bookmarkEnd w:id="71"/>
      <w:bookmarkStart w:id="72" w:name="_Toc184310297"/>
      <w:bookmarkEnd w:id="72"/>
      <w:bookmarkStart w:id="73" w:name="_Toc184313288"/>
      <w:bookmarkEnd w:id="73"/>
      <w:bookmarkStart w:id="74" w:name="_Toc184308053"/>
      <w:bookmarkEnd w:id="74"/>
      <w:bookmarkStart w:id="75" w:name="_Toc184310324"/>
      <w:bookmarkEnd w:id="75"/>
      <w:bookmarkStart w:id="76" w:name="_Toc184313302"/>
      <w:bookmarkEnd w:id="76"/>
      <w:bookmarkStart w:id="77" w:name="_Toc184312078"/>
      <w:bookmarkEnd w:id="77"/>
      <w:bookmarkStart w:id="78" w:name="_Toc184313307"/>
      <w:bookmarkEnd w:id="78"/>
      <w:bookmarkStart w:id="79" w:name="_Toc184314439"/>
      <w:bookmarkEnd w:id="79"/>
      <w:bookmarkStart w:id="80" w:name="_Toc184313270"/>
      <w:bookmarkEnd w:id="80"/>
      <w:bookmarkStart w:id="81" w:name="_Toc184313301"/>
      <w:bookmarkEnd w:id="81"/>
      <w:bookmarkStart w:id="82" w:name="_Toc184310293"/>
      <w:bookmarkEnd w:id="82"/>
      <w:bookmarkStart w:id="83" w:name="_Toc184308106"/>
      <w:bookmarkEnd w:id="83"/>
      <w:bookmarkStart w:id="84" w:name="_Toc184312067"/>
      <w:bookmarkEnd w:id="84"/>
      <w:bookmarkStart w:id="85" w:name="_Toc184310337"/>
      <w:bookmarkEnd w:id="85"/>
      <w:bookmarkStart w:id="86" w:name="_Toc184308102"/>
      <w:bookmarkEnd w:id="86"/>
      <w:bookmarkStart w:id="87" w:name="_Toc184313238"/>
      <w:bookmarkEnd w:id="87"/>
      <w:bookmarkStart w:id="88" w:name="_Toc184308039"/>
      <w:bookmarkEnd w:id="88"/>
      <w:bookmarkStart w:id="89" w:name="_Toc184313248"/>
      <w:bookmarkEnd w:id="89"/>
      <w:bookmarkStart w:id="90" w:name="_Toc184314450"/>
      <w:bookmarkEnd w:id="90"/>
      <w:bookmarkStart w:id="91" w:name="_Toc184314438"/>
      <w:bookmarkEnd w:id="91"/>
      <w:bookmarkStart w:id="92" w:name="_Toc184314437"/>
      <w:bookmarkEnd w:id="92"/>
      <w:bookmarkStart w:id="93" w:name="_Toc184312075"/>
      <w:bookmarkEnd w:id="93"/>
      <w:bookmarkStart w:id="94" w:name="_Toc184312070"/>
      <w:bookmarkEnd w:id="94"/>
      <w:bookmarkStart w:id="95" w:name="_Toc184313266"/>
      <w:bookmarkEnd w:id="95"/>
      <w:bookmarkStart w:id="96" w:name="_Toc184308067"/>
      <w:bookmarkEnd w:id="96"/>
      <w:bookmarkStart w:id="97" w:name="_Toc184312102"/>
      <w:bookmarkEnd w:id="97"/>
      <w:bookmarkStart w:id="98" w:name="_Toc184312105"/>
      <w:bookmarkEnd w:id="98"/>
      <w:bookmarkStart w:id="99" w:name="_Toc184310308"/>
      <w:bookmarkEnd w:id="99"/>
      <w:bookmarkStart w:id="100" w:name="_Toc184310290"/>
      <w:bookmarkEnd w:id="100"/>
      <w:bookmarkStart w:id="101" w:name="_Toc184308096"/>
      <w:bookmarkEnd w:id="101"/>
      <w:bookmarkStart w:id="102" w:name="_Toc184308057"/>
      <w:bookmarkEnd w:id="102"/>
      <w:bookmarkStart w:id="103" w:name="_Toc184313251"/>
      <w:bookmarkEnd w:id="103"/>
      <w:bookmarkStart w:id="104" w:name="_Toc184314424"/>
      <w:bookmarkEnd w:id="104"/>
      <w:bookmarkStart w:id="105" w:name="_Toc184308081"/>
      <w:bookmarkEnd w:id="105"/>
      <w:bookmarkStart w:id="106" w:name="_Toc184314436"/>
      <w:bookmarkEnd w:id="106"/>
      <w:bookmarkStart w:id="107" w:name="_Toc184313309"/>
      <w:bookmarkEnd w:id="107"/>
      <w:bookmarkStart w:id="108" w:name="_Toc184310298"/>
      <w:bookmarkEnd w:id="108"/>
      <w:bookmarkStart w:id="109" w:name="_Toc184310272"/>
      <w:bookmarkEnd w:id="109"/>
      <w:bookmarkStart w:id="110" w:name="_Toc184313262"/>
      <w:bookmarkEnd w:id="110"/>
      <w:bookmarkStart w:id="111" w:name="_Toc184310318"/>
      <w:bookmarkEnd w:id="111"/>
      <w:bookmarkStart w:id="112" w:name="_Toc184312107"/>
      <w:bookmarkEnd w:id="112"/>
      <w:bookmarkStart w:id="113" w:name="_Toc184308091"/>
      <w:bookmarkEnd w:id="113"/>
      <w:bookmarkStart w:id="114" w:name="_Toc184313298"/>
      <w:bookmarkEnd w:id="114"/>
      <w:bookmarkStart w:id="115" w:name="_Toc184312098"/>
      <w:bookmarkEnd w:id="115"/>
      <w:bookmarkStart w:id="116" w:name="_Toc184310320"/>
      <w:bookmarkEnd w:id="116"/>
      <w:bookmarkStart w:id="117" w:name="_Toc184308065"/>
      <w:bookmarkEnd w:id="117"/>
      <w:bookmarkStart w:id="118" w:name="_Toc184312125"/>
      <w:bookmarkEnd w:id="118"/>
      <w:bookmarkStart w:id="119" w:name="_Toc184314447"/>
      <w:bookmarkEnd w:id="119"/>
      <w:bookmarkStart w:id="120" w:name="_Toc184313277"/>
      <w:bookmarkEnd w:id="120"/>
      <w:bookmarkStart w:id="121" w:name="_Toc184312069"/>
      <w:bookmarkEnd w:id="121"/>
      <w:bookmarkStart w:id="122" w:name="_Toc184312110"/>
      <w:bookmarkEnd w:id="122"/>
      <w:bookmarkStart w:id="123" w:name="_Toc184308083"/>
      <w:bookmarkEnd w:id="123"/>
      <w:bookmarkStart w:id="124" w:name="_Toc184310344"/>
      <w:bookmarkEnd w:id="124"/>
      <w:bookmarkStart w:id="125" w:name="_Toc184308082"/>
      <w:bookmarkEnd w:id="125"/>
      <w:bookmarkStart w:id="126" w:name="_Toc184314478"/>
      <w:bookmarkEnd w:id="126"/>
      <w:bookmarkStart w:id="127" w:name="_Toc184314469"/>
      <w:bookmarkEnd w:id="127"/>
      <w:bookmarkStart w:id="128" w:name="_Toc184314482"/>
      <w:bookmarkEnd w:id="128"/>
      <w:bookmarkStart w:id="129" w:name="_Toc184314410"/>
      <w:bookmarkEnd w:id="129"/>
      <w:bookmarkStart w:id="130" w:name="_Toc184314465"/>
      <w:bookmarkEnd w:id="130"/>
      <w:bookmarkStart w:id="131" w:name="_Toc184308074"/>
      <w:bookmarkEnd w:id="131"/>
      <w:bookmarkStart w:id="132" w:name="_Toc184314432"/>
      <w:bookmarkEnd w:id="132"/>
      <w:bookmarkStart w:id="133" w:name="_Toc184313256"/>
      <w:bookmarkEnd w:id="133"/>
      <w:bookmarkStart w:id="134" w:name="_Toc184313267"/>
      <w:bookmarkEnd w:id="134"/>
      <w:bookmarkStart w:id="135" w:name="_Toc184308045"/>
      <w:bookmarkEnd w:id="135"/>
      <w:bookmarkStart w:id="136" w:name="_Toc184308076"/>
      <w:bookmarkEnd w:id="136"/>
      <w:bookmarkStart w:id="137" w:name="_Toc184312138"/>
      <w:bookmarkEnd w:id="137"/>
      <w:bookmarkStart w:id="138" w:name="_Toc184313240"/>
      <w:bookmarkEnd w:id="138"/>
      <w:bookmarkStart w:id="139" w:name="_Toc184312120"/>
      <w:bookmarkEnd w:id="139"/>
      <w:bookmarkStart w:id="140" w:name="_Toc184313255"/>
      <w:bookmarkEnd w:id="140"/>
      <w:bookmarkStart w:id="141" w:name="_Toc184312118"/>
      <w:bookmarkEnd w:id="141"/>
      <w:bookmarkStart w:id="142" w:name="_Toc184314461"/>
      <w:bookmarkEnd w:id="142"/>
      <w:bookmarkStart w:id="143" w:name="_Toc184314422"/>
      <w:bookmarkEnd w:id="143"/>
      <w:bookmarkStart w:id="144" w:name="_Toc184312104"/>
      <w:bookmarkEnd w:id="144"/>
      <w:bookmarkStart w:id="145" w:name="_Toc184310284"/>
      <w:bookmarkEnd w:id="145"/>
      <w:bookmarkStart w:id="146" w:name="_Toc184308095"/>
      <w:bookmarkEnd w:id="146"/>
      <w:bookmarkStart w:id="147" w:name="_Toc184310299"/>
      <w:bookmarkEnd w:id="147"/>
      <w:bookmarkStart w:id="148" w:name="_Toc184310310"/>
      <w:bookmarkEnd w:id="148"/>
      <w:bookmarkStart w:id="149" w:name="_Toc184313264"/>
      <w:bookmarkEnd w:id="149"/>
      <w:bookmarkStart w:id="150" w:name="_Toc184308052"/>
      <w:bookmarkEnd w:id="150"/>
      <w:bookmarkStart w:id="151" w:name="_Toc184312073"/>
      <w:bookmarkEnd w:id="151"/>
      <w:bookmarkStart w:id="152" w:name="_Toc184314441"/>
      <w:bookmarkEnd w:id="152"/>
      <w:bookmarkStart w:id="153" w:name="_Toc184312139"/>
      <w:bookmarkEnd w:id="153"/>
      <w:bookmarkStart w:id="154" w:name="_Toc184312082"/>
      <w:bookmarkEnd w:id="154"/>
      <w:bookmarkStart w:id="155" w:name="_Toc184314433"/>
      <w:bookmarkEnd w:id="155"/>
      <w:bookmarkStart w:id="156" w:name="_Toc184312068"/>
      <w:bookmarkEnd w:id="156"/>
      <w:bookmarkStart w:id="157" w:name="_Toc184313280"/>
      <w:bookmarkEnd w:id="157"/>
      <w:bookmarkStart w:id="158" w:name="_Toc184308084"/>
      <w:bookmarkEnd w:id="158"/>
      <w:bookmarkStart w:id="159" w:name="_Toc184308047"/>
      <w:bookmarkEnd w:id="159"/>
      <w:bookmarkStart w:id="160" w:name="_Toc184314454"/>
      <w:bookmarkEnd w:id="160"/>
      <w:bookmarkStart w:id="161" w:name="_Toc184313275"/>
      <w:bookmarkEnd w:id="161"/>
      <w:bookmarkStart w:id="162" w:name="_Toc184310311"/>
      <w:bookmarkEnd w:id="162"/>
      <w:bookmarkStart w:id="163" w:name="_Toc184313247"/>
      <w:bookmarkEnd w:id="163"/>
      <w:bookmarkStart w:id="164" w:name="_Toc184308073"/>
      <w:bookmarkEnd w:id="164"/>
      <w:bookmarkStart w:id="165" w:name="_Toc184314452"/>
      <w:bookmarkEnd w:id="165"/>
      <w:bookmarkStart w:id="166" w:name="_Toc184312129"/>
      <w:bookmarkEnd w:id="166"/>
      <w:bookmarkStart w:id="167" w:name="_Toc184310335"/>
      <w:bookmarkEnd w:id="167"/>
      <w:bookmarkStart w:id="168" w:name="_Toc184314463"/>
      <w:bookmarkEnd w:id="168"/>
      <w:bookmarkStart w:id="169" w:name="_Toc184310319"/>
      <w:bookmarkEnd w:id="169"/>
      <w:bookmarkStart w:id="170" w:name="_Toc184312132"/>
      <w:bookmarkEnd w:id="170"/>
      <w:bookmarkStart w:id="171" w:name="_Toc184313249"/>
      <w:bookmarkEnd w:id="171"/>
      <w:bookmarkStart w:id="172" w:name="_Toc184310302"/>
      <w:bookmarkEnd w:id="172"/>
      <w:bookmarkStart w:id="173" w:name="_Toc184314459"/>
      <w:bookmarkEnd w:id="173"/>
      <w:bookmarkStart w:id="174" w:name="_Toc184314414"/>
      <w:bookmarkEnd w:id="174"/>
      <w:bookmarkStart w:id="175" w:name="_Toc184314458"/>
      <w:bookmarkEnd w:id="175"/>
      <w:bookmarkStart w:id="176" w:name="_Toc184310294"/>
      <w:bookmarkEnd w:id="176"/>
      <w:bookmarkStart w:id="177" w:name="_Toc184308064"/>
      <w:bookmarkEnd w:id="177"/>
      <w:bookmarkStart w:id="178" w:name="_Toc184314481"/>
      <w:bookmarkEnd w:id="178"/>
      <w:bookmarkStart w:id="179" w:name="_Toc184313261"/>
      <w:bookmarkEnd w:id="179"/>
      <w:bookmarkStart w:id="180" w:name="_Toc184313282"/>
      <w:bookmarkEnd w:id="180"/>
      <w:bookmarkStart w:id="181" w:name="_Toc184310280"/>
      <w:bookmarkEnd w:id="181"/>
      <w:bookmarkStart w:id="182" w:name="_Toc184308105"/>
      <w:bookmarkEnd w:id="182"/>
      <w:bookmarkStart w:id="183" w:name="_Toc184312135"/>
      <w:bookmarkEnd w:id="183"/>
      <w:bookmarkStart w:id="184" w:name="_Toc184312092"/>
      <w:bookmarkEnd w:id="184"/>
      <w:bookmarkStart w:id="185" w:name="_Toc184310274"/>
      <w:bookmarkEnd w:id="185"/>
      <w:bookmarkStart w:id="186" w:name="_Toc184308069"/>
      <w:bookmarkEnd w:id="186"/>
      <w:bookmarkStart w:id="187" w:name="_Toc184312136"/>
      <w:bookmarkEnd w:id="187"/>
      <w:bookmarkStart w:id="188" w:name="_Toc184314421"/>
      <w:bookmarkEnd w:id="188"/>
      <w:bookmarkStart w:id="189" w:name="_Toc184308094"/>
      <w:bookmarkEnd w:id="189"/>
      <w:bookmarkStart w:id="190" w:name="_Toc184310333"/>
      <w:bookmarkEnd w:id="190"/>
      <w:bookmarkStart w:id="191" w:name="_Toc184313295"/>
      <w:bookmarkEnd w:id="191"/>
      <w:bookmarkStart w:id="192" w:name="_Toc184314477"/>
      <w:bookmarkEnd w:id="192"/>
      <w:bookmarkStart w:id="193" w:name="_Toc184314413"/>
      <w:bookmarkEnd w:id="193"/>
      <w:bookmarkStart w:id="194" w:name="_Toc184312100"/>
      <w:bookmarkEnd w:id="194"/>
      <w:bookmarkStart w:id="195" w:name="_Toc184310342"/>
      <w:bookmarkEnd w:id="195"/>
      <w:bookmarkStart w:id="196" w:name="_Toc184314479"/>
      <w:bookmarkEnd w:id="196"/>
      <w:bookmarkStart w:id="197" w:name="_Toc184310321"/>
      <w:bookmarkEnd w:id="197"/>
      <w:bookmarkStart w:id="198" w:name="_Toc184314431"/>
      <w:bookmarkEnd w:id="198"/>
      <w:bookmarkStart w:id="199" w:name="_Toc184310316"/>
      <w:bookmarkEnd w:id="199"/>
      <w:bookmarkStart w:id="200" w:name="_Toc184310295"/>
      <w:bookmarkEnd w:id="200"/>
      <w:bookmarkStart w:id="201" w:name="_Toc184308101"/>
      <w:bookmarkEnd w:id="201"/>
      <w:bookmarkStart w:id="202" w:name="_Toc184312116"/>
      <w:bookmarkEnd w:id="202"/>
      <w:bookmarkStart w:id="203" w:name="_Toc184308090"/>
      <w:bookmarkEnd w:id="203"/>
      <w:bookmarkStart w:id="204" w:name="_Toc184310304"/>
      <w:bookmarkEnd w:id="204"/>
      <w:bookmarkStart w:id="205" w:name="_Toc184312072"/>
      <w:bookmarkEnd w:id="205"/>
      <w:bookmarkStart w:id="206" w:name="_Toc184314480"/>
      <w:bookmarkEnd w:id="206"/>
      <w:bookmarkStart w:id="207" w:name="_Toc184313303"/>
      <w:bookmarkEnd w:id="207"/>
      <w:bookmarkStart w:id="208" w:name="_Toc184314412"/>
      <w:bookmarkEnd w:id="208"/>
      <w:bookmarkStart w:id="209" w:name="_Toc184310328"/>
      <w:bookmarkEnd w:id="209"/>
      <w:bookmarkStart w:id="210" w:name="_Toc184312130"/>
      <w:bookmarkEnd w:id="210"/>
      <w:bookmarkStart w:id="211" w:name="_Toc184314442"/>
      <w:bookmarkEnd w:id="211"/>
      <w:bookmarkStart w:id="212" w:name="_Toc184310292"/>
      <w:bookmarkEnd w:id="212"/>
      <w:bookmarkStart w:id="213" w:name="_Toc184314428"/>
      <w:bookmarkEnd w:id="213"/>
      <w:bookmarkStart w:id="214" w:name="_Toc184313271"/>
      <w:bookmarkEnd w:id="214"/>
      <w:bookmarkStart w:id="215" w:name="_Toc184313306"/>
      <w:bookmarkEnd w:id="215"/>
      <w:bookmarkStart w:id="216" w:name="_Toc184313254"/>
      <w:bookmarkEnd w:id="216"/>
      <w:bookmarkStart w:id="217" w:name="_Toc184310307"/>
      <w:bookmarkEnd w:id="217"/>
      <w:bookmarkStart w:id="218" w:name="_Toc184312085"/>
      <w:bookmarkEnd w:id="218"/>
      <w:bookmarkStart w:id="219" w:name="_Toc184308078"/>
      <w:bookmarkEnd w:id="219"/>
      <w:bookmarkStart w:id="220" w:name="_Toc184308070"/>
      <w:bookmarkEnd w:id="220"/>
      <w:bookmarkStart w:id="221" w:name="_Toc184308066"/>
      <w:bookmarkEnd w:id="221"/>
      <w:bookmarkStart w:id="222" w:name="_Toc184308080"/>
      <w:bookmarkEnd w:id="222"/>
      <w:bookmarkStart w:id="223" w:name="_Toc184310339"/>
      <w:bookmarkEnd w:id="223"/>
      <w:bookmarkStart w:id="224" w:name="_Toc184314435"/>
      <w:bookmarkEnd w:id="224"/>
      <w:bookmarkStart w:id="225" w:name="_Toc184314419"/>
      <w:bookmarkEnd w:id="225"/>
      <w:bookmarkStart w:id="226" w:name="_Toc184312114"/>
      <w:bookmarkEnd w:id="226"/>
      <w:bookmarkStart w:id="227" w:name="_Toc184312126"/>
      <w:bookmarkEnd w:id="227"/>
      <w:bookmarkStart w:id="228" w:name="_Toc184312074"/>
      <w:bookmarkEnd w:id="228"/>
      <w:bookmarkStart w:id="229" w:name="_Toc184308059"/>
      <w:bookmarkEnd w:id="229"/>
      <w:bookmarkStart w:id="230" w:name="_Toc184310338"/>
      <w:bookmarkEnd w:id="230"/>
      <w:bookmarkStart w:id="231" w:name="_Toc184314440"/>
      <w:bookmarkEnd w:id="231"/>
      <w:bookmarkStart w:id="232" w:name="_Toc184308072"/>
      <w:bookmarkEnd w:id="232"/>
      <w:bookmarkStart w:id="233" w:name="_Toc184310275"/>
      <w:bookmarkEnd w:id="233"/>
      <w:bookmarkStart w:id="234" w:name="_Toc184310287"/>
      <w:bookmarkEnd w:id="234"/>
      <w:bookmarkStart w:id="235" w:name="_Toc184312119"/>
      <w:bookmarkEnd w:id="235"/>
      <w:bookmarkStart w:id="236" w:name="_Toc184308041"/>
      <w:bookmarkEnd w:id="236"/>
      <w:bookmarkStart w:id="237" w:name="_Toc184314464"/>
      <w:bookmarkEnd w:id="237"/>
      <w:bookmarkStart w:id="238" w:name="_Toc184313239"/>
      <w:bookmarkEnd w:id="238"/>
      <w:bookmarkStart w:id="239" w:name="_Toc184313243"/>
      <w:bookmarkEnd w:id="239"/>
      <w:bookmarkStart w:id="240" w:name="_Toc184312081"/>
      <w:bookmarkEnd w:id="240"/>
      <w:bookmarkStart w:id="241" w:name="_Toc184314434"/>
      <w:bookmarkEnd w:id="241"/>
      <w:bookmarkStart w:id="242" w:name="_Toc184313292"/>
      <w:bookmarkEnd w:id="242"/>
      <w:bookmarkStart w:id="243" w:name="_Toc184313283"/>
      <w:bookmarkEnd w:id="243"/>
      <w:bookmarkStart w:id="244" w:name="_Toc184308068"/>
      <w:bookmarkEnd w:id="244"/>
      <w:bookmarkStart w:id="245" w:name="_Toc184314462"/>
      <w:bookmarkEnd w:id="245"/>
      <w:bookmarkStart w:id="246" w:name="_Toc184310279"/>
      <w:bookmarkEnd w:id="246"/>
      <w:bookmarkStart w:id="247" w:name="_Toc184312113"/>
      <w:bookmarkEnd w:id="247"/>
      <w:bookmarkStart w:id="248" w:name="_Toc184308085"/>
      <w:bookmarkEnd w:id="248"/>
      <w:bookmarkStart w:id="249" w:name="_Toc184314451"/>
      <w:bookmarkEnd w:id="249"/>
      <w:bookmarkStart w:id="250" w:name="_Toc184312096"/>
      <w:bookmarkEnd w:id="250"/>
      <w:bookmarkStart w:id="251" w:name="_Toc184308037"/>
      <w:bookmarkEnd w:id="251"/>
      <w:bookmarkStart w:id="252" w:name="_Toc184312127"/>
      <w:bookmarkEnd w:id="252"/>
      <w:bookmarkStart w:id="253" w:name="_Toc184312101"/>
      <w:bookmarkEnd w:id="253"/>
      <w:bookmarkStart w:id="254" w:name="_Toc184312086"/>
      <w:bookmarkEnd w:id="254"/>
      <w:bookmarkStart w:id="255" w:name="_Toc184310312"/>
      <w:bookmarkEnd w:id="255"/>
      <w:bookmarkStart w:id="256" w:name="_Toc184308103"/>
      <w:bookmarkEnd w:id="256"/>
      <w:bookmarkStart w:id="257" w:name="_Toc184310283"/>
      <w:bookmarkEnd w:id="257"/>
      <w:bookmarkStart w:id="258" w:name="_Toc184312133"/>
      <w:bookmarkEnd w:id="258"/>
      <w:bookmarkStart w:id="259" w:name="_Toc184312115"/>
      <w:bookmarkEnd w:id="259"/>
      <w:bookmarkStart w:id="260" w:name="_Toc184313299"/>
      <w:bookmarkEnd w:id="260"/>
      <w:bookmarkStart w:id="261" w:name="_Toc184308046"/>
      <w:bookmarkEnd w:id="261"/>
      <w:bookmarkStart w:id="262" w:name="_Toc184310296"/>
      <w:bookmarkEnd w:id="262"/>
      <w:bookmarkStart w:id="263" w:name="_Toc184308048"/>
      <w:bookmarkEnd w:id="263"/>
      <w:bookmarkStart w:id="264" w:name="_Toc184310301"/>
      <w:bookmarkEnd w:id="264"/>
      <w:bookmarkStart w:id="265" w:name="_Toc184312097"/>
      <w:bookmarkEnd w:id="265"/>
      <w:bookmarkStart w:id="266" w:name="_Toc184314470"/>
      <w:bookmarkEnd w:id="266"/>
      <w:bookmarkStart w:id="267" w:name="_Toc184313269"/>
      <w:bookmarkEnd w:id="267"/>
      <w:bookmarkStart w:id="268" w:name="_Toc184313260"/>
      <w:bookmarkEnd w:id="268"/>
      <w:bookmarkStart w:id="269" w:name="_Toc184312094"/>
      <w:bookmarkEnd w:id="269"/>
      <w:bookmarkStart w:id="270" w:name="_Toc184313276"/>
      <w:bookmarkEnd w:id="270"/>
      <w:bookmarkStart w:id="271" w:name="_Toc184313257"/>
      <w:bookmarkEnd w:id="271"/>
      <w:bookmarkStart w:id="272" w:name="_Toc184312128"/>
      <w:bookmarkEnd w:id="272"/>
      <w:bookmarkStart w:id="273" w:name="_Toc184314446"/>
      <w:bookmarkEnd w:id="273"/>
      <w:bookmarkStart w:id="274" w:name="_Toc184312084"/>
      <w:bookmarkEnd w:id="274"/>
      <w:bookmarkStart w:id="275" w:name="_Toc184308055"/>
      <w:bookmarkEnd w:id="275"/>
      <w:bookmarkStart w:id="276" w:name="_Toc184308088"/>
      <w:bookmarkEnd w:id="276"/>
      <w:bookmarkStart w:id="277" w:name="_Toc184308092"/>
      <w:bookmarkEnd w:id="277"/>
      <w:bookmarkStart w:id="278" w:name="_Toc184312108"/>
      <w:bookmarkEnd w:id="278"/>
      <w:bookmarkStart w:id="279" w:name="_Toc184310300"/>
      <w:bookmarkEnd w:id="279"/>
      <w:bookmarkStart w:id="280" w:name="_Toc184313274"/>
      <w:bookmarkEnd w:id="280"/>
      <w:bookmarkStart w:id="281" w:name="_Toc184310314"/>
      <w:bookmarkEnd w:id="281"/>
      <w:bookmarkStart w:id="282" w:name="_Toc184308040"/>
      <w:bookmarkEnd w:id="282"/>
      <w:bookmarkStart w:id="283" w:name="_Toc184310273"/>
      <w:bookmarkEnd w:id="283"/>
      <w:bookmarkStart w:id="284" w:name="_Toc184313291"/>
      <w:bookmarkEnd w:id="284"/>
      <w:bookmarkStart w:id="285" w:name="_Toc184313300"/>
      <w:bookmarkEnd w:id="285"/>
      <w:bookmarkStart w:id="286" w:name="_Toc184312106"/>
      <w:bookmarkEnd w:id="286"/>
      <w:bookmarkStart w:id="287" w:name="_Toc184312088"/>
      <w:bookmarkEnd w:id="287"/>
      <w:bookmarkStart w:id="288" w:name="_Toc184310276"/>
      <w:bookmarkEnd w:id="288"/>
      <w:bookmarkStart w:id="289" w:name="_Toc184314411"/>
      <w:bookmarkEnd w:id="289"/>
      <w:bookmarkStart w:id="290" w:name="_Toc184310315"/>
      <w:bookmarkEnd w:id="290"/>
      <w:bookmarkStart w:id="291" w:name="_Toc184312076"/>
      <w:bookmarkEnd w:id="291"/>
      <w:bookmarkStart w:id="292" w:name="_Toc184312112"/>
      <w:bookmarkEnd w:id="292"/>
      <w:bookmarkStart w:id="293" w:name="_Toc184310306"/>
      <w:bookmarkEnd w:id="293"/>
      <w:bookmarkStart w:id="294" w:name="_Toc184308086"/>
      <w:bookmarkEnd w:id="294"/>
      <w:bookmarkStart w:id="295" w:name="_Toc184308107"/>
      <w:bookmarkEnd w:id="295"/>
      <w:bookmarkStart w:id="296" w:name="_Toc184314448"/>
      <w:bookmarkEnd w:id="296"/>
      <w:bookmarkStart w:id="297" w:name="_Toc184308056"/>
      <w:bookmarkEnd w:id="297"/>
      <w:bookmarkStart w:id="298" w:name="_Toc184313263"/>
      <w:bookmarkEnd w:id="298"/>
      <w:bookmarkStart w:id="299" w:name="_Toc184313287"/>
      <w:bookmarkEnd w:id="299"/>
      <w:bookmarkStart w:id="300" w:name="_Toc184312134"/>
      <w:bookmarkEnd w:id="300"/>
      <w:bookmarkStart w:id="301" w:name="_Toc184314420"/>
      <w:bookmarkEnd w:id="301"/>
      <w:bookmarkStart w:id="302" w:name="_Toc184308058"/>
      <w:bookmarkEnd w:id="302"/>
      <w:bookmarkStart w:id="303" w:name="_Toc184310341"/>
      <w:bookmarkEnd w:id="303"/>
      <w:bookmarkStart w:id="304" w:name="_Toc184314460"/>
      <w:bookmarkEnd w:id="304"/>
      <w:bookmarkStart w:id="305" w:name="_Toc184313272"/>
      <w:bookmarkEnd w:id="305"/>
      <w:bookmarkStart w:id="306" w:name="_Toc184312131"/>
      <w:bookmarkEnd w:id="306"/>
      <w:bookmarkStart w:id="307" w:name="_Toc184310329"/>
      <w:bookmarkEnd w:id="307"/>
      <w:bookmarkStart w:id="308" w:name="_Toc184314467"/>
      <w:bookmarkEnd w:id="308"/>
      <w:bookmarkStart w:id="309" w:name="_Toc184308044"/>
      <w:bookmarkEnd w:id="309"/>
      <w:bookmarkStart w:id="310" w:name="_Toc184313308"/>
      <w:bookmarkEnd w:id="310"/>
      <w:bookmarkStart w:id="311" w:name="_Toc184310326"/>
      <w:bookmarkEnd w:id="311"/>
      <w:bookmarkStart w:id="312" w:name="_Toc184312099"/>
      <w:bookmarkEnd w:id="312"/>
      <w:bookmarkStart w:id="313" w:name="_Toc184308098"/>
      <w:bookmarkEnd w:id="313"/>
      <w:bookmarkStart w:id="314" w:name="_Toc184312093"/>
      <w:bookmarkEnd w:id="314"/>
      <w:bookmarkStart w:id="315" w:name="_Toc184313241"/>
      <w:bookmarkEnd w:id="315"/>
      <w:bookmarkStart w:id="316" w:name="_Toc184313250"/>
      <w:bookmarkEnd w:id="316"/>
      <w:bookmarkStart w:id="317" w:name="_Toc184313265"/>
      <w:bookmarkEnd w:id="317"/>
      <w:bookmarkStart w:id="318" w:name="_Toc184313279"/>
      <w:bookmarkEnd w:id="318"/>
      <w:bookmarkStart w:id="319" w:name="_Toc184313242"/>
      <w:bookmarkEnd w:id="319"/>
      <w:bookmarkStart w:id="320" w:name="_Toc184313278"/>
      <w:bookmarkEnd w:id="320"/>
      <w:bookmarkStart w:id="321" w:name="_Toc184314430"/>
      <w:bookmarkEnd w:id="321"/>
      <w:bookmarkStart w:id="322" w:name="_Toc184308054"/>
      <w:bookmarkEnd w:id="322"/>
      <w:bookmarkStart w:id="323" w:name="_Toc184313253"/>
      <w:bookmarkEnd w:id="323"/>
      <w:bookmarkStart w:id="324" w:name="_Toc184313305"/>
      <w:bookmarkEnd w:id="324"/>
      <w:bookmarkStart w:id="325" w:name="_Toc184308063"/>
      <w:bookmarkEnd w:id="325"/>
      <w:bookmarkStart w:id="326" w:name="_Toc184312087"/>
      <w:bookmarkEnd w:id="326"/>
      <w:bookmarkStart w:id="327" w:name="_Toc184310327"/>
      <w:bookmarkEnd w:id="327"/>
      <w:bookmarkStart w:id="328" w:name="_Toc184313244"/>
      <w:bookmarkEnd w:id="328"/>
      <w:bookmarkStart w:id="329" w:name="_Toc184312077"/>
      <w:bookmarkEnd w:id="329"/>
      <w:bookmarkStart w:id="330" w:name="_Toc184310323"/>
      <w:bookmarkEnd w:id="330"/>
      <w:bookmarkStart w:id="331" w:name="_Toc184313245"/>
      <w:bookmarkEnd w:id="331"/>
      <w:bookmarkStart w:id="332" w:name="_Toc184313290"/>
      <w:bookmarkEnd w:id="332"/>
      <w:bookmarkStart w:id="333" w:name="_Toc184308042"/>
      <w:bookmarkEnd w:id="333"/>
      <w:bookmarkStart w:id="334" w:name="_Toc184310305"/>
      <w:bookmarkEnd w:id="334"/>
      <w:bookmarkStart w:id="335" w:name="_Toc184313258"/>
      <w:bookmarkEnd w:id="335"/>
      <w:bookmarkStart w:id="336" w:name="_Toc184313252"/>
      <w:bookmarkEnd w:id="336"/>
      <w:bookmarkStart w:id="337" w:name="_Toc184308051"/>
      <w:bookmarkEnd w:id="337"/>
      <w:bookmarkStart w:id="338" w:name="_Toc184308043"/>
      <w:bookmarkEnd w:id="338"/>
      <w:bookmarkStart w:id="339" w:name="_Toc184314474"/>
      <w:bookmarkEnd w:id="339"/>
      <w:bookmarkStart w:id="340" w:name="_Toc184308071"/>
      <w:bookmarkEnd w:id="340"/>
      <w:bookmarkStart w:id="341" w:name="_Toc184312109"/>
      <w:bookmarkEnd w:id="341"/>
      <w:bookmarkStart w:id="342" w:name="_Toc184313285"/>
      <w:bookmarkEnd w:id="342"/>
      <w:bookmarkStart w:id="343" w:name="_Toc184312124"/>
      <w:bookmarkEnd w:id="343"/>
      <w:bookmarkStart w:id="344" w:name="_Toc184312091"/>
      <w:bookmarkEnd w:id="344"/>
      <w:bookmarkStart w:id="345" w:name="_Toc184313289"/>
      <w:bookmarkEnd w:id="345"/>
      <w:bookmarkStart w:id="346" w:name="_Toc184313304"/>
      <w:bookmarkEnd w:id="346"/>
      <w:bookmarkStart w:id="347" w:name="_Toc184308060"/>
      <w:bookmarkEnd w:id="347"/>
      <w:bookmarkStart w:id="348" w:name="_Toc184312090"/>
      <w:bookmarkEnd w:id="348"/>
      <w:bookmarkStart w:id="349" w:name="_Toc184308089"/>
      <w:bookmarkEnd w:id="349"/>
      <w:bookmarkStart w:id="350" w:name="_Toc184313281"/>
      <w:bookmarkEnd w:id="350"/>
      <w:bookmarkStart w:id="351" w:name="_Toc184314455"/>
      <w:bookmarkEnd w:id="351"/>
      <w:bookmarkStart w:id="352" w:name="_Toc184310277"/>
      <w:bookmarkEnd w:id="352"/>
      <w:bookmarkStart w:id="353" w:name="_Toc184312123"/>
      <w:bookmarkEnd w:id="353"/>
      <w:bookmarkStart w:id="354" w:name="_Toc184312103"/>
      <w:bookmarkEnd w:id="354"/>
      <w:bookmarkStart w:id="355" w:name="_Toc184310289"/>
      <w:bookmarkEnd w:id="355"/>
      <w:bookmarkStart w:id="356" w:name="_Toc184314476"/>
      <w:bookmarkEnd w:id="356"/>
      <w:bookmarkStart w:id="357" w:name="_Toc184314471"/>
      <w:bookmarkEnd w:id="357"/>
      <w:bookmarkStart w:id="358" w:name="_Toc184314457"/>
      <w:bookmarkEnd w:id="358"/>
      <w:bookmarkStart w:id="359" w:name="_Toc184314425"/>
      <w:bookmarkEnd w:id="359"/>
      <w:bookmarkStart w:id="360" w:name="_Toc184310291"/>
      <w:bookmarkEnd w:id="360"/>
      <w:bookmarkStart w:id="361" w:name="_Toc184310330"/>
      <w:bookmarkEnd w:id="361"/>
      <w:bookmarkStart w:id="362" w:name="_Toc184312137"/>
      <w:bookmarkEnd w:id="362"/>
      <w:bookmarkStart w:id="363" w:name="_Toc184310313"/>
      <w:bookmarkEnd w:id="363"/>
      <w:bookmarkStart w:id="364" w:name="_Toc184310286"/>
      <w:bookmarkEnd w:id="364"/>
      <w:bookmarkStart w:id="365" w:name="_Toc184312080"/>
      <w:bookmarkEnd w:id="365"/>
      <w:bookmarkStart w:id="366" w:name="_Toc184314473"/>
      <w:bookmarkEnd w:id="366"/>
      <w:bookmarkStart w:id="367" w:name="_Toc184310317"/>
      <w:bookmarkEnd w:id="367"/>
      <w:bookmarkStart w:id="368" w:name="_Toc184308093"/>
      <w:bookmarkEnd w:id="368"/>
      <w:bookmarkStart w:id="369" w:name="_Toc184308036"/>
      <w:bookmarkEnd w:id="369"/>
      <w:bookmarkStart w:id="370" w:name="_Toc184312121"/>
      <w:bookmarkEnd w:id="370"/>
      <w:bookmarkStart w:id="371" w:name="_Toc184310340"/>
      <w:bookmarkEnd w:id="371"/>
      <w:bookmarkStart w:id="372" w:name="_Toc184313284"/>
      <w:bookmarkEnd w:id="372"/>
      <w:bookmarkStart w:id="373" w:name="_Toc184314416"/>
      <w:bookmarkEnd w:id="373"/>
      <w:bookmarkStart w:id="374" w:name="_Toc184313246"/>
      <w:bookmarkEnd w:id="374"/>
      <w:bookmarkStart w:id="375" w:name="_Toc184308100"/>
      <w:bookmarkEnd w:id="375"/>
      <w:bookmarkStart w:id="376" w:name="_Toc184313286"/>
      <w:bookmarkEnd w:id="376"/>
      <w:bookmarkStart w:id="377" w:name="_Toc184314445"/>
      <w:bookmarkEnd w:id="377"/>
      <w:bookmarkStart w:id="378" w:name="_Toc184314466"/>
      <w:bookmarkEnd w:id="378"/>
      <w:bookmarkStart w:id="379" w:name="_Toc184310309"/>
      <w:bookmarkEnd w:id="379"/>
      <w:bookmarkStart w:id="380" w:name="_Toc184308062"/>
      <w:bookmarkEnd w:id="380"/>
      <w:r>
        <w:rPr>
          <w:rFonts w:hint="eastAsia" w:ascii="宋体" w:hAnsi="宋体" w:cs="宋体"/>
          <w:b/>
          <w:color w:val="auto"/>
          <w:sz w:val="36"/>
          <w:szCs w:val="36"/>
          <w:highlight w:val="none"/>
          <w:lang w:val="en-US" w:eastAsia="zh-CN"/>
        </w:rPr>
        <w:t>评审</w:t>
      </w:r>
      <w:r>
        <w:rPr>
          <w:rFonts w:hint="eastAsia" w:ascii="宋体" w:hAnsi="宋体" w:eastAsia="宋体" w:cs="宋体"/>
          <w:b/>
          <w:color w:val="auto"/>
          <w:sz w:val="36"/>
          <w:szCs w:val="36"/>
          <w:highlight w:val="none"/>
          <w:lang w:eastAsia="zh-CN"/>
        </w:rPr>
        <w:t>办法</w:t>
      </w:r>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bookmarkEnd w:id="15"/>
    <w:p>
      <w:pPr>
        <w:widowControl/>
        <w:numPr>
          <w:ilvl w:val="0"/>
          <w:numId w:val="0"/>
        </w:numPr>
        <w:spacing w:line="360" w:lineRule="auto"/>
        <w:rPr>
          <w:rFonts w:hint="eastAsia" w:ascii="宋体" w:hAnsi="宋体" w:eastAsia="宋体" w:cs="宋体"/>
          <w:color w:val="auto"/>
          <w:highlight w:val="none"/>
          <w:lang w:eastAsia="zh-CN"/>
        </w:rPr>
      </w:pPr>
      <w:bookmarkStart w:id="381" w:name="第五部分"/>
      <w:bookmarkStart w:id="382" w:name="_Toc86217003"/>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70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p>
      <w:pPr>
        <w:widowControl/>
        <w:jc w:val="left"/>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商务资信</w:t>
      </w:r>
    </w:p>
    <w:tbl>
      <w:tblPr>
        <w:tblStyle w:val="64"/>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48"/>
        <w:gridCol w:w="6090"/>
        <w:gridCol w:w="78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638" w:type="dxa"/>
            <w:gridSpan w:val="2"/>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780" w:type="dxa"/>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8" w:type="dxa"/>
            <w:noWrap w:val="0"/>
            <w:vAlign w:val="center"/>
          </w:tcPr>
          <w:p>
            <w:pPr>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0" w:type="dxa"/>
            <w:shd w:val="clear" w:color="auto" w:fill="auto"/>
            <w:noWrap w:val="0"/>
            <w:vAlign w:val="center"/>
          </w:tcPr>
          <w:p>
            <w:pPr>
              <w:bidi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 务资 信</w:t>
            </w:r>
          </w:p>
        </w:tc>
        <w:tc>
          <w:tcPr>
            <w:tcW w:w="548" w:type="dxa"/>
            <w:shd w:val="clear" w:color="auto" w:fill="auto"/>
            <w:noWrap w:val="0"/>
            <w:vAlign w:val="center"/>
          </w:tcPr>
          <w:p>
            <w:pPr>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090" w:type="dxa"/>
            <w:shd w:val="clear" w:color="auto" w:fill="FFFFFF"/>
            <w:noWrap w:val="0"/>
            <w:vAlign w:val="top"/>
          </w:tcPr>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2020年1月以来</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lang w:eastAsia="zh-CN"/>
              </w:rPr>
              <w:t>或所投产品具有</w:t>
            </w:r>
            <w:r>
              <w:rPr>
                <w:rFonts w:hint="eastAsia" w:ascii="宋体" w:hAnsi="宋体" w:eastAsia="宋体" w:cs="宋体"/>
                <w:color w:val="auto"/>
                <w:sz w:val="24"/>
                <w:szCs w:val="24"/>
                <w:highlight w:val="none"/>
                <w:lang w:val="en-US" w:eastAsia="zh-CN"/>
              </w:rPr>
              <w:t>保温材料同</w:t>
            </w:r>
            <w:r>
              <w:rPr>
                <w:rFonts w:hint="eastAsia" w:ascii="宋体" w:hAnsi="宋体" w:eastAsia="宋体" w:cs="宋体"/>
                <w:color w:val="auto"/>
                <w:sz w:val="24"/>
                <w:szCs w:val="24"/>
                <w:highlight w:val="none"/>
                <w:lang w:eastAsia="zh-CN"/>
              </w:rPr>
              <w:t>类项目供货业绩，每提供1个合同业绩得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分；最高得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分。（提供中标通知书</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合同复印</w:t>
            </w:r>
            <w:r>
              <w:rPr>
                <w:rFonts w:hint="eastAsia" w:ascii="宋体" w:hAnsi="宋体" w:eastAsia="宋体" w:cs="宋体"/>
                <w:color w:val="auto"/>
                <w:sz w:val="24"/>
                <w:szCs w:val="24"/>
                <w:highlight w:val="none"/>
                <w:lang w:val="en-US" w:eastAsia="zh-CN"/>
              </w:rPr>
              <w:t>件，</w:t>
            </w:r>
            <w:r>
              <w:rPr>
                <w:rFonts w:hint="eastAsia" w:ascii="宋体" w:hAnsi="宋体" w:eastAsia="宋体" w:cs="宋体"/>
                <w:color w:val="auto"/>
                <w:sz w:val="24"/>
                <w:szCs w:val="24"/>
                <w:highlight w:val="none"/>
                <w:lang w:eastAsia="zh-CN"/>
              </w:rPr>
              <w:t>提供相关材料复印件加盖公章，未提供不得分）</w:t>
            </w:r>
          </w:p>
        </w:tc>
        <w:tc>
          <w:tcPr>
            <w:tcW w:w="780" w:type="dxa"/>
            <w:shd w:val="clear" w:color="auto" w:fill="FFFFFF"/>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10</w:t>
            </w:r>
          </w:p>
        </w:tc>
        <w:tc>
          <w:tcPr>
            <w:tcW w:w="988" w:type="dxa"/>
            <w:shd w:val="clear" w:color="auto" w:fill="FFFFFF"/>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bl>
    <w:p>
      <w:pPr>
        <w:spacing w:line="312" w:lineRule="auto"/>
        <w:rPr>
          <w:rFonts w:hint="eastAsia" w:ascii="宋体" w:hAnsi="宋体" w:eastAsia="宋体" w:cs="宋体"/>
          <w:color w:val="auto"/>
          <w:sz w:val="24"/>
          <w:szCs w:val="24"/>
          <w:highlight w:val="none"/>
          <w:lang w:eastAsia="zh-CN"/>
        </w:rPr>
      </w:pPr>
    </w:p>
    <w:p>
      <w:pPr>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技术部分</w:t>
      </w:r>
    </w:p>
    <w:tbl>
      <w:tblPr>
        <w:tblStyle w:val="6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97"/>
        <w:gridCol w:w="6022"/>
        <w:gridCol w:w="80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66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40" w:type="dxa"/>
            <w:vMerge w:val="restart"/>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技术</w:t>
            </w: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6022" w:type="dxa"/>
            <w:tcBorders>
              <w:top w:val="single" w:color="auto" w:sz="4" w:space="0"/>
              <w:left w:val="single" w:color="auto" w:sz="4" w:space="0"/>
              <w:right w:val="single" w:color="auto" w:sz="4" w:space="0"/>
            </w:tcBorders>
            <w:shd w:val="clear" w:color="auto" w:fill="FFFFFF"/>
            <w:noWrap w:val="0"/>
            <w:vAlign w:val="center"/>
          </w:tcPr>
          <w:p>
            <w:pPr>
              <w:widowControl/>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实施方案：</w:t>
            </w:r>
            <w:r>
              <w:rPr>
                <w:rFonts w:hint="eastAsia" w:ascii="宋体" w:hAnsi="宋体" w:eastAsia="宋体" w:cs="宋体"/>
                <w:color w:val="auto"/>
                <w:sz w:val="24"/>
                <w:szCs w:val="24"/>
                <w:highlight w:val="none"/>
                <w:lang w:eastAsia="zh-CN"/>
              </w:rPr>
              <w:t>根据供应商对本项目的支撑响应配合程度进行综合评分，供应商是否有详细的应急响应预案，响应速度是否及时，响应规模和质量是否充分满足</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lang w:eastAsia="zh-CN"/>
              </w:rPr>
              <w:t>需求；</w:t>
            </w:r>
          </w:p>
          <w:p>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响应能力强的得4-6分；响应能力一般的得2-4分；响应能力欠缺的得0-2分。</w:t>
            </w:r>
          </w:p>
        </w:tc>
        <w:tc>
          <w:tcPr>
            <w:tcW w:w="800" w:type="dxa"/>
            <w:tcBorders>
              <w:top w:val="single" w:color="auto" w:sz="4" w:space="0"/>
              <w:left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p>
        </w:tc>
        <w:tc>
          <w:tcPr>
            <w:tcW w:w="98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安装调试方案，产品进场前准备措施的充分性、产品进场后对突发状况考虑全面且有完善的应对措施的（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分）；准备措施不充分，突发状况应对措施不完善（0-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分）。安装、调试、验收 方案具体、详细、可行的（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分）；安装、调试、验收方案不具体、不详细、不可行的（0-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对招标项目的质量、安全、投资控制等是否明确，保证措施是否切实、可行；周全可行的得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分，可行但有所欠缺的得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分，内容欠缺且不合理的得1分，未提供的不得分。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承诺响应交易需求各项技术、商务需求的得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分，每负偏离1项扣2分，扣完为主。</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组织机构、工作时间进度表、工作程序和步骤、管理和协调方法、关键步骤的思路和要点；介绍施工的关键部位及施工方案；合理的得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分，合理但有所欠缺的得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分，内容欠缺且不合理的得1分，未提供的不得分。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lang w:eastAsia="zh-CN"/>
              </w:rPr>
              <w:t>平面图、效果图、施工工艺图，方案编排合理；合理且符合要求的得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分，合理但有所欠缺的得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分，内容欠缺且不合理的得1分，未提供的不得分。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质量保证措施：质量措施是否完善，根据投标人提供质量措施是否完善</w:t>
            </w:r>
            <w:r>
              <w:rPr>
                <w:rFonts w:hint="eastAsia" w:ascii="宋体" w:hAnsi="宋体" w:eastAsia="宋体" w:cs="宋体"/>
                <w:color w:val="auto"/>
                <w:sz w:val="24"/>
                <w:szCs w:val="24"/>
                <w:highlight w:val="none"/>
                <w:lang w:val="en-US" w:eastAsia="zh-CN"/>
              </w:rPr>
              <w:t>综合评定</w:t>
            </w:r>
            <w:r>
              <w:rPr>
                <w:rFonts w:hint="eastAsia" w:ascii="宋体" w:hAnsi="宋体" w:eastAsia="宋体" w:cs="宋体"/>
                <w:color w:val="auto"/>
                <w:sz w:val="24"/>
                <w:szCs w:val="24"/>
                <w:highlight w:val="none"/>
                <w:lang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售后服务</w:t>
            </w:r>
            <w:r>
              <w:rPr>
                <w:rFonts w:hint="eastAsia" w:ascii="宋体" w:hAnsi="宋体" w:eastAsia="宋体" w:cs="宋体"/>
                <w:color w:val="auto"/>
                <w:sz w:val="24"/>
                <w:szCs w:val="24"/>
                <w:highlight w:val="none"/>
                <w:lang w:val="en-US" w:eastAsia="zh-CN"/>
              </w:rPr>
              <w:t>承诺：</w:t>
            </w:r>
            <w:r>
              <w:rPr>
                <w:rFonts w:hint="eastAsia" w:ascii="宋体" w:hAnsi="宋体" w:eastAsia="宋体" w:cs="宋体"/>
                <w:color w:val="auto"/>
                <w:sz w:val="24"/>
                <w:szCs w:val="24"/>
                <w:highlight w:val="none"/>
                <w:lang w:val="zh-CN" w:eastAsia="zh-CN"/>
              </w:rPr>
              <w:t>投标人是否具有较强的服务能力，提供的售后维护机构情况及便捷程度</w:t>
            </w:r>
            <w:r>
              <w:rPr>
                <w:rFonts w:hint="eastAsia" w:ascii="宋体" w:hAnsi="宋体" w:eastAsia="宋体" w:cs="宋体"/>
                <w:color w:val="auto"/>
                <w:sz w:val="24"/>
                <w:szCs w:val="24"/>
                <w:highlight w:val="none"/>
                <w:lang w:val="en-US" w:eastAsia="zh-CN"/>
              </w:rPr>
              <w:t>综合评定</w:t>
            </w:r>
            <w:r>
              <w:rPr>
                <w:rFonts w:hint="eastAsia" w:ascii="宋体" w:hAnsi="宋体" w:eastAsia="宋体" w:cs="宋体"/>
                <w:color w:val="auto"/>
                <w:sz w:val="24"/>
                <w:szCs w:val="24"/>
                <w:highlight w:val="none"/>
                <w:lang w:val="zh-CN" w:eastAsia="zh-CN"/>
              </w:rPr>
              <w:t>。</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0-7</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公开竞争</w:t>
            </w:r>
            <w:r>
              <w:rPr>
                <w:rFonts w:hint="eastAsia" w:ascii="宋体" w:hAnsi="宋体" w:eastAsia="宋体" w:cs="宋体"/>
                <w:color w:val="auto"/>
                <w:sz w:val="24"/>
                <w:szCs w:val="24"/>
                <w:highlight w:val="none"/>
                <w:lang w:eastAsia="zh-CN"/>
              </w:rPr>
              <w:t>文件原有质保期（二年）的基础上，每增加一年加1分，最多加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0"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宋体"/>
                <w:color w:val="auto"/>
                <w:sz w:val="24"/>
                <w:szCs w:val="24"/>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60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w:t>
            </w:r>
            <w:r>
              <w:rPr>
                <w:rFonts w:hint="eastAsia" w:ascii="宋体" w:hAnsi="宋体" w:cs="宋体"/>
                <w:color w:val="auto"/>
                <w:sz w:val="24"/>
                <w:szCs w:val="24"/>
                <w:highlight w:val="none"/>
                <w:lang w:val="en-US" w:eastAsia="zh-CN"/>
              </w:rPr>
              <w:t>质量情况综合评定。</w:t>
            </w:r>
          </w:p>
        </w:tc>
        <w:tc>
          <w:tcPr>
            <w:tcW w:w="800"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w:t>
            </w:r>
          </w:p>
        </w:tc>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bl>
    <w:p>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sz w:val="24"/>
          <w:highlight w:val="none"/>
          <w:lang w:eastAsia="zh-CN"/>
        </w:rPr>
        <w:t>。</w:t>
      </w:r>
    </w:p>
    <w:p>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rPr>
        <w:t>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69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30</w:t>
            </w:r>
          </w:p>
        </w:tc>
        <w:tc>
          <w:tcPr>
            <w:tcW w:w="69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cs="宋体"/>
          <w:b/>
          <w:color w:val="auto"/>
          <w:kern w:val="0"/>
          <w:sz w:val="24"/>
          <w:highlight w:val="none"/>
          <w:lang w:eastAsia="zh-CN"/>
        </w:rPr>
        <w:t>综合评分法</w:t>
      </w:r>
      <w:r>
        <w:rPr>
          <w:rFonts w:hint="eastAsia" w:ascii="宋体" w:hAnsi="宋体" w:eastAsia="宋体" w:cs="宋体"/>
          <w:b/>
          <w:color w:val="auto"/>
          <w:kern w:val="0"/>
          <w:sz w:val="24"/>
          <w:highlight w:val="none"/>
        </w:rPr>
        <w:t>。</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标准</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eastAsia="zh-CN"/>
        </w:rPr>
        <w:t>交易</w:t>
      </w:r>
      <w:r>
        <w:rPr>
          <w:rFonts w:hint="eastAsia" w:ascii="宋体" w:hAnsi="宋体" w:eastAsia="宋体" w:cs="宋体"/>
          <w:b/>
          <w:color w:val="auto"/>
          <w:sz w:val="28"/>
          <w:szCs w:val="28"/>
          <w:highlight w:val="none"/>
        </w:rPr>
        <w:t>程序</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应当对符合资格的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应当按照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w:t>
      </w:r>
      <w:r>
        <w:rPr>
          <w:rFonts w:hint="eastAsia" w:ascii="宋体" w:hAnsi="宋体" w:eastAsia="宋体" w:cs="宋体"/>
          <w:color w:val="auto"/>
          <w:kern w:val="0"/>
          <w:sz w:val="24"/>
          <w:highlight w:val="none"/>
          <w:lang w:eastAsia="zh-CN"/>
        </w:rPr>
        <w:t>审</w:t>
      </w:r>
      <w:r>
        <w:rPr>
          <w:rFonts w:hint="eastAsia" w:ascii="宋体" w:hAnsi="宋体" w:eastAsia="宋体" w:cs="宋体"/>
          <w:color w:val="auto"/>
          <w:kern w:val="0"/>
          <w:sz w:val="24"/>
          <w:highlight w:val="none"/>
        </w:rPr>
        <w:t>委员会各成员应当独立对每个</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的商务和技术文件进行评价，并汇总商务技术得分情况。</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r>
        <w:rPr>
          <w:rFonts w:hint="eastAsia" w:ascii="宋体" w:hAnsi="宋体" w:eastAsia="宋体" w:cs="宋体"/>
          <w:color w:val="auto"/>
          <w:kern w:val="0"/>
          <w:szCs w:val="24"/>
          <w:highlight w:val="none"/>
          <w:lang w:eastAsia="zh-CN"/>
        </w:rPr>
        <w:t>；</w:t>
      </w:r>
    </w:p>
    <w:p>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r>
        <w:rPr>
          <w:rFonts w:hint="eastAsia" w:ascii="宋体" w:hAnsi="宋体" w:eastAsia="宋体" w:cs="宋体"/>
          <w:color w:val="auto"/>
          <w:kern w:val="0"/>
          <w:szCs w:val="24"/>
          <w:highlight w:val="none"/>
          <w:lang w:eastAsia="zh-CN"/>
        </w:rPr>
        <w:t>；</w:t>
      </w:r>
    </w:p>
    <w:p>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widowControl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136"/>
        <w:pageBreakBefore w:val="0"/>
        <w:widowControl w:val="0"/>
        <w:kinsoku/>
        <w:wordWrap/>
        <w:overflowPunct/>
        <w:topLinePunct w:val="0"/>
        <w:autoSpaceDE/>
        <w:autoSpaceDN/>
        <w:bidi w:val="0"/>
        <w:spacing w:before="0" w:line="570" w:lineRule="exact"/>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认为</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不能证明其报价合理性的，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应当将其作为无效投标处理。</w:t>
      </w:r>
    </w:p>
    <w:p>
      <w:pPr>
        <w:pageBreakBefore w:val="0"/>
        <w:widowControl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w:t>
      </w:r>
      <w:r>
        <w:rPr>
          <w:rFonts w:hint="eastAsia" w:ascii="宋体" w:hAnsi="宋体" w:eastAsia="宋体" w:cs="宋体"/>
          <w:b/>
          <w:color w:val="auto"/>
          <w:kern w:val="0"/>
          <w:sz w:val="24"/>
          <w:highlight w:val="none"/>
          <w:lang w:eastAsia="zh-CN"/>
        </w:rPr>
        <w:t>评审报告</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根据全体评标成员签字的原始评标记录和评标结果编写</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成员对需要共同认定的事项存在争议的，应当按照少数服从多数的原则作出结论。持不同意见的</w:t>
      </w:r>
      <w:r>
        <w:rPr>
          <w:rFonts w:hint="eastAsia" w:ascii="宋体" w:hAnsi="宋体" w:eastAsia="宋体" w:cs="宋体"/>
          <w:color w:val="auto"/>
          <w:kern w:val="0"/>
          <w:sz w:val="24"/>
          <w:highlight w:val="none"/>
          <w:lang w:eastAsia="zh-CN"/>
        </w:rPr>
        <w:t>评审委员会</w:t>
      </w:r>
      <w:r>
        <w:rPr>
          <w:rFonts w:hint="eastAsia" w:ascii="宋体" w:hAnsi="宋体" w:eastAsia="宋体" w:cs="宋体"/>
          <w:color w:val="auto"/>
          <w:kern w:val="0"/>
          <w:sz w:val="24"/>
          <w:highlight w:val="none"/>
        </w:rPr>
        <w:t>成员应当在</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上签署不同意见及理由，否则视为同意</w:t>
      </w:r>
      <w:r>
        <w:rPr>
          <w:rFonts w:hint="eastAsia" w:ascii="宋体" w:hAnsi="宋体" w:eastAsia="宋体" w:cs="宋体"/>
          <w:color w:val="auto"/>
          <w:kern w:val="0"/>
          <w:sz w:val="24"/>
          <w:highlight w:val="none"/>
          <w:lang w:eastAsia="zh-CN"/>
        </w:rPr>
        <w:t>评审报告</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36"/>
        <w:pageBreakBefore w:val="0"/>
        <w:kinsoku/>
        <w:wordWrap/>
        <w:overflowPunct/>
        <w:topLinePunct w:val="0"/>
        <w:autoSpaceDE/>
        <w:autoSpaceDN/>
        <w:bidi w:val="0"/>
        <w:spacing w:before="0" w:line="57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响应人</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作出必要的澄清、说明或者补正的，</w:t>
      </w:r>
      <w:r>
        <w:rPr>
          <w:rFonts w:hint="eastAsia" w:ascii="宋体" w:hAnsi="宋体" w:eastAsia="宋体" w:cs="宋体"/>
          <w:color w:val="auto"/>
          <w:kern w:val="0"/>
          <w:szCs w:val="24"/>
          <w:highlight w:val="none"/>
          <w:lang w:eastAsia="zh-CN"/>
        </w:rPr>
        <w:t>评审委员会</w:t>
      </w:r>
      <w:r>
        <w:rPr>
          <w:rFonts w:hint="eastAsia" w:ascii="宋体" w:hAnsi="宋体" w:eastAsia="宋体" w:cs="宋体"/>
          <w:color w:val="auto"/>
          <w:kern w:val="0"/>
          <w:szCs w:val="24"/>
          <w:highlight w:val="none"/>
        </w:rPr>
        <w:t>和</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响应人</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pPr>
        <w:pStyle w:val="26"/>
        <w:pageBreakBefore w:val="0"/>
        <w:kinsoku/>
        <w:wordWrap/>
        <w:overflowPunct/>
        <w:topLinePunct w:val="0"/>
        <w:autoSpaceDE/>
        <w:autoSpaceDN/>
        <w:bidi w:val="0"/>
        <w:spacing w:line="57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中规定的资格要求）；</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要求签署、盖章的；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不能接受的附加条件的；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pPr>
        <w:pageBreakBefore w:val="0"/>
        <w:kinsoku/>
        <w:wordWrap/>
        <w:overflowPunct/>
        <w:topLinePunct w:val="0"/>
        <w:autoSpaceDE/>
        <w:autoSpaceDN/>
        <w:bidi w:val="0"/>
        <w:snapToGrid w:val="0"/>
        <w:spacing w:line="570" w:lineRule="exact"/>
        <w:ind w:firstLine="120" w:firstLineChars="5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报价明显低于其他通过符合性审查</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对根据修正原则修正后的报价不确认的；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提供虚假材料投标的；</w:t>
      </w:r>
    </w:p>
    <w:p>
      <w:pPr>
        <w:pageBreakBefore w:val="0"/>
        <w:kinsoku/>
        <w:wordWrap/>
        <w:overflowPunct/>
        <w:topLinePunct w:val="0"/>
        <w:autoSpaceDE/>
        <w:autoSpaceDN/>
        <w:bidi w:val="0"/>
        <w:spacing w:line="57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交易发起人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的合法权益情形的；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5"/>
        <w:pageBreakBefore w:val="0"/>
        <w:kinsoku/>
        <w:wordWrap/>
        <w:overflowPunct/>
        <w:topLinePunct w:val="0"/>
        <w:autoSpaceDE/>
        <w:autoSpaceDN/>
        <w:bidi w:val="0"/>
        <w:spacing w:line="57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2响应文件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公开竞争文件</w:t>
      </w:r>
      <w:r>
        <w:rPr>
          <w:rFonts w:hint="eastAsia" w:ascii="宋体" w:hAnsi="宋体" w:eastAsia="宋体" w:cs="宋体"/>
          <w:b w:val="0"/>
          <w:bCs w:val="0"/>
          <w:color w:val="auto"/>
          <w:kern w:val="0"/>
          <w:sz w:val="24"/>
          <w:szCs w:val="24"/>
          <w:highlight w:val="none"/>
          <w:lang w:val="en-US"/>
        </w:rPr>
        <w:t>的其它实质性要求的；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6"/>
        <w:pageBreakBefore w:val="0"/>
        <w:kinsoku/>
        <w:wordWrap/>
        <w:overflowPunct/>
        <w:topLinePunct w:val="0"/>
        <w:autoSpaceDE/>
        <w:autoSpaceDN/>
        <w:bidi w:val="0"/>
        <w:snapToGrid w:val="0"/>
        <w:spacing w:line="57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w:t>
      </w:r>
      <w:r>
        <w:rPr>
          <w:rFonts w:hint="eastAsia" w:ascii="宋体" w:hAnsi="宋体" w:eastAsia="宋体" w:cs="宋体"/>
          <w:color w:val="auto"/>
          <w:highlight w:val="none"/>
          <w:lang w:eastAsia="zh-CN"/>
        </w:rPr>
        <w:t>交易过程</w:t>
      </w:r>
      <w:r>
        <w:rPr>
          <w:rFonts w:hint="eastAsia" w:ascii="宋体" w:hAnsi="宋体" w:eastAsia="宋体" w:cs="宋体"/>
          <w:color w:val="auto"/>
          <w:highlight w:val="none"/>
        </w:rPr>
        <w:t>中，出现下列情形之一的，应予废标：</w:t>
      </w:r>
    </w:p>
    <w:p>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或者对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作实质响应的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不足3家的；</w:t>
      </w:r>
    </w:p>
    <w:p>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不能支付的；</w:t>
      </w:r>
    </w:p>
    <w:p>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w:t>
      </w:r>
    </w:p>
    <w:p>
      <w:pPr>
        <w:pStyle w:val="26"/>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公开竞争文件</w:t>
      </w:r>
      <w:r>
        <w:rPr>
          <w:rFonts w:hint="eastAsia" w:ascii="宋体" w:hAnsi="宋体" w:eastAsia="宋体" w:cs="宋体"/>
          <w:b/>
          <w:color w:val="auto"/>
          <w:highlight w:val="none"/>
        </w:rPr>
        <w:t>，重新组织</w:t>
      </w:r>
      <w:r>
        <w:rPr>
          <w:rFonts w:hint="eastAsia" w:ascii="宋体" w:hAnsi="宋体" w:eastAsia="宋体" w:cs="宋体"/>
          <w:b/>
          <w:color w:val="auto"/>
          <w:highlight w:val="none"/>
          <w:lang w:eastAsia="zh-CN"/>
        </w:rPr>
        <w:t>交易</w:t>
      </w:r>
      <w:r>
        <w:rPr>
          <w:rFonts w:hint="eastAsia" w:ascii="宋体" w:hAnsi="宋体" w:eastAsia="宋体" w:cs="宋体"/>
          <w:b/>
          <w:color w:val="auto"/>
          <w:highlight w:val="none"/>
        </w:rPr>
        <w:t>活动。</w:t>
      </w:r>
      <w:r>
        <w:rPr>
          <w:rFonts w:hint="eastAsia" w:ascii="宋体" w:hAnsi="宋体" w:eastAsia="宋体" w:cs="宋体"/>
          <w:color w:val="auto"/>
          <w:highlight w:val="none"/>
          <w:lang w:eastAsia="zh-CN"/>
        </w:rPr>
        <w:t>评审委员会</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内容违反国家有关强制性规定的，将停止评</w:t>
      </w:r>
      <w:r>
        <w:rPr>
          <w:rFonts w:hint="eastAsia" w:ascii="宋体" w:hAnsi="宋体" w:eastAsia="宋体" w:cs="宋体"/>
          <w:color w:val="auto"/>
          <w:highlight w:val="none"/>
          <w:lang w:eastAsia="zh-CN"/>
        </w:rPr>
        <w:t>审</w:t>
      </w:r>
      <w:r>
        <w:rPr>
          <w:rFonts w:hint="eastAsia" w:ascii="宋体" w:hAnsi="宋体" w:eastAsia="宋体" w:cs="宋体"/>
          <w:color w:val="auto"/>
          <w:highlight w:val="none"/>
        </w:rPr>
        <w:t>工作，并与</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沟通并作书面记录。</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，重新组织</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活动。</w:t>
      </w:r>
    </w:p>
    <w:p>
      <w:pPr>
        <w:pStyle w:val="26"/>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6"/>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书面</w:t>
      </w:r>
      <w:r>
        <w:rPr>
          <w:rFonts w:hint="eastAsia" w:ascii="宋体" w:hAnsi="宋体" w:eastAsia="宋体" w:cs="宋体"/>
          <w:color w:val="auto"/>
          <w:highlight w:val="none"/>
        </w:rPr>
        <w:t>合同已经履行，给</w:t>
      </w:r>
      <w:r>
        <w:rPr>
          <w:rFonts w:hint="eastAsia" w:ascii="宋体" w:hAnsi="宋体" w:eastAsia="宋体" w:cs="宋体"/>
          <w:color w:val="auto"/>
          <w:highlight w:val="none"/>
          <w:lang w:eastAsia="zh-CN"/>
        </w:rPr>
        <w:t>交易发起人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造成损失的，由责任人承担赔偿责任。</w:t>
      </w:r>
    </w:p>
    <w:p>
      <w:pPr>
        <w:pStyle w:val="26"/>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8"/>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w:t>
      </w:r>
      <w:r>
        <w:rPr>
          <w:rFonts w:hint="eastAsia" w:ascii="宋体" w:hAnsi="宋体" w:eastAsia="宋体" w:cs="宋体"/>
          <w:color w:val="auto"/>
          <w:highlight w:val="none"/>
          <w:lang w:val="en-US" w:eastAsia="zh-CN"/>
        </w:rPr>
        <w:t>2</w:t>
      </w:r>
      <w:r>
        <w:rPr>
          <w:rFonts w:hint="eastAsia" w:cs="宋体"/>
          <w:color w:val="auto"/>
          <w:highlight w:val="none"/>
          <w:lang w:val="en-US" w:eastAsia="zh-CN"/>
        </w:rPr>
        <w:t>4</w:t>
      </w:r>
      <w:r>
        <w:rPr>
          <w:rFonts w:hint="eastAsia" w:ascii="宋体" w:hAnsi="宋体" w:eastAsia="宋体" w:cs="宋体"/>
          <w:color w:val="auto"/>
          <w:highlight w:val="none"/>
        </w:rPr>
        <w:t>年  月  日</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供、需双方根据</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项目（交易编号  -  -   ）成交结果和公开竞争文件的要求，并经双方协调一致，订立本合同。</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单位</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6、其他。</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rPr>
        <w:t>二、合同金额: 本合同金额为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大写</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人民币</w:t>
      </w:r>
      <w:r>
        <w:rPr>
          <w:rFonts w:hint="eastAsia" w:ascii="宋体" w:hAnsi="宋体" w:eastAsia="宋体" w:cs="宋体"/>
          <w:color w:val="auto"/>
          <w:highlight w:val="none"/>
          <w:u w:val="none"/>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《项目清单内容》</w:t>
      </w:r>
    </w:p>
    <w:tbl>
      <w:tblPr>
        <w:tblStyle w:val="6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内容</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bl>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1.乙方应按</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规定的时间向甲方提供有关技术资料。</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、转包或分包</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，乙方不得将本合同范围的服务全部或部分分包给他人供应；</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.如有转让和未经甲方同意的分包行为，甲方有权解除合同，追究乙方的违约责任。</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、服务质量保证期</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服务</w:t>
      </w:r>
      <w:r>
        <w:rPr>
          <w:rFonts w:hint="eastAsia" w:ascii="宋体" w:hAnsi="宋体" w:eastAsia="宋体" w:cs="宋体"/>
          <w:color w:val="auto"/>
          <w:highlight w:val="none"/>
          <w:lang w:eastAsia="zh-CN"/>
        </w:rPr>
        <w:t>时间：</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、合同履行时间、履行方式及履行地点</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 履行方式：</w:t>
      </w:r>
      <w:r>
        <w:rPr>
          <w:rFonts w:hint="eastAsia" w:ascii="宋体" w:hAnsi="宋体" w:eastAsia="宋体" w:cs="宋体"/>
          <w:color w:val="auto"/>
          <w:highlight w:val="none"/>
          <w:lang w:val="en-US" w:eastAsia="zh-CN"/>
        </w:rPr>
        <w:t>按合同履行。</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 履行地点：</w:t>
      </w:r>
      <w:r>
        <w:rPr>
          <w:rFonts w:hint="eastAsia" w:ascii="宋体" w:hAnsi="宋体" w:eastAsia="宋体" w:cs="宋体"/>
          <w:color w:val="auto"/>
          <w:highlight w:val="none"/>
          <w:lang w:val="en-US" w:eastAsia="zh-CN"/>
        </w:rPr>
        <w:t>甲方指定地点内。</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、款项支付</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参照交易需求。</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十、税费</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十一、质量保证及后续服务</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乙方应按</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规定向甲方提供服务。</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w:t>
      </w:r>
      <w:r>
        <w:rPr>
          <w:rFonts w:hint="eastAsia" w:ascii="宋体" w:hAnsi="宋体" w:eastAsia="宋体" w:cs="宋体"/>
          <w:color w:val="auto"/>
          <w:highlight w:val="none"/>
          <w:lang w:val="en-US" w:eastAsia="zh-CN"/>
        </w:rPr>
        <w:t>问题或产出重大不良影响的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除按结算条款扣除结算金额外，</w:t>
      </w:r>
      <w:r>
        <w:rPr>
          <w:rFonts w:hint="eastAsia" w:ascii="宋体" w:hAnsi="宋体" w:eastAsia="宋体" w:cs="宋体"/>
          <w:color w:val="auto"/>
          <w:highlight w:val="none"/>
        </w:rPr>
        <w:t>乙方应负责免费提供后续</w:t>
      </w:r>
      <w:r>
        <w:rPr>
          <w:rFonts w:hint="eastAsia" w:ascii="宋体" w:hAnsi="宋体" w:eastAsia="宋体" w:cs="宋体"/>
          <w:color w:val="auto"/>
          <w:highlight w:val="none"/>
          <w:lang w:val="en-US" w:eastAsia="zh-CN"/>
        </w:rPr>
        <w:t>善后</w:t>
      </w:r>
      <w:r>
        <w:rPr>
          <w:rFonts w:hint="eastAsia" w:ascii="宋体" w:hAnsi="宋体" w:eastAsia="宋体" w:cs="宋体"/>
          <w:color w:val="auto"/>
          <w:highlight w:val="none"/>
        </w:rPr>
        <w:t>服务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同时承担相应责任。</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十二、违约责任</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.乙方未能如期提供服务的，每日向甲方支付合同款项的千分之六作为违约金。乙方超过约定日期10个工作日仍不能提供服务的，甲方可解除本合同，</w:t>
      </w:r>
      <w:r>
        <w:rPr>
          <w:rFonts w:hint="eastAsia" w:ascii="宋体" w:hAnsi="宋体" w:eastAsia="宋体" w:cs="宋体"/>
          <w:color w:val="auto"/>
          <w:highlight w:val="none"/>
          <w:lang w:val="en-US" w:eastAsia="zh-CN"/>
        </w:rPr>
        <w:t>追究</w:t>
      </w:r>
      <w:r>
        <w:rPr>
          <w:rFonts w:hint="eastAsia" w:ascii="宋体" w:hAnsi="宋体" w:eastAsia="宋体" w:cs="宋体"/>
          <w:color w:val="auto"/>
          <w:highlight w:val="none"/>
        </w:rPr>
        <w:t>乙赔偿责任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.如发现乙方违反</w:t>
      </w:r>
      <w:r>
        <w:rPr>
          <w:rFonts w:hint="eastAsia" w:ascii="宋体" w:hAnsi="宋体" w:eastAsia="宋体" w:cs="宋体"/>
          <w:color w:val="auto"/>
          <w:highlight w:val="none"/>
          <w:lang w:eastAsia="zh-CN"/>
        </w:rPr>
        <w:t>公开竞争文件、响应文件</w:t>
      </w:r>
      <w:r>
        <w:rPr>
          <w:rFonts w:hint="eastAsia" w:ascii="宋体" w:hAnsi="宋体" w:eastAsia="宋体" w:cs="宋体"/>
          <w:color w:val="auto"/>
          <w:highlight w:val="none"/>
        </w:rPr>
        <w:t>和合同的有关规定，甲方有权根据约定和《杭州市政府采购</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合同履行和售后服务考核暂行办法》，对乙方进行处罚，并有权提前终止合同。</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十三、争议的解决</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十四、合同生效</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方持</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通知书作为与需方签订合同的凭证。</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2.本合同经需、供双方法定代表人或其授权委托人签字并加盖单位公章后生效。</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帐号：                             帐号：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rPr>
          <w:rFonts w:hint="eastAsia" w:ascii="宋体" w:hAnsi="宋体" w:eastAsia="宋体" w:cs="宋体"/>
          <w:color w:val="auto"/>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r>
        <w:rPr>
          <w:rFonts w:hint="eastAsia" w:ascii="宋体" w:hAnsi="宋体" w:eastAsia="宋体" w:cs="宋体"/>
          <w:b/>
          <w:color w:val="auto"/>
          <w:sz w:val="36"/>
          <w:szCs w:val="20"/>
          <w:highlight w:val="none"/>
        </w:rPr>
        <w:t xml:space="preserve"> </w:t>
      </w:r>
      <w:bookmarkEnd w:id="382"/>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代理机构</w:t>
      </w:r>
      <w:r>
        <w:rPr>
          <w:rFonts w:hint="eastAsia" w:ascii="宋体" w:hAnsi="宋体" w:eastAsia="宋体" w:cs="宋体"/>
          <w:color w:val="auto"/>
          <w:sz w:val="24"/>
          <w:highlight w:val="none"/>
          <w:u w:val="singl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b/>
          <w:color w:val="auto"/>
          <w:kern w:val="0"/>
          <w:sz w:val="36"/>
          <w:szCs w:val="36"/>
          <w:highlight w:val="none"/>
          <w:lang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r>
        <w:rPr>
          <w:rFonts w:hint="eastAsia" w:ascii="宋体" w:hAnsi="宋体" w:cs="宋体"/>
          <w:color w:val="auto"/>
          <w:sz w:val="24"/>
          <w:highlight w:val="none"/>
          <w:lang w:eastAsia="zh-CN"/>
        </w:rPr>
        <w:t>）</w:t>
      </w: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交易函</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lang w:eastAsia="zh-CN"/>
        </w:rPr>
        <w:t>营业执照；</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w:t>
      </w:r>
      <w:r>
        <w:rPr>
          <w:rFonts w:hint="eastAsia" w:ascii="宋体" w:hAnsi="宋体" w:eastAsia="宋体" w:cs="宋体"/>
          <w:color w:val="auto"/>
          <w:sz w:val="24"/>
          <w:highlight w:val="none"/>
          <w:lang w:eastAsia="zh-CN"/>
        </w:rPr>
        <w:t>审</w:t>
      </w:r>
      <w:r>
        <w:rPr>
          <w:rFonts w:hint="eastAsia" w:ascii="宋体" w:hAnsi="宋体" w:eastAsia="宋体" w:cs="宋体"/>
          <w:color w:val="auto"/>
          <w:sz w:val="24"/>
          <w:highlight w:val="none"/>
        </w:rPr>
        <w:t>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书后，在</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2"/>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交易项目的一切事项，其法律后果由我方承担。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响应人</w:t>
      </w:r>
      <w:r>
        <w:rPr>
          <w:rFonts w:hint="eastAsia" w:ascii="宋体" w:hAnsi="宋体" w:eastAsia="宋体" w:cs="宋体"/>
          <w:b/>
          <w:color w:val="auto"/>
          <w:sz w:val="30"/>
          <w:szCs w:val="30"/>
          <w:highlight w:val="none"/>
        </w:rPr>
        <w:t>参加投标）</w:t>
      </w:r>
    </w:p>
    <w:p>
      <w:pPr>
        <w:pStyle w:val="15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三、营业执照</w:t>
      </w:r>
    </w:p>
    <w:p>
      <w:pPr>
        <w:jc w:val="center"/>
        <w:rPr>
          <w:rFonts w:hint="eastAsia" w:ascii="宋体" w:hAnsi="宋体" w:eastAsia="宋体" w:cs="宋体"/>
          <w:b/>
          <w:color w:val="auto"/>
          <w:kern w:val="0"/>
          <w:sz w:val="32"/>
          <w:szCs w:val="32"/>
          <w:highlight w:val="none"/>
          <w:lang w:eastAsia="zh-CN"/>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4"/>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p>
      <w:pPr>
        <w:jc w:val="center"/>
        <w:rPr>
          <w:rFonts w:hint="eastAsia" w:ascii="宋体" w:hAnsi="宋体" w:eastAsia="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不少于</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w:t>
            </w:r>
          </w:p>
        </w:tc>
        <w:tc>
          <w:tcPr>
            <w:tcW w:w="3566"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交易函</w:t>
            </w:r>
          </w:p>
        </w:tc>
        <w:tc>
          <w:tcPr>
            <w:tcW w:w="1418" w:type="dxa"/>
            <w:vAlign w:val="center"/>
          </w:tcPr>
          <w:p>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w:t>
      </w:r>
      <w:r>
        <w:rPr>
          <w:rFonts w:hint="eastAsia" w:ascii="宋体" w:hAnsi="宋体" w:eastAsia="宋体" w:cs="宋体"/>
          <w:b/>
          <w:color w:val="auto"/>
          <w:kern w:val="0"/>
          <w:sz w:val="32"/>
          <w:szCs w:val="32"/>
          <w:highlight w:val="none"/>
          <w:lang w:eastAsia="zh-CN"/>
        </w:rPr>
        <w:t>审</w:t>
      </w:r>
      <w:r>
        <w:rPr>
          <w:rFonts w:hint="eastAsia" w:ascii="宋体" w:hAnsi="宋体" w:eastAsia="宋体" w:cs="宋体"/>
          <w:b/>
          <w:color w:val="auto"/>
          <w:kern w:val="0"/>
          <w:sz w:val="32"/>
          <w:szCs w:val="32"/>
          <w:highlight w:val="none"/>
        </w:rPr>
        <w:t>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公开竞争文件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w:t>
      </w:r>
      <w:r>
        <w:rPr>
          <w:rFonts w:hint="eastAsia" w:ascii="宋体" w:hAnsi="宋体" w:eastAsia="宋体" w:cs="宋体"/>
          <w:b/>
          <w:color w:val="auto"/>
          <w:sz w:val="24"/>
          <w:highlight w:val="none"/>
          <w:lang w:eastAsia="zh-CN"/>
        </w:rPr>
        <w:t>审</w:t>
      </w:r>
      <w:r>
        <w:rPr>
          <w:rFonts w:hint="eastAsia" w:ascii="宋体" w:hAnsi="宋体" w:eastAsia="宋体" w:cs="宋体"/>
          <w:b/>
          <w:color w:val="auto"/>
          <w:sz w:val="24"/>
          <w:highlight w:val="none"/>
        </w:rPr>
        <w:t>标准相应的商务技术资料目录”提供资料。）</w:t>
      </w:r>
    </w:p>
    <w:p>
      <w:pPr>
        <w:autoSpaceDE w:val="0"/>
        <w:autoSpaceDN w:val="0"/>
        <w:spacing w:line="360" w:lineRule="auto"/>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1、保修年限、范围、保修条件</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2、解决问题、排除故障的措施</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3、售后服务方面的其他承诺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4、其他优惠条件</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5、上述内容的处罚保证措施</w:t>
      </w:r>
    </w:p>
    <w:p>
      <w:pPr>
        <w:autoSpaceDE w:val="0"/>
        <w:autoSpaceDN w:val="0"/>
        <w:spacing w:line="360" w:lineRule="auto"/>
        <w:jc w:val="left"/>
        <w:rPr>
          <w:rFonts w:hint="eastAsia" w:ascii="宋体" w:hAnsi="宋体" w:cs="宋体"/>
          <w:color w:val="auto"/>
          <w:kern w:val="0"/>
          <w:sz w:val="24"/>
          <w:highlight w:val="none"/>
          <w:lang w:val="en-US" w:eastAsia="zh-CN"/>
        </w:rPr>
      </w:pPr>
    </w:p>
    <w:p>
      <w:pPr>
        <w:autoSpaceDE w:val="0"/>
        <w:autoSpaceDN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6、其他商务技术资料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3"/>
        <w:rPr>
          <w:rFonts w:hint="eastAsia" w:ascii="宋体" w:hAnsi="宋体" w:eastAsia="宋体" w:cs="宋体"/>
          <w:b/>
          <w:color w:val="auto"/>
          <w:kern w:val="0"/>
          <w:sz w:val="32"/>
          <w:szCs w:val="32"/>
          <w:highlight w:val="none"/>
        </w:rPr>
      </w:pPr>
    </w:p>
    <w:p>
      <w:pPr>
        <w:pStyle w:val="53"/>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eastAsia="zh-CN"/>
        </w:rPr>
        <w:br w:type="page"/>
      </w: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公开竞争文件</w:t>
            </w:r>
            <w:r>
              <w:rPr>
                <w:rFonts w:hint="eastAsia" w:ascii="宋体" w:hAnsi="宋体" w:eastAsia="宋体" w:cs="宋体"/>
                <w:b/>
                <w:bCs/>
                <w:color w:val="auto"/>
                <w:sz w:val="24"/>
                <w:highlight w:val="none"/>
              </w:rPr>
              <w:t>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公开竞争文件</w:t>
      </w:r>
      <w:r>
        <w:rPr>
          <w:rFonts w:hint="eastAsia" w:ascii="宋体" w:hAnsi="宋体" w:eastAsia="宋体" w:cs="宋体"/>
          <w:color w:val="auto"/>
          <w:kern w:val="0"/>
          <w:sz w:val="24"/>
          <w:highlight w:val="none"/>
        </w:rPr>
        <w:t>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p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交易一览表</w:t>
      </w:r>
      <w:r>
        <w:rPr>
          <w:rFonts w:hint="eastAsia" w:ascii="宋体" w:hAnsi="宋体" w:eastAsia="宋体" w:cs="宋体"/>
          <w:color w:val="auto"/>
          <w:kern w:val="2"/>
          <w:sz w:val="32"/>
          <w:szCs w:val="32"/>
          <w:highlight w:val="none"/>
        </w:rPr>
        <w:t>（报价表）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交易一览表（报价表）</w:t>
      </w:r>
    </w:p>
    <w:tbl>
      <w:tblPr>
        <w:tblStyle w:val="64"/>
        <w:tblW w:w="14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925"/>
        <w:gridCol w:w="3750"/>
        <w:gridCol w:w="1707"/>
        <w:gridCol w:w="2943"/>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序号</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名称</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参考尺寸</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单位</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基准价</w:t>
            </w:r>
            <w:r>
              <w:rPr>
                <w:rFonts w:hint="eastAsia" w:ascii="宋体" w:hAnsi="宋体" w:eastAsia="宋体" w:cs="宋体"/>
                <w:b/>
                <w:color w:val="auto"/>
                <w:sz w:val="24"/>
                <w:highlight w:val="none"/>
                <w:lang w:eastAsia="zh-CN"/>
              </w:rPr>
              <w:t>（单价）</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25*20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6</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2</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32*20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6.5</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3</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43*20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8</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4</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48*20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9.2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6</w:t>
            </w:r>
            <w:r>
              <w:rPr>
                <w:rFonts w:hint="eastAsia" w:ascii="宋体" w:hAnsi="宋体" w:eastAsia="宋体" w:cs="宋体"/>
                <w:b w:val="0"/>
                <w:bCs/>
                <w:color w:val="auto"/>
                <w:sz w:val="24"/>
                <w:highlight w:val="none"/>
                <w:lang w:val="en-US" w:eastAsia="zh-CN"/>
              </w:rPr>
              <w:t>0</w:t>
            </w:r>
            <w:r>
              <w:rPr>
                <w:rFonts w:hint="eastAsia" w:ascii="宋体" w:hAnsi="宋体" w:eastAsia="宋体" w:cs="宋体"/>
                <w:b w:val="0"/>
                <w:bCs/>
                <w:color w:val="auto"/>
                <w:sz w:val="24"/>
                <w:highlight w:val="none"/>
                <w:lang w:eastAsia="zh-CN"/>
              </w:rPr>
              <w:t>*20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10.6</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6</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76*20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7</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89*20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15</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8</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108*20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16.5</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9</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w:t>
            </w: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25*20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7.92</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10</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w:t>
            </w: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32*20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8.55</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11</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w:t>
            </w: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4</w:t>
            </w:r>
            <w:r>
              <w:rPr>
                <w:rFonts w:hint="eastAsia" w:ascii="宋体" w:hAnsi="宋体" w:eastAsia="宋体" w:cs="宋体"/>
                <w:b w:val="0"/>
                <w:bCs/>
                <w:color w:val="auto"/>
                <w:sz w:val="24"/>
                <w:highlight w:val="none"/>
                <w:lang w:val="en-US" w:eastAsia="zh-CN"/>
              </w:rPr>
              <w:t>0</w:t>
            </w:r>
            <w:r>
              <w:rPr>
                <w:rFonts w:hint="eastAsia" w:ascii="宋体" w:hAnsi="宋体" w:eastAsia="宋体" w:cs="宋体"/>
                <w:b w:val="0"/>
                <w:bCs/>
                <w:color w:val="auto"/>
                <w:sz w:val="24"/>
                <w:highlight w:val="none"/>
                <w:lang w:eastAsia="zh-CN"/>
              </w:rPr>
              <w:t>*20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10.08</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w:t>
            </w: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50</w:t>
            </w:r>
            <w:r>
              <w:rPr>
                <w:rFonts w:hint="eastAsia" w:ascii="宋体" w:hAnsi="宋体" w:eastAsia="宋体" w:cs="宋体"/>
                <w:b w:val="0"/>
                <w:bCs/>
                <w:color w:val="auto"/>
                <w:sz w:val="24"/>
                <w:highlight w:val="none"/>
                <w:lang w:eastAsia="zh-CN"/>
              </w:rPr>
              <w:t>*20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10.8</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w:t>
            </w: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val="en-US" w:eastAsia="zh-CN"/>
              </w:rPr>
              <w:t>60</w:t>
            </w:r>
            <w:r>
              <w:rPr>
                <w:rFonts w:hint="eastAsia" w:ascii="宋体" w:hAnsi="宋体" w:eastAsia="宋体" w:cs="宋体"/>
                <w:b w:val="0"/>
                <w:bCs/>
                <w:color w:val="auto"/>
                <w:sz w:val="24"/>
                <w:highlight w:val="none"/>
                <w:lang w:eastAsia="zh-CN"/>
              </w:rPr>
              <w:t>*20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12.15</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w:t>
            </w: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80</w:t>
            </w:r>
            <w:r>
              <w:rPr>
                <w:rFonts w:hint="eastAsia" w:ascii="宋体" w:hAnsi="宋体" w:eastAsia="宋体" w:cs="宋体"/>
                <w:b w:val="0"/>
                <w:bCs/>
                <w:color w:val="auto"/>
                <w:sz w:val="24"/>
                <w:highlight w:val="none"/>
                <w:lang w:eastAsia="zh-CN"/>
              </w:rPr>
              <w:t>*20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14.58</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15</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w:t>
            </w: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100</w:t>
            </w:r>
            <w:r>
              <w:rPr>
                <w:rFonts w:hint="eastAsia" w:ascii="宋体" w:hAnsi="宋体" w:eastAsia="宋体" w:cs="宋体"/>
                <w:b w:val="0"/>
                <w:bCs/>
                <w:color w:val="auto"/>
                <w:sz w:val="24"/>
                <w:highlight w:val="none"/>
                <w:lang w:eastAsia="zh-CN"/>
              </w:rPr>
              <w:t>*20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15.75</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16</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w:t>
            </w:r>
            <w:r>
              <w:rPr>
                <w:rFonts w:hint="eastAsia" w:ascii="宋体" w:hAnsi="宋体" w:eastAsia="宋体" w:cs="宋体"/>
                <w:b w:val="0"/>
                <w:bCs/>
                <w:color w:val="auto"/>
                <w:sz w:val="24"/>
                <w:highlight w:val="none"/>
                <w:lang w:eastAsia="zh-CN"/>
              </w:rPr>
              <w:t>橡塑保温管</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w:t>
            </w:r>
            <w:r>
              <w:rPr>
                <w:rFonts w:hint="eastAsia" w:ascii="宋体" w:hAnsi="宋体" w:eastAsia="宋体" w:cs="宋体"/>
                <w:b w:val="0"/>
                <w:bCs/>
                <w:color w:val="auto"/>
                <w:sz w:val="24"/>
                <w:highlight w:val="none"/>
                <w:lang w:val="en-US" w:eastAsia="zh-CN"/>
              </w:rPr>
              <w:t>25</w:t>
            </w:r>
            <w:r>
              <w:rPr>
                <w:rFonts w:hint="eastAsia" w:ascii="宋体" w:hAnsi="宋体" w:eastAsia="宋体" w:cs="宋体"/>
                <w:b w:val="0"/>
                <w:bCs/>
                <w:color w:val="auto"/>
                <w:sz w:val="24"/>
                <w:highlight w:val="none"/>
                <w:lang w:eastAsia="zh-CN"/>
              </w:rPr>
              <w:t>*20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米</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18</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17</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铝箔保温棉</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平方</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33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18</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水表保温套</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120 mm*260mm</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只</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14</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19</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水表保温衣</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4</w:t>
            </w:r>
            <w:r>
              <w:rPr>
                <w:rFonts w:hint="eastAsia" w:ascii="宋体" w:hAnsi="宋体" w:eastAsia="宋体" w:cs="宋体"/>
                <w:b w:val="0"/>
                <w:bCs/>
                <w:color w:val="auto"/>
                <w:sz w:val="24"/>
                <w:highlight w:val="none"/>
                <w:lang w:val="en-US" w:eastAsia="zh-CN"/>
              </w:rPr>
              <w:t>7</w:t>
            </w:r>
            <w:r>
              <w:rPr>
                <w:rFonts w:hint="eastAsia" w:ascii="宋体" w:hAnsi="宋体" w:eastAsia="宋体" w:cs="宋体"/>
                <w:b w:val="0"/>
                <w:bCs/>
                <w:color w:val="auto"/>
                <w:sz w:val="24"/>
                <w:highlight w:val="none"/>
                <w:lang w:eastAsia="zh-CN"/>
              </w:rPr>
              <w:t>0mm*</w:t>
            </w:r>
            <w:r>
              <w:rPr>
                <w:rFonts w:hint="eastAsia" w:ascii="宋体" w:hAnsi="宋体" w:cs="宋体"/>
                <w:b w:val="0"/>
                <w:bCs/>
                <w:color w:val="auto"/>
                <w:sz w:val="24"/>
                <w:highlight w:val="none"/>
                <w:lang w:val="en-US" w:eastAsia="zh-CN"/>
              </w:rPr>
              <w:t>260</w:t>
            </w:r>
            <w:r>
              <w:rPr>
                <w:rFonts w:hint="eastAsia" w:ascii="宋体" w:hAnsi="宋体" w:eastAsia="宋体" w:cs="宋体"/>
                <w:b w:val="0"/>
                <w:bCs/>
                <w:color w:val="auto"/>
                <w:sz w:val="24"/>
                <w:highlight w:val="none"/>
                <w:lang w:eastAsia="zh-CN"/>
              </w:rPr>
              <w:t>mm</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只</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28.3</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防雨防风布保温棉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20</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保温材料扎带</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根</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0.18</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21</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地表保温板</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430</w:t>
            </w:r>
            <w:r>
              <w:rPr>
                <w:rFonts w:hint="default" w:ascii="宋体" w:hAnsi="宋体" w:eastAsia="宋体" w:cs="宋体"/>
                <w:b w:val="0"/>
                <w:bCs/>
                <w:color w:val="auto"/>
                <w:sz w:val="24"/>
                <w:highlight w:val="none"/>
                <w:lang w:eastAsia="zh-CN"/>
              </w:rPr>
              <w:t>mm*</w:t>
            </w:r>
            <w:r>
              <w:rPr>
                <w:rFonts w:hint="eastAsia" w:ascii="宋体" w:hAnsi="宋体" w:eastAsia="宋体" w:cs="宋体"/>
                <w:b w:val="0"/>
                <w:bCs/>
                <w:color w:val="auto"/>
                <w:sz w:val="24"/>
                <w:highlight w:val="none"/>
                <w:lang w:val="en-US" w:eastAsia="zh-CN"/>
              </w:rPr>
              <w:t>270</w:t>
            </w:r>
            <w:r>
              <w:rPr>
                <w:rFonts w:hint="default" w:ascii="宋体" w:hAnsi="宋体" w:eastAsia="宋体" w:cs="宋体"/>
                <w:b w:val="0"/>
                <w:bCs/>
                <w:color w:val="auto"/>
                <w:sz w:val="24"/>
                <w:highlight w:val="none"/>
                <w:lang w:eastAsia="zh-CN"/>
              </w:rPr>
              <w:t>mm</w:t>
            </w:r>
            <w:r>
              <w:rPr>
                <w:rFonts w:hint="eastAsia" w:ascii="宋体" w:hAnsi="宋体" w:eastAsia="宋体" w:cs="宋体"/>
                <w:b w:val="0"/>
                <w:bCs/>
                <w:color w:val="auto"/>
                <w:sz w:val="24"/>
                <w:highlight w:val="none"/>
                <w:lang w:val="en-US" w:eastAsia="zh-CN"/>
              </w:rPr>
              <w:t>*20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块</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7</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22</w:t>
            </w:r>
          </w:p>
        </w:tc>
        <w:tc>
          <w:tcPr>
            <w:tcW w:w="39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保温管专用胶水</w:t>
            </w:r>
          </w:p>
        </w:tc>
        <w:tc>
          <w:tcPr>
            <w:tcW w:w="3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c>
          <w:tcPr>
            <w:tcW w:w="17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桶</w:t>
            </w:r>
          </w:p>
        </w:tc>
        <w:tc>
          <w:tcPr>
            <w:tcW w:w="29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185</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95"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投标报价（</w:t>
            </w:r>
            <w:r>
              <w:rPr>
                <w:rFonts w:hint="eastAsia" w:ascii="宋体" w:hAnsi="宋体" w:eastAsia="宋体" w:cs="宋体"/>
                <w:b w:val="0"/>
                <w:bCs/>
                <w:color w:val="auto"/>
                <w:sz w:val="24"/>
                <w:highlight w:val="none"/>
                <w:lang w:val="en-US" w:eastAsia="zh-CN"/>
              </w:rPr>
              <w:t>统一折扣</w:t>
            </w:r>
            <w:r>
              <w:rPr>
                <w:rFonts w:hint="eastAsia" w:ascii="宋体" w:hAnsi="宋体" w:eastAsia="宋体" w:cs="宋体"/>
                <w:b w:val="0"/>
                <w:bCs/>
                <w:color w:val="auto"/>
                <w:sz w:val="24"/>
                <w:highlight w:val="none"/>
                <w:lang w:eastAsia="zh-CN"/>
              </w:rPr>
              <w:t>）</w:t>
            </w:r>
          </w:p>
        </w:tc>
        <w:tc>
          <w:tcPr>
            <w:tcW w:w="421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u w:val="single"/>
                <w:lang w:val="en-US" w:eastAsia="zh-CN"/>
              </w:rPr>
              <w:t xml:space="preserve">     %</w:t>
            </w:r>
          </w:p>
        </w:tc>
      </w:tr>
    </w:tbl>
    <w:p>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交易发起人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金额等予以公示。</w:t>
      </w:r>
    </w:p>
    <w:p>
      <w:pPr>
        <w:spacing w:line="360" w:lineRule="auto"/>
        <w:ind w:firstLine="482" w:firstLineChars="200"/>
        <w:rPr>
          <w:rFonts w:hint="eastAsia" w:ascii="宋体" w:hAnsi="宋体" w:eastAsia="宋体" w:cs="宋体"/>
          <w:b/>
          <w:color w:val="auto"/>
          <w:kern w:val="0"/>
          <w:sz w:val="24"/>
          <w:highlight w:val="none"/>
        </w:rPr>
      </w:pP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pacing w:val="6"/>
          <w:sz w:val="32"/>
          <w:szCs w:val="32"/>
          <w:highlight w:val="none"/>
          <w:lang w:val="zh-CN" w:eastAsia="zh-CN"/>
        </w:rPr>
        <w:t>异议</w:t>
      </w:r>
      <w:r>
        <w:rPr>
          <w:rFonts w:hint="eastAsia" w:ascii="宋体" w:hAnsi="宋体" w:eastAsia="宋体" w:cs="宋体"/>
          <w:b/>
          <w:color w:val="auto"/>
          <w:spacing w:val="6"/>
          <w:sz w:val="32"/>
          <w:szCs w:val="32"/>
          <w:highlight w:val="none"/>
        </w:rPr>
        <w:t>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lang w:eastAsia="zh-CN"/>
        </w:rPr>
        <w:t>异议</w:t>
      </w:r>
      <w:r>
        <w:rPr>
          <w:rFonts w:hint="eastAsia" w:ascii="宋体" w:hAnsi="宋体" w:eastAsia="宋体" w:cs="宋体"/>
          <w:b/>
          <w:color w:val="auto"/>
          <w:spacing w:val="6"/>
          <w:sz w:val="32"/>
          <w:szCs w:val="32"/>
          <w:highlight w:val="none"/>
        </w:rPr>
        <w:t>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w:t>
      </w:r>
      <w:r>
        <w:rPr>
          <w:rFonts w:hint="eastAsia" w:ascii="宋体" w:hAnsi="宋体" w:eastAsia="宋体" w:cs="宋体"/>
          <w:bCs/>
          <w:color w:val="auto"/>
          <w:sz w:val="24"/>
          <w:highlight w:val="none"/>
          <w:lang w:eastAsia="zh-CN"/>
        </w:rPr>
        <w:t>异议响应人</w:t>
      </w:r>
      <w:r>
        <w:rPr>
          <w:rFonts w:hint="eastAsia" w:ascii="宋体" w:hAnsi="宋体" w:eastAsia="宋体" w:cs="宋体"/>
          <w:bCs/>
          <w:color w:val="auto"/>
          <w:sz w:val="24"/>
          <w:highlight w:val="none"/>
        </w:rPr>
        <w:t>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事项相关的</w:t>
      </w:r>
      <w:r>
        <w:rPr>
          <w:rFonts w:hint="eastAsia" w:ascii="宋体" w:hAnsi="宋体" w:eastAsia="宋体" w:cs="宋体"/>
          <w:bCs/>
          <w:color w:val="auto"/>
          <w:sz w:val="24"/>
          <w:highlight w:val="none"/>
          <w:lang w:eastAsia="zh-CN"/>
        </w:rPr>
        <w:t>异议</w:t>
      </w:r>
      <w:r>
        <w:rPr>
          <w:rFonts w:hint="eastAsia" w:ascii="宋体" w:hAnsi="宋体" w:eastAsia="宋体" w:cs="宋体"/>
          <w:bCs/>
          <w:color w:val="auto"/>
          <w:sz w:val="24"/>
          <w:highlight w:val="none"/>
        </w:rPr>
        <w:t>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异议</w:t>
      </w:r>
      <w:r>
        <w:rPr>
          <w:rFonts w:hint="eastAsia" w:ascii="宋体" w:hAnsi="宋体" w:eastAsia="宋体" w:cs="宋体"/>
          <w:b/>
          <w:color w:val="auto"/>
          <w:sz w:val="24"/>
          <w:highlight w:val="none"/>
        </w:rPr>
        <w:t>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时，应提交</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若委托代理人进行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函应按要求列明“授权代表”的有关内容，并在附件中提交由</w:t>
      </w:r>
      <w:r>
        <w:rPr>
          <w:rFonts w:hint="eastAsia" w:ascii="宋体" w:hAnsi="宋体" w:eastAsia="宋体" w:cs="宋体"/>
          <w:color w:val="auto"/>
          <w:sz w:val="24"/>
          <w:highlight w:val="none"/>
          <w:lang w:eastAsia="zh-CN"/>
        </w:rPr>
        <w:t>异议</w:t>
      </w:r>
      <w:r>
        <w:rPr>
          <w:rFonts w:hint="eastAsia" w:ascii="宋体" w:hAnsi="宋体" w:eastAsia="宋体" w:cs="宋体"/>
          <w:color w:val="auto"/>
          <w:kern w:val="0"/>
          <w:sz w:val="24"/>
          <w:highlight w:val="none"/>
          <w:lang w:eastAsia="zh-CN"/>
        </w:rPr>
        <w:t>响应人</w:t>
      </w:r>
      <w:r>
        <w:rPr>
          <w:rFonts w:hint="eastAsia" w:ascii="宋体" w:hAnsi="宋体" w:eastAsia="宋体" w:cs="宋体"/>
          <w:color w:val="auto"/>
          <w:kern w:val="0"/>
          <w:sz w:val="24"/>
          <w:highlight w:val="none"/>
        </w:rPr>
        <w:t>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若对项目的某一分包进行</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请求应与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为自然人的，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函应由本人签字；</w:t>
      </w:r>
      <w:r>
        <w:rPr>
          <w:rFonts w:hint="eastAsia" w:ascii="宋体" w:hAnsi="宋体" w:eastAsia="宋体" w:cs="宋体"/>
          <w:color w:val="auto"/>
          <w:sz w:val="24"/>
          <w:highlight w:val="none"/>
          <w:lang w:eastAsia="zh-CN"/>
        </w:rPr>
        <w:t>异议响应人</w:t>
      </w:r>
      <w:r>
        <w:rPr>
          <w:rFonts w:hint="eastAsia" w:ascii="宋体" w:hAnsi="宋体" w:eastAsia="宋体" w:cs="宋体"/>
          <w:color w:val="auto"/>
          <w:sz w:val="24"/>
          <w:highlight w:val="none"/>
        </w:rPr>
        <w:t>为法人或者其他组织的，</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公开竞争</w:t>
      </w:r>
      <w:r>
        <w:rPr>
          <w:rFonts w:hint="eastAsia" w:ascii="宋体" w:hAnsi="宋体" w:eastAsia="宋体" w:cs="宋体"/>
          <w:color w:val="auto"/>
          <w:sz w:val="24"/>
          <w:highlight w:val="none"/>
        </w:rPr>
        <w:t>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lang w:eastAsia="zh-CN"/>
        </w:rPr>
        <w:t>交易发起人</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事项，</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函、</w:t>
      </w:r>
      <w:r>
        <w:rPr>
          <w:rFonts w:hint="eastAsia" w:ascii="宋体" w:hAnsi="宋体" w:eastAsia="宋体" w:cs="宋体"/>
          <w:color w:val="auto"/>
          <w:sz w:val="24"/>
          <w:highlight w:val="none"/>
          <w:lang w:eastAsia="zh-CN"/>
        </w:rPr>
        <w:t>异议</w:t>
      </w:r>
      <w:r>
        <w:rPr>
          <w:rFonts w:hint="eastAsia" w:ascii="宋体" w:hAnsi="宋体" w:eastAsia="宋体" w:cs="宋体"/>
          <w:color w:val="auto"/>
          <w:sz w:val="24"/>
          <w:highlight w:val="none"/>
        </w:rPr>
        <w:t>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交易发起人</w:t>
      </w:r>
      <w:r>
        <w:rPr>
          <w:rFonts w:hint="eastAsia" w:ascii="宋体" w:hAnsi="宋体" w:eastAsia="宋体" w:cs="宋体"/>
          <w:color w:val="auto"/>
          <w:sz w:val="24"/>
          <w:highlight w:val="none"/>
          <w:u w:val="single"/>
        </w:rPr>
        <w:t>）、（代理机构）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default" w:eastAsia="宋体"/>
        <w:lang w:val="en-US" w:eastAsia="zh-CN"/>
      </w:rPr>
    </w:pPr>
    <w:r>
      <w:rPr>
        <w:rFonts w:hint="eastAsia"/>
        <w:lang w:val="en-US" w:eastAsia="zh-CN"/>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lang w:val="en-US" w:eastAsia="zh-CN"/>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lang w:val="en-US" w:eastAsia="zh-CN"/>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lang w:val="en-US" w:eastAsia="zh-CN"/>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lang w:val="en-US" w:eastAsia="zh-CN"/>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eastAsia="宋体"/>
        <w:lang w:eastAsia="zh-CN"/>
      </w:rPr>
    </w:pPr>
    <w:r>
      <w:t></w:t>
    </w:r>
    <w:r>
      <w:rPr>
        <w:rFonts w:hint="eastAsia"/>
      </w:rPr>
      <w:t xml:space="preserve">                                             </w:t>
    </w:r>
    <w:r>
      <w:rPr>
        <w:rFonts w:hint="eastAsia"/>
        <w:lang w:val="en-US" w:eastAsia="zh-CN"/>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493FE"/>
    <w:multiLevelType w:val="singleLevel"/>
    <w:tmpl w:val="F08493FE"/>
    <w:lvl w:ilvl="0" w:tentative="0">
      <w:start w:val="4"/>
      <w:numFmt w:val="chineseCounting"/>
      <w:suff w:val="space"/>
      <w:lvlText w:val="第%1部分"/>
      <w:lvlJc w:val="left"/>
      <w:rPr>
        <w:rFonts w:hint="eastAsia"/>
      </w:rPr>
    </w:lvl>
  </w:abstractNum>
  <w:abstractNum w:abstractNumId="1">
    <w:nsid w:val="434CA0FB"/>
    <w:multiLevelType w:val="singleLevel"/>
    <w:tmpl w:val="434CA0FB"/>
    <w:lvl w:ilvl="0" w:tentative="0">
      <w:start w:val="14"/>
      <w:numFmt w:val="decimal"/>
      <w:lvlText w:val="%1."/>
      <w:lvlJc w:val="left"/>
      <w:pPr>
        <w:tabs>
          <w:tab w:val="left" w:pos="312"/>
        </w:tabs>
      </w:pPr>
    </w:lvl>
  </w:abstractNum>
  <w:abstractNum w:abstractNumId="2">
    <w:nsid w:val="5559833E"/>
    <w:multiLevelType w:val="singleLevel"/>
    <w:tmpl w:val="5559833E"/>
    <w:lvl w:ilvl="0" w:tentative="0">
      <w:start w:val="1"/>
      <w:numFmt w:val="chineseCounting"/>
      <w:suff w:val="nothing"/>
      <w:lvlText w:val="%1、"/>
      <w:lvlJc w:val="left"/>
      <w:pPr>
        <w:ind w:left="0" w:firstLine="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 w:name="KSO_WPS_MARK_KEY" w:val="5d62b055-f2c3-47ce-a2ab-fef55d009d6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5F0711"/>
    <w:rsid w:val="02644317"/>
    <w:rsid w:val="026B2E25"/>
    <w:rsid w:val="02824D4D"/>
    <w:rsid w:val="02BE3979"/>
    <w:rsid w:val="02DC4B10"/>
    <w:rsid w:val="02DD76CE"/>
    <w:rsid w:val="02F36323"/>
    <w:rsid w:val="02F5619C"/>
    <w:rsid w:val="0326446A"/>
    <w:rsid w:val="032D5555"/>
    <w:rsid w:val="036634D2"/>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207BC3"/>
    <w:rsid w:val="07245D42"/>
    <w:rsid w:val="07264C62"/>
    <w:rsid w:val="072F6604"/>
    <w:rsid w:val="074460BC"/>
    <w:rsid w:val="0779354C"/>
    <w:rsid w:val="077F0C95"/>
    <w:rsid w:val="07C300BD"/>
    <w:rsid w:val="07FE18F3"/>
    <w:rsid w:val="08061376"/>
    <w:rsid w:val="081C58E8"/>
    <w:rsid w:val="08452D77"/>
    <w:rsid w:val="085F14A2"/>
    <w:rsid w:val="086401F8"/>
    <w:rsid w:val="08751CAA"/>
    <w:rsid w:val="0876556A"/>
    <w:rsid w:val="087E4C40"/>
    <w:rsid w:val="08A53637"/>
    <w:rsid w:val="08A871D0"/>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F6188C"/>
    <w:rsid w:val="0BF73C91"/>
    <w:rsid w:val="0C170175"/>
    <w:rsid w:val="0C41327A"/>
    <w:rsid w:val="0C50464B"/>
    <w:rsid w:val="0C571A41"/>
    <w:rsid w:val="0C5C1171"/>
    <w:rsid w:val="0C5E1CBC"/>
    <w:rsid w:val="0C615B50"/>
    <w:rsid w:val="0C6E0EEC"/>
    <w:rsid w:val="0C784E0D"/>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C26171"/>
    <w:rsid w:val="10DC700E"/>
    <w:rsid w:val="10F33360"/>
    <w:rsid w:val="10F4083A"/>
    <w:rsid w:val="10FC16EA"/>
    <w:rsid w:val="110F1D40"/>
    <w:rsid w:val="11266F33"/>
    <w:rsid w:val="113055C1"/>
    <w:rsid w:val="118963A1"/>
    <w:rsid w:val="11C6522A"/>
    <w:rsid w:val="11E104CC"/>
    <w:rsid w:val="11E20309"/>
    <w:rsid w:val="11E44B84"/>
    <w:rsid w:val="12255233"/>
    <w:rsid w:val="12530213"/>
    <w:rsid w:val="127723A9"/>
    <w:rsid w:val="12862074"/>
    <w:rsid w:val="12883966"/>
    <w:rsid w:val="129E45B4"/>
    <w:rsid w:val="12D21374"/>
    <w:rsid w:val="12D81596"/>
    <w:rsid w:val="13072A44"/>
    <w:rsid w:val="131A1B7F"/>
    <w:rsid w:val="13474EA5"/>
    <w:rsid w:val="135F4BE2"/>
    <w:rsid w:val="13913864"/>
    <w:rsid w:val="139B1A0A"/>
    <w:rsid w:val="139B5BDE"/>
    <w:rsid w:val="139D25C7"/>
    <w:rsid w:val="13BF3CE4"/>
    <w:rsid w:val="140F0A5D"/>
    <w:rsid w:val="141008D8"/>
    <w:rsid w:val="14125FE6"/>
    <w:rsid w:val="142B70E5"/>
    <w:rsid w:val="14500381"/>
    <w:rsid w:val="146D271E"/>
    <w:rsid w:val="14982588"/>
    <w:rsid w:val="149A5AD9"/>
    <w:rsid w:val="14A7619D"/>
    <w:rsid w:val="14F25B02"/>
    <w:rsid w:val="150536C3"/>
    <w:rsid w:val="150C1963"/>
    <w:rsid w:val="151447A0"/>
    <w:rsid w:val="154A6454"/>
    <w:rsid w:val="15762120"/>
    <w:rsid w:val="15844A86"/>
    <w:rsid w:val="15F56AC3"/>
    <w:rsid w:val="1608540D"/>
    <w:rsid w:val="16204A74"/>
    <w:rsid w:val="166C515D"/>
    <w:rsid w:val="16A8729C"/>
    <w:rsid w:val="16B33777"/>
    <w:rsid w:val="16BC70A7"/>
    <w:rsid w:val="16C6339E"/>
    <w:rsid w:val="16C730F7"/>
    <w:rsid w:val="16D6012D"/>
    <w:rsid w:val="16FE2244"/>
    <w:rsid w:val="172F2D79"/>
    <w:rsid w:val="17557BEF"/>
    <w:rsid w:val="176D1E2A"/>
    <w:rsid w:val="17852075"/>
    <w:rsid w:val="178B06F1"/>
    <w:rsid w:val="17A05FFC"/>
    <w:rsid w:val="17D349C1"/>
    <w:rsid w:val="17E066D8"/>
    <w:rsid w:val="1830729E"/>
    <w:rsid w:val="18394486"/>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D0A24"/>
    <w:rsid w:val="1BA209CF"/>
    <w:rsid w:val="1BB4777D"/>
    <w:rsid w:val="1BD75AB8"/>
    <w:rsid w:val="1BE22A26"/>
    <w:rsid w:val="1C0459C2"/>
    <w:rsid w:val="1C1B3B4A"/>
    <w:rsid w:val="1C537570"/>
    <w:rsid w:val="1C88086E"/>
    <w:rsid w:val="1CA045EE"/>
    <w:rsid w:val="1CC47A8B"/>
    <w:rsid w:val="1D266CE1"/>
    <w:rsid w:val="1D3963AF"/>
    <w:rsid w:val="1D501492"/>
    <w:rsid w:val="1D6A673C"/>
    <w:rsid w:val="1D9247AE"/>
    <w:rsid w:val="1DB567EC"/>
    <w:rsid w:val="1DEC22C4"/>
    <w:rsid w:val="1DF51A98"/>
    <w:rsid w:val="1E3D060F"/>
    <w:rsid w:val="1E3F7D2E"/>
    <w:rsid w:val="1E4134E4"/>
    <w:rsid w:val="1E5062B3"/>
    <w:rsid w:val="1E523514"/>
    <w:rsid w:val="1E714A66"/>
    <w:rsid w:val="1E730E11"/>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3D3B00"/>
    <w:rsid w:val="216133FC"/>
    <w:rsid w:val="218944CA"/>
    <w:rsid w:val="21D56769"/>
    <w:rsid w:val="21D62C50"/>
    <w:rsid w:val="21E52EF3"/>
    <w:rsid w:val="21FB5D7B"/>
    <w:rsid w:val="220B1C3D"/>
    <w:rsid w:val="221D1D20"/>
    <w:rsid w:val="2228068D"/>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54F52B1"/>
    <w:rsid w:val="258B00E2"/>
    <w:rsid w:val="25A34E23"/>
    <w:rsid w:val="25A917A6"/>
    <w:rsid w:val="25BE27CC"/>
    <w:rsid w:val="25E92F53"/>
    <w:rsid w:val="25F74A5C"/>
    <w:rsid w:val="2628662C"/>
    <w:rsid w:val="262D45DE"/>
    <w:rsid w:val="263E20E5"/>
    <w:rsid w:val="266E6AE8"/>
    <w:rsid w:val="267E09C1"/>
    <w:rsid w:val="26871DC8"/>
    <w:rsid w:val="26A53EF9"/>
    <w:rsid w:val="26A6481F"/>
    <w:rsid w:val="26A94201"/>
    <w:rsid w:val="26AC274F"/>
    <w:rsid w:val="26F84502"/>
    <w:rsid w:val="270377E9"/>
    <w:rsid w:val="27044A29"/>
    <w:rsid w:val="271D34C8"/>
    <w:rsid w:val="2729764F"/>
    <w:rsid w:val="272F6449"/>
    <w:rsid w:val="274C4FBA"/>
    <w:rsid w:val="276142BF"/>
    <w:rsid w:val="27783712"/>
    <w:rsid w:val="27907362"/>
    <w:rsid w:val="279B7084"/>
    <w:rsid w:val="27A02A0E"/>
    <w:rsid w:val="282D0BDB"/>
    <w:rsid w:val="28333E1D"/>
    <w:rsid w:val="28454BD6"/>
    <w:rsid w:val="28455253"/>
    <w:rsid w:val="28551971"/>
    <w:rsid w:val="285B1C53"/>
    <w:rsid w:val="289F7086"/>
    <w:rsid w:val="28C32028"/>
    <w:rsid w:val="28CC490F"/>
    <w:rsid w:val="28DE40AA"/>
    <w:rsid w:val="29345E77"/>
    <w:rsid w:val="29453CBE"/>
    <w:rsid w:val="294C65AD"/>
    <w:rsid w:val="294E3480"/>
    <w:rsid w:val="29806583"/>
    <w:rsid w:val="298B3C4C"/>
    <w:rsid w:val="29947C0A"/>
    <w:rsid w:val="29F26D24"/>
    <w:rsid w:val="2A15033F"/>
    <w:rsid w:val="2A1662C1"/>
    <w:rsid w:val="2A1C7367"/>
    <w:rsid w:val="2A2815FA"/>
    <w:rsid w:val="2A6D6092"/>
    <w:rsid w:val="2A7D76B4"/>
    <w:rsid w:val="2A830ABD"/>
    <w:rsid w:val="2AD8021A"/>
    <w:rsid w:val="2AEE1B3B"/>
    <w:rsid w:val="2AF47F2E"/>
    <w:rsid w:val="2B437463"/>
    <w:rsid w:val="2B7807EE"/>
    <w:rsid w:val="2B8C47CE"/>
    <w:rsid w:val="2BA50BF7"/>
    <w:rsid w:val="2BBF00EC"/>
    <w:rsid w:val="2BC37CFD"/>
    <w:rsid w:val="2BD5237F"/>
    <w:rsid w:val="2BE536CE"/>
    <w:rsid w:val="2BE758D9"/>
    <w:rsid w:val="2BEA7DD3"/>
    <w:rsid w:val="2C09049E"/>
    <w:rsid w:val="2C0A653C"/>
    <w:rsid w:val="2C191F85"/>
    <w:rsid w:val="2C37616F"/>
    <w:rsid w:val="2C8C4873"/>
    <w:rsid w:val="2C994A93"/>
    <w:rsid w:val="2CE82D6F"/>
    <w:rsid w:val="2D2216DE"/>
    <w:rsid w:val="2D343236"/>
    <w:rsid w:val="2D956040"/>
    <w:rsid w:val="2DC53663"/>
    <w:rsid w:val="2DD15014"/>
    <w:rsid w:val="2DF72DE4"/>
    <w:rsid w:val="2E0220AF"/>
    <w:rsid w:val="2E4B082A"/>
    <w:rsid w:val="2E5D4E86"/>
    <w:rsid w:val="2E5D790B"/>
    <w:rsid w:val="2E776A61"/>
    <w:rsid w:val="2E9A143D"/>
    <w:rsid w:val="2E9A3C18"/>
    <w:rsid w:val="2EBB0FEE"/>
    <w:rsid w:val="2EC63002"/>
    <w:rsid w:val="2ECB46DA"/>
    <w:rsid w:val="2F064D1A"/>
    <w:rsid w:val="2F0A6B38"/>
    <w:rsid w:val="2F0E78D3"/>
    <w:rsid w:val="2F32435C"/>
    <w:rsid w:val="2F946CCB"/>
    <w:rsid w:val="2FD25781"/>
    <w:rsid w:val="2FDE33BA"/>
    <w:rsid w:val="2FF346DE"/>
    <w:rsid w:val="2FFB7730"/>
    <w:rsid w:val="2FFD7934"/>
    <w:rsid w:val="30201A01"/>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7C2"/>
    <w:rsid w:val="33263B3F"/>
    <w:rsid w:val="336963EB"/>
    <w:rsid w:val="33816EEB"/>
    <w:rsid w:val="338863E7"/>
    <w:rsid w:val="33EB55CD"/>
    <w:rsid w:val="33EC4C02"/>
    <w:rsid w:val="340D2360"/>
    <w:rsid w:val="3410665D"/>
    <w:rsid w:val="34211214"/>
    <w:rsid w:val="342E63AB"/>
    <w:rsid w:val="34433534"/>
    <w:rsid w:val="3466782F"/>
    <w:rsid w:val="347B5D1E"/>
    <w:rsid w:val="34950E68"/>
    <w:rsid w:val="34986E94"/>
    <w:rsid w:val="34AF62C9"/>
    <w:rsid w:val="34CB4388"/>
    <w:rsid w:val="34DC2C0A"/>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56404C"/>
    <w:rsid w:val="376A0174"/>
    <w:rsid w:val="378C13F6"/>
    <w:rsid w:val="37BD1A5A"/>
    <w:rsid w:val="37E16E9C"/>
    <w:rsid w:val="37EE7094"/>
    <w:rsid w:val="38296C89"/>
    <w:rsid w:val="383002EB"/>
    <w:rsid w:val="38586797"/>
    <w:rsid w:val="388843DC"/>
    <w:rsid w:val="38BC0149"/>
    <w:rsid w:val="38D87D1C"/>
    <w:rsid w:val="38DE6D4B"/>
    <w:rsid w:val="39066466"/>
    <w:rsid w:val="391F535F"/>
    <w:rsid w:val="392E73EA"/>
    <w:rsid w:val="39636459"/>
    <w:rsid w:val="396B7F6C"/>
    <w:rsid w:val="399C14F7"/>
    <w:rsid w:val="39B417A9"/>
    <w:rsid w:val="39F5707E"/>
    <w:rsid w:val="39FC5695"/>
    <w:rsid w:val="3A006D8E"/>
    <w:rsid w:val="3A3651E5"/>
    <w:rsid w:val="3A4E2342"/>
    <w:rsid w:val="3A744481"/>
    <w:rsid w:val="3A8C7BEF"/>
    <w:rsid w:val="3A906246"/>
    <w:rsid w:val="3ACA115A"/>
    <w:rsid w:val="3B2349B7"/>
    <w:rsid w:val="3B4677B8"/>
    <w:rsid w:val="3B616CFF"/>
    <w:rsid w:val="3B6259F6"/>
    <w:rsid w:val="3B894B0B"/>
    <w:rsid w:val="3B976654"/>
    <w:rsid w:val="3B9B68EE"/>
    <w:rsid w:val="3B9C11DA"/>
    <w:rsid w:val="3BC01EFC"/>
    <w:rsid w:val="3BC52CC1"/>
    <w:rsid w:val="3BCA786A"/>
    <w:rsid w:val="3BD06659"/>
    <w:rsid w:val="3BD31E2F"/>
    <w:rsid w:val="3BF15831"/>
    <w:rsid w:val="3C105946"/>
    <w:rsid w:val="3C3A44D8"/>
    <w:rsid w:val="3C471448"/>
    <w:rsid w:val="3C54677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19356B"/>
    <w:rsid w:val="401E1828"/>
    <w:rsid w:val="40592157"/>
    <w:rsid w:val="406E1CAE"/>
    <w:rsid w:val="40937DD1"/>
    <w:rsid w:val="40A0133A"/>
    <w:rsid w:val="40C31A53"/>
    <w:rsid w:val="40F33AA5"/>
    <w:rsid w:val="40F92A66"/>
    <w:rsid w:val="40FF545D"/>
    <w:rsid w:val="410067C8"/>
    <w:rsid w:val="413C45E3"/>
    <w:rsid w:val="4147433B"/>
    <w:rsid w:val="418F0D2A"/>
    <w:rsid w:val="419500D6"/>
    <w:rsid w:val="41D01505"/>
    <w:rsid w:val="41F523D0"/>
    <w:rsid w:val="4238518B"/>
    <w:rsid w:val="42474939"/>
    <w:rsid w:val="424C3C57"/>
    <w:rsid w:val="42613FF3"/>
    <w:rsid w:val="42660D96"/>
    <w:rsid w:val="428667D2"/>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791209"/>
    <w:rsid w:val="467D2A7C"/>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377BC"/>
    <w:rsid w:val="4B707271"/>
    <w:rsid w:val="4B9739F7"/>
    <w:rsid w:val="4B974368"/>
    <w:rsid w:val="4B9A6B21"/>
    <w:rsid w:val="4B9C1FA2"/>
    <w:rsid w:val="4BE96C25"/>
    <w:rsid w:val="4BEE2503"/>
    <w:rsid w:val="4BF80D38"/>
    <w:rsid w:val="4C245A30"/>
    <w:rsid w:val="4C5D53ED"/>
    <w:rsid w:val="4C676029"/>
    <w:rsid w:val="4CAF7256"/>
    <w:rsid w:val="4CB6685F"/>
    <w:rsid w:val="4CC367FE"/>
    <w:rsid w:val="4D077F3C"/>
    <w:rsid w:val="4D123355"/>
    <w:rsid w:val="4D2A3B31"/>
    <w:rsid w:val="4D312C52"/>
    <w:rsid w:val="4D4B0F25"/>
    <w:rsid w:val="4D905305"/>
    <w:rsid w:val="4D964A72"/>
    <w:rsid w:val="4D9C1254"/>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707CB0"/>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8F5C1B"/>
    <w:rsid w:val="53960CB2"/>
    <w:rsid w:val="5397158E"/>
    <w:rsid w:val="53D42C20"/>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1C1BE8"/>
    <w:rsid w:val="566B6D1E"/>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A85BE2"/>
    <w:rsid w:val="5AAD6F28"/>
    <w:rsid w:val="5AD63A24"/>
    <w:rsid w:val="5AE51FB6"/>
    <w:rsid w:val="5B2E1A1D"/>
    <w:rsid w:val="5B7C3583"/>
    <w:rsid w:val="5B843A1C"/>
    <w:rsid w:val="5B873E3F"/>
    <w:rsid w:val="5C014087"/>
    <w:rsid w:val="5C02690E"/>
    <w:rsid w:val="5C196DA7"/>
    <w:rsid w:val="5C2A048C"/>
    <w:rsid w:val="5C35640B"/>
    <w:rsid w:val="5C7422AE"/>
    <w:rsid w:val="5C80234E"/>
    <w:rsid w:val="5C8A680C"/>
    <w:rsid w:val="5CE45C2B"/>
    <w:rsid w:val="5CEB387F"/>
    <w:rsid w:val="5D0C4701"/>
    <w:rsid w:val="5D0F0395"/>
    <w:rsid w:val="5D221076"/>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640050"/>
    <w:rsid w:val="5E74631F"/>
    <w:rsid w:val="5E765627"/>
    <w:rsid w:val="5E7A0F3F"/>
    <w:rsid w:val="5E866777"/>
    <w:rsid w:val="5EC869A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F2AC4"/>
    <w:rsid w:val="60C413D5"/>
    <w:rsid w:val="60FA2EE8"/>
    <w:rsid w:val="61054A27"/>
    <w:rsid w:val="610A52BC"/>
    <w:rsid w:val="611D2366"/>
    <w:rsid w:val="61421856"/>
    <w:rsid w:val="615227C4"/>
    <w:rsid w:val="615C33BC"/>
    <w:rsid w:val="61654E3F"/>
    <w:rsid w:val="6182292A"/>
    <w:rsid w:val="618B5F69"/>
    <w:rsid w:val="61985864"/>
    <w:rsid w:val="619F7F92"/>
    <w:rsid w:val="61BB155E"/>
    <w:rsid w:val="61BD2EFD"/>
    <w:rsid w:val="61F94C26"/>
    <w:rsid w:val="62000E56"/>
    <w:rsid w:val="62244584"/>
    <w:rsid w:val="624F3E49"/>
    <w:rsid w:val="62632286"/>
    <w:rsid w:val="62775066"/>
    <w:rsid w:val="62885958"/>
    <w:rsid w:val="628903DB"/>
    <w:rsid w:val="62C860CC"/>
    <w:rsid w:val="62DE35CC"/>
    <w:rsid w:val="62F40B65"/>
    <w:rsid w:val="62FC2CFE"/>
    <w:rsid w:val="63024505"/>
    <w:rsid w:val="63540CCD"/>
    <w:rsid w:val="635B1DB5"/>
    <w:rsid w:val="63711FED"/>
    <w:rsid w:val="63880DDC"/>
    <w:rsid w:val="63885935"/>
    <w:rsid w:val="638D750D"/>
    <w:rsid w:val="63AC52D2"/>
    <w:rsid w:val="63AC6CC0"/>
    <w:rsid w:val="63B048E8"/>
    <w:rsid w:val="64043733"/>
    <w:rsid w:val="64055776"/>
    <w:rsid w:val="640B4702"/>
    <w:rsid w:val="64175397"/>
    <w:rsid w:val="64240056"/>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F3F24"/>
    <w:rsid w:val="673E055F"/>
    <w:rsid w:val="67551CE3"/>
    <w:rsid w:val="67A22552"/>
    <w:rsid w:val="67A530AB"/>
    <w:rsid w:val="67B22DCC"/>
    <w:rsid w:val="67BE71AA"/>
    <w:rsid w:val="67D90273"/>
    <w:rsid w:val="67DE5875"/>
    <w:rsid w:val="67E55852"/>
    <w:rsid w:val="67EB1AB4"/>
    <w:rsid w:val="67F83169"/>
    <w:rsid w:val="67FA1285"/>
    <w:rsid w:val="68551F4F"/>
    <w:rsid w:val="68647B92"/>
    <w:rsid w:val="687C10C9"/>
    <w:rsid w:val="68840C16"/>
    <w:rsid w:val="68876EFB"/>
    <w:rsid w:val="68884654"/>
    <w:rsid w:val="689F444F"/>
    <w:rsid w:val="68B96DBB"/>
    <w:rsid w:val="68CA2805"/>
    <w:rsid w:val="68E85AE5"/>
    <w:rsid w:val="68E937A3"/>
    <w:rsid w:val="693E15D3"/>
    <w:rsid w:val="69627681"/>
    <w:rsid w:val="6977531D"/>
    <w:rsid w:val="69B51747"/>
    <w:rsid w:val="69BD5BBB"/>
    <w:rsid w:val="69CC2BFF"/>
    <w:rsid w:val="69D327F2"/>
    <w:rsid w:val="69FD55B8"/>
    <w:rsid w:val="6A0B1C62"/>
    <w:rsid w:val="6A0C584D"/>
    <w:rsid w:val="6A0D3F4C"/>
    <w:rsid w:val="6A2406C8"/>
    <w:rsid w:val="6A4B328A"/>
    <w:rsid w:val="6A4B36BE"/>
    <w:rsid w:val="6A8F2B46"/>
    <w:rsid w:val="6AB20DE6"/>
    <w:rsid w:val="6ABA3454"/>
    <w:rsid w:val="6AC37983"/>
    <w:rsid w:val="6ADC5EF8"/>
    <w:rsid w:val="6ADE0BD1"/>
    <w:rsid w:val="6AE96859"/>
    <w:rsid w:val="6B147746"/>
    <w:rsid w:val="6B24787C"/>
    <w:rsid w:val="6B573233"/>
    <w:rsid w:val="6B5B6274"/>
    <w:rsid w:val="6B694FD4"/>
    <w:rsid w:val="6B710BD6"/>
    <w:rsid w:val="6B935D53"/>
    <w:rsid w:val="6C196F71"/>
    <w:rsid w:val="6C226FCB"/>
    <w:rsid w:val="6C31226F"/>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51CA3"/>
    <w:rsid w:val="6E8335BD"/>
    <w:rsid w:val="6E8E12EF"/>
    <w:rsid w:val="6E9045AA"/>
    <w:rsid w:val="6E972936"/>
    <w:rsid w:val="6EB74327"/>
    <w:rsid w:val="6EC91D52"/>
    <w:rsid w:val="6ED446C5"/>
    <w:rsid w:val="6EDD6C63"/>
    <w:rsid w:val="6F184A18"/>
    <w:rsid w:val="6F2A7D94"/>
    <w:rsid w:val="6F802313"/>
    <w:rsid w:val="6F8331F1"/>
    <w:rsid w:val="6FAE1A09"/>
    <w:rsid w:val="6FD75BF8"/>
    <w:rsid w:val="6FEF3B3E"/>
    <w:rsid w:val="707723D0"/>
    <w:rsid w:val="70DB77AC"/>
    <w:rsid w:val="70F5661B"/>
    <w:rsid w:val="70FF0D7D"/>
    <w:rsid w:val="71360107"/>
    <w:rsid w:val="713B688E"/>
    <w:rsid w:val="7183561A"/>
    <w:rsid w:val="71BE6408"/>
    <w:rsid w:val="71D43752"/>
    <w:rsid w:val="71D7083C"/>
    <w:rsid w:val="71F1796A"/>
    <w:rsid w:val="720846CC"/>
    <w:rsid w:val="72154626"/>
    <w:rsid w:val="72202699"/>
    <w:rsid w:val="72262B5D"/>
    <w:rsid w:val="72283FF7"/>
    <w:rsid w:val="722E7212"/>
    <w:rsid w:val="723A0474"/>
    <w:rsid w:val="725923E4"/>
    <w:rsid w:val="72864BF7"/>
    <w:rsid w:val="729023FC"/>
    <w:rsid w:val="730602E4"/>
    <w:rsid w:val="733470C6"/>
    <w:rsid w:val="73533CC2"/>
    <w:rsid w:val="736D2DF9"/>
    <w:rsid w:val="73C0646E"/>
    <w:rsid w:val="742222F5"/>
    <w:rsid w:val="742348D0"/>
    <w:rsid w:val="74476126"/>
    <w:rsid w:val="74624977"/>
    <w:rsid w:val="74706664"/>
    <w:rsid w:val="7475702A"/>
    <w:rsid w:val="747F3682"/>
    <w:rsid w:val="749C4185"/>
    <w:rsid w:val="74A73931"/>
    <w:rsid w:val="74BE006A"/>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7A1A4E"/>
    <w:rsid w:val="76826699"/>
    <w:rsid w:val="7688753D"/>
    <w:rsid w:val="76C87133"/>
    <w:rsid w:val="76CD08D5"/>
    <w:rsid w:val="76DB4B92"/>
    <w:rsid w:val="76F47BD4"/>
    <w:rsid w:val="76FF4961"/>
    <w:rsid w:val="77052AA4"/>
    <w:rsid w:val="77136511"/>
    <w:rsid w:val="77340A39"/>
    <w:rsid w:val="77351FD0"/>
    <w:rsid w:val="77472422"/>
    <w:rsid w:val="777F31F2"/>
    <w:rsid w:val="77BC4C63"/>
    <w:rsid w:val="77D1700D"/>
    <w:rsid w:val="77E4568D"/>
    <w:rsid w:val="77EC04CC"/>
    <w:rsid w:val="78006A23"/>
    <w:rsid w:val="78775729"/>
    <w:rsid w:val="78873D6E"/>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E27788"/>
    <w:rsid w:val="7CEE3F95"/>
    <w:rsid w:val="7D0357E5"/>
    <w:rsid w:val="7D0C32F1"/>
    <w:rsid w:val="7D0F408D"/>
    <w:rsid w:val="7D491C6C"/>
    <w:rsid w:val="7D5429C0"/>
    <w:rsid w:val="7D6E6D43"/>
    <w:rsid w:val="7D7069D2"/>
    <w:rsid w:val="7D894AA5"/>
    <w:rsid w:val="7D8E125C"/>
    <w:rsid w:val="7DAD6DD7"/>
    <w:rsid w:val="7DB57A34"/>
    <w:rsid w:val="7DDB10A1"/>
    <w:rsid w:val="7DE60973"/>
    <w:rsid w:val="7DEF0916"/>
    <w:rsid w:val="7E1E5218"/>
    <w:rsid w:val="7E7514D4"/>
    <w:rsid w:val="7E8C6E9B"/>
    <w:rsid w:val="7E9A4E1F"/>
    <w:rsid w:val="7EA7723A"/>
    <w:rsid w:val="7EB659FE"/>
    <w:rsid w:val="7EBC6AFC"/>
    <w:rsid w:val="7EF56FBB"/>
    <w:rsid w:val="7EFC38CE"/>
    <w:rsid w:val="7F015C50"/>
    <w:rsid w:val="7F067E4D"/>
    <w:rsid w:val="7F0768EB"/>
    <w:rsid w:val="7F143BEC"/>
    <w:rsid w:val="7F6137FA"/>
    <w:rsid w:val="7F715AF2"/>
    <w:rsid w:val="7F793597"/>
    <w:rsid w:val="7F886E69"/>
    <w:rsid w:val="7FCF2D12"/>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4"/>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5"/>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qFormat/>
    <w:uiPriority w:val="0"/>
    <w:pPr>
      <w:ind w:left="2940"/>
    </w:p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4"/>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7"/>
    <w:qFormat/>
    <w:uiPriority w:val="0"/>
    <w:pPr>
      <w:shd w:val="clear" w:color="auto" w:fill="000080"/>
    </w:pPr>
  </w:style>
  <w:style w:type="paragraph" w:styleId="22">
    <w:name w:val="annotation text"/>
    <w:basedOn w:val="1"/>
    <w:link w:val="348"/>
    <w:qFormat/>
    <w:uiPriority w:val="99"/>
    <w:pPr>
      <w:jc w:val="left"/>
    </w:pPr>
  </w:style>
  <w:style w:type="paragraph" w:styleId="23">
    <w:name w:val="Salutation"/>
    <w:basedOn w:val="1"/>
    <w:next w:val="1"/>
    <w:link w:val="302"/>
    <w:qFormat/>
    <w:uiPriority w:val="0"/>
    <w:rPr>
      <w:rFonts w:ascii="仿宋_GB2312" w:eastAsia="仿宋_GB2312"/>
      <w:sz w:val="28"/>
      <w:szCs w:val="20"/>
    </w:rPr>
  </w:style>
  <w:style w:type="paragraph" w:styleId="24">
    <w:name w:val="Body Text 3"/>
    <w:basedOn w:val="1"/>
    <w:link w:val="33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9"/>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0"/>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6"/>
    <w:qFormat/>
    <w:uiPriority w:val="0"/>
    <w:pPr>
      <w:ind w:left="100" w:leftChars="2500"/>
    </w:pPr>
    <w:rPr>
      <w:rFonts w:ascii="宋体"/>
      <w:sz w:val="24"/>
      <w:szCs w:val="21"/>
      <w:lang w:val="zh-CN"/>
    </w:rPr>
  </w:style>
  <w:style w:type="paragraph" w:styleId="39">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5"/>
    <w:qFormat/>
    <w:uiPriority w:val="0"/>
    <w:rPr>
      <w:lang w:val="zh-CN"/>
    </w:rPr>
  </w:style>
  <w:style w:type="paragraph" w:styleId="41">
    <w:name w:val="Balloon Text"/>
    <w:basedOn w:val="1"/>
    <w:link w:val="193"/>
    <w:qFormat/>
    <w:uiPriority w:val="0"/>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4"/>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6"/>
    <w:qFormat/>
    <w:uiPriority w:val="0"/>
    <w:pPr>
      <w:spacing w:after="120" w:line="480" w:lineRule="auto"/>
    </w:pPr>
  </w:style>
  <w:style w:type="paragraph" w:styleId="59">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1"/>
    <w:qFormat/>
    <w:uiPriority w:val="0"/>
    <w:rPr>
      <w:b/>
      <w:bCs/>
    </w:rPr>
  </w:style>
  <w:style w:type="paragraph" w:styleId="63">
    <w:name w:val="Body Text First Indent 2"/>
    <w:basedOn w:val="26"/>
    <w:next w:val="1"/>
    <w:link w:val="12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首行缩进1"/>
    <w:basedOn w:val="2"/>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2">
    <w:name w:val="Default"/>
    <w:next w:val="83"/>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4">
    <w:name w:val="[Normal]"/>
    <w:qFormat/>
    <w:uiPriority w:val="0"/>
    <w:rPr>
      <w:rFonts w:ascii="宋体" w:hAnsi="宋体" w:eastAsia="宋体" w:cs="Times New Roman"/>
      <w:sz w:val="24"/>
      <w:lang w:val="zh-CN" w:eastAsia="zh-CN" w:bidi="ar-SA"/>
    </w:rPr>
  </w:style>
  <w:style w:type="paragraph" w:styleId="85">
    <w:name w:val="List Paragraph"/>
    <w:basedOn w:val="1"/>
    <w:qFormat/>
    <w:uiPriority w:val="34"/>
    <w:pPr>
      <w:spacing w:line="360" w:lineRule="auto"/>
      <w:ind w:firstLine="200" w:firstLineChars="200"/>
    </w:pPr>
    <w:rPr>
      <w:rFonts w:eastAsia="楷体_GB2312" w:cs="Lucida Sans"/>
      <w:sz w:val="24"/>
    </w:rPr>
  </w:style>
  <w:style w:type="paragraph" w:customStyle="1" w:styleId="86">
    <w:name w:val="正文文本首行缩进 21"/>
    <w:basedOn w:val="26"/>
    <w:qFormat/>
    <w:uiPriority w:val="99"/>
    <w:pPr>
      <w:spacing w:line="200" w:lineRule="atLeast"/>
      <w:ind w:firstLine="420"/>
    </w:pPr>
    <w:rPr>
      <w:rFonts w:hAnsi="Courier New"/>
      <w:spacing w:val="-4"/>
      <w:sz w:val="1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3"/>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1"/>
    <w:qFormat/>
    <w:uiPriority w:val="0"/>
    <w:rPr>
      <w:rFonts w:ascii="Arial" w:hAnsi="Arial" w:eastAsia="黑体" w:cs="Arial"/>
      <w:snapToGrid w:val="0"/>
      <w:kern w:val="0"/>
      <w:szCs w:val="21"/>
    </w:rPr>
  </w:style>
  <w:style w:type="character" w:customStyle="1" w:styleId="130">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9"/>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9"/>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5"/>
    <w:link w:val="175"/>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8"/>
    <w:qFormat/>
    <w:uiPriority w:val="0"/>
    <w:rPr>
      <w:rFonts w:ascii="宋体"/>
      <w:kern w:val="2"/>
      <w:sz w:val="24"/>
      <w:szCs w:val="21"/>
      <w:lang w:val="zh-CN"/>
    </w:rPr>
  </w:style>
  <w:style w:type="character" w:customStyle="1" w:styleId="187">
    <w:name w:val="标题 9 Char"/>
    <w:link w:val="12"/>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1"/>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8"/>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1"/>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1"/>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2"/>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7"/>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9"/>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2"/>
    <w:qFormat/>
    <w:uiPriority w:val="0"/>
    <w:rPr>
      <w:rFonts w:ascii="仿宋_GB2312" w:eastAsia="仿宋_GB2312" w:cs="仿宋_GB2312"/>
      <w:color w:val="000000"/>
      <w:sz w:val="24"/>
      <w:szCs w:val="24"/>
      <w:lang w:val="en-US" w:eastAsia="zh-CN" w:bidi="ar-SA"/>
    </w:rPr>
  </w:style>
  <w:style w:type="paragraph" w:customStyle="1" w:styleId="2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5"/>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4"/>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8"/>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3"/>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9"/>
    <w:qFormat/>
    <w:uiPriority w:val="0"/>
    <w:rPr>
      <w:rFonts w:ascii="黑体" w:hAnsi="Courier New" w:eastAsia="黑体"/>
    </w:rPr>
  </w:style>
  <w:style w:type="character" w:customStyle="1" w:styleId="306">
    <w:name w:val="正文文本 2 Char1"/>
    <w:link w:val="58"/>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0"/>
    <w:qFormat/>
    <w:uiPriority w:val="0"/>
    <w:rPr>
      <w:b/>
      <w:bCs/>
      <w:kern w:val="2"/>
      <w:sz w:val="24"/>
      <w:szCs w:val="24"/>
    </w:rPr>
  </w:style>
  <w:style w:type="character" w:customStyle="1" w:styleId="312">
    <w:name w:val="正文文本缩进 2 Char"/>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3"/>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4"/>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2"/>
    <w:qFormat/>
    <w:uiPriority w:val="0"/>
    <w:rPr>
      <w:kern w:val="2"/>
      <w:sz w:val="21"/>
      <w:szCs w:val="24"/>
    </w:rPr>
  </w:style>
  <w:style w:type="character" w:customStyle="1" w:styleId="349">
    <w:name w:val="签名 Char"/>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1"/>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3"/>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8"/>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7"/>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8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5"/>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8"/>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next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2"/>
    <w:next w:val="82"/>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2"/>
    <w:next w:val="82"/>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5"/>
    <w:next w:val="1"/>
    <w:qFormat/>
    <w:uiPriority w:val="0"/>
    <w:pPr>
      <w:tabs>
        <w:tab w:val="left" w:pos="578"/>
        <w:tab w:val="left" w:pos="900"/>
        <w:tab w:val="left" w:pos="1440"/>
      </w:tabs>
      <w:ind w:left="1440" w:hanging="360"/>
    </w:pPr>
    <w:rPr>
      <w:rFonts w:ascii="仿宋" w:eastAsia="仿宋" w:cs="宋体"/>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4"/>
    <w:qFormat/>
    <w:uiPriority w:val="0"/>
    <w:pPr>
      <w:tabs>
        <w:tab w:val="left" w:pos="840"/>
      </w:tabs>
      <w:adjustRightInd/>
      <w:ind w:left="840" w:hanging="420"/>
    </w:pPr>
  </w:style>
  <w:style w:type="paragraph" w:customStyle="1" w:styleId="63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7"/>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1"/>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85"/>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2"/>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qFormat/>
    <w:uiPriority w:val="0"/>
    <w:rPr>
      <w:b w:val="0"/>
      <w:sz w:val="20"/>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0"/>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5"/>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character" w:customStyle="1" w:styleId="968">
    <w:name w:val="font101"/>
    <w:basedOn w:val="71"/>
    <w:qFormat/>
    <w:uiPriority w:val="0"/>
    <w:rPr>
      <w:rFonts w:hint="eastAsia" w:ascii="宋体" w:hAnsi="宋体" w:eastAsia="宋体" w:cs="宋体"/>
      <w:color w:val="FF0000"/>
      <w:sz w:val="20"/>
      <w:szCs w:val="20"/>
      <w:u w:val="none"/>
    </w:rPr>
  </w:style>
  <w:style w:type="paragraph" w:customStyle="1" w:styleId="969">
    <w:name w:val="封面编号"/>
    <w:basedOn w:val="1"/>
    <w:qFormat/>
    <w:uiPriority w:val="0"/>
    <w:pPr>
      <w:spacing w:line="360" w:lineRule="auto"/>
      <w:jc w:val="center"/>
    </w:pPr>
    <w:rPr>
      <w:rFonts w:ascii="黑体" w:hAnsi="宋体" w:eastAsia="黑体" w:cs="宋体"/>
      <w:b/>
      <w:bCs/>
      <w:sz w:val="38"/>
      <w:szCs w:val="20"/>
    </w:rPr>
  </w:style>
  <w:style w:type="table" w:customStyle="1" w:styleId="970">
    <w:name w:val="Table Normal"/>
    <w:semiHidden/>
    <w:unhideWhenUsed/>
    <w:qFormat/>
    <w:uiPriority w:val="0"/>
    <w:tblPr>
      <w:tblCellMar>
        <w:top w:w="0" w:type="dxa"/>
        <w:left w:w="0" w:type="dxa"/>
        <w:bottom w:w="0" w:type="dxa"/>
        <w:right w:w="0" w:type="dxa"/>
      </w:tblCellMar>
    </w:tblPr>
  </w:style>
  <w:style w:type="character" w:customStyle="1" w:styleId="971">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44</Pages>
  <Words>17721</Words>
  <Characters>19124</Characters>
  <Lines>293</Lines>
  <Paragraphs>82</Paragraphs>
  <TotalTime>11</TotalTime>
  <ScaleCrop>false</ScaleCrop>
  <LinksUpToDate>false</LinksUpToDate>
  <CharactersWithSpaces>22555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2021-12-27T03:06:00Z</cp:lastPrinted>
  <dcterms:modified xsi:type="dcterms:W3CDTF">2024-05-30T07:44:39Z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51AE9D41C67A4664867F06AA8AF7AC26_13</vt:lpwstr>
  </property>
  <property fmtid="{D5CDD505-2E9C-101B-9397-08002B2CF9AE}" pid="5" name="commondata">
    <vt:lpwstr>eyJoZGlkIjoiMzdkYTNjODAzOWEyZTBjZWI2OWE0Y2U2MTNhOGNiNmUifQ==</vt:lpwstr>
  </property>
</Properties>
</file>