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7"/>
        <w:tblW w:w="98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7"/>
      </w:tblGrid>
      <w:tr w14:paraId="1739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0" w:hRule="atLeast"/>
        </w:trPr>
        <w:tc>
          <w:tcPr>
            <w:tcW w:w="9827" w:type="dxa"/>
          </w:tcPr>
          <w:p w14:paraId="2F75B82F">
            <w:pPr>
              <w:spacing w:line="460" w:lineRule="atLeast"/>
              <w:jc w:val="center"/>
              <w:rPr>
                <w:rFonts w:hint="eastAsia" w:ascii="宋体" w:hAnsi="宋体" w:eastAsia="宋体" w:cs="宋体"/>
                <w:b/>
                <w:color w:val="auto"/>
                <w:sz w:val="36"/>
                <w:highlight w:val="none"/>
              </w:rPr>
            </w:pPr>
          </w:p>
          <w:p w14:paraId="2C8D8260">
            <w:pPr>
              <w:spacing w:line="460" w:lineRule="atLeast"/>
              <w:jc w:val="center"/>
              <w:rPr>
                <w:rFonts w:hint="eastAsia" w:ascii="宋体" w:hAnsi="宋体" w:eastAsia="宋体" w:cs="宋体"/>
                <w:b/>
                <w:color w:val="auto"/>
                <w:sz w:val="36"/>
                <w:highlight w:val="none"/>
              </w:rPr>
            </w:pPr>
          </w:p>
          <w:p w14:paraId="0AE05485">
            <w:pPr>
              <w:spacing w:line="460" w:lineRule="atLeast"/>
              <w:jc w:val="center"/>
              <w:rPr>
                <w:rFonts w:hint="eastAsia" w:ascii="宋体" w:hAnsi="宋体" w:eastAsia="宋体" w:cs="宋体"/>
                <w:b/>
                <w:color w:val="auto"/>
                <w:sz w:val="66"/>
                <w:szCs w:val="66"/>
                <w:highlight w:val="none"/>
              </w:rPr>
            </w:pPr>
            <w:r>
              <w:rPr>
                <w:rFonts w:hint="eastAsia" w:ascii="宋体" w:hAnsi="宋体" w:eastAsia="宋体" w:cs="宋体"/>
                <w:b/>
                <w:color w:val="auto"/>
                <w:sz w:val="66"/>
                <w:szCs w:val="66"/>
                <w:highlight w:val="none"/>
              </w:rPr>
              <w:t>乐清市中源建设咨询有限公司</w:t>
            </w:r>
          </w:p>
          <w:p w14:paraId="1FAA8BFA">
            <w:pPr>
              <w:spacing w:line="460" w:lineRule="atLeast"/>
              <w:jc w:val="center"/>
              <w:rPr>
                <w:rFonts w:hint="eastAsia" w:ascii="宋体" w:hAnsi="宋体" w:eastAsia="宋体" w:cs="宋体"/>
                <w:b/>
                <w:color w:val="auto"/>
                <w:sz w:val="66"/>
                <w:szCs w:val="66"/>
                <w:highlight w:val="none"/>
              </w:rPr>
            </w:pPr>
            <w:r>
              <w:rPr>
                <w:rFonts w:hint="eastAsia" w:ascii="宋体" w:hAnsi="宋体" w:eastAsia="宋体" w:cs="宋体"/>
                <w:b/>
                <w:color w:val="auto"/>
                <w:sz w:val="66"/>
                <w:szCs w:val="66"/>
                <w:highlight w:val="none"/>
              </w:rPr>
              <w:t>竞争性磋商文件</w:t>
            </w:r>
          </w:p>
          <w:p w14:paraId="128B8984">
            <w:pPr>
              <w:spacing w:line="460" w:lineRule="atLeast"/>
              <w:jc w:val="center"/>
              <w:rPr>
                <w:rFonts w:hint="eastAsia" w:ascii="宋体" w:hAnsi="宋体" w:eastAsia="宋体" w:cs="宋体"/>
                <w:b/>
                <w:color w:val="auto"/>
                <w:sz w:val="66"/>
                <w:szCs w:val="66"/>
                <w:highlight w:val="none"/>
              </w:rPr>
            </w:pPr>
            <w:r>
              <w:rPr>
                <w:rFonts w:hint="eastAsia" w:ascii="宋体" w:hAnsi="宋体" w:eastAsia="宋体" w:cs="宋体"/>
                <w:b/>
                <w:color w:val="auto"/>
                <w:sz w:val="66"/>
                <w:szCs w:val="66"/>
                <w:highlight w:val="none"/>
              </w:rPr>
              <w:t>（线上电子招投标）</w:t>
            </w:r>
          </w:p>
          <w:p w14:paraId="08141E28">
            <w:pPr>
              <w:spacing w:line="460" w:lineRule="atLeast"/>
              <w:jc w:val="center"/>
              <w:rPr>
                <w:rFonts w:hint="eastAsia" w:ascii="宋体" w:hAnsi="宋体" w:eastAsia="宋体" w:cs="宋体"/>
                <w:b/>
                <w:color w:val="auto"/>
                <w:sz w:val="66"/>
                <w:szCs w:val="66"/>
                <w:highlight w:val="none"/>
              </w:rPr>
            </w:pPr>
          </w:p>
          <w:p w14:paraId="6F312C63">
            <w:pPr>
              <w:spacing w:line="460" w:lineRule="atLeast"/>
              <w:ind w:firstLine="2232" w:firstLineChars="741"/>
              <w:rPr>
                <w:rFonts w:hint="eastAsia" w:ascii="宋体" w:hAnsi="宋体" w:eastAsia="宋体" w:cs="宋体"/>
                <w:b/>
                <w:color w:val="auto"/>
                <w:sz w:val="30"/>
                <w:szCs w:val="30"/>
                <w:highlight w:val="none"/>
              </w:rPr>
            </w:pPr>
          </w:p>
          <w:p w14:paraId="74AFC223">
            <w:pPr>
              <w:spacing w:line="460" w:lineRule="atLeast"/>
              <w:ind w:firstLine="1876" w:firstLineChars="623"/>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乐清市人民医院电梯维保服务（第二次）</w:t>
            </w:r>
          </w:p>
          <w:p w14:paraId="4EDEFF58">
            <w:pPr>
              <w:spacing w:line="460" w:lineRule="atLeast"/>
              <w:ind w:firstLine="1876" w:firstLineChars="623"/>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采购编号：</w:t>
            </w:r>
            <w:r>
              <w:rPr>
                <w:rFonts w:hint="eastAsia" w:ascii="宋体" w:hAnsi="宋体" w:cs="宋体"/>
                <w:b/>
                <w:color w:val="auto"/>
                <w:sz w:val="30"/>
                <w:szCs w:val="30"/>
                <w:highlight w:val="none"/>
                <w:lang w:eastAsia="zh-CN"/>
              </w:rPr>
              <w:t>ZY202506C03</w:t>
            </w:r>
          </w:p>
          <w:p w14:paraId="62F0A5E8">
            <w:pPr>
              <w:spacing w:line="460" w:lineRule="atLeast"/>
              <w:jc w:val="center"/>
              <w:rPr>
                <w:rFonts w:hint="eastAsia" w:ascii="宋体" w:hAnsi="宋体" w:eastAsia="宋体" w:cs="宋体"/>
                <w:b/>
                <w:color w:val="auto"/>
                <w:sz w:val="28"/>
                <w:szCs w:val="30"/>
                <w:highlight w:val="none"/>
              </w:rPr>
            </w:pPr>
          </w:p>
          <w:p w14:paraId="0BB8FC61">
            <w:pPr>
              <w:spacing w:line="460" w:lineRule="atLeast"/>
              <w:jc w:val="center"/>
              <w:rPr>
                <w:rFonts w:hint="eastAsia" w:ascii="宋体" w:hAnsi="宋体" w:eastAsia="宋体" w:cs="宋体"/>
                <w:b/>
                <w:color w:val="auto"/>
                <w:sz w:val="30"/>
                <w:szCs w:val="30"/>
                <w:highlight w:val="none"/>
              </w:rPr>
            </w:pPr>
          </w:p>
          <w:p w14:paraId="516822BF">
            <w:pPr>
              <w:spacing w:line="460" w:lineRule="atLeast"/>
              <w:ind w:firstLine="1876" w:firstLineChars="62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 购 人：乐清市人民医院</w:t>
            </w:r>
          </w:p>
          <w:p w14:paraId="33D3D778">
            <w:pPr>
              <w:spacing w:line="460" w:lineRule="atLeast"/>
              <w:ind w:firstLine="1876" w:firstLineChars="62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 系 人：万先生</w:t>
            </w:r>
          </w:p>
          <w:p w14:paraId="5BACC6D1">
            <w:pPr>
              <w:spacing w:line="460" w:lineRule="atLeast"/>
              <w:ind w:firstLine="1876" w:firstLineChars="62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联系电话：0577-62061731</w:t>
            </w:r>
          </w:p>
          <w:p w14:paraId="4C957ADB">
            <w:pPr>
              <w:pStyle w:val="34"/>
              <w:rPr>
                <w:rFonts w:hint="eastAsia" w:ascii="宋体" w:hAnsi="宋体" w:eastAsia="宋体" w:cs="宋体"/>
                <w:color w:val="auto"/>
                <w:highlight w:val="none"/>
              </w:rPr>
            </w:pPr>
          </w:p>
          <w:p w14:paraId="77858E43">
            <w:pPr>
              <w:pStyle w:val="34"/>
              <w:rPr>
                <w:rFonts w:hint="eastAsia" w:ascii="宋体" w:hAnsi="宋体" w:eastAsia="宋体" w:cs="宋体"/>
                <w:color w:val="auto"/>
                <w:highlight w:val="none"/>
              </w:rPr>
            </w:pPr>
          </w:p>
          <w:p w14:paraId="01899A19">
            <w:pPr>
              <w:pStyle w:val="34"/>
              <w:rPr>
                <w:rFonts w:hint="eastAsia" w:ascii="宋体" w:hAnsi="宋体" w:eastAsia="宋体" w:cs="宋体"/>
                <w:color w:val="auto"/>
                <w:highlight w:val="none"/>
              </w:rPr>
            </w:pPr>
          </w:p>
          <w:p w14:paraId="483693F6">
            <w:pPr>
              <w:pStyle w:val="34"/>
              <w:rPr>
                <w:rFonts w:hint="eastAsia" w:ascii="宋体" w:hAnsi="宋体" w:eastAsia="宋体" w:cs="宋体"/>
                <w:color w:val="auto"/>
                <w:highlight w:val="none"/>
              </w:rPr>
            </w:pPr>
          </w:p>
          <w:p w14:paraId="77F19963">
            <w:pPr>
              <w:pStyle w:val="34"/>
              <w:rPr>
                <w:rFonts w:hint="eastAsia" w:ascii="宋体" w:hAnsi="宋体" w:eastAsia="宋体" w:cs="宋体"/>
                <w:color w:val="auto"/>
                <w:highlight w:val="none"/>
              </w:rPr>
            </w:pPr>
          </w:p>
          <w:p w14:paraId="4F758396">
            <w:pPr>
              <w:spacing w:line="460" w:lineRule="atLeast"/>
              <w:ind w:firstLine="1876" w:firstLineChars="62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采购代理机构：乐清市中源建设咨询有限公司</w:t>
            </w:r>
          </w:p>
          <w:p w14:paraId="7F58EA04">
            <w:pPr>
              <w:spacing w:line="460" w:lineRule="atLeast"/>
              <w:ind w:firstLine="1876" w:firstLineChars="62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 系 人：钱先生</w:t>
            </w:r>
          </w:p>
          <w:p w14:paraId="717044DC">
            <w:pPr>
              <w:spacing w:line="460" w:lineRule="atLeast"/>
              <w:ind w:firstLine="1876" w:firstLineChars="62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联系电话：0577-62570825</w:t>
            </w:r>
          </w:p>
          <w:p w14:paraId="506048B9">
            <w:pPr>
              <w:spacing w:line="460" w:lineRule="atLeast"/>
              <w:ind w:firstLine="1751" w:firstLineChars="623"/>
              <w:rPr>
                <w:rFonts w:hint="eastAsia" w:ascii="宋体" w:hAnsi="宋体" w:eastAsia="宋体" w:cs="宋体"/>
                <w:b/>
                <w:color w:val="auto"/>
                <w:sz w:val="28"/>
                <w:szCs w:val="28"/>
                <w:highlight w:val="none"/>
              </w:rPr>
            </w:pPr>
          </w:p>
          <w:p w14:paraId="545448C2">
            <w:pPr>
              <w:spacing w:line="460" w:lineRule="atLeast"/>
              <w:jc w:val="center"/>
              <w:rPr>
                <w:rFonts w:hint="eastAsia" w:ascii="宋体" w:hAnsi="宋体" w:eastAsia="宋体" w:cs="宋体"/>
                <w:b/>
                <w:color w:val="auto"/>
                <w:sz w:val="28"/>
                <w:szCs w:val="28"/>
                <w:highlight w:val="none"/>
              </w:rPr>
            </w:pPr>
          </w:p>
          <w:p w14:paraId="74096798">
            <w:pPr>
              <w:pStyle w:val="27"/>
              <w:spacing w:line="460" w:lineRule="atLeast"/>
              <w:ind w:left="0" w:leftChars="0"/>
              <w:jc w:val="center"/>
              <w:rPr>
                <w:rFonts w:hint="eastAsia" w:ascii="宋体" w:hAnsi="宋体" w:eastAsia="宋体" w:cs="宋体"/>
                <w:b/>
                <w:color w:val="auto"/>
                <w:sz w:val="28"/>
                <w:szCs w:val="28"/>
                <w:highlight w:val="none"/>
              </w:rPr>
            </w:pPr>
          </w:p>
          <w:p w14:paraId="6121EFCD">
            <w:pPr>
              <w:pStyle w:val="27"/>
              <w:spacing w:line="460" w:lineRule="atLeast"/>
              <w:ind w:left="0" w:leftChars="0"/>
              <w:jc w:val="center"/>
              <w:rPr>
                <w:rFonts w:hint="eastAsia" w:ascii="宋体" w:hAnsi="宋体" w:eastAsia="宋体" w:cs="宋体"/>
                <w:b/>
                <w:color w:val="auto"/>
                <w:sz w:val="84"/>
                <w:highlight w:val="none"/>
              </w:rPr>
            </w:pPr>
            <w:r>
              <w:rPr>
                <w:rFonts w:hint="eastAsia" w:ascii="宋体" w:hAnsi="宋体" w:eastAsia="宋体" w:cs="宋体"/>
                <w:b/>
                <w:color w:val="auto"/>
                <w:sz w:val="28"/>
                <w:szCs w:val="28"/>
                <w:highlight w:val="none"/>
              </w:rPr>
              <w:t>二○二五年</w:t>
            </w:r>
          </w:p>
        </w:tc>
      </w:tr>
    </w:tbl>
    <w:p w14:paraId="2575DD5D">
      <w:pPr>
        <w:autoSpaceDE w:val="0"/>
        <w:autoSpaceDN w:val="0"/>
        <w:adjustRightInd w:val="0"/>
        <w:spacing w:line="440" w:lineRule="atLeast"/>
        <w:jc w:val="center"/>
        <w:rPr>
          <w:rFonts w:hint="eastAsia" w:ascii="宋体" w:hAnsi="宋体" w:eastAsia="宋体" w:cs="宋体"/>
          <w:bCs/>
          <w:color w:val="auto"/>
          <w:highlight w:val="none"/>
          <w:lang w:val="zh-CN"/>
        </w:rPr>
      </w:pPr>
      <w:r>
        <w:rPr>
          <w:rFonts w:hint="eastAsia" w:ascii="宋体" w:hAnsi="宋体" w:eastAsia="宋体" w:cs="宋体"/>
          <w:bCs/>
          <w:color w:val="auto"/>
          <w:sz w:val="36"/>
          <w:szCs w:val="36"/>
          <w:highlight w:val="none"/>
          <w:lang w:val="zh-CN"/>
        </w:rPr>
        <w:t>竞争性磋商文件目录</w:t>
      </w:r>
    </w:p>
    <w:p w14:paraId="046D28D7">
      <w:pPr>
        <w:autoSpaceDE w:val="0"/>
        <w:autoSpaceDN w:val="0"/>
        <w:adjustRightInd w:val="0"/>
        <w:spacing w:line="460" w:lineRule="atLeast"/>
        <w:rPr>
          <w:rFonts w:hint="eastAsia" w:ascii="宋体" w:hAnsi="宋体" w:eastAsia="宋体" w:cs="宋体"/>
          <w:b/>
          <w:color w:val="auto"/>
          <w:sz w:val="24"/>
          <w:highlight w:val="none"/>
          <w:lang w:val="zh-CN"/>
        </w:rPr>
      </w:pPr>
    </w:p>
    <w:p w14:paraId="5F74D431">
      <w:pPr>
        <w:autoSpaceDE w:val="0"/>
        <w:autoSpaceDN w:val="0"/>
        <w:adjustRightInd w:val="0"/>
        <w:spacing w:line="560" w:lineRule="exact"/>
        <w:ind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竞争性磋商采购公告</w:t>
      </w:r>
    </w:p>
    <w:p w14:paraId="25AE43FC">
      <w:pPr>
        <w:autoSpaceDE w:val="0"/>
        <w:autoSpaceDN w:val="0"/>
        <w:adjustRightInd w:val="0"/>
        <w:spacing w:line="560" w:lineRule="exact"/>
        <w:ind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第一部分   磋商邀请函（供应商须知前附表）</w:t>
      </w:r>
    </w:p>
    <w:p w14:paraId="5B03503D">
      <w:pPr>
        <w:autoSpaceDE w:val="0"/>
        <w:autoSpaceDN w:val="0"/>
        <w:adjustRightInd w:val="0"/>
        <w:spacing w:line="560" w:lineRule="exact"/>
        <w:ind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第二部分   采购内容及要求</w:t>
      </w:r>
    </w:p>
    <w:p w14:paraId="46B74046">
      <w:pPr>
        <w:autoSpaceDE w:val="0"/>
        <w:autoSpaceDN w:val="0"/>
        <w:adjustRightInd w:val="0"/>
        <w:spacing w:line="560" w:lineRule="exact"/>
        <w:ind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第三部分   供应商须知</w:t>
      </w:r>
    </w:p>
    <w:p w14:paraId="0117EE83">
      <w:pPr>
        <w:autoSpaceDE w:val="0"/>
        <w:autoSpaceDN w:val="0"/>
        <w:adjustRightInd w:val="0"/>
        <w:spacing w:line="560" w:lineRule="exact"/>
        <w:ind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第四部分   政府采购政策功能相关说明</w:t>
      </w:r>
    </w:p>
    <w:p w14:paraId="4758B76C">
      <w:pPr>
        <w:autoSpaceDE w:val="0"/>
        <w:autoSpaceDN w:val="0"/>
        <w:adjustRightInd w:val="0"/>
        <w:spacing w:line="560" w:lineRule="exact"/>
        <w:ind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第五部分   合同格式</w:t>
      </w:r>
    </w:p>
    <w:p w14:paraId="493BFFA6">
      <w:pPr>
        <w:autoSpaceDE w:val="0"/>
        <w:autoSpaceDN w:val="0"/>
        <w:adjustRightInd w:val="0"/>
        <w:spacing w:line="560" w:lineRule="exact"/>
        <w:ind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第六部分   响应文件格式</w:t>
      </w:r>
    </w:p>
    <w:p w14:paraId="1F32CE6F">
      <w:pPr>
        <w:autoSpaceDE w:val="0"/>
        <w:autoSpaceDN w:val="0"/>
        <w:adjustRightInd w:val="0"/>
        <w:spacing w:line="560" w:lineRule="exact"/>
        <w:ind w:firstLine="840" w:firstLineChars="3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第七部分   评审办法</w:t>
      </w:r>
    </w:p>
    <w:p w14:paraId="7767C57F">
      <w:pPr>
        <w:widowControl/>
        <w:spacing w:line="360" w:lineRule="atLeast"/>
        <w:jc w:val="center"/>
        <w:rPr>
          <w:rFonts w:hint="eastAsia" w:ascii="宋体" w:hAnsi="宋体" w:eastAsia="宋体" w:cs="宋体"/>
          <w:bCs/>
          <w:color w:val="auto"/>
          <w:spacing w:val="15"/>
          <w:sz w:val="32"/>
          <w:szCs w:val="32"/>
          <w:highlight w:val="none"/>
        </w:rPr>
      </w:pPr>
    </w:p>
    <w:p w14:paraId="29E50B5F">
      <w:pPr>
        <w:widowControl/>
        <w:spacing w:line="360" w:lineRule="atLeast"/>
        <w:jc w:val="center"/>
        <w:rPr>
          <w:rFonts w:hint="eastAsia" w:ascii="宋体" w:hAnsi="宋体" w:eastAsia="宋体" w:cs="宋体"/>
          <w:bCs/>
          <w:color w:val="auto"/>
          <w:spacing w:val="15"/>
          <w:sz w:val="32"/>
          <w:szCs w:val="32"/>
          <w:highlight w:val="none"/>
        </w:rPr>
      </w:pPr>
    </w:p>
    <w:p w14:paraId="43BC86C3">
      <w:pPr>
        <w:widowControl/>
        <w:spacing w:line="400" w:lineRule="exact"/>
        <w:ind w:firstLine="437" w:firstLineChars="199"/>
        <w:rPr>
          <w:rFonts w:hint="eastAsia" w:ascii="宋体" w:hAnsi="宋体" w:eastAsia="宋体" w:cs="宋体"/>
          <w:b/>
          <w:color w:val="auto"/>
          <w:sz w:val="24"/>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4"/>
          <w:highlight w:val="none"/>
        </w:rPr>
        <w:t>注：竞争性磋商文件中有的条款及要求以加粗、加下划线或符号</w:t>
      </w:r>
      <w:r>
        <w:rPr>
          <w:rFonts w:hint="eastAsia" w:ascii="宋体" w:hAnsi="宋体" w:eastAsia="宋体" w:cs="宋体"/>
          <w:color w:val="auto"/>
          <w:sz w:val="22"/>
          <w:szCs w:val="22"/>
          <w:highlight w:val="none"/>
        </w:rPr>
        <w:t>▲、★、</w:t>
      </w:r>
      <w:r>
        <w:rPr>
          <w:rFonts w:hint="eastAsia" w:ascii="宋体" w:hAnsi="宋体" w:eastAsia="宋体" w:cs="宋体"/>
          <w:b/>
          <w:color w:val="auto"/>
          <w:sz w:val="30"/>
          <w:szCs w:val="30"/>
          <w:highlight w:val="none"/>
        </w:rPr>
        <w:t>*</w:t>
      </w:r>
      <w:r>
        <w:rPr>
          <w:rFonts w:hint="eastAsia" w:ascii="宋体" w:hAnsi="宋体" w:eastAsia="宋体" w:cs="宋体"/>
          <w:b/>
          <w:color w:val="auto"/>
          <w:sz w:val="24"/>
          <w:highlight w:val="none"/>
        </w:rPr>
        <w:t>的形式强调，这些特别强调的条款及内容有些是重要条款，供应商对重要条款的响应程度将作为评审工作的主要依据之一。</w:t>
      </w:r>
    </w:p>
    <w:p w14:paraId="34E22000">
      <w:pPr>
        <w:widowControl/>
        <w:spacing w:afterLines="100" w:line="500" w:lineRule="exact"/>
        <w:ind w:left="283" w:leftChars="135" w:right="237" w:rightChars="113"/>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highlight w:val="none"/>
          <w:u w:val="thick"/>
        </w:rPr>
        <w:br w:type="page"/>
      </w:r>
      <w:r>
        <w:rPr>
          <w:rFonts w:hint="eastAsia" w:ascii="宋体" w:hAnsi="宋体" w:eastAsia="宋体" w:cs="宋体"/>
          <w:b/>
          <w:color w:val="auto"/>
          <w:sz w:val="30"/>
          <w:szCs w:val="30"/>
          <w:highlight w:val="none"/>
        </w:rPr>
        <w:t>乐清市中源建设咨询有限公司关于</w:t>
      </w:r>
      <w:r>
        <w:rPr>
          <w:rFonts w:hint="eastAsia" w:ascii="宋体" w:hAnsi="宋体" w:cs="宋体"/>
          <w:b/>
          <w:color w:val="auto"/>
          <w:sz w:val="30"/>
          <w:szCs w:val="30"/>
          <w:highlight w:val="none"/>
          <w:lang w:eastAsia="zh-CN"/>
        </w:rPr>
        <w:t>乐清市人民医院电梯维保服务（第二次）</w:t>
      </w:r>
      <w:r>
        <w:rPr>
          <w:rFonts w:hint="eastAsia" w:ascii="宋体" w:hAnsi="宋体" w:eastAsia="宋体" w:cs="宋体"/>
          <w:b/>
          <w:color w:val="auto"/>
          <w:sz w:val="30"/>
          <w:szCs w:val="30"/>
          <w:highlight w:val="none"/>
        </w:rPr>
        <w:t>的竞争性磋商公告</w:t>
      </w:r>
    </w:p>
    <w:p w14:paraId="2B106E28">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4346AF15">
      <w:pPr>
        <w:pBdr>
          <w:top w:val="single" w:color="auto" w:sz="4" w:space="1"/>
          <w:left w:val="single" w:color="auto" w:sz="4" w:space="4"/>
          <w:bottom w:val="single" w:color="auto" w:sz="4" w:space="1"/>
          <w:right w:val="single" w:color="auto" w:sz="4" w:space="4"/>
        </w:pBdr>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乐清市人民医院电梯维保服务（第二次）</w:t>
      </w:r>
      <w:r>
        <w:rPr>
          <w:rFonts w:hint="eastAsia" w:ascii="宋体" w:hAnsi="宋体" w:eastAsia="宋体" w:cs="宋体"/>
          <w:color w:val="auto"/>
          <w:sz w:val="22"/>
          <w:szCs w:val="22"/>
          <w:highlight w:val="none"/>
        </w:rPr>
        <w:t>的潜在供应商应在政采云平台获取（下载）采购文件，并于</w:t>
      </w:r>
      <w:r>
        <w:rPr>
          <w:rFonts w:hint="eastAsia" w:ascii="宋体" w:hAnsi="宋体" w:cs="宋体"/>
          <w:color w:val="auto"/>
          <w:sz w:val="22"/>
          <w:szCs w:val="22"/>
          <w:highlight w:val="none"/>
          <w:lang w:eastAsia="zh-CN"/>
        </w:rPr>
        <w:t>2025年06月27日</w:t>
      </w:r>
      <w:r>
        <w:rPr>
          <w:rFonts w:hint="eastAsia" w:ascii="宋体" w:hAnsi="宋体" w:eastAsia="宋体" w:cs="宋体"/>
          <w:color w:val="auto"/>
          <w:sz w:val="22"/>
          <w:szCs w:val="22"/>
          <w:highlight w:val="none"/>
        </w:rPr>
        <w:t>09:30（</w:t>
      </w:r>
      <w:r>
        <w:rPr>
          <w:rFonts w:hint="eastAsia" w:ascii="宋体" w:hAnsi="宋体" w:eastAsia="宋体" w:cs="宋体"/>
          <w:bCs/>
          <w:color w:val="auto"/>
          <w:sz w:val="22"/>
          <w:szCs w:val="22"/>
          <w:highlight w:val="none"/>
        </w:rPr>
        <w:t>北京时间）前</w:t>
      </w:r>
      <w:r>
        <w:rPr>
          <w:rFonts w:hint="eastAsia" w:ascii="宋体" w:hAnsi="宋体" w:eastAsia="宋体" w:cs="宋体"/>
          <w:color w:val="auto"/>
          <w:sz w:val="23"/>
          <w:szCs w:val="23"/>
          <w:highlight w:val="none"/>
        </w:rPr>
        <w:t>提交（上传）响应文件。</w:t>
      </w:r>
    </w:p>
    <w:p w14:paraId="4289D439">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一、项目基本情况</w:t>
      </w:r>
    </w:p>
    <w:p w14:paraId="25CA031D">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项目编号：</w:t>
      </w:r>
      <w:r>
        <w:rPr>
          <w:rFonts w:hint="eastAsia" w:ascii="宋体" w:hAnsi="宋体" w:cs="宋体"/>
          <w:color w:val="auto"/>
          <w:sz w:val="22"/>
          <w:szCs w:val="22"/>
          <w:highlight w:val="none"/>
          <w:lang w:eastAsia="zh-CN"/>
        </w:rPr>
        <w:t>ZY202506C03</w:t>
      </w:r>
    </w:p>
    <w:p w14:paraId="0425F012">
      <w:pPr>
        <w:pStyle w:val="34"/>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项目名称：</w:t>
      </w:r>
      <w:r>
        <w:rPr>
          <w:rFonts w:hint="eastAsia" w:ascii="宋体" w:hAnsi="宋体" w:cs="宋体"/>
          <w:color w:val="auto"/>
          <w:sz w:val="22"/>
          <w:szCs w:val="22"/>
          <w:highlight w:val="none"/>
          <w:lang w:eastAsia="zh-CN"/>
        </w:rPr>
        <w:t>乐清市人民医院电梯维保服务（第二次）</w:t>
      </w:r>
    </w:p>
    <w:p w14:paraId="568060A3">
      <w:pPr>
        <w:pStyle w:val="34"/>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采购方式：竞争性磋商</w:t>
      </w:r>
    </w:p>
    <w:p w14:paraId="334DC45D">
      <w:pPr>
        <w:pStyle w:val="34"/>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预算金额（元）：340000</w:t>
      </w:r>
    </w:p>
    <w:p w14:paraId="2526DD72">
      <w:pPr>
        <w:pStyle w:val="34"/>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最高限价（元）：/</w:t>
      </w:r>
    </w:p>
    <w:p w14:paraId="37538C20">
      <w:pPr>
        <w:pStyle w:val="34"/>
        <w:spacing w:line="460" w:lineRule="exact"/>
        <w:ind w:firstLine="43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采购需求：</w:t>
      </w:r>
    </w:p>
    <w:p w14:paraId="1CFA89F9">
      <w:pPr>
        <w:pStyle w:val="34"/>
        <w:spacing w:line="460" w:lineRule="exact"/>
        <w:ind w:firstLine="43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数量：1 </w:t>
      </w:r>
    </w:p>
    <w:p w14:paraId="190AF00C">
      <w:pPr>
        <w:pStyle w:val="34"/>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预算金额（元）：340000</w:t>
      </w:r>
    </w:p>
    <w:p w14:paraId="773D32C1">
      <w:pPr>
        <w:pStyle w:val="34"/>
        <w:spacing w:line="460" w:lineRule="exact"/>
        <w:ind w:firstLine="43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单位：项</w:t>
      </w:r>
    </w:p>
    <w:p w14:paraId="6DB1D56F">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简要规格描</w:t>
      </w:r>
      <w:r>
        <w:rPr>
          <w:rFonts w:hint="eastAsia" w:ascii="宋体" w:hAnsi="宋体" w:eastAsia="宋体" w:cs="宋体"/>
          <w:color w:val="auto"/>
          <w:sz w:val="22"/>
          <w:szCs w:val="22"/>
          <w:highlight w:val="none"/>
        </w:rPr>
        <w:t>述：乐清市人民医院电梯维保服务，</w:t>
      </w:r>
      <w:r>
        <w:rPr>
          <w:rFonts w:hint="eastAsia" w:ascii="宋体" w:hAnsi="宋体" w:eastAsia="宋体" w:cs="宋体"/>
          <w:color w:val="auto"/>
          <w:kern w:val="0"/>
          <w:sz w:val="22"/>
          <w:szCs w:val="22"/>
          <w:highlight w:val="none"/>
        </w:rPr>
        <w:t>详见</w:t>
      </w:r>
      <w:r>
        <w:rPr>
          <w:rFonts w:hint="eastAsia" w:ascii="宋体" w:hAnsi="宋体" w:eastAsia="宋体" w:cs="宋体"/>
          <w:color w:val="auto"/>
          <w:sz w:val="22"/>
          <w:szCs w:val="22"/>
          <w:highlight w:val="none"/>
        </w:rPr>
        <w:t>竞争性磋商</w:t>
      </w:r>
      <w:r>
        <w:rPr>
          <w:rFonts w:hint="eastAsia" w:ascii="宋体" w:hAnsi="宋体" w:eastAsia="宋体" w:cs="宋体"/>
          <w:color w:val="auto"/>
          <w:kern w:val="0"/>
          <w:sz w:val="22"/>
          <w:szCs w:val="22"/>
          <w:highlight w:val="none"/>
        </w:rPr>
        <w:t>文件。</w:t>
      </w:r>
    </w:p>
    <w:p w14:paraId="38B3719F">
      <w:pPr>
        <w:pStyle w:val="34"/>
        <w:spacing w:line="460" w:lineRule="exact"/>
        <w:ind w:firstLine="43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p w14:paraId="15DE42A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合同履行期限：详见竞争性磋商</w:t>
      </w:r>
      <w:r>
        <w:rPr>
          <w:rFonts w:hint="eastAsia" w:ascii="宋体" w:hAnsi="宋体" w:eastAsia="宋体" w:cs="宋体"/>
          <w:color w:val="auto"/>
          <w:kern w:val="0"/>
          <w:sz w:val="22"/>
          <w:szCs w:val="22"/>
          <w:highlight w:val="none"/>
        </w:rPr>
        <w:t>文件</w:t>
      </w:r>
      <w:r>
        <w:rPr>
          <w:rFonts w:hint="eastAsia" w:ascii="宋体" w:hAnsi="宋体" w:eastAsia="宋体" w:cs="宋体"/>
          <w:color w:val="auto"/>
          <w:sz w:val="22"/>
          <w:szCs w:val="22"/>
          <w:highlight w:val="none"/>
        </w:rPr>
        <w:t>。</w:t>
      </w:r>
    </w:p>
    <w:p w14:paraId="519ED3FC">
      <w:pPr>
        <w:pStyle w:val="34"/>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本项目(否)接受联合体投标。</w:t>
      </w:r>
    </w:p>
    <w:p w14:paraId="63415B32">
      <w:pPr>
        <w:widowControl/>
        <w:shd w:val="clear" w:color="auto" w:fill="FFFFFF"/>
        <w:spacing w:line="460" w:lineRule="exact"/>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二、申请人的资格要求：</w:t>
      </w:r>
    </w:p>
    <w:p w14:paraId="3CB96F33">
      <w:pPr>
        <w:widowControl/>
        <w:shd w:val="clear" w:color="auto" w:fill="FFFFFF"/>
        <w:spacing w:line="460" w:lineRule="exact"/>
        <w:ind w:firstLine="426"/>
        <w:rPr>
          <w:rFonts w:hint="eastAsia" w:ascii="宋体" w:hAnsi="宋体" w:eastAsia="宋体" w:cs="宋体"/>
          <w:b/>
          <w:color w:val="auto"/>
          <w:sz w:val="22"/>
          <w:szCs w:val="22"/>
          <w:highlight w:val="none"/>
        </w:rPr>
      </w:pPr>
      <w:bookmarkStart w:id="0" w:name="_Toc32407"/>
      <w:r>
        <w:rPr>
          <w:rFonts w:hint="eastAsia" w:ascii="宋体" w:hAnsi="宋体" w:eastAsia="宋体" w:cs="宋体"/>
          <w:color w:val="auto"/>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6CB68C8">
      <w:pPr>
        <w:widowControl/>
        <w:shd w:val="clear" w:color="auto" w:fill="FFFFFF"/>
        <w:spacing w:line="460" w:lineRule="exact"/>
        <w:ind w:firstLine="426"/>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2.落实政府采购政策需满足的资格要求：标项1：</w:t>
      </w:r>
      <w:r>
        <w:rPr>
          <w:rFonts w:hint="eastAsia" w:ascii="宋体" w:hAnsi="宋体" w:cs="宋体"/>
          <w:color w:val="auto"/>
          <w:sz w:val="22"/>
          <w:szCs w:val="22"/>
          <w:highlight w:val="none"/>
          <w:lang w:val="en-US" w:eastAsia="zh-CN"/>
        </w:rPr>
        <w:t>无</w:t>
      </w:r>
    </w:p>
    <w:p w14:paraId="5DB874BF">
      <w:pPr>
        <w:spacing w:line="44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本项目的特定资格要求：【标项1】供应商具有有效期内的《特种设备生产许可证》，许可项目为电梯制造（含安装、修理、改造）或电梯安装（含修理），许可子项目须包含曳引驱动乘客电梯（含消防员电梯）B级及以上和杂物电梯（含防爆电梯中的杂物电梯）。</w:t>
      </w:r>
    </w:p>
    <w:p w14:paraId="4436E11D">
      <w:pPr>
        <w:widowControl/>
        <w:shd w:val="clear" w:color="auto" w:fill="FFFFFF"/>
        <w:spacing w:line="44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三、获取采购文件</w:t>
      </w:r>
    </w:p>
    <w:p w14:paraId="4B47B790">
      <w:pPr>
        <w:shd w:val="clear" w:color="auto" w:fill="FFFFFF"/>
        <w:spacing w:line="440" w:lineRule="exact"/>
        <w:ind w:firstLine="425"/>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时间：/至</w:t>
      </w:r>
      <w:r>
        <w:rPr>
          <w:rFonts w:hint="eastAsia" w:ascii="宋体" w:hAnsi="宋体" w:cs="宋体"/>
          <w:color w:val="auto"/>
          <w:sz w:val="22"/>
          <w:szCs w:val="22"/>
          <w:highlight w:val="none"/>
          <w:lang w:eastAsia="zh-CN"/>
        </w:rPr>
        <w:t>2025年06月27日</w:t>
      </w:r>
      <w:r>
        <w:rPr>
          <w:rFonts w:hint="eastAsia" w:ascii="宋体" w:hAnsi="宋体" w:eastAsia="宋体" w:cs="宋体"/>
          <w:color w:val="auto"/>
          <w:sz w:val="22"/>
          <w:szCs w:val="22"/>
          <w:highlight w:val="none"/>
        </w:rPr>
        <w:t>，每天上午00:00至12:00 ，下午12:00至23:59（北京时间，线上获取法定节假日均可，线下获取文件法定节假日除外）</w:t>
      </w:r>
    </w:p>
    <w:p w14:paraId="07456DE9">
      <w:pPr>
        <w:widowControl/>
        <w:shd w:val="clear" w:color="auto" w:fill="FFFFFF"/>
        <w:spacing w:line="440" w:lineRule="exact"/>
        <w:ind w:firstLine="426"/>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地点（网址）：政采云平台 </w:t>
      </w:r>
    </w:p>
    <w:p w14:paraId="5828BE28">
      <w:pPr>
        <w:widowControl/>
        <w:shd w:val="clear" w:color="auto" w:fill="FFFFFF"/>
        <w:spacing w:line="440" w:lineRule="exact"/>
        <w:ind w:firstLine="426"/>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方式：潜在供应商自公告发布之日起至响应文件提交截止时间前通过账号登陆政采云平台获取竞争性磋商文件，具体如下：项目采购--获取采购文件菜单，点击【申请获取采购文件】，填写获取采购文件的申请信息，提交后点击【下载采购文件】即可获取竞争性磋商文件。    </w:t>
      </w:r>
    </w:p>
    <w:p w14:paraId="02237E8D">
      <w:pPr>
        <w:widowControl/>
        <w:shd w:val="clear" w:color="auto" w:fill="FFFFFF"/>
        <w:spacing w:line="440" w:lineRule="exact"/>
        <w:ind w:firstLine="426"/>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售价（元）：0 </w:t>
      </w:r>
    </w:p>
    <w:p w14:paraId="2E08CCA8">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四、响应文件提交（上传）</w:t>
      </w:r>
    </w:p>
    <w:p w14:paraId="5905AEA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截止时间：</w:t>
      </w:r>
      <w:r>
        <w:rPr>
          <w:rFonts w:hint="eastAsia" w:ascii="宋体" w:hAnsi="宋体" w:cs="宋体"/>
          <w:color w:val="auto"/>
          <w:sz w:val="22"/>
          <w:szCs w:val="22"/>
          <w:highlight w:val="none"/>
          <w:lang w:eastAsia="zh-CN"/>
        </w:rPr>
        <w:t>2025年06月27日</w:t>
      </w:r>
      <w:r>
        <w:rPr>
          <w:rFonts w:hint="eastAsia" w:ascii="宋体" w:hAnsi="宋体" w:eastAsia="宋体" w:cs="宋体"/>
          <w:color w:val="auto"/>
          <w:sz w:val="22"/>
          <w:szCs w:val="22"/>
          <w:highlight w:val="none"/>
        </w:rPr>
        <w:t>09:30（北京时间）</w:t>
      </w:r>
    </w:p>
    <w:p w14:paraId="1296E7F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地点（网址）：政采云平台 </w:t>
      </w:r>
    </w:p>
    <w:p w14:paraId="1394FC43">
      <w:pPr>
        <w:pStyle w:val="34"/>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五、响应文件开启</w:t>
      </w:r>
    </w:p>
    <w:p w14:paraId="2F85BC1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开启时间：</w:t>
      </w:r>
      <w:r>
        <w:rPr>
          <w:rFonts w:hint="eastAsia" w:ascii="宋体" w:hAnsi="宋体" w:cs="宋体"/>
          <w:color w:val="auto"/>
          <w:sz w:val="22"/>
          <w:szCs w:val="22"/>
          <w:highlight w:val="none"/>
          <w:lang w:eastAsia="zh-CN"/>
        </w:rPr>
        <w:t>2025年06月27日</w:t>
      </w:r>
      <w:r>
        <w:rPr>
          <w:rFonts w:hint="eastAsia" w:ascii="宋体" w:hAnsi="宋体" w:eastAsia="宋体" w:cs="宋体"/>
          <w:color w:val="auto"/>
          <w:sz w:val="22"/>
          <w:szCs w:val="22"/>
          <w:highlight w:val="none"/>
        </w:rPr>
        <w:t>09:30（北京时间）</w:t>
      </w:r>
    </w:p>
    <w:p w14:paraId="322D1AC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w:t>
      </w:r>
      <w:r>
        <w:rPr>
          <w:rFonts w:hint="eastAsia" w:ascii="宋体" w:hAnsi="宋体" w:eastAsia="宋体" w:cs="宋体"/>
          <w:color w:val="auto"/>
          <w:kern w:val="0"/>
          <w:sz w:val="22"/>
          <w:szCs w:val="22"/>
          <w:highlight w:val="none"/>
        </w:rPr>
        <w:t>（网址）</w:t>
      </w:r>
      <w:r>
        <w:rPr>
          <w:rFonts w:hint="eastAsia" w:ascii="宋体" w:hAnsi="宋体" w:eastAsia="宋体" w:cs="宋体"/>
          <w:color w:val="auto"/>
          <w:sz w:val="22"/>
          <w:szCs w:val="22"/>
          <w:highlight w:val="none"/>
        </w:rPr>
        <w:t>：浙江省乐清市宁康东路368弄55号乐清市中源建设咨询有限公司1楼（</w:t>
      </w:r>
      <w:r>
        <w:rPr>
          <w:rFonts w:hint="eastAsia" w:ascii="宋体" w:hAnsi="宋体" w:eastAsia="宋体" w:cs="宋体"/>
          <w:color w:val="auto"/>
          <w:kern w:val="0"/>
          <w:sz w:val="22"/>
          <w:szCs w:val="22"/>
          <w:highlight w:val="none"/>
        </w:rPr>
        <w:t>政采云平台</w:t>
      </w:r>
      <w:r>
        <w:rPr>
          <w:rFonts w:hint="eastAsia" w:ascii="宋体" w:hAnsi="宋体" w:eastAsia="宋体" w:cs="宋体"/>
          <w:color w:val="auto"/>
          <w:sz w:val="22"/>
          <w:szCs w:val="22"/>
          <w:highlight w:val="none"/>
        </w:rPr>
        <w:t>线上开标）</w:t>
      </w:r>
    </w:p>
    <w:p w14:paraId="534549F8">
      <w:pPr>
        <w:widowControl/>
        <w:shd w:val="clear" w:color="auto" w:fill="FFFFFF"/>
        <w:spacing w:line="46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六、公告期限</w:t>
      </w:r>
    </w:p>
    <w:p w14:paraId="696216FE">
      <w:pPr>
        <w:widowControl/>
        <w:shd w:val="clear" w:color="auto" w:fill="FFFFFF"/>
        <w:spacing w:line="460" w:lineRule="exact"/>
        <w:ind w:firstLine="424" w:firstLineChars="193"/>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自本公告发布之日起3个工作日。</w:t>
      </w:r>
    </w:p>
    <w:p w14:paraId="724ECB49">
      <w:pPr>
        <w:widowControl/>
        <w:shd w:val="clear" w:color="auto" w:fill="FFFFFF"/>
        <w:spacing w:line="44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七、其他补充事宜</w:t>
      </w:r>
    </w:p>
    <w:p w14:paraId="1B5FFF70">
      <w:pPr>
        <w:widowControl/>
        <w:shd w:val="clear" w:color="auto" w:fill="FFFFFF"/>
        <w:spacing w:line="460" w:lineRule="exact"/>
        <w:ind w:firstLine="424" w:firstLineChars="19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329D6DF1">
      <w:pPr>
        <w:widowControl/>
        <w:shd w:val="clear" w:color="auto" w:fill="FFFFFF"/>
        <w:spacing w:line="460" w:lineRule="exact"/>
        <w:ind w:firstLine="424" w:firstLineChars="19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291DC20">
      <w:pPr>
        <w:widowControl/>
        <w:shd w:val="clear" w:color="auto" w:fill="FFFFFF"/>
        <w:spacing w:line="460" w:lineRule="exact"/>
        <w:ind w:firstLine="424" w:firstLineChars="193"/>
        <w:jc w:val="lef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4"/>
          <w:highlight w:val="none"/>
        </w:rPr>
        <w:t xml:space="preserve">   </w:t>
      </w:r>
    </w:p>
    <w:p w14:paraId="4F38A290">
      <w:pPr>
        <w:autoSpaceDE w:val="0"/>
        <w:autoSpaceDN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事项：在线投标响应（电子投标）说明：1）本项目通过“政府采购云平台（www.zcygov.cn）”实行在线投标响应（电子投标），供应商应先安装“政采云电子交易客户端”，并按照本竞争性磋商文件和“政府采购云平台”的要求，通过“政采云电子交易客户端”编制并加密响应文件。供应商未按规定加密的响应文件，“政府采购云平台”将予以拒收。 “政采云电子交易客户端”请自行前往“浙江政府采购网-下载专区-电子交易客户端”进行下载；电子投标具体操作流程自行登陆政采云平台-服务中心-帮助文档-项目采购-操作流程-电子招投标查看《政府采购项目电子交易管理操作指南-供应商》；通过“政府采购云平台”参与在线投标时如遇平台技术问题详询95763。 2）为确保网上操作合法、有效和安全，磋商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3）磋商供应商应当在投标截止时间前，将生成的“电子加密响应文件”上传递交至“政府采购云平台”。投标截止时间以后上传递交的响应文件将被“政府采购云平台”拒收。 4）磋商供应商在“政府采购云平台”完成“电子加密响应文件”的上传递交后，还可以在开标时间前递交以介质（U盘）存储的数据电文形式的“备份响应文件”，“备份响应文件”应当密封包装并在包装上标注项目名称、供应商名称。备份响应文件密封包装后在响应文件递交截止时间前递交一份（递交方式：允许直接到乐清市中源建设咨询有限公司递交或采用邮寄形式。采用邮寄形式的，寄件信息的备注里注明采购项目的名称、供应商名称、法定代表人或其授权代表的联系电话，工作日送达。邮寄地址：浙江省乐清市宁康东路368弄55号，收件人：林女士，电话：18815082500）。 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3CA60B06">
      <w:pPr>
        <w:widowControl/>
        <w:shd w:val="clear" w:color="auto" w:fill="FFFFFF"/>
        <w:spacing w:line="44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八、凡对本次采购提出询问、质疑、投诉，请按以下方式联系</w:t>
      </w:r>
    </w:p>
    <w:p w14:paraId="06A6D146">
      <w:pPr>
        <w:widowControl/>
        <w:shd w:val="clear" w:color="auto" w:fill="FFFFFF"/>
        <w:spacing w:line="440" w:lineRule="exact"/>
        <w:ind w:firstLine="363"/>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1.采购人信息</w:t>
      </w:r>
    </w:p>
    <w:p w14:paraId="051CDE9F">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名称：乐清市人民医院</w:t>
      </w:r>
    </w:p>
    <w:p w14:paraId="1DD99635">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地址：乐清市城南街道清远路338号</w:t>
      </w:r>
    </w:p>
    <w:p w14:paraId="3E90FE09">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F856C4B">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项目联系人（询问）：万先生</w:t>
      </w:r>
    </w:p>
    <w:p w14:paraId="41AF5085">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项目联系方式（询问）：0577-62061731</w:t>
      </w:r>
    </w:p>
    <w:p w14:paraId="395058F0">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质疑联系人：叶先生</w:t>
      </w:r>
    </w:p>
    <w:p w14:paraId="237EB22A">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质疑联系方式：0577-62061731</w:t>
      </w:r>
    </w:p>
    <w:p w14:paraId="6F11D92A">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p>
    <w:p w14:paraId="5D1FE013">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名称：乐清市中源建设咨询有限公司</w:t>
      </w:r>
    </w:p>
    <w:p w14:paraId="42AF467D">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highlight w:val="none"/>
        </w:rPr>
        <w:t>浙江省</w:t>
      </w:r>
      <w:r>
        <w:rPr>
          <w:rFonts w:hint="eastAsia" w:ascii="宋体" w:hAnsi="宋体" w:eastAsia="宋体" w:cs="宋体"/>
          <w:color w:val="auto"/>
          <w:sz w:val="22"/>
          <w:szCs w:val="22"/>
          <w:highlight w:val="none"/>
        </w:rPr>
        <w:t>乐清市宁康东路368弄55号</w:t>
      </w:r>
    </w:p>
    <w:p w14:paraId="07C33C0C">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传真：0577-62570825</w:t>
      </w:r>
    </w:p>
    <w:p w14:paraId="135C1216">
      <w:pPr>
        <w:widowControl/>
        <w:shd w:val="clear" w:color="auto" w:fill="FFFFFF"/>
        <w:spacing w:line="440" w:lineRule="exact"/>
        <w:ind w:firstLine="36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项目联系人（询问）：钱先生</w:t>
      </w:r>
    </w:p>
    <w:p w14:paraId="2339C944">
      <w:pPr>
        <w:widowControl/>
        <w:shd w:val="clear" w:color="auto" w:fill="FFFFFF"/>
        <w:spacing w:line="440" w:lineRule="exact"/>
        <w:ind w:firstLine="363"/>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项目联系方式（询问）：0577-62570825/13868521391</w:t>
      </w:r>
    </w:p>
    <w:p w14:paraId="0BCE2654">
      <w:pPr>
        <w:widowControl/>
        <w:shd w:val="clear" w:color="auto" w:fill="FFFFFF"/>
        <w:spacing w:line="440" w:lineRule="exact"/>
        <w:ind w:firstLine="363"/>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质疑联系人：南女士</w:t>
      </w:r>
    </w:p>
    <w:p w14:paraId="0B9DD6D6">
      <w:pPr>
        <w:widowControl/>
        <w:shd w:val="clear" w:color="auto" w:fill="FFFFFF"/>
        <w:spacing w:line="440" w:lineRule="exact"/>
        <w:ind w:firstLine="363"/>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质疑联系方式：0577-62570825</w:t>
      </w:r>
    </w:p>
    <w:p w14:paraId="7E6ABD18">
      <w:pPr>
        <w:widowControl/>
        <w:shd w:val="clear" w:color="auto" w:fill="FFFFFF"/>
        <w:spacing w:line="440" w:lineRule="exact"/>
        <w:ind w:firstLine="363"/>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3.同级政府采购监督管理部门</w:t>
      </w:r>
    </w:p>
    <w:p w14:paraId="5B53344A">
      <w:pPr>
        <w:spacing w:line="460" w:lineRule="exact"/>
        <w:ind w:firstLine="378" w:firstLineChars="172"/>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名称：</w:t>
      </w:r>
      <w:r>
        <w:rPr>
          <w:rFonts w:hint="eastAsia" w:ascii="宋体" w:hAnsi="宋体" w:eastAsia="宋体" w:cs="宋体"/>
          <w:bCs/>
          <w:color w:val="auto"/>
          <w:sz w:val="22"/>
          <w:szCs w:val="22"/>
          <w:highlight w:val="none"/>
        </w:rPr>
        <w:t>乐清市财政局（浙江省政府采购行政裁决服务中心（温州））</w:t>
      </w:r>
    </w:p>
    <w:p w14:paraId="423282A5">
      <w:pPr>
        <w:spacing w:line="460" w:lineRule="exact"/>
        <w:ind w:firstLine="378" w:firstLineChars="172"/>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地址：温州市鹿城区滨江街道瓯江路展银大厦1606室 </w:t>
      </w:r>
    </w:p>
    <w:p w14:paraId="6F805D9D">
      <w:pPr>
        <w:spacing w:line="460" w:lineRule="exact"/>
        <w:ind w:firstLine="378" w:firstLineChars="172"/>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传真：/ </w:t>
      </w:r>
    </w:p>
    <w:p w14:paraId="4453F47A">
      <w:pPr>
        <w:spacing w:line="460" w:lineRule="exact"/>
        <w:ind w:firstLine="378" w:firstLineChars="172"/>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联系人：李老师、王老师 </w:t>
      </w:r>
    </w:p>
    <w:p w14:paraId="3F4BD174">
      <w:pPr>
        <w:spacing w:line="460" w:lineRule="exact"/>
        <w:ind w:firstLine="378" w:firstLineChars="172"/>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监督投诉电话：0577-88501561，0577-85501562 </w:t>
      </w:r>
    </w:p>
    <w:p w14:paraId="021A29F3">
      <w:pPr>
        <w:spacing w:line="460" w:lineRule="exact"/>
        <w:ind w:firstLine="378" w:firstLineChars="172"/>
        <w:rPr>
          <w:rFonts w:hint="eastAsia" w:ascii="宋体" w:hAnsi="宋体" w:eastAsia="宋体" w:cs="宋体"/>
          <w:bCs/>
          <w:color w:val="auto"/>
          <w:sz w:val="22"/>
          <w:szCs w:val="22"/>
          <w:highlight w:val="none"/>
        </w:rPr>
      </w:pPr>
    </w:p>
    <w:p w14:paraId="71D958AD">
      <w:pPr>
        <w:widowControl/>
        <w:spacing w:before="100" w:beforeAutospacing="1" w:after="100" w:afterAutospacing="1"/>
        <w:jc w:val="left"/>
        <w:rPr>
          <w:rFonts w:hint="eastAsia" w:ascii="宋体" w:hAnsi="宋体" w:eastAsia="宋体" w:cs="宋体"/>
          <w:color w:val="auto"/>
          <w:sz w:val="36"/>
          <w:highlight w:val="none"/>
          <w:lang w:val="zh-CN"/>
        </w:rPr>
        <w:sectPr>
          <w:footerReference r:id="rId6" w:type="first"/>
          <w:headerReference r:id="rId3" w:type="default"/>
          <w:footerReference r:id="rId4" w:type="default"/>
          <w:footerReference r:id="rId5" w:type="even"/>
          <w:pgSz w:w="11907" w:h="16840"/>
          <w:pgMar w:top="1440" w:right="1440" w:bottom="1440" w:left="1440" w:header="720" w:footer="720" w:gutter="0"/>
          <w:pgNumType w:start="0"/>
          <w:cols w:space="720" w:num="1"/>
          <w:titlePg/>
          <w:docGrid w:linePitch="286" w:charSpace="-3831"/>
        </w:sectPr>
      </w:pPr>
    </w:p>
    <w:p w14:paraId="4397E8A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36"/>
          <w:highlight w:val="none"/>
          <w:lang w:val="zh-CN"/>
        </w:rPr>
        <w:t xml:space="preserve">第一部分    </w:t>
      </w:r>
      <w:bookmarkEnd w:id="0"/>
      <w:r>
        <w:rPr>
          <w:rFonts w:hint="eastAsia" w:ascii="宋体" w:hAnsi="宋体" w:eastAsia="宋体" w:cs="宋体"/>
          <w:color w:val="auto"/>
          <w:sz w:val="36"/>
          <w:highlight w:val="none"/>
          <w:lang w:val="zh-CN"/>
        </w:rPr>
        <w:t>磋商邀请函（供应商须知前附表）</w:t>
      </w:r>
    </w:p>
    <w:tbl>
      <w:tblPr>
        <w:tblStyle w:val="47"/>
        <w:tblW w:w="10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2100"/>
        <w:gridCol w:w="7217"/>
      </w:tblGrid>
      <w:tr w14:paraId="516D3C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3759C61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100" w:type="dxa"/>
            <w:vAlign w:val="center"/>
          </w:tcPr>
          <w:p w14:paraId="1DA4107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7217" w:type="dxa"/>
            <w:vAlign w:val="center"/>
          </w:tcPr>
          <w:p w14:paraId="577EFA2B">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14:paraId="5B679B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5150D19">
            <w:pPr>
              <w:autoSpaceDE w:val="0"/>
              <w:autoSpaceDN w:val="0"/>
              <w:adjustRightInd w:val="0"/>
              <w:snapToGrid w:val="0"/>
              <w:spacing w:line="460" w:lineRule="exac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p>
        </w:tc>
        <w:tc>
          <w:tcPr>
            <w:tcW w:w="2100" w:type="dxa"/>
            <w:vAlign w:val="center"/>
          </w:tcPr>
          <w:p w14:paraId="64C157A5">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217" w:type="dxa"/>
            <w:vAlign w:val="center"/>
          </w:tcPr>
          <w:p w14:paraId="573E3BB3">
            <w:pPr>
              <w:pStyle w:val="34"/>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乐清市人民医院电梯维保服务（第二次）</w:t>
            </w:r>
          </w:p>
        </w:tc>
      </w:tr>
      <w:tr w14:paraId="2BDE49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40" w:type="dxa"/>
            <w:vAlign w:val="center"/>
          </w:tcPr>
          <w:p w14:paraId="2C383B10">
            <w:pPr>
              <w:autoSpaceDE w:val="0"/>
              <w:autoSpaceDN w:val="0"/>
              <w:adjustRightInd w:val="0"/>
              <w:snapToGrid w:val="0"/>
              <w:spacing w:line="460" w:lineRule="exac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w:t>
            </w:r>
          </w:p>
        </w:tc>
        <w:tc>
          <w:tcPr>
            <w:tcW w:w="2100" w:type="dxa"/>
            <w:vAlign w:val="center"/>
          </w:tcPr>
          <w:p w14:paraId="40AFEC7C">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217" w:type="dxa"/>
            <w:vAlign w:val="center"/>
          </w:tcPr>
          <w:p w14:paraId="6740DA10">
            <w:pPr>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ZY202506C03</w:t>
            </w:r>
          </w:p>
        </w:tc>
      </w:tr>
      <w:tr w14:paraId="34029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22AD5BA">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100" w:type="dxa"/>
            <w:vAlign w:val="center"/>
          </w:tcPr>
          <w:p w14:paraId="340DA1D2">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217" w:type="dxa"/>
            <w:vAlign w:val="center"/>
          </w:tcPr>
          <w:p w14:paraId="12EF6CE1">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财政性资金</w:t>
            </w:r>
          </w:p>
        </w:tc>
      </w:tr>
      <w:tr w14:paraId="56B1D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D9DC2F4">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2100" w:type="dxa"/>
            <w:vAlign w:val="center"/>
          </w:tcPr>
          <w:p w14:paraId="0067DEE8">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tc>
        <w:tc>
          <w:tcPr>
            <w:tcW w:w="7217" w:type="dxa"/>
            <w:vAlign w:val="center"/>
          </w:tcPr>
          <w:p w14:paraId="6DA75610">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340000元</w:t>
            </w:r>
          </w:p>
        </w:tc>
      </w:tr>
      <w:tr w14:paraId="31C05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663CB2D8">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100" w:type="dxa"/>
            <w:vAlign w:val="center"/>
          </w:tcPr>
          <w:p w14:paraId="184677C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217" w:type="dxa"/>
            <w:vAlign w:val="center"/>
          </w:tcPr>
          <w:p w14:paraId="405E2F7D">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竞争性磋商</w:t>
            </w:r>
          </w:p>
        </w:tc>
      </w:tr>
      <w:tr w14:paraId="7E2530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63CF8639">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2100" w:type="dxa"/>
            <w:vAlign w:val="center"/>
          </w:tcPr>
          <w:p w14:paraId="1F8EF0E9">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217" w:type="dxa"/>
            <w:vAlign w:val="center"/>
          </w:tcPr>
          <w:p w14:paraId="6C284FA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highlight w:val="none"/>
              </w:rPr>
              <w:t>乐清市人民医院</w:t>
            </w:r>
          </w:p>
          <w:p w14:paraId="7AEFC197">
            <w:pPr>
              <w:widowControl/>
              <w:shd w:val="clear" w:color="auto" w:fill="FFFFFF"/>
              <w:spacing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联系人：万先生</w:t>
            </w:r>
          </w:p>
          <w:p w14:paraId="3A79F80A">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highlight w:val="none"/>
              </w:rPr>
              <w:t>：</w:t>
            </w:r>
            <w:r>
              <w:rPr>
                <w:rFonts w:hint="eastAsia" w:ascii="宋体" w:hAnsi="宋体" w:eastAsia="宋体" w:cs="宋体"/>
                <w:color w:val="auto"/>
                <w:sz w:val="22"/>
                <w:szCs w:val="22"/>
                <w:highlight w:val="none"/>
              </w:rPr>
              <w:t>0577-62061731</w:t>
            </w:r>
          </w:p>
        </w:tc>
      </w:tr>
      <w:tr w14:paraId="0B308B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486143F8">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2100" w:type="dxa"/>
            <w:vAlign w:val="center"/>
          </w:tcPr>
          <w:p w14:paraId="54E93240">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217" w:type="dxa"/>
            <w:vAlign w:val="center"/>
          </w:tcPr>
          <w:p w14:paraId="43A5703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名称：乐清市中源建设咨询有限公司</w:t>
            </w:r>
          </w:p>
          <w:p w14:paraId="09BA16F6">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地址：浙江省乐清市宁康东路368弄55号</w:t>
            </w:r>
          </w:p>
          <w:p w14:paraId="7800408C">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联系人：钱先生</w:t>
            </w:r>
          </w:p>
          <w:p w14:paraId="04FEB6A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联系电话：0577-62570825</w:t>
            </w:r>
          </w:p>
        </w:tc>
      </w:tr>
      <w:tr w14:paraId="71AEDD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3FE40580">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2100" w:type="dxa"/>
            <w:vAlign w:val="center"/>
          </w:tcPr>
          <w:p w14:paraId="36F0D26A">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w:t>
            </w:r>
          </w:p>
        </w:tc>
        <w:tc>
          <w:tcPr>
            <w:tcW w:w="7217" w:type="dxa"/>
            <w:vAlign w:val="center"/>
          </w:tcPr>
          <w:p w14:paraId="3EA471A1">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具体内容见竞争性磋商文件。</w:t>
            </w:r>
          </w:p>
        </w:tc>
      </w:tr>
      <w:tr w14:paraId="5DEAC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F96A92F">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2100" w:type="dxa"/>
            <w:vAlign w:val="center"/>
          </w:tcPr>
          <w:p w14:paraId="19125C5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评审办法</w:t>
            </w:r>
          </w:p>
        </w:tc>
        <w:tc>
          <w:tcPr>
            <w:tcW w:w="7217" w:type="dxa"/>
            <w:vAlign w:val="center"/>
          </w:tcPr>
          <w:p w14:paraId="56C72A51">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0A6CD8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7A5D9BD1">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100" w:type="dxa"/>
            <w:vAlign w:val="center"/>
          </w:tcPr>
          <w:p w14:paraId="72BA6D24">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供应商资格要求</w:t>
            </w:r>
          </w:p>
        </w:tc>
        <w:tc>
          <w:tcPr>
            <w:tcW w:w="7217" w:type="dxa"/>
            <w:vAlign w:val="center"/>
          </w:tcPr>
          <w:p w14:paraId="41506277">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见竞争性磋商公告要求</w:t>
            </w:r>
          </w:p>
        </w:tc>
      </w:tr>
      <w:tr w14:paraId="3C9473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15B18832">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2100" w:type="dxa"/>
            <w:vAlign w:val="center"/>
          </w:tcPr>
          <w:p w14:paraId="1021341F">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217" w:type="dxa"/>
            <w:vAlign w:val="center"/>
          </w:tcPr>
          <w:p w14:paraId="0DF3360D">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不接受</w:t>
            </w:r>
          </w:p>
          <w:p w14:paraId="64AFEFD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□接受</w:t>
            </w:r>
          </w:p>
        </w:tc>
      </w:tr>
      <w:tr w14:paraId="232241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7AA8E522">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2100" w:type="dxa"/>
            <w:vAlign w:val="center"/>
          </w:tcPr>
          <w:p w14:paraId="6BE26278">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217" w:type="dxa"/>
            <w:vAlign w:val="center"/>
          </w:tcPr>
          <w:p w14:paraId="26CF9203">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p w14:paraId="715203C6">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□组织   </w:t>
            </w:r>
          </w:p>
        </w:tc>
      </w:tr>
      <w:tr w14:paraId="23A77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62228654">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2100" w:type="dxa"/>
            <w:vAlign w:val="center"/>
          </w:tcPr>
          <w:p w14:paraId="50E1A999">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217" w:type="dxa"/>
            <w:vAlign w:val="center"/>
          </w:tcPr>
          <w:p w14:paraId="3C118E3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不允许</w:t>
            </w:r>
          </w:p>
          <w:p w14:paraId="5C6C875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允许</w:t>
            </w:r>
          </w:p>
        </w:tc>
      </w:tr>
      <w:tr w14:paraId="2C7504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46CE5D4C">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2100" w:type="dxa"/>
            <w:vAlign w:val="center"/>
          </w:tcPr>
          <w:p w14:paraId="102889F5">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217" w:type="dxa"/>
            <w:vAlign w:val="center"/>
          </w:tcPr>
          <w:p w14:paraId="2C8F1663">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0DB9AF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40" w:type="dxa"/>
            <w:vAlign w:val="center"/>
          </w:tcPr>
          <w:p w14:paraId="3D147F59">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2100" w:type="dxa"/>
            <w:vAlign w:val="center"/>
          </w:tcPr>
          <w:p w14:paraId="03149795">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217" w:type="dxa"/>
            <w:vAlign w:val="center"/>
          </w:tcPr>
          <w:p w14:paraId="62DB407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7CA9D1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107" w:hRule="atLeast"/>
          <w:jc w:val="center"/>
        </w:trPr>
        <w:tc>
          <w:tcPr>
            <w:tcW w:w="740" w:type="dxa"/>
            <w:vAlign w:val="center"/>
          </w:tcPr>
          <w:p w14:paraId="1F50552F">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2100" w:type="dxa"/>
            <w:vAlign w:val="center"/>
          </w:tcPr>
          <w:p w14:paraId="1E7F3EAA">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响应文件的形式</w:t>
            </w:r>
          </w:p>
        </w:tc>
        <w:tc>
          <w:tcPr>
            <w:tcW w:w="7217" w:type="dxa"/>
            <w:vAlign w:val="center"/>
          </w:tcPr>
          <w:p w14:paraId="2329826D">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磋商供应商应准备电子响应文件</w:t>
            </w:r>
          </w:p>
          <w:p w14:paraId="011177A7">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电子响应文件是指通过“政采云电子交易客户端”完成响应文件编制后生成并加密的数据电文形式的电子加密响应文件。</w:t>
            </w:r>
          </w:p>
          <w:p w14:paraId="4BBE4BC5">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备份响应文件是指与电子加密响应文件同时生成的数据电文形式的电子文件（备份标书），其他方式编制的备份响应文件视为无效备份响应文件。</w:t>
            </w:r>
          </w:p>
        </w:tc>
      </w:tr>
      <w:tr w14:paraId="2CF83A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04CFF6B8">
            <w:pPr>
              <w:autoSpaceDE w:val="0"/>
              <w:autoSpaceDN w:val="0"/>
              <w:adjustRightInd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2100" w:type="dxa"/>
            <w:vAlign w:val="center"/>
          </w:tcPr>
          <w:p w14:paraId="65C9AA97">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响应文件的编制</w:t>
            </w:r>
          </w:p>
        </w:tc>
        <w:tc>
          <w:tcPr>
            <w:tcW w:w="7217" w:type="dxa"/>
            <w:vAlign w:val="center"/>
          </w:tcPr>
          <w:p w14:paraId="1AF26760">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供应商应先安装“政采云电子交易客户端”，并按照本竞争性磋商文件和“政府采购云平台”的要求，通过“政采云电子交易客户端”编制并加密响应文件。</w:t>
            </w:r>
          </w:p>
        </w:tc>
      </w:tr>
      <w:tr w14:paraId="65AB60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50A8E2F8">
            <w:pPr>
              <w:autoSpaceDE w:val="0"/>
              <w:autoSpaceDN w:val="0"/>
              <w:adjustRightInd w:val="0"/>
              <w:snapToGrid w:val="0"/>
              <w:spacing w:line="460" w:lineRule="exac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18</w:t>
            </w:r>
          </w:p>
        </w:tc>
        <w:tc>
          <w:tcPr>
            <w:tcW w:w="2100" w:type="dxa"/>
            <w:vAlign w:val="center"/>
          </w:tcPr>
          <w:p w14:paraId="7FCCF25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w:t>
            </w:r>
          </w:p>
          <w:p w14:paraId="1537B073">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份数</w:t>
            </w:r>
          </w:p>
        </w:tc>
        <w:tc>
          <w:tcPr>
            <w:tcW w:w="7217" w:type="dxa"/>
            <w:vAlign w:val="center"/>
          </w:tcPr>
          <w:p w14:paraId="06476793">
            <w:pPr>
              <w:pStyle w:val="32"/>
              <w:tabs>
                <w:tab w:val="right" w:leader="dot" w:pos="9118"/>
              </w:tabs>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“电子加密响应文件”：在线上传递交，一份。</w:t>
            </w:r>
            <w:r>
              <w:rPr>
                <w:rFonts w:hint="eastAsia" w:ascii="宋体" w:hAnsi="宋体" w:eastAsia="宋体" w:cs="宋体"/>
                <w:b w:val="0"/>
                <w:snapToGrid w:val="0"/>
                <w:color w:val="auto"/>
                <w:sz w:val="22"/>
                <w:szCs w:val="22"/>
                <w:highlight w:val="none"/>
              </w:rPr>
              <w:t>（供应商还可以在响应截止时间前递交以介质（U盘）存储的数据电文形式的“备份响应文件”一份。）</w:t>
            </w:r>
          </w:p>
        </w:tc>
      </w:tr>
      <w:tr w14:paraId="6D3E73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5776659A">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2100" w:type="dxa"/>
            <w:vAlign w:val="center"/>
          </w:tcPr>
          <w:p w14:paraId="41AA970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217" w:type="dxa"/>
            <w:vAlign w:val="center"/>
          </w:tcPr>
          <w:p w14:paraId="7B5EC4EF">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提交响应文件截止时间起90天内。</w:t>
            </w:r>
          </w:p>
        </w:tc>
      </w:tr>
      <w:tr w14:paraId="0C134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48" w:hRule="atLeast"/>
          <w:jc w:val="center"/>
        </w:trPr>
        <w:tc>
          <w:tcPr>
            <w:tcW w:w="740" w:type="dxa"/>
            <w:vAlign w:val="center"/>
          </w:tcPr>
          <w:p w14:paraId="61DD21EB">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2100" w:type="dxa"/>
            <w:vAlign w:val="center"/>
          </w:tcPr>
          <w:p w14:paraId="0476F91C">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响应文件的签章</w:t>
            </w:r>
          </w:p>
        </w:tc>
        <w:tc>
          <w:tcPr>
            <w:tcW w:w="7217" w:type="dxa"/>
            <w:vAlign w:val="center"/>
          </w:tcPr>
          <w:p w14:paraId="1409C46F">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响应文件中所涉及的公章均采用CA电子签章。</w:t>
            </w:r>
          </w:p>
        </w:tc>
      </w:tr>
      <w:tr w14:paraId="21DAB8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14" w:hRule="atLeast"/>
          <w:jc w:val="center"/>
        </w:trPr>
        <w:tc>
          <w:tcPr>
            <w:tcW w:w="740" w:type="dxa"/>
            <w:vAlign w:val="center"/>
          </w:tcPr>
          <w:p w14:paraId="7DEBD150">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2100" w:type="dxa"/>
            <w:vAlign w:val="center"/>
          </w:tcPr>
          <w:p w14:paraId="2D39FC80">
            <w:pPr>
              <w:adjustRightInd w:val="0"/>
              <w:snapToGrid w:val="0"/>
              <w:spacing w:line="360" w:lineRule="exact"/>
              <w:rPr>
                <w:rFonts w:hint="eastAsia" w:ascii="宋体" w:hAnsi="宋体" w:eastAsia="宋体" w:cs="宋体"/>
                <w:b/>
                <w:snapToGrid w:val="0"/>
                <w:color w:val="auto"/>
                <w:sz w:val="22"/>
                <w:szCs w:val="22"/>
                <w:highlight w:val="none"/>
              </w:rPr>
            </w:pPr>
            <w:r>
              <w:rPr>
                <w:rFonts w:hint="eastAsia" w:ascii="宋体" w:hAnsi="宋体" w:eastAsia="宋体" w:cs="宋体"/>
                <w:snapToGrid w:val="0"/>
                <w:color w:val="auto"/>
                <w:sz w:val="22"/>
                <w:szCs w:val="22"/>
                <w:highlight w:val="none"/>
              </w:rPr>
              <w:t>法定代表人或其授权代表签字或盖章</w:t>
            </w:r>
          </w:p>
        </w:tc>
        <w:tc>
          <w:tcPr>
            <w:tcW w:w="7217" w:type="dxa"/>
            <w:vAlign w:val="center"/>
          </w:tcPr>
          <w:p w14:paraId="696EFAE2">
            <w:pPr>
              <w:rPr>
                <w:rFonts w:hint="eastAsia" w:ascii="宋体" w:hAnsi="宋体" w:eastAsia="宋体" w:cs="宋体"/>
                <w:b/>
                <w:snapToGrid w:val="0"/>
                <w:color w:val="auto"/>
                <w:sz w:val="22"/>
                <w:szCs w:val="22"/>
                <w:highlight w:val="none"/>
              </w:rPr>
            </w:pPr>
            <w:r>
              <w:rPr>
                <w:rFonts w:hint="eastAsia" w:ascii="宋体" w:hAnsi="宋体" w:eastAsia="宋体" w:cs="宋体"/>
                <w:snapToGrid w:val="0"/>
                <w:color w:val="auto"/>
                <w:sz w:val="22"/>
                <w:szCs w:val="22"/>
                <w:highlight w:val="none"/>
              </w:rPr>
              <w:t>本</w:t>
            </w:r>
            <w:r>
              <w:rPr>
                <w:rFonts w:hint="eastAsia" w:ascii="宋体" w:hAnsi="宋体" w:eastAsia="宋体" w:cs="宋体"/>
                <w:color w:val="auto"/>
                <w:sz w:val="22"/>
                <w:szCs w:val="22"/>
                <w:highlight w:val="none"/>
              </w:rPr>
              <w:t>竞争性磋商文件</w:t>
            </w:r>
            <w:r>
              <w:rPr>
                <w:rFonts w:hint="eastAsia" w:ascii="宋体" w:hAnsi="宋体" w:eastAsia="宋体" w:cs="宋体"/>
                <w:snapToGrid w:val="0"/>
                <w:color w:val="auto"/>
                <w:sz w:val="22"/>
                <w:szCs w:val="22"/>
                <w:highlight w:val="none"/>
              </w:rPr>
              <w:t>所涉及的法定代表人或其授权代表签字或盖章的内容，如果磋商供应商没有法定代表人电子签章，涉及到法定代表人或其授权代表签字或盖章的内容，磋商供应商可以线下签字或盖章后扫描上传。</w:t>
            </w:r>
          </w:p>
        </w:tc>
      </w:tr>
      <w:tr w14:paraId="08C255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06E8F010">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2100" w:type="dxa"/>
            <w:vAlign w:val="center"/>
          </w:tcPr>
          <w:p w14:paraId="6E63D08C">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投标样品</w:t>
            </w:r>
          </w:p>
        </w:tc>
        <w:tc>
          <w:tcPr>
            <w:tcW w:w="7217" w:type="dxa"/>
            <w:vAlign w:val="center"/>
          </w:tcPr>
          <w:p w14:paraId="460F1309">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不需要</w:t>
            </w:r>
          </w:p>
          <w:p w14:paraId="2E8C0284">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w:t>
            </w:r>
          </w:p>
        </w:tc>
      </w:tr>
      <w:tr w14:paraId="53D43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40" w:type="dxa"/>
            <w:vAlign w:val="center"/>
          </w:tcPr>
          <w:p w14:paraId="13E75B43">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2100" w:type="dxa"/>
            <w:vAlign w:val="center"/>
          </w:tcPr>
          <w:p w14:paraId="3FCA86A2">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7217" w:type="dxa"/>
            <w:vAlign w:val="center"/>
          </w:tcPr>
          <w:p w14:paraId="2D917EDE">
            <w:pPr>
              <w:spacing w:line="36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无</w:t>
            </w:r>
          </w:p>
        </w:tc>
      </w:tr>
      <w:tr w14:paraId="29F8DF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00" w:hRule="atLeast"/>
          <w:jc w:val="center"/>
        </w:trPr>
        <w:tc>
          <w:tcPr>
            <w:tcW w:w="740" w:type="dxa"/>
            <w:vAlign w:val="center"/>
          </w:tcPr>
          <w:p w14:paraId="33A83F5A">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2100" w:type="dxa"/>
            <w:vAlign w:val="center"/>
          </w:tcPr>
          <w:p w14:paraId="3E5F5722">
            <w:pPr>
              <w:adjustRightIn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w:t>
            </w:r>
          </w:p>
        </w:tc>
        <w:tc>
          <w:tcPr>
            <w:tcW w:w="7217" w:type="dxa"/>
            <w:vAlign w:val="center"/>
          </w:tcPr>
          <w:p w14:paraId="66C156C6">
            <w:pPr>
              <w:spacing w:line="320" w:lineRule="exac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highlight w:val="none"/>
              </w:rPr>
              <w:t>不需要</w:t>
            </w:r>
          </w:p>
          <w:p w14:paraId="1ED65BED">
            <w:pPr>
              <w:adjustRightInd w:val="0"/>
              <w:spacing w:line="360" w:lineRule="exact"/>
              <w:rPr>
                <w:rFonts w:hint="eastAsia" w:ascii="宋体" w:hAnsi="宋体" w:eastAsia="宋体" w:cs="宋体"/>
                <w:color w:val="auto"/>
                <w:sz w:val="22"/>
                <w:szCs w:val="22"/>
                <w:highlight w:val="none"/>
              </w:rPr>
            </w:pP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 xml:space="preserve">需要 </w:t>
            </w:r>
          </w:p>
        </w:tc>
      </w:tr>
      <w:tr w14:paraId="57926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68" w:hRule="atLeast"/>
          <w:jc w:val="center"/>
        </w:trPr>
        <w:tc>
          <w:tcPr>
            <w:tcW w:w="740" w:type="dxa"/>
            <w:vAlign w:val="center"/>
          </w:tcPr>
          <w:p w14:paraId="6510BECA">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2100" w:type="dxa"/>
            <w:vAlign w:val="center"/>
          </w:tcPr>
          <w:p w14:paraId="51BC216A">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竞争性磋商文件</w:t>
            </w:r>
          </w:p>
          <w:p w14:paraId="08E8EAEE">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获取方式</w:t>
            </w:r>
          </w:p>
        </w:tc>
        <w:tc>
          <w:tcPr>
            <w:tcW w:w="7217" w:type="dxa"/>
            <w:vAlign w:val="center"/>
          </w:tcPr>
          <w:p w14:paraId="3C85DF61">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见公告具体说明。</w:t>
            </w:r>
          </w:p>
        </w:tc>
      </w:tr>
      <w:tr w14:paraId="1FF403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2C993340">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2100" w:type="dxa"/>
            <w:vAlign w:val="center"/>
          </w:tcPr>
          <w:p w14:paraId="5B2D4C43">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响应文件提交(上传)截止时间、地点</w:t>
            </w:r>
          </w:p>
        </w:tc>
        <w:tc>
          <w:tcPr>
            <w:tcW w:w="7217" w:type="dxa"/>
            <w:vAlign w:val="center"/>
          </w:tcPr>
          <w:p w14:paraId="66482F96">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截止时间：</w:t>
            </w:r>
            <w:r>
              <w:rPr>
                <w:rFonts w:hint="eastAsia" w:ascii="宋体" w:hAnsi="宋体" w:cs="宋体"/>
                <w:color w:val="auto"/>
                <w:sz w:val="22"/>
                <w:szCs w:val="22"/>
                <w:highlight w:val="none"/>
                <w:lang w:eastAsia="zh-CN"/>
              </w:rPr>
              <w:t>2025年06月27日</w:t>
            </w:r>
            <w:r>
              <w:rPr>
                <w:rFonts w:hint="eastAsia" w:ascii="宋体" w:hAnsi="宋体" w:eastAsia="宋体" w:cs="宋体"/>
                <w:color w:val="auto"/>
                <w:sz w:val="22"/>
                <w:szCs w:val="22"/>
                <w:highlight w:val="none"/>
              </w:rPr>
              <w:t>09:30</w:t>
            </w:r>
            <w:r>
              <w:rPr>
                <w:rFonts w:hint="eastAsia" w:ascii="宋体" w:hAnsi="宋体" w:eastAsia="宋体" w:cs="宋体"/>
                <w:bCs/>
                <w:color w:val="auto"/>
                <w:sz w:val="22"/>
                <w:szCs w:val="22"/>
                <w:highlight w:val="none"/>
              </w:rPr>
              <w:t xml:space="preserve"> (北京时间)</w:t>
            </w:r>
          </w:p>
          <w:p w14:paraId="55112C28">
            <w:pPr>
              <w:spacing w:line="360" w:lineRule="exact"/>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地点（网址）：</w:t>
            </w:r>
            <w:r>
              <w:rPr>
                <w:rFonts w:hint="eastAsia" w:ascii="宋体" w:hAnsi="宋体" w:eastAsia="宋体" w:cs="宋体"/>
                <w:color w:val="auto"/>
                <w:sz w:val="22"/>
                <w:szCs w:val="22"/>
                <w:highlight w:val="none"/>
              </w:rPr>
              <w:t>通过政采云平台在线投标</w:t>
            </w:r>
          </w:p>
        </w:tc>
      </w:tr>
      <w:tr w14:paraId="74FBD3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780E7970">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2100" w:type="dxa"/>
            <w:vAlign w:val="center"/>
          </w:tcPr>
          <w:p w14:paraId="4E70D454">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响应文件开启时间、地点</w:t>
            </w:r>
          </w:p>
        </w:tc>
        <w:tc>
          <w:tcPr>
            <w:tcW w:w="7217" w:type="dxa"/>
            <w:vAlign w:val="center"/>
          </w:tcPr>
          <w:p w14:paraId="5D1BEFB2">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开启时间：</w:t>
            </w:r>
            <w:r>
              <w:rPr>
                <w:rFonts w:hint="eastAsia" w:ascii="宋体" w:hAnsi="宋体" w:cs="宋体"/>
                <w:color w:val="auto"/>
                <w:sz w:val="22"/>
                <w:szCs w:val="22"/>
                <w:highlight w:val="none"/>
                <w:lang w:eastAsia="zh-CN"/>
              </w:rPr>
              <w:t>2025年06月27日</w:t>
            </w:r>
            <w:r>
              <w:rPr>
                <w:rFonts w:hint="eastAsia" w:ascii="宋体" w:hAnsi="宋体" w:eastAsia="宋体" w:cs="宋体"/>
                <w:color w:val="auto"/>
                <w:sz w:val="22"/>
                <w:szCs w:val="22"/>
                <w:highlight w:val="none"/>
              </w:rPr>
              <w:t>09:30</w:t>
            </w:r>
            <w:r>
              <w:rPr>
                <w:rFonts w:hint="eastAsia" w:ascii="宋体" w:hAnsi="宋体" w:eastAsia="宋体" w:cs="宋体"/>
                <w:bCs/>
                <w:color w:val="auto"/>
                <w:sz w:val="22"/>
                <w:szCs w:val="22"/>
                <w:highlight w:val="none"/>
              </w:rPr>
              <w:t xml:space="preserve"> (北京时间)</w:t>
            </w:r>
          </w:p>
          <w:p w14:paraId="1ACE31A3">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w:t>
            </w:r>
            <w:r>
              <w:rPr>
                <w:rFonts w:hint="eastAsia" w:ascii="宋体" w:hAnsi="宋体" w:eastAsia="宋体" w:cs="宋体"/>
                <w:color w:val="auto"/>
                <w:kern w:val="0"/>
                <w:sz w:val="22"/>
                <w:szCs w:val="22"/>
                <w:highlight w:val="none"/>
              </w:rPr>
              <w:t>（网址）</w:t>
            </w:r>
            <w:r>
              <w:rPr>
                <w:rFonts w:hint="eastAsia" w:ascii="宋体" w:hAnsi="宋体" w:eastAsia="宋体" w:cs="宋体"/>
                <w:color w:val="auto"/>
                <w:sz w:val="22"/>
                <w:szCs w:val="22"/>
                <w:highlight w:val="none"/>
              </w:rPr>
              <w:t>：浙江省乐清市宁康东路368弄55号乐清市中源建设咨询有限公司1楼（</w:t>
            </w:r>
            <w:r>
              <w:rPr>
                <w:rFonts w:hint="eastAsia" w:ascii="宋体" w:hAnsi="宋体" w:eastAsia="宋体" w:cs="宋体"/>
                <w:color w:val="auto"/>
                <w:kern w:val="0"/>
                <w:sz w:val="22"/>
                <w:szCs w:val="22"/>
                <w:highlight w:val="none"/>
              </w:rPr>
              <w:t>政采云平台</w:t>
            </w:r>
            <w:r>
              <w:rPr>
                <w:rFonts w:hint="eastAsia" w:ascii="宋体" w:hAnsi="宋体" w:eastAsia="宋体" w:cs="宋体"/>
                <w:color w:val="auto"/>
                <w:sz w:val="22"/>
                <w:szCs w:val="22"/>
                <w:highlight w:val="none"/>
              </w:rPr>
              <w:t>线上开标）</w:t>
            </w:r>
          </w:p>
        </w:tc>
      </w:tr>
      <w:tr w14:paraId="36111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40" w:type="dxa"/>
            <w:vAlign w:val="center"/>
          </w:tcPr>
          <w:p w14:paraId="2FD0E8B0">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2100" w:type="dxa"/>
            <w:vAlign w:val="center"/>
          </w:tcPr>
          <w:p w14:paraId="21BE8B0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响应文件上传和</w:t>
            </w:r>
          </w:p>
          <w:p w14:paraId="12BEA08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递交</w:t>
            </w:r>
          </w:p>
        </w:tc>
        <w:tc>
          <w:tcPr>
            <w:tcW w:w="7217" w:type="dxa"/>
            <w:vAlign w:val="center"/>
          </w:tcPr>
          <w:p w14:paraId="52C1D893">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本项目通过“政府采购云平台（www.zcygov.cn）”实行在线投标响应（电子投标），磋商供应商应当在响应文件递交截止时间前，将生成的“电子加密响应文件”上传递交至“政府采购云平台”。</w:t>
            </w:r>
          </w:p>
          <w:p w14:paraId="0D7A8A65">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（1）“电子加密响应文件”的上传、递交：</w:t>
            </w:r>
          </w:p>
          <w:p w14:paraId="76AB638F">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a.磋商供应商应在响应文件递交截止时间前将“电子加密响应文件”成功上传递交至“政府采购云平台”，否则投标无效。</w:t>
            </w:r>
          </w:p>
          <w:p w14:paraId="08B993EA">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b.“电子加密响应文件”成功上传递交后，供应商可自行打印响应文件接收回执。</w:t>
            </w:r>
          </w:p>
          <w:p w14:paraId="117052D4">
            <w:pPr>
              <w:pStyle w:val="25"/>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（2）“备份响应文件”的密封包装、递交：</w:t>
            </w:r>
          </w:p>
          <w:p w14:paraId="21ACEA38">
            <w:pPr>
              <w:pStyle w:val="25"/>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a.</w:t>
            </w:r>
            <w:r>
              <w:rPr>
                <w:rFonts w:hint="eastAsia" w:ascii="宋体" w:hAnsi="宋体" w:eastAsia="宋体" w:cs="宋体"/>
                <w:color w:val="auto"/>
                <w:sz w:val="22"/>
                <w:szCs w:val="22"/>
                <w:highlight w:val="none"/>
              </w:rPr>
              <w:t>磋商供应商在“政府采购云平台”完成“电子加密响应文件”的上传递交后，还可以在开标时间前递交以介质（U盘）存储的数据电文形式的“备份响应文件”。“备份响应文件”应当密封包装并在包装上标注项目名称、供应商名称。</w:t>
            </w:r>
          </w:p>
          <w:p w14:paraId="063523B9">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w:t>
            </w:r>
            <w:r>
              <w:rPr>
                <w:rFonts w:hint="eastAsia" w:ascii="宋体" w:hAnsi="宋体" w:eastAsia="宋体" w:cs="宋体"/>
                <w:color w:val="auto"/>
                <w:sz w:val="22"/>
                <w:szCs w:val="22"/>
                <w:highlight w:val="none"/>
              </w:rPr>
              <w:t>备份响应文件密封包装后在响应文件递交截止时间前递交一份（递交方式：允许直接到乐清市中源建设咨询有限公司递交或采用邮寄形式。采用邮寄形式的，寄件信息的备注里注明采购项目的名称、供应商名称、法定代表人或其授权代表的联系电话，工作日送达。邮寄地址：浙江省乐清市宁康东路368弄55号，收件人：林女士，电话：18815082500）。</w:t>
            </w:r>
          </w:p>
        </w:tc>
      </w:tr>
      <w:tr w14:paraId="516735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3F1DC75E">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2100" w:type="dxa"/>
            <w:vAlign w:val="center"/>
          </w:tcPr>
          <w:p w14:paraId="632355DA">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电子加密响应文件的解密和异常情况处理</w:t>
            </w:r>
          </w:p>
        </w:tc>
        <w:tc>
          <w:tcPr>
            <w:tcW w:w="7217" w:type="dxa"/>
            <w:vAlign w:val="center"/>
          </w:tcPr>
          <w:p w14:paraId="5CA6957A">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1、开标后，采购组织机构将向各磋商供应商发出“电子加密响应文件”的解密通知，各磋商供应商代表应当在接到解密通知后30分钟内自行完成“电子加密响应文件”的在线解密。</w:t>
            </w:r>
          </w:p>
          <w:p w14:paraId="6112A039">
            <w:pPr>
              <w:spacing w:line="3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color w:val="auto"/>
                <w:sz w:val="22"/>
                <w:szCs w:val="22"/>
                <w:highlight w:val="none"/>
              </w:rPr>
              <w:t>通过“政府采购云平台”上传递交的“电子加密响应文件”无法按时解密，供应商递交了备份响应文件的，以备份响应文件为依据（由采购组织机构按“政府采购云平台”操作规范将“备份响应文件”上传至“政府采购云平台”，上传成功后，“电子加密响应文件”自动失效），否则视为响应文件撤回。</w:t>
            </w:r>
          </w:p>
        </w:tc>
      </w:tr>
      <w:tr w14:paraId="303A8A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0F2584BD">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2100" w:type="dxa"/>
            <w:vAlign w:val="center"/>
          </w:tcPr>
          <w:p w14:paraId="2152890A">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磋商小组的组建</w:t>
            </w:r>
          </w:p>
        </w:tc>
        <w:tc>
          <w:tcPr>
            <w:tcW w:w="7217" w:type="dxa"/>
            <w:vAlign w:val="center"/>
          </w:tcPr>
          <w:p w14:paraId="6769ACFC">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磋商小组构成：由采购人代表以及有关技术、经济等方面的专家组成，成员为3人及以上单数，其中技术、经济类专家不得少于总人数的2/3；评标专家确定方式：按相关规定从专家库中抽取。</w:t>
            </w:r>
          </w:p>
        </w:tc>
      </w:tr>
      <w:tr w14:paraId="090A53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40" w:type="dxa"/>
            <w:vAlign w:val="center"/>
          </w:tcPr>
          <w:p w14:paraId="0DAD7F20">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2100" w:type="dxa"/>
            <w:vAlign w:val="center"/>
          </w:tcPr>
          <w:p w14:paraId="65B464A4">
            <w:pPr>
              <w:adjustRightInd w:val="0"/>
              <w:jc w:val="center"/>
              <w:rPr>
                <w:rFonts w:ascii="宋体" w:eastAsia="宋体"/>
                <w:b w:val="0"/>
                <w:color w:val="auto"/>
                <w:sz w:val="22"/>
                <w:highlight w:val="none"/>
              </w:rPr>
            </w:pPr>
            <w:r>
              <w:rPr>
                <w:rFonts w:hint="eastAsia" w:ascii="宋体" w:eastAsia="宋体"/>
                <w:b w:val="0"/>
                <w:color w:val="auto"/>
                <w:sz w:val="22"/>
                <w:highlight w:val="none"/>
              </w:rPr>
              <w:t>政府采购</w:t>
            </w:r>
          </w:p>
          <w:p w14:paraId="240C33A9">
            <w:pPr>
              <w:adjustRightInd w:val="0"/>
              <w:jc w:val="center"/>
              <w:rPr>
                <w:rFonts w:hint="eastAsia" w:ascii="宋体" w:hAnsi="宋体" w:eastAsia="宋体" w:cs="宋体"/>
                <w:color w:val="auto"/>
                <w:sz w:val="22"/>
                <w:szCs w:val="22"/>
                <w:highlight w:val="none"/>
              </w:rPr>
            </w:pPr>
            <w:r>
              <w:rPr>
                <w:rFonts w:hint="eastAsia" w:ascii="宋体" w:eastAsia="宋体"/>
                <w:b w:val="0"/>
                <w:color w:val="auto"/>
                <w:sz w:val="22"/>
                <w:highlight w:val="none"/>
              </w:rPr>
              <w:t>扶持政策</w:t>
            </w:r>
          </w:p>
        </w:tc>
        <w:tc>
          <w:tcPr>
            <w:tcW w:w="7217" w:type="dxa"/>
            <w:vAlign w:val="center"/>
          </w:tcPr>
          <w:p w14:paraId="1D5F4779">
            <w:pPr>
              <w:rPr>
                <w:rFonts w:hint="eastAsia" w:ascii="宋体" w:hAnsi="宋体" w:eastAsia="宋体" w:cs="宋体"/>
                <w:color w:val="auto"/>
                <w:sz w:val="22"/>
                <w:szCs w:val="22"/>
                <w:highlight w:val="none"/>
              </w:rPr>
            </w:pPr>
            <w:r>
              <w:rPr>
                <w:rFonts w:hint="eastAsia" w:ascii="宋体" w:eastAsia="宋体"/>
                <w:b w:val="0"/>
                <w:color w:val="auto"/>
                <w:sz w:val="22"/>
                <w:highlight w:val="none"/>
              </w:rPr>
              <w:t>对符合财政扶持政策的小微企业（或监狱企业或残疾人福利性单位）给予评标价格优惠。供应商企业属于以上多种性质的，不重复享受扶持政策。</w:t>
            </w:r>
          </w:p>
        </w:tc>
      </w:tr>
      <w:tr w14:paraId="4CBD51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36D1306A">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2100" w:type="dxa"/>
            <w:vAlign w:val="center"/>
          </w:tcPr>
          <w:p w14:paraId="1BE57C5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p>
          <w:p w14:paraId="6199DD20">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信用查询</w:t>
            </w:r>
          </w:p>
        </w:tc>
        <w:tc>
          <w:tcPr>
            <w:tcW w:w="7217" w:type="dxa"/>
            <w:vAlign w:val="center"/>
          </w:tcPr>
          <w:p w14:paraId="2F4E2279">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1、磋商供应商信用信息查询的查询渠道：“信用中国”(www.creditchina.gov.cn)；“中国政府采购网”（www.ccgp.gov.cn）。</w:t>
            </w:r>
          </w:p>
          <w:p w14:paraId="68466B1F">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2、供应商信用信息查询截止时点：公告发布之日至响应文件递交截止时间前。</w:t>
            </w:r>
          </w:p>
          <w:p w14:paraId="3D9FCC28">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3、供应商信用信息查询记录和证据留存的具体方式：网页截图打印。</w:t>
            </w:r>
          </w:p>
          <w:p w14:paraId="3A3967A4">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对列入失信被执行人、重大税收违法失信主体、政府采购严重违法失信行为记录名单及其他不符合《中华人民共和国政府采购法》第二十二条规定条件的供应商，其投标做无效响应处理。</w:t>
            </w:r>
          </w:p>
        </w:tc>
      </w:tr>
      <w:tr w14:paraId="486A9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1762186C">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2100" w:type="dxa"/>
            <w:vAlign w:val="center"/>
          </w:tcPr>
          <w:p w14:paraId="34A029A0">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217" w:type="dxa"/>
            <w:vAlign w:val="center"/>
          </w:tcPr>
          <w:p w14:paraId="4644AB93">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1、成交供应商须在成交通知书发出之日起30日历天内与采购人签订合同。</w:t>
            </w:r>
          </w:p>
          <w:p w14:paraId="161CE0E7">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2、成交供应商与采购人签订合同后，2日历天内将合同原件送至采购人及采购代理机构处。</w:t>
            </w:r>
          </w:p>
          <w:p w14:paraId="10340350">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3、本项目政府采购合同按规定在浙江政府采购网予以公告。</w:t>
            </w:r>
          </w:p>
        </w:tc>
      </w:tr>
      <w:tr w14:paraId="32320F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24ED4E83">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w:t>
            </w:r>
          </w:p>
        </w:tc>
        <w:tc>
          <w:tcPr>
            <w:tcW w:w="2100" w:type="dxa"/>
            <w:vAlign w:val="center"/>
          </w:tcPr>
          <w:p w14:paraId="33E33EE6">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217" w:type="dxa"/>
            <w:vAlign w:val="center"/>
          </w:tcPr>
          <w:p w14:paraId="78CBF85A">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合同签订后，采购人依法加强对合同履约进行管理，并在成交单位供货、项目验收等重要关节，如实填写《合同验收报告》，并及时向同级财政部门报告验收过程中遇到的问题。</w:t>
            </w:r>
          </w:p>
        </w:tc>
      </w:tr>
      <w:tr w14:paraId="41476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56E1FEF5">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p>
        </w:tc>
        <w:tc>
          <w:tcPr>
            <w:tcW w:w="2100" w:type="dxa"/>
            <w:vAlign w:val="center"/>
          </w:tcPr>
          <w:p w14:paraId="5C1F030C">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免责声明</w:t>
            </w:r>
          </w:p>
        </w:tc>
        <w:tc>
          <w:tcPr>
            <w:tcW w:w="7217" w:type="dxa"/>
            <w:vAlign w:val="center"/>
          </w:tcPr>
          <w:p w14:paraId="77330AD8">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1、供应商自行承担投标过程中产生的费用。无论何种因素导致采购项目延期开标、废标（流标）、磋商供应商未中标、项目终止采购的，采购人与采购代理机构均不承担供应商投标费用。</w:t>
            </w:r>
          </w:p>
          <w:p w14:paraId="46398B16">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2、磋商供应商在投标、合同履行过程中必须做好安全保障工作，不因项目实施而危及自身及第三方人员、财产安全。若发生任何安全事故，由成交供应商自行承担一切责任并赔偿损失。</w:t>
            </w:r>
          </w:p>
        </w:tc>
      </w:tr>
      <w:tr w14:paraId="065FD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740" w:type="dxa"/>
            <w:vAlign w:val="center"/>
          </w:tcPr>
          <w:p w14:paraId="2BF007A0">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w:t>
            </w:r>
          </w:p>
        </w:tc>
        <w:tc>
          <w:tcPr>
            <w:tcW w:w="2100" w:type="dxa"/>
            <w:vAlign w:val="center"/>
          </w:tcPr>
          <w:p w14:paraId="589BAABB">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w:t>
            </w:r>
          </w:p>
        </w:tc>
        <w:tc>
          <w:tcPr>
            <w:tcW w:w="7217" w:type="dxa"/>
            <w:vAlign w:val="center"/>
          </w:tcPr>
          <w:p w14:paraId="2623B58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认为磋商文件、采购过程、中标或者成交结果使自己的权益受到损害的，可以在知道或者应知其权益受到损害之日起7个工作日内，以书面形式向采购人、采购代理机构提出质疑，逾期采购代理机构可不予受理及答复。供应商须在法定质疑期内一次性提出针对同一采购程序环节的质疑。</w:t>
            </w:r>
          </w:p>
        </w:tc>
      </w:tr>
      <w:tr w14:paraId="00871C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48" w:hRule="atLeast"/>
          <w:jc w:val="center"/>
        </w:trPr>
        <w:tc>
          <w:tcPr>
            <w:tcW w:w="740" w:type="dxa"/>
            <w:vAlign w:val="center"/>
          </w:tcPr>
          <w:p w14:paraId="15E8F7D5">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w:t>
            </w:r>
          </w:p>
        </w:tc>
        <w:tc>
          <w:tcPr>
            <w:tcW w:w="2100" w:type="dxa"/>
            <w:vAlign w:val="center"/>
          </w:tcPr>
          <w:p w14:paraId="0AEC9573">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217" w:type="dxa"/>
            <w:vAlign w:val="center"/>
          </w:tcPr>
          <w:p w14:paraId="2D2F03AF">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2DD5E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48" w:hRule="atLeast"/>
          <w:jc w:val="center"/>
        </w:trPr>
        <w:tc>
          <w:tcPr>
            <w:tcW w:w="740" w:type="dxa"/>
            <w:vAlign w:val="center"/>
          </w:tcPr>
          <w:p w14:paraId="5F0157B4">
            <w:pPr>
              <w:widowControl/>
              <w:tabs>
                <w:tab w:val="left" w:pos="420"/>
                <w:tab w:val="left" w:pos="1145"/>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w:t>
            </w:r>
          </w:p>
        </w:tc>
        <w:tc>
          <w:tcPr>
            <w:tcW w:w="2100" w:type="dxa"/>
            <w:vAlign w:val="center"/>
          </w:tcPr>
          <w:p w14:paraId="6F192324">
            <w:pPr>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注意事项</w:t>
            </w:r>
          </w:p>
        </w:tc>
        <w:tc>
          <w:tcPr>
            <w:tcW w:w="7217" w:type="dxa"/>
            <w:vAlign w:val="center"/>
          </w:tcPr>
          <w:p w14:paraId="1D99C24A">
            <w:pPr>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1.请务必确保响应文件制作客户端为最新版本，旧版本可能导致响应文件解密失败。</w:t>
            </w:r>
          </w:p>
          <w:p w14:paraId="68FEC4B1">
            <w:pPr>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2.请务必确保响应文件制作时所用的 CA 锁与响应文件解密时的 CA 锁为同一把，否则可能导致响应文件解密失败（投标前务必查看CA数字证书是否在有效期内）。</w:t>
            </w:r>
          </w:p>
        </w:tc>
      </w:tr>
    </w:tbl>
    <w:p w14:paraId="122E39D6">
      <w:pPr>
        <w:autoSpaceDE w:val="0"/>
        <w:autoSpaceDN w:val="0"/>
        <w:adjustRightInd w:val="0"/>
        <w:snapToGrid w:val="0"/>
        <w:spacing w:line="460" w:lineRule="atLeast"/>
        <w:jc w:val="center"/>
        <w:textAlignment w:val="bottom"/>
        <w:rPr>
          <w:rFonts w:hint="eastAsia" w:ascii="宋体" w:hAnsi="宋体" w:eastAsia="宋体" w:cs="宋体"/>
          <w:color w:val="auto"/>
          <w:sz w:val="36"/>
          <w:highlight w:val="none"/>
        </w:rPr>
      </w:pPr>
    </w:p>
    <w:p w14:paraId="01F61D5B">
      <w:pPr>
        <w:autoSpaceDE w:val="0"/>
        <w:autoSpaceDN w:val="0"/>
        <w:adjustRightInd w:val="0"/>
        <w:snapToGrid w:val="0"/>
        <w:spacing w:afterLines="50" w:line="460" w:lineRule="atLeast"/>
        <w:jc w:val="center"/>
        <w:textAlignment w:val="bottom"/>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r>
        <w:rPr>
          <w:rFonts w:hint="eastAsia" w:ascii="宋体" w:hAnsi="宋体" w:eastAsia="宋体" w:cs="宋体"/>
          <w:color w:val="auto"/>
          <w:sz w:val="36"/>
          <w:highlight w:val="none"/>
        </w:rPr>
        <w:t>第二部分  采购内容及要求</w:t>
      </w:r>
    </w:p>
    <w:p w14:paraId="60966CD3">
      <w:pPr>
        <w:tabs>
          <w:tab w:val="left" w:pos="540"/>
        </w:tabs>
        <w:adjustRightInd w:val="0"/>
        <w:snapToGrid w:val="0"/>
        <w:spacing w:line="460" w:lineRule="exact"/>
        <w:ind w:left="-34" w:leftChars="-16"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一、采购概况</w:t>
      </w:r>
    </w:p>
    <w:p w14:paraId="2F50194D">
      <w:pPr>
        <w:tabs>
          <w:tab w:val="left" w:pos="0"/>
        </w:tabs>
        <w:snapToGrid w:val="0"/>
        <w:spacing w:line="460" w:lineRule="exac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本次采购是为乐清市人民医院内30台电梯提供维保服务，主要包括电梯的日常巡检、电梯故障维修、技术服务等电梯维保服务内容。</w:t>
      </w:r>
    </w:p>
    <w:p w14:paraId="024F6618">
      <w:pPr>
        <w:tabs>
          <w:tab w:val="left" w:pos="0"/>
        </w:tabs>
        <w:snapToGrid w:val="0"/>
        <w:spacing w:line="460" w:lineRule="exac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二、采购内容</w:t>
      </w:r>
    </w:p>
    <w:p w14:paraId="548291A3">
      <w:pPr>
        <w:tabs>
          <w:tab w:val="left" w:pos="0"/>
        </w:tabs>
        <w:snapToGrid w:val="0"/>
        <w:spacing w:line="460" w:lineRule="exac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1、维保清单：</w:t>
      </w:r>
    </w:p>
    <w:tbl>
      <w:tblPr>
        <w:tblStyle w:val="47"/>
        <w:tblW w:w="9503" w:type="dxa"/>
        <w:tblInd w:w="95" w:type="dxa"/>
        <w:tblLayout w:type="autofit"/>
        <w:tblCellMar>
          <w:top w:w="0" w:type="dxa"/>
          <w:left w:w="108" w:type="dxa"/>
          <w:bottom w:w="0" w:type="dxa"/>
          <w:right w:w="108" w:type="dxa"/>
        </w:tblCellMar>
      </w:tblPr>
      <w:tblGrid>
        <w:gridCol w:w="600"/>
        <w:gridCol w:w="1114"/>
        <w:gridCol w:w="1316"/>
        <w:gridCol w:w="1016"/>
        <w:gridCol w:w="1354"/>
        <w:gridCol w:w="876"/>
        <w:gridCol w:w="986"/>
        <w:gridCol w:w="1391"/>
        <w:gridCol w:w="850"/>
      </w:tblGrid>
      <w:tr w14:paraId="0CF78A46">
        <w:trPr>
          <w:trHeight w:val="765" w:hRule="atLeast"/>
          <w:tblHeader/>
        </w:trPr>
        <w:tc>
          <w:tcPr>
            <w:tcW w:w="600" w:type="dxa"/>
            <w:tcBorders>
              <w:top w:val="single" w:color="auto" w:sz="4" w:space="0"/>
              <w:left w:val="single" w:color="auto" w:sz="4" w:space="0"/>
              <w:bottom w:val="single" w:color="auto" w:sz="4" w:space="0"/>
              <w:right w:val="single" w:color="auto" w:sz="4" w:space="0"/>
            </w:tcBorders>
            <w:noWrap/>
            <w:vAlign w:val="center"/>
          </w:tcPr>
          <w:p w14:paraId="2C29D0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114" w:type="dxa"/>
            <w:tcBorders>
              <w:top w:val="single" w:color="auto" w:sz="4" w:space="0"/>
              <w:left w:val="nil"/>
              <w:bottom w:val="single" w:color="auto" w:sz="4" w:space="0"/>
              <w:right w:val="single" w:color="auto" w:sz="4" w:space="0"/>
            </w:tcBorders>
            <w:noWrap/>
            <w:vAlign w:val="center"/>
          </w:tcPr>
          <w:p w14:paraId="3571951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使用部位</w:t>
            </w:r>
          </w:p>
        </w:tc>
        <w:tc>
          <w:tcPr>
            <w:tcW w:w="1316" w:type="dxa"/>
            <w:tcBorders>
              <w:top w:val="single" w:color="auto" w:sz="4" w:space="0"/>
              <w:left w:val="nil"/>
              <w:bottom w:val="single" w:color="auto" w:sz="4" w:space="0"/>
              <w:right w:val="single" w:color="auto" w:sz="4" w:space="0"/>
            </w:tcBorders>
            <w:noWrap/>
            <w:vAlign w:val="center"/>
          </w:tcPr>
          <w:p w14:paraId="287357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电梯备案</w:t>
            </w:r>
          </w:p>
          <w:p w14:paraId="3BC368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编号</w:t>
            </w:r>
          </w:p>
        </w:tc>
        <w:tc>
          <w:tcPr>
            <w:tcW w:w="1016" w:type="dxa"/>
            <w:tcBorders>
              <w:top w:val="single" w:color="auto" w:sz="4" w:space="0"/>
              <w:left w:val="nil"/>
              <w:bottom w:val="single" w:color="auto" w:sz="4" w:space="0"/>
              <w:right w:val="single" w:color="auto" w:sz="4" w:space="0"/>
            </w:tcBorders>
            <w:noWrap/>
            <w:vAlign w:val="center"/>
          </w:tcPr>
          <w:p w14:paraId="7D04200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规格型号</w:t>
            </w:r>
          </w:p>
        </w:tc>
        <w:tc>
          <w:tcPr>
            <w:tcW w:w="1354" w:type="dxa"/>
            <w:tcBorders>
              <w:top w:val="single" w:color="auto" w:sz="4" w:space="0"/>
              <w:left w:val="nil"/>
              <w:bottom w:val="single" w:color="auto" w:sz="4" w:space="0"/>
              <w:right w:val="single" w:color="auto" w:sz="4" w:space="0"/>
            </w:tcBorders>
            <w:noWrap/>
            <w:vAlign w:val="center"/>
          </w:tcPr>
          <w:p w14:paraId="4939A25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制造单位</w:t>
            </w:r>
          </w:p>
        </w:tc>
        <w:tc>
          <w:tcPr>
            <w:tcW w:w="876" w:type="dxa"/>
            <w:tcBorders>
              <w:top w:val="single" w:color="auto" w:sz="4" w:space="0"/>
              <w:left w:val="nil"/>
              <w:bottom w:val="single" w:color="auto" w:sz="4" w:space="0"/>
              <w:right w:val="single" w:color="auto" w:sz="4" w:space="0"/>
            </w:tcBorders>
            <w:noWrap/>
            <w:vAlign w:val="center"/>
          </w:tcPr>
          <w:p w14:paraId="7EF564D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载重</w:t>
            </w:r>
          </w:p>
          <w:p w14:paraId="1E95F2D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（kg）</w:t>
            </w:r>
          </w:p>
        </w:tc>
        <w:tc>
          <w:tcPr>
            <w:tcW w:w="986" w:type="dxa"/>
            <w:tcBorders>
              <w:top w:val="single" w:color="auto" w:sz="4" w:space="0"/>
              <w:left w:val="nil"/>
              <w:bottom w:val="single" w:color="auto" w:sz="4" w:space="0"/>
              <w:right w:val="single" w:color="auto" w:sz="4" w:space="0"/>
            </w:tcBorders>
            <w:noWrap/>
            <w:vAlign w:val="center"/>
          </w:tcPr>
          <w:p w14:paraId="7E7CD0A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速度</w:t>
            </w:r>
          </w:p>
          <w:p w14:paraId="3115DF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（m/s）</w:t>
            </w:r>
          </w:p>
        </w:tc>
        <w:tc>
          <w:tcPr>
            <w:tcW w:w="1391" w:type="dxa"/>
            <w:tcBorders>
              <w:top w:val="single" w:color="auto" w:sz="4" w:space="0"/>
              <w:left w:val="nil"/>
              <w:bottom w:val="single" w:color="auto" w:sz="4" w:space="0"/>
              <w:right w:val="single" w:color="auto" w:sz="4" w:space="0"/>
            </w:tcBorders>
            <w:noWrap/>
            <w:vAlign w:val="center"/>
          </w:tcPr>
          <w:p w14:paraId="411543A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层站</w:t>
            </w:r>
          </w:p>
          <w:p w14:paraId="2B0FF4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（层/站/门）</w:t>
            </w:r>
          </w:p>
        </w:tc>
        <w:tc>
          <w:tcPr>
            <w:tcW w:w="850" w:type="dxa"/>
            <w:tcBorders>
              <w:top w:val="single" w:color="auto" w:sz="4" w:space="0"/>
              <w:left w:val="nil"/>
              <w:bottom w:val="single" w:color="auto" w:sz="4" w:space="0"/>
              <w:right w:val="single" w:color="auto" w:sz="4" w:space="0"/>
            </w:tcBorders>
            <w:noWrap/>
            <w:vAlign w:val="center"/>
          </w:tcPr>
          <w:p w14:paraId="58CF4F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数量</w:t>
            </w:r>
          </w:p>
          <w:p w14:paraId="74794C6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（台）</w:t>
            </w:r>
          </w:p>
        </w:tc>
      </w:tr>
      <w:tr w14:paraId="64BF74B4">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8AE9B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114" w:type="dxa"/>
            <w:tcBorders>
              <w:top w:val="nil"/>
              <w:left w:val="nil"/>
              <w:bottom w:val="single" w:color="auto" w:sz="4" w:space="0"/>
              <w:right w:val="single" w:color="auto" w:sz="4" w:space="0"/>
            </w:tcBorders>
            <w:shd w:val="clear" w:color="auto" w:fill="auto"/>
            <w:noWrap/>
            <w:vAlign w:val="center"/>
          </w:tcPr>
          <w:p w14:paraId="3BD6A37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门诊部</w:t>
            </w:r>
          </w:p>
        </w:tc>
        <w:tc>
          <w:tcPr>
            <w:tcW w:w="1316" w:type="dxa"/>
            <w:tcBorders>
              <w:top w:val="nil"/>
              <w:left w:val="nil"/>
              <w:bottom w:val="single" w:color="auto" w:sz="4" w:space="0"/>
              <w:right w:val="single" w:color="auto" w:sz="4" w:space="0"/>
            </w:tcBorders>
            <w:shd w:val="clear" w:color="000000" w:fill="FFFFFF"/>
            <w:noWrap/>
            <w:vAlign w:val="center"/>
          </w:tcPr>
          <w:p w14:paraId="7636C9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梯11浙C09204（19）</w:t>
            </w:r>
          </w:p>
        </w:tc>
        <w:tc>
          <w:tcPr>
            <w:tcW w:w="1016" w:type="dxa"/>
            <w:tcBorders>
              <w:top w:val="nil"/>
              <w:left w:val="nil"/>
              <w:bottom w:val="single" w:color="auto" w:sz="4" w:space="0"/>
              <w:right w:val="single" w:color="auto" w:sz="4" w:space="0"/>
            </w:tcBorders>
            <w:noWrap/>
            <w:vAlign w:val="center"/>
          </w:tcPr>
          <w:p w14:paraId="6060D7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TKJ1150/</w:t>
            </w:r>
          </w:p>
          <w:p w14:paraId="1D1D1CD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1.5-JWX</w:t>
            </w:r>
          </w:p>
        </w:tc>
        <w:tc>
          <w:tcPr>
            <w:tcW w:w="1354" w:type="dxa"/>
            <w:tcBorders>
              <w:top w:val="nil"/>
              <w:left w:val="nil"/>
              <w:bottom w:val="single" w:color="auto" w:sz="4" w:space="0"/>
              <w:right w:val="single" w:color="auto" w:sz="4" w:space="0"/>
            </w:tcBorders>
            <w:noWrap/>
            <w:vAlign w:val="center"/>
          </w:tcPr>
          <w:p w14:paraId="5DC3C7F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杭州西子奥的斯电梯有限公司</w:t>
            </w:r>
          </w:p>
        </w:tc>
        <w:tc>
          <w:tcPr>
            <w:tcW w:w="876" w:type="dxa"/>
            <w:tcBorders>
              <w:top w:val="nil"/>
              <w:left w:val="nil"/>
              <w:bottom w:val="single" w:color="auto" w:sz="4" w:space="0"/>
              <w:right w:val="single" w:color="auto" w:sz="4" w:space="0"/>
            </w:tcBorders>
            <w:noWrap/>
            <w:vAlign w:val="center"/>
          </w:tcPr>
          <w:p w14:paraId="4D08A0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1150</w:t>
            </w:r>
          </w:p>
        </w:tc>
        <w:tc>
          <w:tcPr>
            <w:tcW w:w="986" w:type="dxa"/>
            <w:tcBorders>
              <w:top w:val="nil"/>
              <w:left w:val="nil"/>
              <w:bottom w:val="single" w:color="auto" w:sz="4" w:space="0"/>
              <w:right w:val="single" w:color="auto" w:sz="4" w:space="0"/>
            </w:tcBorders>
            <w:noWrap/>
            <w:vAlign w:val="center"/>
          </w:tcPr>
          <w:p w14:paraId="0DC050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91" w:type="dxa"/>
            <w:tcBorders>
              <w:top w:val="nil"/>
              <w:left w:val="nil"/>
              <w:bottom w:val="single" w:color="auto" w:sz="4" w:space="0"/>
              <w:right w:val="single" w:color="auto" w:sz="4" w:space="0"/>
            </w:tcBorders>
            <w:noWrap/>
            <w:vAlign w:val="center"/>
          </w:tcPr>
          <w:p w14:paraId="661751C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4/4/4</w:t>
            </w:r>
          </w:p>
        </w:tc>
        <w:tc>
          <w:tcPr>
            <w:tcW w:w="850" w:type="dxa"/>
            <w:tcBorders>
              <w:top w:val="nil"/>
              <w:left w:val="nil"/>
              <w:bottom w:val="single" w:color="auto" w:sz="4" w:space="0"/>
              <w:right w:val="single" w:color="auto" w:sz="4" w:space="0"/>
            </w:tcBorders>
            <w:noWrap/>
            <w:vAlign w:val="center"/>
          </w:tcPr>
          <w:p w14:paraId="0914CF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76066D44">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9C567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114" w:type="dxa"/>
            <w:tcBorders>
              <w:top w:val="nil"/>
              <w:left w:val="nil"/>
              <w:bottom w:val="single" w:color="auto" w:sz="4" w:space="0"/>
              <w:right w:val="single" w:color="auto" w:sz="4" w:space="0"/>
            </w:tcBorders>
            <w:shd w:val="clear" w:color="auto" w:fill="auto"/>
            <w:noWrap/>
            <w:vAlign w:val="center"/>
          </w:tcPr>
          <w:p w14:paraId="3B7E92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门诊部</w:t>
            </w:r>
          </w:p>
        </w:tc>
        <w:tc>
          <w:tcPr>
            <w:tcW w:w="1316" w:type="dxa"/>
            <w:tcBorders>
              <w:top w:val="nil"/>
              <w:left w:val="nil"/>
              <w:bottom w:val="single" w:color="auto" w:sz="4" w:space="0"/>
              <w:right w:val="single" w:color="auto" w:sz="4" w:space="0"/>
            </w:tcBorders>
            <w:shd w:val="clear" w:color="000000" w:fill="FFFFFF"/>
            <w:noWrap/>
            <w:vAlign w:val="center"/>
          </w:tcPr>
          <w:p w14:paraId="6A0C31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梯11浙C09200（19）</w:t>
            </w:r>
          </w:p>
        </w:tc>
        <w:tc>
          <w:tcPr>
            <w:tcW w:w="1016" w:type="dxa"/>
            <w:tcBorders>
              <w:top w:val="nil"/>
              <w:left w:val="nil"/>
              <w:bottom w:val="single" w:color="auto" w:sz="4" w:space="0"/>
              <w:right w:val="single" w:color="auto" w:sz="4" w:space="0"/>
            </w:tcBorders>
            <w:noWrap/>
            <w:vAlign w:val="center"/>
          </w:tcPr>
          <w:p w14:paraId="2EA8C0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FBJ1250/</w:t>
            </w:r>
          </w:p>
          <w:p w14:paraId="62B3871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1.5-JXW</w:t>
            </w:r>
          </w:p>
        </w:tc>
        <w:tc>
          <w:tcPr>
            <w:tcW w:w="1354" w:type="dxa"/>
            <w:tcBorders>
              <w:top w:val="nil"/>
              <w:left w:val="nil"/>
              <w:bottom w:val="single" w:color="auto" w:sz="4" w:space="0"/>
              <w:right w:val="single" w:color="auto" w:sz="4" w:space="0"/>
            </w:tcBorders>
            <w:noWrap/>
            <w:vAlign w:val="center"/>
          </w:tcPr>
          <w:p w14:paraId="28D6F0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杭州西子奥的斯电梯有限公司</w:t>
            </w:r>
          </w:p>
        </w:tc>
        <w:tc>
          <w:tcPr>
            <w:tcW w:w="876" w:type="dxa"/>
            <w:tcBorders>
              <w:top w:val="nil"/>
              <w:left w:val="nil"/>
              <w:bottom w:val="single" w:color="auto" w:sz="4" w:space="0"/>
              <w:right w:val="single" w:color="auto" w:sz="4" w:space="0"/>
            </w:tcBorders>
            <w:noWrap/>
            <w:vAlign w:val="center"/>
          </w:tcPr>
          <w:p w14:paraId="206C55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1250</w:t>
            </w:r>
          </w:p>
        </w:tc>
        <w:tc>
          <w:tcPr>
            <w:tcW w:w="986" w:type="dxa"/>
            <w:tcBorders>
              <w:top w:val="nil"/>
              <w:left w:val="nil"/>
              <w:bottom w:val="single" w:color="auto" w:sz="4" w:space="0"/>
              <w:right w:val="single" w:color="auto" w:sz="4" w:space="0"/>
            </w:tcBorders>
            <w:noWrap/>
            <w:vAlign w:val="center"/>
          </w:tcPr>
          <w:p w14:paraId="0ED2A8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91" w:type="dxa"/>
            <w:tcBorders>
              <w:top w:val="nil"/>
              <w:left w:val="nil"/>
              <w:bottom w:val="single" w:color="auto" w:sz="4" w:space="0"/>
              <w:right w:val="single" w:color="auto" w:sz="4" w:space="0"/>
            </w:tcBorders>
            <w:noWrap/>
            <w:vAlign w:val="center"/>
          </w:tcPr>
          <w:p w14:paraId="0A56E2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4/4/4</w:t>
            </w:r>
          </w:p>
        </w:tc>
        <w:tc>
          <w:tcPr>
            <w:tcW w:w="850" w:type="dxa"/>
            <w:tcBorders>
              <w:top w:val="nil"/>
              <w:left w:val="nil"/>
              <w:bottom w:val="single" w:color="auto" w:sz="4" w:space="0"/>
              <w:right w:val="single" w:color="auto" w:sz="4" w:space="0"/>
            </w:tcBorders>
            <w:noWrap/>
            <w:vAlign w:val="center"/>
          </w:tcPr>
          <w:p w14:paraId="22E230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187BC68F">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47693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114" w:type="dxa"/>
            <w:tcBorders>
              <w:top w:val="nil"/>
              <w:left w:val="nil"/>
              <w:bottom w:val="single" w:color="auto" w:sz="4" w:space="0"/>
              <w:right w:val="single" w:color="auto" w:sz="4" w:space="0"/>
            </w:tcBorders>
            <w:shd w:val="clear" w:color="auto" w:fill="auto"/>
            <w:noWrap/>
            <w:vAlign w:val="center"/>
          </w:tcPr>
          <w:p w14:paraId="3C28D6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医技楼</w:t>
            </w:r>
          </w:p>
        </w:tc>
        <w:tc>
          <w:tcPr>
            <w:tcW w:w="1316" w:type="dxa"/>
            <w:tcBorders>
              <w:top w:val="nil"/>
              <w:left w:val="nil"/>
              <w:bottom w:val="single" w:color="auto" w:sz="4" w:space="0"/>
              <w:right w:val="single" w:color="auto" w:sz="4" w:space="0"/>
            </w:tcBorders>
            <w:shd w:val="clear" w:color="000000" w:fill="FFFFFF"/>
            <w:noWrap/>
            <w:vAlign w:val="center"/>
          </w:tcPr>
          <w:p w14:paraId="3DFEBE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梯11浙C09203（19）</w:t>
            </w:r>
          </w:p>
        </w:tc>
        <w:tc>
          <w:tcPr>
            <w:tcW w:w="1016" w:type="dxa"/>
            <w:tcBorders>
              <w:top w:val="nil"/>
              <w:left w:val="nil"/>
              <w:bottom w:val="single" w:color="auto" w:sz="4" w:space="0"/>
              <w:right w:val="single" w:color="auto" w:sz="4" w:space="0"/>
            </w:tcBorders>
            <w:noWrap/>
            <w:vAlign w:val="center"/>
          </w:tcPr>
          <w:p w14:paraId="41C9C9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FBJ1250/</w:t>
            </w:r>
          </w:p>
          <w:p w14:paraId="2A0DB27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1.5-JXW</w:t>
            </w:r>
          </w:p>
        </w:tc>
        <w:tc>
          <w:tcPr>
            <w:tcW w:w="1354" w:type="dxa"/>
            <w:tcBorders>
              <w:top w:val="nil"/>
              <w:left w:val="nil"/>
              <w:bottom w:val="single" w:color="auto" w:sz="4" w:space="0"/>
              <w:right w:val="single" w:color="auto" w:sz="4" w:space="0"/>
            </w:tcBorders>
            <w:noWrap/>
            <w:vAlign w:val="center"/>
          </w:tcPr>
          <w:p w14:paraId="70B7BA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杭州西子奥的斯电梯有限公司</w:t>
            </w:r>
          </w:p>
        </w:tc>
        <w:tc>
          <w:tcPr>
            <w:tcW w:w="876" w:type="dxa"/>
            <w:tcBorders>
              <w:top w:val="nil"/>
              <w:left w:val="nil"/>
              <w:bottom w:val="single" w:color="auto" w:sz="4" w:space="0"/>
              <w:right w:val="single" w:color="auto" w:sz="4" w:space="0"/>
            </w:tcBorders>
            <w:noWrap/>
            <w:vAlign w:val="center"/>
          </w:tcPr>
          <w:p w14:paraId="484206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1250</w:t>
            </w:r>
          </w:p>
        </w:tc>
        <w:tc>
          <w:tcPr>
            <w:tcW w:w="986" w:type="dxa"/>
            <w:tcBorders>
              <w:top w:val="nil"/>
              <w:left w:val="nil"/>
              <w:bottom w:val="single" w:color="auto" w:sz="4" w:space="0"/>
              <w:right w:val="single" w:color="auto" w:sz="4" w:space="0"/>
            </w:tcBorders>
            <w:noWrap/>
            <w:vAlign w:val="center"/>
          </w:tcPr>
          <w:p w14:paraId="64A511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91" w:type="dxa"/>
            <w:tcBorders>
              <w:top w:val="nil"/>
              <w:left w:val="nil"/>
              <w:bottom w:val="single" w:color="auto" w:sz="4" w:space="0"/>
              <w:right w:val="single" w:color="auto" w:sz="4" w:space="0"/>
            </w:tcBorders>
            <w:noWrap/>
            <w:vAlign w:val="center"/>
          </w:tcPr>
          <w:p w14:paraId="3522B6E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4/4/4</w:t>
            </w:r>
          </w:p>
        </w:tc>
        <w:tc>
          <w:tcPr>
            <w:tcW w:w="850" w:type="dxa"/>
            <w:tcBorders>
              <w:top w:val="nil"/>
              <w:left w:val="nil"/>
              <w:bottom w:val="single" w:color="auto" w:sz="4" w:space="0"/>
              <w:right w:val="single" w:color="auto" w:sz="4" w:space="0"/>
            </w:tcBorders>
            <w:noWrap/>
            <w:vAlign w:val="center"/>
          </w:tcPr>
          <w:p w14:paraId="1E067D6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1CA30CD2">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7EBE36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114" w:type="dxa"/>
            <w:tcBorders>
              <w:top w:val="nil"/>
              <w:left w:val="nil"/>
              <w:bottom w:val="single" w:color="auto" w:sz="4" w:space="0"/>
              <w:right w:val="single" w:color="auto" w:sz="4" w:space="0"/>
            </w:tcBorders>
            <w:shd w:val="clear" w:color="auto" w:fill="auto"/>
            <w:noWrap/>
            <w:vAlign w:val="center"/>
          </w:tcPr>
          <w:p w14:paraId="566196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外科大楼</w:t>
            </w:r>
          </w:p>
        </w:tc>
        <w:tc>
          <w:tcPr>
            <w:tcW w:w="1316" w:type="dxa"/>
            <w:tcBorders>
              <w:top w:val="nil"/>
              <w:left w:val="nil"/>
              <w:bottom w:val="single" w:color="auto" w:sz="4" w:space="0"/>
              <w:right w:val="single" w:color="auto" w:sz="4" w:space="0"/>
            </w:tcBorders>
            <w:shd w:val="clear" w:color="000000" w:fill="FFFFFF"/>
            <w:noWrap/>
            <w:vAlign w:val="center"/>
          </w:tcPr>
          <w:p w14:paraId="336DCE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梯11浙C09198（19）</w:t>
            </w:r>
          </w:p>
        </w:tc>
        <w:tc>
          <w:tcPr>
            <w:tcW w:w="1016" w:type="dxa"/>
            <w:tcBorders>
              <w:top w:val="nil"/>
              <w:left w:val="nil"/>
              <w:bottom w:val="single" w:color="auto" w:sz="4" w:space="0"/>
              <w:right w:val="single" w:color="auto" w:sz="4" w:space="0"/>
            </w:tcBorders>
            <w:noWrap/>
            <w:vAlign w:val="center"/>
          </w:tcPr>
          <w:p w14:paraId="3B1A05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TKJ1150/</w:t>
            </w:r>
          </w:p>
          <w:p w14:paraId="3E4FA9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1.5-JWX</w:t>
            </w:r>
          </w:p>
        </w:tc>
        <w:tc>
          <w:tcPr>
            <w:tcW w:w="1354" w:type="dxa"/>
            <w:tcBorders>
              <w:top w:val="nil"/>
              <w:left w:val="nil"/>
              <w:bottom w:val="single" w:color="auto" w:sz="4" w:space="0"/>
              <w:right w:val="single" w:color="auto" w:sz="4" w:space="0"/>
            </w:tcBorders>
            <w:noWrap/>
            <w:vAlign w:val="center"/>
          </w:tcPr>
          <w:p w14:paraId="39A78C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杭州西子奥的斯电梯有限公司</w:t>
            </w:r>
          </w:p>
        </w:tc>
        <w:tc>
          <w:tcPr>
            <w:tcW w:w="876" w:type="dxa"/>
            <w:tcBorders>
              <w:top w:val="nil"/>
              <w:left w:val="nil"/>
              <w:bottom w:val="single" w:color="auto" w:sz="4" w:space="0"/>
              <w:right w:val="single" w:color="auto" w:sz="4" w:space="0"/>
            </w:tcBorders>
            <w:noWrap/>
            <w:vAlign w:val="center"/>
          </w:tcPr>
          <w:p w14:paraId="6895811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1150</w:t>
            </w:r>
          </w:p>
        </w:tc>
        <w:tc>
          <w:tcPr>
            <w:tcW w:w="986" w:type="dxa"/>
            <w:tcBorders>
              <w:top w:val="nil"/>
              <w:left w:val="nil"/>
              <w:bottom w:val="single" w:color="auto" w:sz="4" w:space="0"/>
              <w:right w:val="single" w:color="auto" w:sz="4" w:space="0"/>
            </w:tcBorders>
            <w:noWrap/>
            <w:vAlign w:val="center"/>
          </w:tcPr>
          <w:p w14:paraId="63EFA08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91" w:type="dxa"/>
            <w:tcBorders>
              <w:top w:val="nil"/>
              <w:left w:val="nil"/>
              <w:bottom w:val="single" w:color="auto" w:sz="4" w:space="0"/>
              <w:right w:val="single" w:color="auto" w:sz="4" w:space="0"/>
            </w:tcBorders>
            <w:noWrap/>
            <w:vAlign w:val="center"/>
          </w:tcPr>
          <w:p w14:paraId="10F739A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7/7/7</w:t>
            </w:r>
          </w:p>
        </w:tc>
        <w:tc>
          <w:tcPr>
            <w:tcW w:w="850" w:type="dxa"/>
            <w:tcBorders>
              <w:top w:val="nil"/>
              <w:left w:val="nil"/>
              <w:bottom w:val="single" w:color="auto" w:sz="4" w:space="0"/>
              <w:right w:val="single" w:color="auto" w:sz="4" w:space="0"/>
            </w:tcBorders>
            <w:noWrap/>
            <w:vAlign w:val="center"/>
          </w:tcPr>
          <w:p w14:paraId="07F7074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C45B8B0">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F9AF2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114" w:type="dxa"/>
            <w:tcBorders>
              <w:top w:val="nil"/>
              <w:left w:val="nil"/>
              <w:bottom w:val="single" w:color="auto" w:sz="4" w:space="0"/>
              <w:right w:val="single" w:color="auto" w:sz="4" w:space="0"/>
            </w:tcBorders>
            <w:shd w:val="clear" w:color="auto" w:fill="auto"/>
            <w:noWrap/>
            <w:vAlign w:val="center"/>
          </w:tcPr>
          <w:p w14:paraId="40F5E26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外科大楼</w:t>
            </w:r>
          </w:p>
        </w:tc>
        <w:tc>
          <w:tcPr>
            <w:tcW w:w="1316" w:type="dxa"/>
            <w:tcBorders>
              <w:top w:val="nil"/>
              <w:left w:val="nil"/>
              <w:bottom w:val="single" w:color="auto" w:sz="4" w:space="0"/>
              <w:right w:val="single" w:color="auto" w:sz="4" w:space="0"/>
            </w:tcBorders>
            <w:shd w:val="clear" w:color="000000" w:fill="FFFFFF"/>
            <w:noWrap/>
            <w:vAlign w:val="center"/>
          </w:tcPr>
          <w:p w14:paraId="6B2D017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梯11浙C09203（19）</w:t>
            </w:r>
          </w:p>
        </w:tc>
        <w:tc>
          <w:tcPr>
            <w:tcW w:w="1016" w:type="dxa"/>
            <w:tcBorders>
              <w:top w:val="nil"/>
              <w:left w:val="nil"/>
              <w:bottom w:val="single" w:color="auto" w:sz="4" w:space="0"/>
              <w:right w:val="single" w:color="auto" w:sz="4" w:space="0"/>
            </w:tcBorders>
            <w:noWrap/>
            <w:vAlign w:val="center"/>
          </w:tcPr>
          <w:p w14:paraId="3ED20B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TKJ1150/</w:t>
            </w:r>
          </w:p>
          <w:p w14:paraId="64D587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1.5-JWX</w:t>
            </w:r>
          </w:p>
        </w:tc>
        <w:tc>
          <w:tcPr>
            <w:tcW w:w="1354" w:type="dxa"/>
            <w:tcBorders>
              <w:top w:val="nil"/>
              <w:left w:val="nil"/>
              <w:bottom w:val="single" w:color="auto" w:sz="4" w:space="0"/>
              <w:right w:val="single" w:color="auto" w:sz="4" w:space="0"/>
            </w:tcBorders>
            <w:noWrap/>
            <w:vAlign w:val="center"/>
          </w:tcPr>
          <w:p w14:paraId="316168D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杭州西子奥的斯电梯有限公司</w:t>
            </w:r>
          </w:p>
        </w:tc>
        <w:tc>
          <w:tcPr>
            <w:tcW w:w="876" w:type="dxa"/>
            <w:tcBorders>
              <w:top w:val="nil"/>
              <w:left w:val="nil"/>
              <w:bottom w:val="single" w:color="auto" w:sz="4" w:space="0"/>
              <w:right w:val="single" w:color="auto" w:sz="4" w:space="0"/>
            </w:tcBorders>
            <w:noWrap/>
            <w:vAlign w:val="center"/>
          </w:tcPr>
          <w:p w14:paraId="1F50A6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1150</w:t>
            </w:r>
          </w:p>
        </w:tc>
        <w:tc>
          <w:tcPr>
            <w:tcW w:w="986" w:type="dxa"/>
            <w:tcBorders>
              <w:top w:val="nil"/>
              <w:left w:val="nil"/>
              <w:bottom w:val="single" w:color="auto" w:sz="4" w:space="0"/>
              <w:right w:val="single" w:color="auto" w:sz="4" w:space="0"/>
            </w:tcBorders>
            <w:noWrap/>
            <w:vAlign w:val="center"/>
          </w:tcPr>
          <w:p w14:paraId="1CEA80A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91" w:type="dxa"/>
            <w:tcBorders>
              <w:top w:val="nil"/>
              <w:left w:val="nil"/>
              <w:bottom w:val="single" w:color="auto" w:sz="4" w:space="0"/>
              <w:right w:val="single" w:color="auto" w:sz="4" w:space="0"/>
            </w:tcBorders>
            <w:noWrap/>
            <w:vAlign w:val="center"/>
          </w:tcPr>
          <w:p w14:paraId="4AB5C90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7/7/7</w:t>
            </w:r>
          </w:p>
        </w:tc>
        <w:tc>
          <w:tcPr>
            <w:tcW w:w="850" w:type="dxa"/>
            <w:tcBorders>
              <w:top w:val="nil"/>
              <w:left w:val="nil"/>
              <w:bottom w:val="single" w:color="auto" w:sz="4" w:space="0"/>
              <w:right w:val="single" w:color="auto" w:sz="4" w:space="0"/>
            </w:tcBorders>
            <w:noWrap/>
            <w:vAlign w:val="center"/>
          </w:tcPr>
          <w:p w14:paraId="4FFE03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7AA619B6">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63F5FA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114" w:type="dxa"/>
            <w:tcBorders>
              <w:top w:val="nil"/>
              <w:left w:val="nil"/>
              <w:bottom w:val="single" w:color="auto" w:sz="4" w:space="0"/>
              <w:right w:val="single" w:color="auto" w:sz="4" w:space="0"/>
            </w:tcBorders>
            <w:shd w:val="clear" w:color="auto" w:fill="auto"/>
            <w:noWrap/>
            <w:vAlign w:val="center"/>
          </w:tcPr>
          <w:p w14:paraId="75471DC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外科大楼</w:t>
            </w:r>
          </w:p>
        </w:tc>
        <w:tc>
          <w:tcPr>
            <w:tcW w:w="1316" w:type="dxa"/>
            <w:tcBorders>
              <w:top w:val="nil"/>
              <w:left w:val="nil"/>
              <w:bottom w:val="single" w:color="auto" w:sz="4" w:space="0"/>
              <w:right w:val="single" w:color="auto" w:sz="4" w:space="0"/>
            </w:tcBorders>
            <w:shd w:val="clear" w:color="000000" w:fill="FFFFFF"/>
            <w:noWrap/>
            <w:vAlign w:val="center"/>
          </w:tcPr>
          <w:p w14:paraId="6E75B40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梯11浙C09202（19）</w:t>
            </w:r>
          </w:p>
        </w:tc>
        <w:tc>
          <w:tcPr>
            <w:tcW w:w="1016" w:type="dxa"/>
            <w:tcBorders>
              <w:top w:val="nil"/>
              <w:left w:val="nil"/>
              <w:bottom w:val="single" w:color="auto" w:sz="4" w:space="0"/>
              <w:right w:val="single" w:color="auto" w:sz="4" w:space="0"/>
            </w:tcBorders>
            <w:noWrap/>
            <w:vAlign w:val="center"/>
          </w:tcPr>
          <w:p w14:paraId="564CDB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TBJ1250/</w:t>
            </w:r>
          </w:p>
          <w:p w14:paraId="6F19E7E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1.5-JWX</w:t>
            </w:r>
          </w:p>
        </w:tc>
        <w:tc>
          <w:tcPr>
            <w:tcW w:w="1354" w:type="dxa"/>
            <w:tcBorders>
              <w:top w:val="nil"/>
              <w:left w:val="nil"/>
              <w:bottom w:val="single" w:color="auto" w:sz="4" w:space="0"/>
              <w:right w:val="single" w:color="auto" w:sz="4" w:space="0"/>
            </w:tcBorders>
            <w:noWrap/>
            <w:vAlign w:val="center"/>
          </w:tcPr>
          <w:p w14:paraId="295B109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杭州西子奥的斯电梯有限公司</w:t>
            </w:r>
          </w:p>
        </w:tc>
        <w:tc>
          <w:tcPr>
            <w:tcW w:w="876" w:type="dxa"/>
            <w:tcBorders>
              <w:top w:val="nil"/>
              <w:left w:val="nil"/>
              <w:bottom w:val="single" w:color="auto" w:sz="4" w:space="0"/>
              <w:right w:val="single" w:color="auto" w:sz="4" w:space="0"/>
            </w:tcBorders>
            <w:noWrap/>
            <w:vAlign w:val="center"/>
          </w:tcPr>
          <w:p w14:paraId="227F993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1250</w:t>
            </w:r>
          </w:p>
        </w:tc>
        <w:tc>
          <w:tcPr>
            <w:tcW w:w="986" w:type="dxa"/>
            <w:tcBorders>
              <w:top w:val="nil"/>
              <w:left w:val="nil"/>
              <w:bottom w:val="single" w:color="auto" w:sz="4" w:space="0"/>
              <w:right w:val="single" w:color="auto" w:sz="4" w:space="0"/>
            </w:tcBorders>
            <w:noWrap/>
            <w:vAlign w:val="center"/>
          </w:tcPr>
          <w:p w14:paraId="7A5B3E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91" w:type="dxa"/>
            <w:tcBorders>
              <w:top w:val="nil"/>
              <w:left w:val="nil"/>
              <w:bottom w:val="single" w:color="auto" w:sz="4" w:space="0"/>
              <w:right w:val="single" w:color="auto" w:sz="4" w:space="0"/>
            </w:tcBorders>
            <w:noWrap/>
            <w:vAlign w:val="center"/>
          </w:tcPr>
          <w:p w14:paraId="4648E27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7/7/7</w:t>
            </w:r>
          </w:p>
        </w:tc>
        <w:tc>
          <w:tcPr>
            <w:tcW w:w="850" w:type="dxa"/>
            <w:tcBorders>
              <w:top w:val="nil"/>
              <w:left w:val="nil"/>
              <w:bottom w:val="single" w:color="auto" w:sz="4" w:space="0"/>
              <w:right w:val="single" w:color="auto" w:sz="4" w:space="0"/>
            </w:tcBorders>
            <w:noWrap/>
            <w:vAlign w:val="center"/>
          </w:tcPr>
          <w:p w14:paraId="1D46D48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702EE92">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627902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114" w:type="dxa"/>
            <w:tcBorders>
              <w:top w:val="nil"/>
              <w:left w:val="nil"/>
              <w:bottom w:val="single" w:color="auto" w:sz="4" w:space="0"/>
              <w:right w:val="single" w:color="auto" w:sz="4" w:space="0"/>
            </w:tcBorders>
            <w:shd w:val="clear" w:color="auto" w:fill="auto"/>
            <w:noWrap/>
            <w:vAlign w:val="center"/>
          </w:tcPr>
          <w:p w14:paraId="62B153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外科大楼</w:t>
            </w:r>
          </w:p>
        </w:tc>
        <w:tc>
          <w:tcPr>
            <w:tcW w:w="1316" w:type="dxa"/>
            <w:tcBorders>
              <w:top w:val="nil"/>
              <w:left w:val="nil"/>
              <w:bottom w:val="single" w:color="auto" w:sz="4" w:space="0"/>
              <w:right w:val="single" w:color="auto" w:sz="4" w:space="0"/>
            </w:tcBorders>
            <w:shd w:val="clear" w:color="000000" w:fill="FFFFFF"/>
            <w:noWrap/>
            <w:vAlign w:val="center"/>
          </w:tcPr>
          <w:p w14:paraId="2965BD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梯11浙C09201（19）</w:t>
            </w:r>
          </w:p>
        </w:tc>
        <w:tc>
          <w:tcPr>
            <w:tcW w:w="1016" w:type="dxa"/>
            <w:tcBorders>
              <w:top w:val="nil"/>
              <w:left w:val="nil"/>
              <w:bottom w:val="single" w:color="auto" w:sz="4" w:space="0"/>
              <w:right w:val="single" w:color="auto" w:sz="4" w:space="0"/>
            </w:tcBorders>
            <w:noWrap/>
            <w:vAlign w:val="center"/>
          </w:tcPr>
          <w:p w14:paraId="1D592E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FBJ1250/</w:t>
            </w:r>
          </w:p>
          <w:p w14:paraId="07AB5A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1.5-JXW</w:t>
            </w:r>
          </w:p>
        </w:tc>
        <w:tc>
          <w:tcPr>
            <w:tcW w:w="1354" w:type="dxa"/>
            <w:tcBorders>
              <w:top w:val="nil"/>
              <w:left w:val="nil"/>
              <w:bottom w:val="single" w:color="auto" w:sz="4" w:space="0"/>
              <w:right w:val="single" w:color="auto" w:sz="4" w:space="0"/>
            </w:tcBorders>
            <w:noWrap/>
            <w:vAlign w:val="center"/>
          </w:tcPr>
          <w:p w14:paraId="4C9DBA6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杭州西子奥的斯电梯有限公司</w:t>
            </w:r>
          </w:p>
        </w:tc>
        <w:tc>
          <w:tcPr>
            <w:tcW w:w="876" w:type="dxa"/>
            <w:tcBorders>
              <w:top w:val="nil"/>
              <w:left w:val="nil"/>
              <w:bottom w:val="single" w:color="auto" w:sz="4" w:space="0"/>
              <w:right w:val="single" w:color="auto" w:sz="4" w:space="0"/>
            </w:tcBorders>
            <w:noWrap/>
            <w:vAlign w:val="center"/>
          </w:tcPr>
          <w:p w14:paraId="631C76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1250</w:t>
            </w:r>
          </w:p>
        </w:tc>
        <w:tc>
          <w:tcPr>
            <w:tcW w:w="986" w:type="dxa"/>
            <w:tcBorders>
              <w:top w:val="nil"/>
              <w:left w:val="nil"/>
              <w:bottom w:val="single" w:color="auto" w:sz="4" w:space="0"/>
              <w:right w:val="single" w:color="auto" w:sz="4" w:space="0"/>
            </w:tcBorders>
            <w:noWrap/>
            <w:vAlign w:val="center"/>
          </w:tcPr>
          <w:p w14:paraId="43FEFC9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91" w:type="dxa"/>
            <w:tcBorders>
              <w:top w:val="nil"/>
              <w:left w:val="nil"/>
              <w:bottom w:val="single" w:color="auto" w:sz="4" w:space="0"/>
              <w:right w:val="single" w:color="auto" w:sz="4" w:space="0"/>
            </w:tcBorders>
            <w:noWrap/>
            <w:vAlign w:val="center"/>
          </w:tcPr>
          <w:p w14:paraId="3B472A9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7/7/7</w:t>
            </w:r>
          </w:p>
        </w:tc>
        <w:tc>
          <w:tcPr>
            <w:tcW w:w="850" w:type="dxa"/>
            <w:tcBorders>
              <w:top w:val="nil"/>
              <w:left w:val="nil"/>
              <w:bottom w:val="single" w:color="auto" w:sz="4" w:space="0"/>
              <w:right w:val="single" w:color="auto" w:sz="4" w:space="0"/>
            </w:tcBorders>
            <w:noWrap/>
            <w:vAlign w:val="center"/>
          </w:tcPr>
          <w:p w14:paraId="143762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3E72781E">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66B10F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114" w:type="dxa"/>
            <w:tcBorders>
              <w:top w:val="nil"/>
              <w:left w:val="nil"/>
              <w:bottom w:val="single" w:color="auto" w:sz="4" w:space="0"/>
              <w:right w:val="single" w:color="auto" w:sz="4" w:space="0"/>
            </w:tcBorders>
            <w:shd w:val="clear" w:color="auto" w:fill="auto"/>
            <w:noWrap/>
            <w:vAlign w:val="center"/>
          </w:tcPr>
          <w:p w14:paraId="05F3EF4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感染科</w:t>
            </w:r>
          </w:p>
        </w:tc>
        <w:tc>
          <w:tcPr>
            <w:tcW w:w="1316" w:type="dxa"/>
            <w:tcBorders>
              <w:top w:val="nil"/>
              <w:left w:val="nil"/>
              <w:bottom w:val="single" w:color="auto" w:sz="4" w:space="0"/>
              <w:right w:val="single" w:color="auto" w:sz="4" w:space="0"/>
            </w:tcBorders>
            <w:shd w:val="clear" w:color="000000" w:fill="FFFFFF"/>
            <w:noWrap/>
            <w:vAlign w:val="center"/>
          </w:tcPr>
          <w:p w14:paraId="0D00CE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梯11浙C09199（19）</w:t>
            </w:r>
          </w:p>
        </w:tc>
        <w:tc>
          <w:tcPr>
            <w:tcW w:w="1016" w:type="dxa"/>
            <w:tcBorders>
              <w:top w:val="nil"/>
              <w:left w:val="nil"/>
              <w:bottom w:val="single" w:color="auto" w:sz="4" w:space="0"/>
              <w:right w:val="single" w:color="auto" w:sz="4" w:space="0"/>
            </w:tcBorders>
            <w:noWrap/>
            <w:vAlign w:val="center"/>
          </w:tcPr>
          <w:p w14:paraId="6FCD9A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TKJ1000/</w:t>
            </w:r>
          </w:p>
          <w:p w14:paraId="3875972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1.0-JXW</w:t>
            </w:r>
          </w:p>
        </w:tc>
        <w:tc>
          <w:tcPr>
            <w:tcW w:w="1354" w:type="dxa"/>
            <w:tcBorders>
              <w:top w:val="nil"/>
              <w:left w:val="nil"/>
              <w:bottom w:val="single" w:color="auto" w:sz="4" w:space="0"/>
              <w:right w:val="single" w:color="auto" w:sz="4" w:space="0"/>
            </w:tcBorders>
            <w:noWrap/>
            <w:vAlign w:val="center"/>
          </w:tcPr>
          <w:p w14:paraId="026B528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杭州奥立达电梯有限公司</w:t>
            </w:r>
          </w:p>
        </w:tc>
        <w:tc>
          <w:tcPr>
            <w:tcW w:w="876" w:type="dxa"/>
            <w:tcBorders>
              <w:top w:val="nil"/>
              <w:left w:val="nil"/>
              <w:bottom w:val="single" w:color="auto" w:sz="4" w:space="0"/>
              <w:right w:val="single" w:color="auto" w:sz="4" w:space="0"/>
            </w:tcBorders>
            <w:noWrap/>
            <w:vAlign w:val="center"/>
          </w:tcPr>
          <w:p w14:paraId="226BE3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767FB6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91" w:type="dxa"/>
            <w:tcBorders>
              <w:top w:val="nil"/>
              <w:left w:val="nil"/>
              <w:bottom w:val="single" w:color="auto" w:sz="4" w:space="0"/>
              <w:right w:val="single" w:color="auto" w:sz="4" w:space="0"/>
            </w:tcBorders>
            <w:noWrap/>
            <w:vAlign w:val="center"/>
          </w:tcPr>
          <w:p w14:paraId="094AF9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3/3/3</w:t>
            </w:r>
          </w:p>
        </w:tc>
        <w:tc>
          <w:tcPr>
            <w:tcW w:w="850" w:type="dxa"/>
            <w:tcBorders>
              <w:top w:val="nil"/>
              <w:left w:val="nil"/>
              <w:bottom w:val="single" w:color="auto" w:sz="4" w:space="0"/>
              <w:right w:val="single" w:color="auto" w:sz="4" w:space="0"/>
            </w:tcBorders>
            <w:noWrap/>
            <w:vAlign w:val="center"/>
          </w:tcPr>
          <w:p w14:paraId="3C9C4FF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4AC928E">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BCB2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114" w:type="dxa"/>
            <w:tcBorders>
              <w:top w:val="nil"/>
              <w:left w:val="nil"/>
              <w:bottom w:val="single" w:color="auto" w:sz="4" w:space="0"/>
              <w:right w:val="single" w:color="auto" w:sz="4" w:space="0"/>
            </w:tcBorders>
            <w:shd w:val="clear" w:color="auto" w:fill="auto"/>
            <w:noWrap/>
            <w:vAlign w:val="center"/>
          </w:tcPr>
          <w:p w14:paraId="58B0E27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食堂</w:t>
            </w:r>
          </w:p>
        </w:tc>
        <w:tc>
          <w:tcPr>
            <w:tcW w:w="1316" w:type="dxa"/>
            <w:tcBorders>
              <w:top w:val="nil"/>
              <w:left w:val="nil"/>
              <w:bottom w:val="single" w:color="auto" w:sz="4" w:space="0"/>
              <w:right w:val="single" w:color="auto" w:sz="4" w:space="0"/>
            </w:tcBorders>
            <w:shd w:val="clear" w:color="000000" w:fill="FFFFFF"/>
            <w:noWrap/>
            <w:vAlign w:val="center"/>
          </w:tcPr>
          <w:p w14:paraId="15ABE9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梯12浙C02496（19）</w:t>
            </w:r>
          </w:p>
        </w:tc>
        <w:tc>
          <w:tcPr>
            <w:tcW w:w="1016" w:type="dxa"/>
            <w:tcBorders>
              <w:top w:val="nil"/>
              <w:left w:val="nil"/>
              <w:bottom w:val="single" w:color="auto" w:sz="4" w:space="0"/>
              <w:right w:val="single" w:color="auto" w:sz="4" w:space="0"/>
            </w:tcBorders>
            <w:noWrap/>
            <w:vAlign w:val="center"/>
          </w:tcPr>
          <w:p w14:paraId="2D33FE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BH1000/</w:t>
            </w:r>
          </w:p>
          <w:p w14:paraId="092654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1.0-JXVF</w:t>
            </w:r>
          </w:p>
        </w:tc>
        <w:tc>
          <w:tcPr>
            <w:tcW w:w="1354" w:type="dxa"/>
            <w:tcBorders>
              <w:top w:val="nil"/>
              <w:left w:val="nil"/>
              <w:bottom w:val="single" w:color="auto" w:sz="4" w:space="0"/>
              <w:right w:val="single" w:color="auto" w:sz="4" w:space="0"/>
            </w:tcBorders>
            <w:noWrap/>
            <w:vAlign w:val="center"/>
          </w:tcPr>
          <w:p w14:paraId="104FC8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怡达快速电梯有限公司</w:t>
            </w:r>
          </w:p>
        </w:tc>
        <w:tc>
          <w:tcPr>
            <w:tcW w:w="876" w:type="dxa"/>
            <w:tcBorders>
              <w:top w:val="nil"/>
              <w:left w:val="nil"/>
              <w:bottom w:val="single" w:color="auto" w:sz="4" w:space="0"/>
              <w:right w:val="single" w:color="auto" w:sz="4" w:space="0"/>
            </w:tcBorders>
            <w:noWrap/>
            <w:vAlign w:val="center"/>
          </w:tcPr>
          <w:p w14:paraId="2AC953D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4BE10F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91" w:type="dxa"/>
            <w:tcBorders>
              <w:top w:val="nil"/>
              <w:left w:val="nil"/>
              <w:bottom w:val="single" w:color="auto" w:sz="4" w:space="0"/>
              <w:right w:val="single" w:color="auto" w:sz="4" w:space="0"/>
            </w:tcBorders>
            <w:noWrap/>
            <w:vAlign w:val="center"/>
          </w:tcPr>
          <w:p w14:paraId="2381152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3/3/3</w:t>
            </w:r>
          </w:p>
        </w:tc>
        <w:tc>
          <w:tcPr>
            <w:tcW w:w="850" w:type="dxa"/>
            <w:tcBorders>
              <w:top w:val="nil"/>
              <w:left w:val="nil"/>
              <w:bottom w:val="single" w:color="auto" w:sz="4" w:space="0"/>
              <w:right w:val="single" w:color="auto" w:sz="4" w:space="0"/>
            </w:tcBorders>
            <w:noWrap/>
            <w:vAlign w:val="center"/>
          </w:tcPr>
          <w:p w14:paraId="4FE9E7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8B98B21">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C12508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114" w:type="dxa"/>
            <w:tcBorders>
              <w:top w:val="nil"/>
              <w:left w:val="nil"/>
              <w:bottom w:val="single" w:color="auto" w:sz="4" w:space="0"/>
              <w:right w:val="single" w:color="auto" w:sz="4" w:space="0"/>
            </w:tcBorders>
            <w:shd w:val="clear" w:color="auto" w:fill="auto"/>
            <w:noWrap/>
            <w:vAlign w:val="center"/>
          </w:tcPr>
          <w:p w14:paraId="681598C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洗衣房</w:t>
            </w:r>
          </w:p>
        </w:tc>
        <w:tc>
          <w:tcPr>
            <w:tcW w:w="1316" w:type="dxa"/>
            <w:tcBorders>
              <w:top w:val="nil"/>
              <w:left w:val="nil"/>
              <w:bottom w:val="single" w:color="auto" w:sz="4" w:space="0"/>
              <w:right w:val="single" w:color="auto" w:sz="4" w:space="0"/>
            </w:tcBorders>
            <w:shd w:val="clear" w:color="000000" w:fill="FFFFFF"/>
            <w:noWrap/>
            <w:vAlign w:val="center"/>
          </w:tcPr>
          <w:p w14:paraId="285128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梯11浙09191（19）</w:t>
            </w:r>
          </w:p>
        </w:tc>
        <w:tc>
          <w:tcPr>
            <w:tcW w:w="1016" w:type="dxa"/>
            <w:tcBorders>
              <w:top w:val="nil"/>
              <w:left w:val="nil"/>
              <w:bottom w:val="single" w:color="auto" w:sz="4" w:space="0"/>
              <w:right w:val="single" w:color="auto" w:sz="4" w:space="0"/>
            </w:tcBorders>
            <w:noWrap/>
            <w:vAlign w:val="center"/>
          </w:tcPr>
          <w:p w14:paraId="04D4B5B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BMK1000/</w:t>
            </w:r>
          </w:p>
          <w:p w14:paraId="3DFC7D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54" w:type="dxa"/>
            <w:tcBorders>
              <w:top w:val="nil"/>
              <w:left w:val="nil"/>
              <w:bottom w:val="single" w:color="auto" w:sz="4" w:space="0"/>
              <w:right w:val="single" w:color="auto" w:sz="4" w:space="0"/>
            </w:tcBorders>
            <w:noWrap/>
            <w:vAlign w:val="center"/>
          </w:tcPr>
          <w:p w14:paraId="01A2D0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东莞市宝马电梯有限公司</w:t>
            </w:r>
          </w:p>
        </w:tc>
        <w:tc>
          <w:tcPr>
            <w:tcW w:w="876" w:type="dxa"/>
            <w:tcBorders>
              <w:top w:val="nil"/>
              <w:left w:val="nil"/>
              <w:bottom w:val="single" w:color="auto" w:sz="4" w:space="0"/>
              <w:right w:val="single" w:color="auto" w:sz="4" w:space="0"/>
            </w:tcBorders>
            <w:noWrap/>
            <w:vAlign w:val="center"/>
          </w:tcPr>
          <w:p w14:paraId="7E882EA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6170123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91" w:type="dxa"/>
            <w:tcBorders>
              <w:top w:val="nil"/>
              <w:left w:val="nil"/>
              <w:bottom w:val="single" w:color="auto" w:sz="4" w:space="0"/>
              <w:right w:val="single" w:color="auto" w:sz="4" w:space="0"/>
            </w:tcBorders>
            <w:noWrap/>
            <w:vAlign w:val="center"/>
          </w:tcPr>
          <w:p w14:paraId="4EB7EA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2/2/2</w:t>
            </w:r>
          </w:p>
        </w:tc>
        <w:tc>
          <w:tcPr>
            <w:tcW w:w="850" w:type="dxa"/>
            <w:tcBorders>
              <w:top w:val="nil"/>
              <w:left w:val="nil"/>
              <w:bottom w:val="single" w:color="auto" w:sz="4" w:space="0"/>
              <w:right w:val="single" w:color="auto" w:sz="4" w:space="0"/>
            </w:tcBorders>
            <w:noWrap/>
            <w:vAlign w:val="center"/>
          </w:tcPr>
          <w:p w14:paraId="73AF766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1CFC2FD4">
        <w:tblPrEx>
          <w:tblCellMar>
            <w:top w:w="0" w:type="dxa"/>
            <w:left w:w="108" w:type="dxa"/>
            <w:bottom w:w="0" w:type="dxa"/>
            <w:right w:w="108" w:type="dxa"/>
          </w:tblCellMar>
        </w:tblPrEx>
        <w:trPr>
          <w:trHeight w:val="33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AC8D3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114" w:type="dxa"/>
            <w:tcBorders>
              <w:top w:val="nil"/>
              <w:left w:val="nil"/>
              <w:bottom w:val="single" w:color="auto" w:sz="4" w:space="0"/>
              <w:right w:val="single" w:color="auto" w:sz="4" w:space="0"/>
            </w:tcBorders>
            <w:shd w:val="clear" w:color="auto" w:fill="auto"/>
            <w:noWrap/>
            <w:vAlign w:val="center"/>
          </w:tcPr>
          <w:p w14:paraId="31545D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综合楼</w:t>
            </w:r>
          </w:p>
        </w:tc>
        <w:tc>
          <w:tcPr>
            <w:tcW w:w="1316" w:type="dxa"/>
            <w:tcBorders>
              <w:top w:val="nil"/>
              <w:left w:val="nil"/>
              <w:bottom w:val="single" w:color="auto" w:sz="4" w:space="0"/>
              <w:right w:val="single" w:color="auto" w:sz="4" w:space="0"/>
            </w:tcBorders>
            <w:shd w:val="clear" w:color="000000" w:fill="FFFFFF"/>
            <w:noWrap/>
            <w:vAlign w:val="center"/>
          </w:tcPr>
          <w:p w14:paraId="7FFC88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梯11浙09192（19）</w:t>
            </w:r>
          </w:p>
        </w:tc>
        <w:tc>
          <w:tcPr>
            <w:tcW w:w="1016" w:type="dxa"/>
            <w:tcBorders>
              <w:top w:val="nil"/>
              <w:left w:val="nil"/>
              <w:bottom w:val="single" w:color="auto" w:sz="4" w:space="0"/>
              <w:right w:val="single" w:color="auto" w:sz="4" w:space="0"/>
            </w:tcBorders>
            <w:noWrap/>
            <w:vAlign w:val="center"/>
          </w:tcPr>
          <w:p w14:paraId="03ACBD6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TKJ1600/</w:t>
            </w:r>
          </w:p>
          <w:p w14:paraId="7DE4DC8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1.75-JWX</w:t>
            </w:r>
          </w:p>
        </w:tc>
        <w:tc>
          <w:tcPr>
            <w:tcW w:w="1354" w:type="dxa"/>
            <w:tcBorders>
              <w:top w:val="nil"/>
              <w:left w:val="nil"/>
              <w:bottom w:val="single" w:color="auto" w:sz="4" w:space="0"/>
              <w:right w:val="single" w:color="auto" w:sz="4" w:space="0"/>
            </w:tcBorders>
            <w:noWrap/>
            <w:vAlign w:val="center"/>
          </w:tcPr>
          <w:p w14:paraId="4A7E7CF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通力电梯有限公司</w:t>
            </w:r>
          </w:p>
        </w:tc>
        <w:tc>
          <w:tcPr>
            <w:tcW w:w="876" w:type="dxa"/>
            <w:tcBorders>
              <w:top w:val="nil"/>
              <w:left w:val="nil"/>
              <w:bottom w:val="single" w:color="auto" w:sz="4" w:space="0"/>
              <w:right w:val="single" w:color="auto" w:sz="4" w:space="0"/>
            </w:tcBorders>
            <w:noWrap/>
            <w:vAlign w:val="center"/>
          </w:tcPr>
          <w:p w14:paraId="1C9099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76CB9E3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1CE8880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20/20/20</w:t>
            </w:r>
          </w:p>
        </w:tc>
        <w:tc>
          <w:tcPr>
            <w:tcW w:w="850" w:type="dxa"/>
            <w:tcBorders>
              <w:top w:val="nil"/>
              <w:left w:val="nil"/>
              <w:bottom w:val="single" w:color="auto" w:sz="4" w:space="0"/>
              <w:right w:val="single" w:color="auto" w:sz="4" w:space="0"/>
            </w:tcBorders>
            <w:noWrap/>
            <w:vAlign w:val="center"/>
          </w:tcPr>
          <w:p w14:paraId="7B7334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68EB043F">
        <w:tblPrEx>
          <w:tblCellMar>
            <w:top w:w="0" w:type="dxa"/>
            <w:left w:w="108" w:type="dxa"/>
            <w:bottom w:w="0" w:type="dxa"/>
            <w:right w:w="108" w:type="dxa"/>
          </w:tblCellMar>
        </w:tblPrEx>
        <w:trPr>
          <w:trHeight w:val="33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0152B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114" w:type="dxa"/>
            <w:tcBorders>
              <w:top w:val="nil"/>
              <w:left w:val="nil"/>
              <w:bottom w:val="single" w:color="auto" w:sz="4" w:space="0"/>
              <w:right w:val="single" w:color="auto" w:sz="4" w:space="0"/>
            </w:tcBorders>
            <w:shd w:val="clear" w:color="auto" w:fill="auto"/>
            <w:noWrap/>
            <w:vAlign w:val="center"/>
          </w:tcPr>
          <w:p w14:paraId="3844E53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综合楼</w:t>
            </w:r>
          </w:p>
        </w:tc>
        <w:tc>
          <w:tcPr>
            <w:tcW w:w="1316" w:type="dxa"/>
            <w:tcBorders>
              <w:top w:val="nil"/>
              <w:left w:val="nil"/>
              <w:bottom w:val="single" w:color="auto" w:sz="4" w:space="0"/>
              <w:right w:val="single" w:color="auto" w:sz="4" w:space="0"/>
            </w:tcBorders>
            <w:shd w:val="clear" w:color="000000" w:fill="FFFFFF"/>
            <w:noWrap/>
            <w:vAlign w:val="center"/>
          </w:tcPr>
          <w:p w14:paraId="38F5411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梯11浙09194（19）</w:t>
            </w:r>
          </w:p>
        </w:tc>
        <w:tc>
          <w:tcPr>
            <w:tcW w:w="1016" w:type="dxa"/>
            <w:tcBorders>
              <w:top w:val="nil"/>
              <w:left w:val="nil"/>
              <w:bottom w:val="single" w:color="auto" w:sz="4" w:space="0"/>
              <w:right w:val="single" w:color="auto" w:sz="4" w:space="0"/>
            </w:tcBorders>
            <w:noWrap/>
            <w:vAlign w:val="center"/>
          </w:tcPr>
          <w:p w14:paraId="0ECDEC5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TKJ1600/</w:t>
            </w:r>
          </w:p>
          <w:p w14:paraId="6CD4520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1.75-JWX</w:t>
            </w:r>
          </w:p>
        </w:tc>
        <w:tc>
          <w:tcPr>
            <w:tcW w:w="1354" w:type="dxa"/>
            <w:tcBorders>
              <w:top w:val="nil"/>
              <w:left w:val="nil"/>
              <w:bottom w:val="single" w:color="auto" w:sz="4" w:space="0"/>
              <w:right w:val="single" w:color="auto" w:sz="4" w:space="0"/>
            </w:tcBorders>
            <w:noWrap/>
            <w:vAlign w:val="center"/>
          </w:tcPr>
          <w:p w14:paraId="446F73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通力电梯有限公司</w:t>
            </w:r>
          </w:p>
        </w:tc>
        <w:tc>
          <w:tcPr>
            <w:tcW w:w="876" w:type="dxa"/>
            <w:tcBorders>
              <w:top w:val="nil"/>
              <w:left w:val="nil"/>
              <w:bottom w:val="single" w:color="auto" w:sz="4" w:space="0"/>
              <w:right w:val="single" w:color="auto" w:sz="4" w:space="0"/>
            </w:tcBorders>
            <w:noWrap/>
            <w:vAlign w:val="center"/>
          </w:tcPr>
          <w:p w14:paraId="1E1830F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48A5F98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5C54356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17/17/17</w:t>
            </w:r>
          </w:p>
        </w:tc>
        <w:tc>
          <w:tcPr>
            <w:tcW w:w="850" w:type="dxa"/>
            <w:tcBorders>
              <w:top w:val="nil"/>
              <w:left w:val="nil"/>
              <w:bottom w:val="single" w:color="auto" w:sz="4" w:space="0"/>
              <w:right w:val="single" w:color="auto" w:sz="4" w:space="0"/>
            </w:tcBorders>
            <w:noWrap/>
            <w:vAlign w:val="center"/>
          </w:tcPr>
          <w:p w14:paraId="76AECFC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3FCCEC8E">
        <w:tblPrEx>
          <w:tblCellMar>
            <w:top w:w="0" w:type="dxa"/>
            <w:left w:w="108" w:type="dxa"/>
            <w:bottom w:w="0" w:type="dxa"/>
            <w:right w:w="108" w:type="dxa"/>
          </w:tblCellMar>
        </w:tblPrEx>
        <w:trPr>
          <w:trHeight w:val="33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881F8E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114" w:type="dxa"/>
            <w:tcBorders>
              <w:top w:val="nil"/>
              <w:left w:val="nil"/>
              <w:bottom w:val="single" w:color="auto" w:sz="4" w:space="0"/>
              <w:right w:val="single" w:color="auto" w:sz="4" w:space="0"/>
            </w:tcBorders>
            <w:shd w:val="clear" w:color="auto" w:fill="auto"/>
            <w:noWrap/>
            <w:vAlign w:val="center"/>
          </w:tcPr>
          <w:p w14:paraId="2FD4A7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综合楼</w:t>
            </w:r>
          </w:p>
        </w:tc>
        <w:tc>
          <w:tcPr>
            <w:tcW w:w="1316" w:type="dxa"/>
            <w:tcBorders>
              <w:top w:val="nil"/>
              <w:left w:val="nil"/>
              <w:bottom w:val="single" w:color="auto" w:sz="4" w:space="0"/>
              <w:right w:val="single" w:color="auto" w:sz="4" w:space="0"/>
            </w:tcBorders>
            <w:shd w:val="clear" w:color="000000" w:fill="FFFFFF"/>
            <w:noWrap/>
            <w:vAlign w:val="center"/>
          </w:tcPr>
          <w:p w14:paraId="607D480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梯11浙09193（19）</w:t>
            </w:r>
          </w:p>
        </w:tc>
        <w:tc>
          <w:tcPr>
            <w:tcW w:w="1016" w:type="dxa"/>
            <w:tcBorders>
              <w:top w:val="nil"/>
              <w:left w:val="nil"/>
              <w:bottom w:val="single" w:color="auto" w:sz="4" w:space="0"/>
              <w:right w:val="single" w:color="auto" w:sz="4" w:space="0"/>
            </w:tcBorders>
            <w:noWrap/>
            <w:vAlign w:val="center"/>
          </w:tcPr>
          <w:p w14:paraId="0D4A230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TKJ1600/</w:t>
            </w:r>
          </w:p>
          <w:p w14:paraId="1A901A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1.75-JWX</w:t>
            </w:r>
          </w:p>
        </w:tc>
        <w:tc>
          <w:tcPr>
            <w:tcW w:w="1354" w:type="dxa"/>
            <w:tcBorders>
              <w:top w:val="nil"/>
              <w:left w:val="nil"/>
              <w:bottom w:val="single" w:color="auto" w:sz="4" w:space="0"/>
              <w:right w:val="single" w:color="auto" w:sz="4" w:space="0"/>
            </w:tcBorders>
            <w:noWrap/>
            <w:vAlign w:val="center"/>
          </w:tcPr>
          <w:p w14:paraId="13EBA0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通力电梯有限公司</w:t>
            </w:r>
          </w:p>
        </w:tc>
        <w:tc>
          <w:tcPr>
            <w:tcW w:w="876" w:type="dxa"/>
            <w:tcBorders>
              <w:top w:val="nil"/>
              <w:left w:val="nil"/>
              <w:bottom w:val="single" w:color="auto" w:sz="4" w:space="0"/>
              <w:right w:val="single" w:color="auto" w:sz="4" w:space="0"/>
            </w:tcBorders>
            <w:noWrap/>
            <w:vAlign w:val="center"/>
          </w:tcPr>
          <w:p w14:paraId="725117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070595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7961590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17/17/17</w:t>
            </w:r>
          </w:p>
        </w:tc>
        <w:tc>
          <w:tcPr>
            <w:tcW w:w="850" w:type="dxa"/>
            <w:tcBorders>
              <w:top w:val="nil"/>
              <w:left w:val="nil"/>
              <w:bottom w:val="single" w:color="auto" w:sz="4" w:space="0"/>
              <w:right w:val="single" w:color="auto" w:sz="4" w:space="0"/>
            </w:tcBorders>
            <w:noWrap/>
            <w:vAlign w:val="center"/>
          </w:tcPr>
          <w:p w14:paraId="1391D04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331E6D04">
        <w:tblPrEx>
          <w:tblCellMar>
            <w:top w:w="0" w:type="dxa"/>
            <w:left w:w="108" w:type="dxa"/>
            <w:bottom w:w="0" w:type="dxa"/>
            <w:right w:w="108" w:type="dxa"/>
          </w:tblCellMar>
        </w:tblPrEx>
        <w:trPr>
          <w:trHeight w:val="33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68FD49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114" w:type="dxa"/>
            <w:tcBorders>
              <w:top w:val="nil"/>
              <w:left w:val="nil"/>
              <w:bottom w:val="single" w:color="auto" w:sz="4" w:space="0"/>
              <w:right w:val="single" w:color="auto" w:sz="4" w:space="0"/>
            </w:tcBorders>
            <w:shd w:val="clear" w:color="auto" w:fill="auto"/>
            <w:noWrap/>
            <w:vAlign w:val="center"/>
          </w:tcPr>
          <w:p w14:paraId="5569FE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综合楼</w:t>
            </w:r>
          </w:p>
        </w:tc>
        <w:tc>
          <w:tcPr>
            <w:tcW w:w="1316" w:type="dxa"/>
            <w:tcBorders>
              <w:top w:val="nil"/>
              <w:left w:val="nil"/>
              <w:bottom w:val="single" w:color="auto" w:sz="4" w:space="0"/>
              <w:right w:val="single" w:color="auto" w:sz="4" w:space="0"/>
            </w:tcBorders>
            <w:shd w:val="clear" w:color="000000" w:fill="FFFFFF"/>
            <w:noWrap/>
            <w:vAlign w:val="center"/>
          </w:tcPr>
          <w:p w14:paraId="4833ED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梯11浙09195（19）</w:t>
            </w:r>
          </w:p>
        </w:tc>
        <w:tc>
          <w:tcPr>
            <w:tcW w:w="1016" w:type="dxa"/>
            <w:tcBorders>
              <w:top w:val="nil"/>
              <w:left w:val="nil"/>
              <w:bottom w:val="single" w:color="auto" w:sz="4" w:space="0"/>
              <w:right w:val="single" w:color="auto" w:sz="4" w:space="0"/>
            </w:tcBorders>
            <w:noWrap/>
            <w:vAlign w:val="center"/>
          </w:tcPr>
          <w:p w14:paraId="318D9A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TKJ1000/</w:t>
            </w:r>
          </w:p>
          <w:p w14:paraId="416CE65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2.0-JXW</w:t>
            </w:r>
          </w:p>
        </w:tc>
        <w:tc>
          <w:tcPr>
            <w:tcW w:w="1354" w:type="dxa"/>
            <w:tcBorders>
              <w:top w:val="nil"/>
              <w:left w:val="nil"/>
              <w:bottom w:val="single" w:color="auto" w:sz="4" w:space="0"/>
              <w:right w:val="single" w:color="auto" w:sz="4" w:space="0"/>
            </w:tcBorders>
            <w:noWrap/>
            <w:vAlign w:val="center"/>
          </w:tcPr>
          <w:p w14:paraId="021718E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通力电梯有限公司</w:t>
            </w:r>
          </w:p>
        </w:tc>
        <w:tc>
          <w:tcPr>
            <w:tcW w:w="876" w:type="dxa"/>
            <w:tcBorders>
              <w:top w:val="nil"/>
              <w:left w:val="nil"/>
              <w:bottom w:val="single" w:color="auto" w:sz="4" w:space="0"/>
              <w:right w:val="single" w:color="auto" w:sz="4" w:space="0"/>
            </w:tcBorders>
            <w:noWrap/>
            <w:vAlign w:val="center"/>
          </w:tcPr>
          <w:p w14:paraId="71B688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2B8E667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391" w:type="dxa"/>
            <w:tcBorders>
              <w:top w:val="nil"/>
              <w:left w:val="nil"/>
              <w:bottom w:val="single" w:color="auto" w:sz="4" w:space="0"/>
              <w:right w:val="single" w:color="auto" w:sz="4" w:space="0"/>
            </w:tcBorders>
            <w:noWrap/>
            <w:vAlign w:val="center"/>
          </w:tcPr>
          <w:p w14:paraId="440A429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17/17/17</w:t>
            </w:r>
          </w:p>
        </w:tc>
        <w:tc>
          <w:tcPr>
            <w:tcW w:w="850" w:type="dxa"/>
            <w:tcBorders>
              <w:top w:val="nil"/>
              <w:left w:val="nil"/>
              <w:bottom w:val="single" w:color="auto" w:sz="4" w:space="0"/>
              <w:right w:val="single" w:color="auto" w:sz="4" w:space="0"/>
            </w:tcBorders>
            <w:noWrap/>
            <w:vAlign w:val="center"/>
          </w:tcPr>
          <w:p w14:paraId="1BA53C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E919FCD">
        <w:tblPrEx>
          <w:tblCellMar>
            <w:top w:w="0" w:type="dxa"/>
            <w:left w:w="108" w:type="dxa"/>
            <w:bottom w:w="0" w:type="dxa"/>
            <w:right w:w="108" w:type="dxa"/>
          </w:tblCellMar>
        </w:tblPrEx>
        <w:trPr>
          <w:trHeight w:val="33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5F237E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114" w:type="dxa"/>
            <w:tcBorders>
              <w:top w:val="nil"/>
              <w:left w:val="nil"/>
              <w:bottom w:val="single" w:color="auto" w:sz="4" w:space="0"/>
              <w:right w:val="single" w:color="auto" w:sz="4" w:space="0"/>
            </w:tcBorders>
            <w:shd w:val="clear" w:color="auto" w:fill="auto"/>
            <w:noWrap/>
            <w:vAlign w:val="center"/>
          </w:tcPr>
          <w:p w14:paraId="7135C26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综合楼</w:t>
            </w:r>
          </w:p>
        </w:tc>
        <w:tc>
          <w:tcPr>
            <w:tcW w:w="1316" w:type="dxa"/>
            <w:tcBorders>
              <w:top w:val="nil"/>
              <w:left w:val="nil"/>
              <w:bottom w:val="single" w:color="auto" w:sz="4" w:space="0"/>
              <w:right w:val="single" w:color="auto" w:sz="4" w:space="0"/>
            </w:tcBorders>
            <w:shd w:val="clear" w:color="000000" w:fill="FFFFFF"/>
            <w:noWrap/>
            <w:vAlign w:val="center"/>
          </w:tcPr>
          <w:p w14:paraId="4FE96E9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梯11浙09196（19）</w:t>
            </w:r>
          </w:p>
        </w:tc>
        <w:tc>
          <w:tcPr>
            <w:tcW w:w="1016" w:type="dxa"/>
            <w:tcBorders>
              <w:top w:val="nil"/>
              <w:left w:val="nil"/>
              <w:bottom w:val="single" w:color="auto" w:sz="4" w:space="0"/>
              <w:right w:val="single" w:color="auto" w:sz="4" w:space="0"/>
            </w:tcBorders>
            <w:noWrap/>
            <w:vAlign w:val="center"/>
          </w:tcPr>
          <w:p w14:paraId="58D331A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TKJ1000/</w:t>
            </w:r>
          </w:p>
          <w:p w14:paraId="75F187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2.0-JXW</w:t>
            </w:r>
          </w:p>
        </w:tc>
        <w:tc>
          <w:tcPr>
            <w:tcW w:w="1354" w:type="dxa"/>
            <w:tcBorders>
              <w:top w:val="nil"/>
              <w:left w:val="nil"/>
              <w:bottom w:val="single" w:color="auto" w:sz="4" w:space="0"/>
              <w:right w:val="single" w:color="auto" w:sz="4" w:space="0"/>
            </w:tcBorders>
            <w:noWrap/>
            <w:vAlign w:val="center"/>
          </w:tcPr>
          <w:p w14:paraId="776A34C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通力电梯有限公司</w:t>
            </w:r>
          </w:p>
        </w:tc>
        <w:tc>
          <w:tcPr>
            <w:tcW w:w="876" w:type="dxa"/>
            <w:tcBorders>
              <w:top w:val="nil"/>
              <w:left w:val="nil"/>
              <w:bottom w:val="single" w:color="auto" w:sz="4" w:space="0"/>
              <w:right w:val="single" w:color="auto" w:sz="4" w:space="0"/>
            </w:tcBorders>
            <w:noWrap/>
            <w:vAlign w:val="center"/>
          </w:tcPr>
          <w:p w14:paraId="6BBE142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3E7260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391" w:type="dxa"/>
            <w:tcBorders>
              <w:top w:val="nil"/>
              <w:left w:val="nil"/>
              <w:bottom w:val="single" w:color="auto" w:sz="4" w:space="0"/>
              <w:right w:val="single" w:color="auto" w:sz="4" w:space="0"/>
            </w:tcBorders>
            <w:noWrap/>
            <w:vAlign w:val="center"/>
          </w:tcPr>
          <w:p w14:paraId="5B9006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20/20/20</w:t>
            </w:r>
          </w:p>
        </w:tc>
        <w:tc>
          <w:tcPr>
            <w:tcW w:w="850" w:type="dxa"/>
            <w:tcBorders>
              <w:top w:val="nil"/>
              <w:left w:val="nil"/>
              <w:bottom w:val="single" w:color="auto" w:sz="4" w:space="0"/>
              <w:right w:val="single" w:color="auto" w:sz="4" w:space="0"/>
            </w:tcBorders>
            <w:noWrap/>
            <w:vAlign w:val="center"/>
          </w:tcPr>
          <w:p w14:paraId="15485EA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091D107">
        <w:tblPrEx>
          <w:tblCellMar>
            <w:top w:w="0" w:type="dxa"/>
            <w:left w:w="108" w:type="dxa"/>
            <w:bottom w:w="0" w:type="dxa"/>
            <w:right w:w="108" w:type="dxa"/>
          </w:tblCellMar>
        </w:tblPrEx>
        <w:trPr>
          <w:cantSplit/>
          <w:trHeight w:val="33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BB91D9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114" w:type="dxa"/>
            <w:tcBorders>
              <w:top w:val="nil"/>
              <w:left w:val="nil"/>
              <w:bottom w:val="single" w:color="auto" w:sz="4" w:space="0"/>
              <w:right w:val="single" w:color="auto" w:sz="4" w:space="0"/>
            </w:tcBorders>
            <w:shd w:val="clear" w:color="auto" w:fill="auto"/>
            <w:noWrap/>
            <w:vAlign w:val="center"/>
          </w:tcPr>
          <w:p w14:paraId="306F3CB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综合楼</w:t>
            </w:r>
          </w:p>
        </w:tc>
        <w:tc>
          <w:tcPr>
            <w:tcW w:w="1316" w:type="dxa"/>
            <w:tcBorders>
              <w:top w:val="nil"/>
              <w:left w:val="nil"/>
              <w:bottom w:val="single" w:color="auto" w:sz="4" w:space="0"/>
              <w:right w:val="single" w:color="auto" w:sz="4" w:space="0"/>
            </w:tcBorders>
            <w:shd w:val="clear" w:color="000000" w:fill="FFFFFF"/>
            <w:noWrap/>
            <w:vAlign w:val="center"/>
          </w:tcPr>
          <w:p w14:paraId="6A6828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梯11浙09197（19）</w:t>
            </w:r>
          </w:p>
        </w:tc>
        <w:tc>
          <w:tcPr>
            <w:tcW w:w="1016" w:type="dxa"/>
            <w:tcBorders>
              <w:top w:val="nil"/>
              <w:left w:val="nil"/>
              <w:bottom w:val="single" w:color="auto" w:sz="4" w:space="0"/>
              <w:right w:val="single" w:color="auto" w:sz="4" w:space="0"/>
            </w:tcBorders>
            <w:noWrap/>
            <w:vAlign w:val="center"/>
          </w:tcPr>
          <w:p w14:paraId="186248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TKJ1000/</w:t>
            </w:r>
          </w:p>
          <w:p w14:paraId="2028CB3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2.0-JXW</w:t>
            </w:r>
          </w:p>
        </w:tc>
        <w:tc>
          <w:tcPr>
            <w:tcW w:w="1354" w:type="dxa"/>
            <w:tcBorders>
              <w:top w:val="nil"/>
              <w:left w:val="nil"/>
              <w:bottom w:val="single" w:color="auto" w:sz="4" w:space="0"/>
              <w:right w:val="single" w:color="auto" w:sz="4" w:space="0"/>
            </w:tcBorders>
            <w:noWrap/>
            <w:vAlign w:val="center"/>
          </w:tcPr>
          <w:p w14:paraId="10B909B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通力电梯有限公司</w:t>
            </w:r>
          </w:p>
        </w:tc>
        <w:tc>
          <w:tcPr>
            <w:tcW w:w="876" w:type="dxa"/>
            <w:tcBorders>
              <w:top w:val="nil"/>
              <w:left w:val="nil"/>
              <w:bottom w:val="single" w:color="auto" w:sz="4" w:space="0"/>
              <w:right w:val="single" w:color="auto" w:sz="4" w:space="0"/>
            </w:tcBorders>
            <w:noWrap/>
            <w:vAlign w:val="center"/>
          </w:tcPr>
          <w:p w14:paraId="4E449B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7E9B6D6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391" w:type="dxa"/>
            <w:tcBorders>
              <w:top w:val="nil"/>
              <w:left w:val="nil"/>
              <w:bottom w:val="single" w:color="auto" w:sz="4" w:space="0"/>
              <w:right w:val="single" w:color="auto" w:sz="4" w:space="0"/>
            </w:tcBorders>
            <w:noWrap/>
            <w:vAlign w:val="center"/>
          </w:tcPr>
          <w:p w14:paraId="76A3183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20/20/20</w:t>
            </w:r>
          </w:p>
        </w:tc>
        <w:tc>
          <w:tcPr>
            <w:tcW w:w="850" w:type="dxa"/>
            <w:tcBorders>
              <w:top w:val="nil"/>
              <w:left w:val="nil"/>
              <w:bottom w:val="single" w:color="auto" w:sz="4" w:space="0"/>
              <w:right w:val="single" w:color="auto" w:sz="4" w:space="0"/>
            </w:tcBorders>
            <w:noWrap/>
            <w:vAlign w:val="center"/>
          </w:tcPr>
          <w:p w14:paraId="604F63C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1DD96F7D">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39283E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114" w:type="dxa"/>
            <w:tcBorders>
              <w:top w:val="nil"/>
              <w:left w:val="nil"/>
              <w:bottom w:val="single" w:color="auto" w:sz="4" w:space="0"/>
              <w:right w:val="single" w:color="auto" w:sz="4" w:space="0"/>
            </w:tcBorders>
            <w:shd w:val="clear" w:color="auto" w:fill="auto"/>
            <w:noWrap/>
            <w:vAlign w:val="center"/>
          </w:tcPr>
          <w:p w14:paraId="79E905B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7C6564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梯11浙C01437(18)</w:t>
            </w:r>
          </w:p>
        </w:tc>
        <w:tc>
          <w:tcPr>
            <w:tcW w:w="1016" w:type="dxa"/>
            <w:tcBorders>
              <w:top w:val="nil"/>
              <w:left w:val="nil"/>
              <w:bottom w:val="single" w:color="auto" w:sz="4" w:space="0"/>
              <w:right w:val="single" w:color="auto" w:sz="4" w:space="0"/>
            </w:tcBorders>
            <w:noWrap/>
            <w:vAlign w:val="center"/>
          </w:tcPr>
          <w:p w14:paraId="13329F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76B74EC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727D3A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4564CE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2BF309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391" w:type="dxa"/>
            <w:tcBorders>
              <w:top w:val="nil"/>
              <w:left w:val="nil"/>
              <w:bottom w:val="single" w:color="auto" w:sz="4" w:space="0"/>
              <w:right w:val="single" w:color="auto" w:sz="4" w:space="0"/>
            </w:tcBorders>
            <w:noWrap/>
            <w:vAlign w:val="center"/>
          </w:tcPr>
          <w:p w14:paraId="31EB65C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8/8/8</w:t>
            </w:r>
          </w:p>
        </w:tc>
        <w:tc>
          <w:tcPr>
            <w:tcW w:w="850" w:type="dxa"/>
            <w:tcBorders>
              <w:top w:val="nil"/>
              <w:left w:val="nil"/>
              <w:bottom w:val="single" w:color="auto" w:sz="4" w:space="0"/>
              <w:right w:val="single" w:color="auto" w:sz="4" w:space="0"/>
            </w:tcBorders>
            <w:noWrap/>
            <w:vAlign w:val="center"/>
          </w:tcPr>
          <w:p w14:paraId="1BFE230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10B0CD23">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4689E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114" w:type="dxa"/>
            <w:tcBorders>
              <w:top w:val="nil"/>
              <w:left w:val="nil"/>
              <w:bottom w:val="single" w:color="auto" w:sz="4" w:space="0"/>
              <w:right w:val="single" w:color="auto" w:sz="4" w:space="0"/>
            </w:tcBorders>
            <w:shd w:val="clear" w:color="auto" w:fill="auto"/>
            <w:noWrap/>
            <w:vAlign w:val="center"/>
          </w:tcPr>
          <w:p w14:paraId="79902F3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3730A5F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梯11浙C01428(18)</w:t>
            </w:r>
          </w:p>
        </w:tc>
        <w:tc>
          <w:tcPr>
            <w:tcW w:w="1016" w:type="dxa"/>
            <w:tcBorders>
              <w:top w:val="nil"/>
              <w:left w:val="nil"/>
              <w:bottom w:val="single" w:color="auto" w:sz="4" w:space="0"/>
              <w:right w:val="single" w:color="auto" w:sz="4" w:space="0"/>
            </w:tcBorders>
            <w:noWrap/>
            <w:vAlign w:val="center"/>
          </w:tcPr>
          <w:p w14:paraId="427490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61C4AB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2F94C06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61CCCE7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632D237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391" w:type="dxa"/>
            <w:tcBorders>
              <w:top w:val="nil"/>
              <w:left w:val="nil"/>
              <w:bottom w:val="single" w:color="auto" w:sz="4" w:space="0"/>
              <w:right w:val="single" w:color="auto" w:sz="4" w:space="0"/>
            </w:tcBorders>
            <w:noWrap/>
            <w:vAlign w:val="center"/>
          </w:tcPr>
          <w:p w14:paraId="12EF5D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8/8/8</w:t>
            </w:r>
          </w:p>
        </w:tc>
        <w:tc>
          <w:tcPr>
            <w:tcW w:w="850" w:type="dxa"/>
            <w:tcBorders>
              <w:top w:val="nil"/>
              <w:left w:val="nil"/>
              <w:bottom w:val="single" w:color="auto" w:sz="4" w:space="0"/>
              <w:right w:val="single" w:color="auto" w:sz="4" w:space="0"/>
            </w:tcBorders>
            <w:noWrap/>
            <w:vAlign w:val="center"/>
          </w:tcPr>
          <w:p w14:paraId="500D699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7D8791DA">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A6B2F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w:t>
            </w:r>
          </w:p>
        </w:tc>
        <w:tc>
          <w:tcPr>
            <w:tcW w:w="1114" w:type="dxa"/>
            <w:tcBorders>
              <w:top w:val="nil"/>
              <w:left w:val="nil"/>
              <w:bottom w:val="single" w:color="auto" w:sz="4" w:space="0"/>
              <w:right w:val="single" w:color="auto" w:sz="4" w:space="0"/>
            </w:tcBorders>
            <w:shd w:val="clear" w:color="auto" w:fill="auto"/>
            <w:noWrap/>
            <w:vAlign w:val="center"/>
          </w:tcPr>
          <w:p w14:paraId="03F1F1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205384C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梯11浙C01440(18)</w:t>
            </w:r>
          </w:p>
        </w:tc>
        <w:tc>
          <w:tcPr>
            <w:tcW w:w="1016" w:type="dxa"/>
            <w:tcBorders>
              <w:top w:val="nil"/>
              <w:left w:val="nil"/>
              <w:bottom w:val="single" w:color="auto" w:sz="4" w:space="0"/>
              <w:right w:val="single" w:color="auto" w:sz="4" w:space="0"/>
            </w:tcBorders>
            <w:noWrap/>
            <w:vAlign w:val="center"/>
          </w:tcPr>
          <w:p w14:paraId="6615FF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409576C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02E358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6043312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23315BA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2E5E21B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1E16FF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2A2DB24E">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C031C2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114" w:type="dxa"/>
            <w:tcBorders>
              <w:top w:val="nil"/>
              <w:left w:val="nil"/>
              <w:bottom w:val="single" w:color="auto" w:sz="4" w:space="0"/>
              <w:right w:val="single" w:color="auto" w:sz="4" w:space="0"/>
            </w:tcBorders>
            <w:shd w:val="clear" w:color="auto" w:fill="auto"/>
            <w:noWrap/>
            <w:vAlign w:val="center"/>
          </w:tcPr>
          <w:p w14:paraId="5572B43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16EECE1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梯11浙C01438(18)</w:t>
            </w:r>
          </w:p>
        </w:tc>
        <w:tc>
          <w:tcPr>
            <w:tcW w:w="1016" w:type="dxa"/>
            <w:tcBorders>
              <w:top w:val="nil"/>
              <w:left w:val="nil"/>
              <w:bottom w:val="single" w:color="auto" w:sz="4" w:space="0"/>
              <w:right w:val="single" w:color="auto" w:sz="4" w:space="0"/>
            </w:tcBorders>
            <w:noWrap/>
            <w:vAlign w:val="center"/>
          </w:tcPr>
          <w:p w14:paraId="714FA8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342B807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63F5EB1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5C13A5E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0E4FFE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0530E57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2AF2BE9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24F332A">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1BE9D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w:t>
            </w:r>
          </w:p>
        </w:tc>
        <w:tc>
          <w:tcPr>
            <w:tcW w:w="1114" w:type="dxa"/>
            <w:tcBorders>
              <w:top w:val="nil"/>
              <w:left w:val="nil"/>
              <w:bottom w:val="single" w:color="auto" w:sz="4" w:space="0"/>
              <w:right w:val="single" w:color="auto" w:sz="4" w:space="0"/>
            </w:tcBorders>
            <w:shd w:val="clear" w:color="auto" w:fill="auto"/>
            <w:noWrap/>
            <w:vAlign w:val="center"/>
          </w:tcPr>
          <w:p w14:paraId="746CC2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0F0A085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梯11浙C01436(18)</w:t>
            </w:r>
          </w:p>
        </w:tc>
        <w:tc>
          <w:tcPr>
            <w:tcW w:w="1016" w:type="dxa"/>
            <w:tcBorders>
              <w:top w:val="nil"/>
              <w:left w:val="nil"/>
              <w:bottom w:val="single" w:color="auto" w:sz="4" w:space="0"/>
              <w:right w:val="single" w:color="auto" w:sz="4" w:space="0"/>
            </w:tcBorders>
            <w:noWrap/>
            <w:vAlign w:val="center"/>
          </w:tcPr>
          <w:p w14:paraId="16908A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38A0EF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7ABC90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61D94A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60AB81E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2D5F201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418D8E7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5585DD96">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A0386B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w:t>
            </w:r>
          </w:p>
        </w:tc>
        <w:tc>
          <w:tcPr>
            <w:tcW w:w="1114" w:type="dxa"/>
            <w:tcBorders>
              <w:top w:val="nil"/>
              <w:left w:val="nil"/>
              <w:bottom w:val="single" w:color="auto" w:sz="4" w:space="0"/>
              <w:right w:val="single" w:color="auto" w:sz="4" w:space="0"/>
            </w:tcBorders>
            <w:shd w:val="clear" w:color="auto" w:fill="auto"/>
            <w:noWrap/>
            <w:vAlign w:val="center"/>
          </w:tcPr>
          <w:p w14:paraId="7762673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76AC56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梯11浙C01435(18)</w:t>
            </w:r>
          </w:p>
        </w:tc>
        <w:tc>
          <w:tcPr>
            <w:tcW w:w="1016" w:type="dxa"/>
            <w:tcBorders>
              <w:top w:val="nil"/>
              <w:left w:val="nil"/>
              <w:bottom w:val="single" w:color="auto" w:sz="4" w:space="0"/>
              <w:right w:val="single" w:color="auto" w:sz="4" w:space="0"/>
            </w:tcBorders>
            <w:noWrap/>
            <w:vAlign w:val="center"/>
          </w:tcPr>
          <w:p w14:paraId="5C86B20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6A787CC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0F6EE0F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0B048F8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41FB36C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1BDC3C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061DC44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FF6361E">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6EB36F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w:t>
            </w:r>
          </w:p>
        </w:tc>
        <w:tc>
          <w:tcPr>
            <w:tcW w:w="1114" w:type="dxa"/>
            <w:tcBorders>
              <w:top w:val="nil"/>
              <w:left w:val="nil"/>
              <w:bottom w:val="single" w:color="auto" w:sz="4" w:space="0"/>
              <w:right w:val="single" w:color="auto" w:sz="4" w:space="0"/>
            </w:tcBorders>
            <w:shd w:val="clear" w:color="auto" w:fill="auto"/>
            <w:noWrap/>
            <w:vAlign w:val="center"/>
          </w:tcPr>
          <w:p w14:paraId="454695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5F574F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梯11浙C01434(18)</w:t>
            </w:r>
          </w:p>
        </w:tc>
        <w:tc>
          <w:tcPr>
            <w:tcW w:w="1016" w:type="dxa"/>
            <w:tcBorders>
              <w:top w:val="nil"/>
              <w:left w:val="nil"/>
              <w:bottom w:val="single" w:color="auto" w:sz="4" w:space="0"/>
              <w:right w:val="single" w:color="auto" w:sz="4" w:space="0"/>
            </w:tcBorders>
            <w:noWrap/>
            <w:vAlign w:val="center"/>
          </w:tcPr>
          <w:p w14:paraId="506B9C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57BF86E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49E64F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77224C2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3678C5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2C0F523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4552AC1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1D1C1226">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0FB58C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1114" w:type="dxa"/>
            <w:tcBorders>
              <w:top w:val="nil"/>
              <w:left w:val="nil"/>
              <w:bottom w:val="single" w:color="auto" w:sz="4" w:space="0"/>
              <w:right w:val="single" w:color="auto" w:sz="4" w:space="0"/>
            </w:tcBorders>
            <w:shd w:val="clear" w:color="auto" w:fill="auto"/>
            <w:noWrap/>
            <w:vAlign w:val="center"/>
          </w:tcPr>
          <w:p w14:paraId="53C433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052527B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梯11浙C01433(18)</w:t>
            </w:r>
          </w:p>
        </w:tc>
        <w:tc>
          <w:tcPr>
            <w:tcW w:w="1016" w:type="dxa"/>
            <w:tcBorders>
              <w:top w:val="nil"/>
              <w:left w:val="nil"/>
              <w:bottom w:val="single" w:color="auto" w:sz="4" w:space="0"/>
              <w:right w:val="single" w:color="auto" w:sz="4" w:space="0"/>
            </w:tcBorders>
            <w:noWrap/>
            <w:vAlign w:val="center"/>
          </w:tcPr>
          <w:p w14:paraId="53782D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4103EBA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2EA306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7CB16C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0E72D03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6C9CE2B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2FF824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455118A6">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B6B46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1114" w:type="dxa"/>
            <w:tcBorders>
              <w:top w:val="nil"/>
              <w:left w:val="nil"/>
              <w:bottom w:val="single" w:color="auto" w:sz="4" w:space="0"/>
              <w:right w:val="single" w:color="auto" w:sz="4" w:space="0"/>
            </w:tcBorders>
            <w:shd w:val="clear" w:color="auto" w:fill="auto"/>
            <w:noWrap/>
            <w:vAlign w:val="center"/>
          </w:tcPr>
          <w:p w14:paraId="3D60F62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260AAB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梯11浙C01430(18)</w:t>
            </w:r>
          </w:p>
        </w:tc>
        <w:tc>
          <w:tcPr>
            <w:tcW w:w="1016" w:type="dxa"/>
            <w:tcBorders>
              <w:top w:val="nil"/>
              <w:left w:val="nil"/>
              <w:bottom w:val="single" w:color="auto" w:sz="4" w:space="0"/>
              <w:right w:val="single" w:color="auto" w:sz="4" w:space="0"/>
            </w:tcBorders>
            <w:noWrap/>
            <w:vAlign w:val="center"/>
          </w:tcPr>
          <w:p w14:paraId="6DA4A9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581768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6B511B5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5E02F9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1600</w:t>
            </w:r>
          </w:p>
        </w:tc>
        <w:tc>
          <w:tcPr>
            <w:tcW w:w="986" w:type="dxa"/>
            <w:tcBorders>
              <w:top w:val="nil"/>
              <w:left w:val="nil"/>
              <w:bottom w:val="single" w:color="auto" w:sz="4" w:space="0"/>
              <w:right w:val="single" w:color="auto" w:sz="4" w:space="0"/>
            </w:tcBorders>
            <w:noWrap/>
            <w:vAlign w:val="center"/>
          </w:tcPr>
          <w:p w14:paraId="7AADC0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w:t>
            </w:r>
          </w:p>
        </w:tc>
        <w:tc>
          <w:tcPr>
            <w:tcW w:w="1391" w:type="dxa"/>
            <w:tcBorders>
              <w:top w:val="nil"/>
              <w:left w:val="nil"/>
              <w:bottom w:val="single" w:color="auto" w:sz="4" w:space="0"/>
              <w:right w:val="single" w:color="auto" w:sz="4" w:space="0"/>
            </w:tcBorders>
            <w:noWrap/>
            <w:vAlign w:val="center"/>
          </w:tcPr>
          <w:p w14:paraId="47A8B1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264636E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2BD9080E">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91F9C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1114" w:type="dxa"/>
            <w:tcBorders>
              <w:top w:val="nil"/>
              <w:left w:val="nil"/>
              <w:bottom w:val="single" w:color="auto" w:sz="4" w:space="0"/>
              <w:right w:val="single" w:color="auto" w:sz="4" w:space="0"/>
            </w:tcBorders>
            <w:shd w:val="clear" w:color="auto" w:fill="auto"/>
            <w:noWrap/>
            <w:vAlign w:val="center"/>
          </w:tcPr>
          <w:p w14:paraId="55D654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46B4D3A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梯11浙C01431(18)</w:t>
            </w:r>
          </w:p>
        </w:tc>
        <w:tc>
          <w:tcPr>
            <w:tcW w:w="1016" w:type="dxa"/>
            <w:tcBorders>
              <w:top w:val="nil"/>
              <w:left w:val="nil"/>
              <w:bottom w:val="single" w:color="auto" w:sz="4" w:space="0"/>
              <w:right w:val="single" w:color="auto" w:sz="4" w:space="0"/>
            </w:tcBorders>
            <w:noWrap/>
            <w:vAlign w:val="center"/>
          </w:tcPr>
          <w:p w14:paraId="1B7C561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7D72C3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05B8AA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1BAA49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466E859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391" w:type="dxa"/>
            <w:tcBorders>
              <w:top w:val="nil"/>
              <w:left w:val="nil"/>
              <w:bottom w:val="single" w:color="auto" w:sz="4" w:space="0"/>
              <w:right w:val="single" w:color="auto" w:sz="4" w:space="0"/>
            </w:tcBorders>
            <w:noWrap/>
            <w:vAlign w:val="center"/>
          </w:tcPr>
          <w:p w14:paraId="2D4E80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2BB1B4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4E7121B3">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42F81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w:t>
            </w:r>
          </w:p>
        </w:tc>
        <w:tc>
          <w:tcPr>
            <w:tcW w:w="1114" w:type="dxa"/>
            <w:tcBorders>
              <w:top w:val="nil"/>
              <w:left w:val="nil"/>
              <w:bottom w:val="single" w:color="auto" w:sz="4" w:space="0"/>
              <w:right w:val="single" w:color="auto" w:sz="4" w:space="0"/>
            </w:tcBorders>
            <w:shd w:val="clear" w:color="auto" w:fill="auto"/>
            <w:noWrap/>
            <w:vAlign w:val="center"/>
          </w:tcPr>
          <w:p w14:paraId="7A0201A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19383A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梯11浙C01439(18)</w:t>
            </w:r>
          </w:p>
        </w:tc>
        <w:tc>
          <w:tcPr>
            <w:tcW w:w="1016" w:type="dxa"/>
            <w:tcBorders>
              <w:top w:val="nil"/>
              <w:left w:val="nil"/>
              <w:bottom w:val="single" w:color="auto" w:sz="4" w:space="0"/>
              <w:right w:val="single" w:color="auto" w:sz="4" w:space="0"/>
            </w:tcBorders>
            <w:noWrap/>
            <w:vAlign w:val="center"/>
          </w:tcPr>
          <w:p w14:paraId="23E5DFD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11E6AC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25A0BE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792651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986" w:type="dxa"/>
            <w:tcBorders>
              <w:top w:val="nil"/>
              <w:left w:val="nil"/>
              <w:bottom w:val="single" w:color="auto" w:sz="4" w:space="0"/>
              <w:right w:val="single" w:color="auto" w:sz="4" w:space="0"/>
            </w:tcBorders>
            <w:noWrap/>
            <w:vAlign w:val="center"/>
          </w:tcPr>
          <w:p w14:paraId="1080D7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391" w:type="dxa"/>
            <w:tcBorders>
              <w:top w:val="nil"/>
              <w:left w:val="nil"/>
              <w:bottom w:val="single" w:color="auto" w:sz="4" w:space="0"/>
              <w:right w:val="single" w:color="auto" w:sz="4" w:space="0"/>
            </w:tcBorders>
            <w:noWrap/>
            <w:vAlign w:val="center"/>
          </w:tcPr>
          <w:p w14:paraId="2BF8214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4/4/4</w:t>
            </w:r>
          </w:p>
        </w:tc>
        <w:tc>
          <w:tcPr>
            <w:tcW w:w="850" w:type="dxa"/>
            <w:tcBorders>
              <w:top w:val="nil"/>
              <w:left w:val="nil"/>
              <w:bottom w:val="single" w:color="auto" w:sz="4" w:space="0"/>
              <w:right w:val="single" w:color="auto" w:sz="4" w:space="0"/>
            </w:tcBorders>
            <w:noWrap/>
            <w:vAlign w:val="center"/>
          </w:tcPr>
          <w:p w14:paraId="543DA7A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051B0CD">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E1B2D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1114" w:type="dxa"/>
            <w:tcBorders>
              <w:top w:val="nil"/>
              <w:left w:val="nil"/>
              <w:bottom w:val="single" w:color="auto" w:sz="4" w:space="0"/>
              <w:right w:val="single" w:color="auto" w:sz="4" w:space="0"/>
            </w:tcBorders>
            <w:shd w:val="clear" w:color="auto" w:fill="auto"/>
            <w:noWrap/>
            <w:vAlign w:val="center"/>
          </w:tcPr>
          <w:p w14:paraId="445EE7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7FF3269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梯11浙C01429(18)</w:t>
            </w:r>
          </w:p>
        </w:tc>
        <w:tc>
          <w:tcPr>
            <w:tcW w:w="1016" w:type="dxa"/>
            <w:tcBorders>
              <w:top w:val="nil"/>
              <w:left w:val="nil"/>
              <w:bottom w:val="single" w:color="auto" w:sz="4" w:space="0"/>
              <w:right w:val="single" w:color="auto" w:sz="4" w:space="0"/>
            </w:tcBorders>
            <w:noWrap/>
            <w:vAlign w:val="center"/>
          </w:tcPr>
          <w:p w14:paraId="153989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6C11B5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193CEA7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6590DD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1600</w:t>
            </w:r>
          </w:p>
        </w:tc>
        <w:tc>
          <w:tcPr>
            <w:tcW w:w="986" w:type="dxa"/>
            <w:tcBorders>
              <w:top w:val="nil"/>
              <w:left w:val="nil"/>
              <w:bottom w:val="single" w:color="auto" w:sz="4" w:space="0"/>
              <w:right w:val="single" w:color="auto" w:sz="4" w:space="0"/>
            </w:tcBorders>
            <w:noWrap/>
            <w:vAlign w:val="center"/>
          </w:tcPr>
          <w:p w14:paraId="7CBC37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1.6</w:t>
            </w:r>
          </w:p>
        </w:tc>
        <w:tc>
          <w:tcPr>
            <w:tcW w:w="1391" w:type="dxa"/>
            <w:tcBorders>
              <w:top w:val="nil"/>
              <w:left w:val="nil"/>
              <w:bottom w:val="single" w:color="auto" w:sz="4" w:space="0"/>
              <w:right w:val="single" w:color="auto" w:sz="4" w:space="0"/>
            </w:tcBorders>
            <w:noWrap/>
            <w:vAlign w:val="center"/>
          </w:tcPr>
          <w:p w14:paraId="3329CBA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4/4/4</w:t>
            </w:r>
          </w:p>
        </w:tc>
        <w:tc>
          <w:tcPr>
            <w:tcW w:w="850" w:type="dxa"/>
            <w:tcBorders>
              <w:top w:val="nil"/>
              <w:left w:val="nil"/>
              <w:bottom w:val="single" w:color="auto" w:sz="4" w:space="0"/>
              <w:right w:val="single" w:color="auto" w:sz="4" w:space="0"/>
            </w:tcBorders>
            <w:noWrap/>
            <w:vAlign w:val="center"/>
          </w:tcPr>
          <w:p w14:paraId="7F70C77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6FC1F1D">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CD9F4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w:t>
            </w:r>
          </w:p>
        </w:tc>
        <w:tc>
          <w:tcPr>
            <w:tcW w:w="1114" w:type="dxa"/>
            <w:tcBorders>
              <w:top w:val="nil"/>
              <w:left w:val="nil"/>
              <w:bottom w:val="single" w:color="auto" w:sz="4" w:space="0"/>
              <w:right w:val="single" w:color="auto" w:sz="4" w:space="0"/>
            </w:tcBorders>
            <w:shd w:val="clear" w:color="auto" w:fill="auto"/>
            <w:noWrap/>
            <w:vAlign w:val="center"/>
          </w:tcPr>
          <w:p w14:paraId="075862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急救大楼</w:t>
            </w:r>
          </w:p>
        </w:tc>
        <w:tc>
          <w:tcPr>
            <w:tcW w:w="1316" w:type="dxa"/>
            <w:tcBorders>
              <w:top w:val="nil"/>
              <w:left w:val="nil"/>
              <w:bottom w:val="single" w:color="auto" w:sz="4" w:space="0"/>
              <w:right w:val="single" w:color="auto" w:sz="4" w:space="0"/>
            </w:tcBorders>
            <w:shd w:val="clear" w:color="000000" w:fill="FFFFFF"/>
            <w:noWrap/>
            <w:vAlign w:val="center"/>
          </w:tcPr>
          <w:p w14:paraId="2FC44EC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梯11浙C01432(18)</w:t>
            </w:r>
          </w:p>
        </w:tc>
        <w:tc>
          <w:tcPr>
            <w:tcW w:w="1016" w:type="dxa"/>
            <w:tcBorders>
              <w:top w:val="nil"/>
              <w:left w:val="nil"/>
              <w:bottom w:val="single" w:color="auto" w:sz="4" w:space="0"/>
              <w:right w:val="single" w:color="auto" w:sz="4" w:space="0"/>
            </w:tcBorders>
            <w:noWrap/>
            <w:vAlign w:val="center"/>
          </w:tcPr>
          <w:p w14:paraId="26F4E2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GeN2Com</w:t>
            </w:r>
          </w:p>
          <w:p w14:paraId="772E110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Foet</w:t>
            </w:r>
          </w:p>
        </w:tc>
        <w:tc>
          <w:tcPr>
            <w:tcW w:w="1354" w:type="dxa"/>
            <w:tcBorders>
              <w:top w:val="nil"/>
              <w:left w:val="nil"/>
              <w:bottom w:val="single" w:color="auto" w:sz="4" w:space="0"/>
              <w:right w:val="single" w:color="auto" w:sz="4" w:space="0"/>
            </w:tcBorders>
            <w:noWrap/>
            <w:vAlign w:val="center"/>
          </w:tcPr>
          <w:p w14:paraId="6B58B1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奥的斯电梯（中国）有限公司</w:t>
            </w:r>
          </w:p>
        </w:tc>
        <w:tc>
          <w:tcPr>
            <w:tcW w:w="876" w:type="dxa"/>
            <w:tcBorders>
              <w:top w:val="nil"/>
              <w:left w:val="nil"/>
              <w:bottom w:val="single" w:color="auto" w:sz="4" w:space="0"/>
              <w:right w:val="single" w:color="auto" w:sz="4" w:space="0"/>
            </w:tcBorders>
            <w:noWrap/>
            <w:vAlign w:val="center"/>
          </w:tcPr>
          <w:p w14:paraId="08291D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1600</w:t>
            </w:r>
          </w:p>
        </w:tc>
        <w:tc>
          <w:tcPr>
            <w:tcW w:w="986" w:type="dxa"/>
            <w:tcBorders>
              <w:top w:val="nil"/>
              <w:left w:val="nil"/>
              <w:bottom w:val="single" w:color="auto" w:sz="4" w:space="0"/>
              <w:right w:val="single" w:color="auto" w:sz="4" w:space="0"/>
            </w:tcBorders>
            <w:noWrap/>
            <w:vAlign w:val="center"/>
          </w:tcPr>
          <w:p w14:paraId="3792B3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1.6</w:t>
            </w:r>
          </w:p>
        </w:tc>
        <w:tc>
          <w:tcPr>
            <w:tcW w:w="1391" w:type="dxa"/>
            <w:tcBorders>
              <w:top w:val="nil"/>
              <w:left w:val="nil"/>
              <w:bottom w:val="single" w:color="auto" w:sz="4" w:space="0"/>
              <w:right w:val="single" w:color="auto" w:sz="4" w:space="0"/>
            </w:tcBorders>
            <w:noWrap/>
            <w:vAlign w:val="center"/>
          </w:tcPr>
          <w:p w14:paraId="62C1572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19/19/19</w:t>
            </w:r>
          </w:p>
        </w:tc>
        <w:tc>
          <w:tcPr>
            <w:tcW w:w="850" w:type="dxa"/>
            <w:tcBorders>
              <w:top w:val="nil"/>
              <w:left w:val="nil"/>
              <w:bottom w:val="single" w:color="auto" w:sz="4" w:space="0"/>
              <w:right w:val="single" w:color="auto" w:sz="4" w:space="0"/>
            </w:tcBorders>
            <w:noWrap/>
            <w:vAlign w:val="center"/>
          </w:tcPr>
          <w:p w14:paraId="28A29F6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r w14:paraId="046CB904">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57BC10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w:t>
            </w:r>
          </w:p>
        </w:tc>
        <w:tc>
          <w:tcPr>
            <w:tcW w:w="1114" w:type="dxa"/>
            <w:tcBorders>
              <w:top w:val="nil"/>
              <w:left w:val="nil"/>
              <w:bottom w:val="single" w:color="auto" w:sz="4" w:space="0"/>
              <w:right w:val="single" w:color="auto" w:sz="4" w:space="0"/>
            </w:tcBorders>
            <w:shd w:val="clear" w:color="auto" w:fill="auto"/>
            <w:noWrap/>
            <w:vAlign w:val="center"/>
          </w:tcPr>
          <w:p w14:paraId="18C45EA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食堂</w:t>
            </w:r>
          </w:p>
          <w:p w14:paraId="13CCBF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（餐梯）</w:t>
            </w:r>
          </w:p>
        </w:tc>
        <w:tc>
          <w:tcPr>
            <w:tcW w:w="1316" w:type="dxa"/>
            <w:tcBorders>
              <w:top w:val="nil"/>
              <w:left w:val="nil"/>
              <w:bottom w:val="single" w:color="auto" w:sz="4" w:space="0"/>
              <w:right w:val="single" w:color="auto" w:sz="4" w:space="0"/>
            </w:tcBorders>
            <w:shd w:val="clear" w:color="000000" w:fill="FFFFFF"/>
            <w:noWrap/>
            <w:vAlign w:val="center"/>
          </w:tcPr>
          <w:p w14:paraId="036E93A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梯43浙C00123(19)</w:t>
            </w:r>
          </w:p>
        </w:tc>
        <w:tc>
          <w:tcPr>
            <w:tcW w:w="1016" w:type="dxa"/>
            <w:tcBorders>
              <w:top w:val="nil"/>
              <w:left w:val="nil"/>
              <w:bottom w:val="single" w:color="auto" w:sz="4" w:space="0"/>
              <w:right w:val="single" w:color="auto" w:sz="4" w:space="0"/>
            </w:tcBorders>
            <w:noWrap/>
            <w:vAlign w:val="center"/>
          </w:tcPr>
          <w:p w14:paraId="7A3E02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HX-2</w:t>
            </w:r>
          </w:p>
        </w:tc>
        <w:tc>
          <w:tcPr>
            <w:tcW w:w="1354" w:type="dxa"/>
            <w:tcBorders>
              <w:top w:val="nil"/>
              <w:left w:val="nil"/>
              <w:bottom w:val="single" w:color="auto" w:sz="4" w:space="0"/>
              <w:right w:val="single" w:color="auto" w:sz="4" w:space="0"/>
            </w:tcBorders>
            <w:noWrap/>
            <w:vAlign w:val="center"/>
          </w:tcPr>
          <w:p w14:paraId="46B4CD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宁津县华翔电梯有限公司</w:t>
            </w:r>
          </w:p>
        </w:tc>
        <w:tc>
          <w:tcPr>
            <w:tcW w:w="876" w:type="dxa"/>
            <w:tcBorders>
              <w:top w:val="nil"/>
              <w:left w:val="nil"/>
              <w:bottom w:val="single" w:color="auto" w:sz="4" w:space="0"/>
              <w:right w:val="single" w:color="auto" w:sz="4" w:space="0"/>
            </w:tcBorders>
            <w:noWrap/>
            <w:vAlign w:val="center"/>
          </w:tcPr>
          <w:p w14:paraId="4AB725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1600</w:t>
            </w:r>
          </w:p>
        </w:tc>
        <w:tc>
          <w:tcPr>
            <w:tcW w:w="986" w:type="dxa"/>
            <w:tcBorders>
              <w:top w:val="nil"/>
              <w:left w:val="nil"/>
              <w:bottom w:val="single" w:color="auto" w:sz="4" w:space="0"/>
              <w:right w:val="single" w:color="auto" w:sz="4" w:space="0"/>
            </w:tcBorders>
            <w:noWrap/>
            <w:vAlign w:val="center"/>
          </w:tcPr>
          <w:p w14:paraId="34D4406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1.75</w:t>
            </w:r>
          </w:p>
        </w:tc>
        <w:tc>
          <w:tcPr>
            <w:tcW w:w="1391" w:type="dxa"/>
            <w:tcBorders>
              <w:top w:val="nil"/>
              <w:left w:val="nil"/>
              <w:bottom w:val="single" w:color="auto" w:sz="4" w:space="0"/>
              <w:right w:val="single" w:color="auto" w:sz="4" w:space="0"/>
            </w:tcBorders>
            <w:noWrap/>
            <w:vAlign w:val="center"/>
          </w:tcPr>
          <w:p w14:paraId="760AF42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2/2/2</w:t>
            </w:r>
          </w:p>
        </w:tc>
        <w:tc>
          <w:tcPr>
            <w:tcW w:w="850" w:type="dxa"/>
            <w:tcBorders>
              <w:top w:val="nil"/>
              <w:left w:val="nil"/>
              <w:bottom w:val="single" w:color="auto" w:sz="4" w:space="0"/>
              <w:right w:val="single" w:color="auto" w:sz="4" w:space="0"/>
            </w:tcBorders>
            <w:noWrap/>
            <w:vAlign w:val="center"/>
          </w:tcPr>
          <w:p w14:paraId="7C6C15B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r>
    </w:tbl>
    <w:p w14:paraId="45EB2D50">
      <w:pPr>
        <w:tabs>
          <w:tab w:val="left" w:pos="540"/>
        </w:tabs>
        <w:adjustRightInd w:val="0"/>
        <w:snapToGrid w:val="0"/>
        <w:spacing w:line="400" w:lineRule="exac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注：以用户</w:t>
      </w:r>
      <w:r>
        <w:rPr>
          <w:rFonts w:hint="eastAsia" w:ascii="宋体" w:hAnsi="宋体" w:eastAsia="宋体" w:cs="宋体"/>
          <w:bCs/>
          <w:color w:val="auto"/>
          <w:kern w:val="0"/>
          <w:sz w:val="22"/>
          <w:szCs w:val="22"/>
          <w:highlight w:val="none"/>
        </w:rPr>
        <w:t>现场</w:t>
      </w:r>
      <w:r>
        <w:rPr>
          <w:rFonts w:hint="eastAsia" w:ascii="宋体" w:hAnsi="宋体" w:eastAsia="宋体" w:cs="宋体"/>
          <w:color w:val="auto"/>
          <w:kern w:val="0"/>
          <w:sz w:val="22"/>
          <w:szCs w:val="22"/>
          <w:highlight w:val="none"/>
        </w:rPr>
        <w:t>配置为准，供应商可在投标前与采购人联系并自行前往实地查看。</w:t>
      </w:r>
    </w:p>
    <w:p w14:paraId="61452840">
      <w:pPr>
        <w:tabs>
          <w:tab w:val="left" w:pos="540"/>
        </w:tabs>
        <w:adjustRightInd w:val="0"/>
        <w:snapToGrid w:val="0"/>
        <w:spacing w:line="400" w:lineRule="exact"/>
        <w:ind w:firstLine="424" w:firstLineChars="193"/>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2、承包方式</w:t>
      </w:r>
    </w:p>
    <w:p w14:paraId="5E9424E0">
      <w:pPr>
        <w:shd w:val="clear" w:color="auto" w:fill="FFFFFF"/>
        <w:tabs>
          <w:tab w:val="left" w:pos="454"/>
        </w:tabs>
        <w:spacing w:line="460" w:lineRule="exact"/>
        <w:ind w:firstLine="440" w:firstLineChars="200"/>
        <w:jc w:val="left"/>
        <w:outlineLvl w:val="0"/>
        <w:rPr>
          <w:rFonts w:hint="eastAsia" w:ascii="宋体" w:hAnsi="宋体" w:eastAsia="宋体" w:cs="宋体"/>
          <w:b/>
          <w:color w:val="auto"/>
          <w:kern w:val="0"/>
          <w:sz w:val="22"/>
          <w:szCs w:val="22"/>
          <w:highlight w:val="none"/>
        </w:rPr>
      </w:pPr>
      <w:bookmarkStart w:id="1" w:name="_Toc8431"/>
      <w:bookmarkStart w:id="2" w:name="_Toc22655"/>
      <w:bookmarkStart w:id="3" w:name="_Toc2928"/>
      <w:r>
        <w:rPr>
          <w:rFonts w:hint="eastAsia" w:ascii="宋体" w:hAnsi="宋体" w:eastAsia="宋体" w:cs="宋体"/>
          <w:color w:val="auto"/>
          <w:kern w:val="0"/>
          <w:sz w:val="22"/>
          <w:szCs w:val="22"/>
          <w:highlight w:val="none"/>
        </w:rPr>
        <w:t>2.1、</w:t>
      </w:r>
      <w:r>
        <w:rPr>
          <w:rFonts w:hint="eastAsia" w:ascii="宋体" w:hAnsi="宋体" w:eastAsia="宋体" w:cs="宋体"/>
          <w:b/>
          <w:color w:val="auto"/>
          <w:kern w:val="0"/>
          <w:sz w:val="22"/>
          <w:szCs w:val="22"/>
          <w:highlight w:val="none"/>
        </w:rPr>
        <w:t>本次</w:t>
      </w:r>
      <w:r>
        <w:rPr>
          <w:rFonts w:hint="eastAsia" w:ascii="宋体" w:hAnsi="宋体" w:cs="宋体"/>
          <w:b/>
          <w:color w:val="auto"/>
          <w:kern w:val="0"/>
          <w:sz w:val="22"/>
          <w:szCs w:val="22"/>
          <w:highlight w:val="none"/>
          <w:lang w:eastAsia="zh-CN"/>
        </w:rPr>
        <w:t>采购</w:t>
      </w:r>
      <w:r>
        <w:rPr>
          <w:rFonts w:hint="eastAsia" w:ascii="宋体" w:hAnsi="宋体" w:eastAsia="宋体" w:cs="宋体"/>
          <w:b/>
          <w:color w:val="auto"/>
          <w:kern w:val="0"/>
          <w:sz w:val="22"/>
          <w:szCs w:val="22"/>
          <w:highlight w:val="none"/>
        </w:rPr>
        <w:t>的全部电梯维保费用按照清包形式。即在维保服务期内，电梯维护保养所产生的人员工资、工器具费</w:t>
      </w:r>
      <w:r>
        <w:rPr>
          <w:rFonts w:hint="eastAsia" w:ascii="宋体" w:hAnsi="宋体" w:eastAsia="宋体" w:cs="宋体"/>
          <w:color w:val="auto"/>
          <w:kern w:val="0"/>
          <w:sz w:val="22"/>
          <w:szCs w:val="22"/>
          <w:highlight w:val="none"/>
        </w:rPr>
        <w:t>、</w:t>
      </w:r>
      <w:r>
        <w:rPr>
          <w:rFonts w:hint="eastAsia" w:ascii="宋体" w:hAnsi="宋体" w:eastAsia="宋体" w:cs="宋体"/>
          <w:b/>
          <w:color w:val="auto"/>
          <w:kern w:val="0"/>
          <w:sz w:val="22"/>
          <w:szCs w:val="22"/>
          <w:highlight w:val="none"/>
        </w:rPr>
        <w:t>食宿与交通、安全措施、管理费用、技术服务费(包括电梯平衡系数、自学习、板子刷程序等)、培训费、各种保险、税费、利润以及履行合同所需的一切费用、零配件费及耗材费（维保作业中更换的单个配件或使用的耗材价格在200元（含）以内的）均由供应商承担，包含在</w:t>
      </w:r>
      <w:r>
        <w:rPr>
          <w:rFonts w:hint="eastAsia" w:ascii="宋体" w:hAnsi="宋体" w:cs="宋体"/>
          <w:b/>
          <w:color w:val="auto"/>
          <w:kern w:val="0"/>
          <w:sz w:val="22"/>
          <w:szCs w:val="22"/>
          <w:highlight w:val="none"/>
          <w:lang w:val="en-US" w:eastAsia="zh-CN"/>
        </w:rPr>
        <w:t>报价</w:t>
      </w:r>
      <w:r>
        <w:rPr>
          <w:rFonts w:hint="eastAsia" w:ascii="宋体" w:hAnsi="宋体" w:eastAsia="宋体" w:cs="宋体"/>
          <w:b/>
          <w:color w:val="auto"/>
          <w:kern w:val="0"/>
          <w:sz w:val="22"/>
          <w:szCs w:val="22"/>
          <w:highlight w:val="none"/>
        </w:rPr>
        <w:t>总价中，供应商需在投标时附200元内的耗材清单。超过200元的耗材及配件采购人有权自行采购</w:t>
      </w:r>
      <w:bookmarkEnd w:id="1"/>
      <w:bookmarkEnd w:id="2"/>
      <w:bookmarkEnd w:id="3"/>
      <w:r>
        <w:rPr>
          <w:rFonts w:hint="eastAsia" w:ascii="宋体" w:hAnsi="宋体" w:eastAsia="宋体" w:cs="宋体"/>
          <w:b/>
          <w:color w:val="auto"/>
          <w:kern w:val="0"/>
          <w:sz w:val="22"/>
          <w:szCs w:val="22"/>
          <w:highlight w:val="none"/>
        </w:rPr>
        <w:t>，国家特种设备检验机构的电梯检验费用由采购人自行支付（不在本次</w:t>
      </w:r>
      <w:r>
        <w:rPr>
          <w:rFonts w:hint="eastAsia" w:ascii="宋体" w:hAnsi="宋体" w:cs="宋体"/>
          <w:b/>
          <w:color w:val="auto"/>
          <w:kern w:val="0"/>
          <w:sz w:val="22"/>
          <w:szCs w:val="22"/>
          <w:highlight w:val="none"/>
          <w:lang w:eastAsia="zh-CN"/>
        </w:rPr>
        <w:t>采购</w:t>
      </w:r>
      <w:r>
        <w:rPr>
          <w:rFonts w:hint="eastAsia" w:ascii="宋体" w:hAnsi="宋体" w:eastAsia="宋体" w:cs="宋体"/>
          <w:b/>
          <w:color w:val="auto"/>
          <w:kern w:val="0"/>
          <w:sz w:val="22"/>
          <w:szCs w:val="22"/>
          <w:highlight w:val="none"/>
        </w:rPr>
        <w:t>范围内）。</w:t>
      </w:r>
    </w:p>
    <w:p w14:paraId="5DFAD5DA">
      <w:pPr>
        <w:widowControl/>
        <w:shd w:val="clear" w:color="auto" w:fill="FFFFFF"/>
        <w:tabs>
          <w:tab w:val="left" w:pos="454"/>
        </w:tabs>
        <w:spacing w:line="460" w:lineRule="exact"/>
        <w:ind w:firstLine="442" w:firstLineChars="200"/>
        <w:jc w:val="left"/>
        <w:outlineLvl w:val="0"/>
        <w:rPr>
          <w:rFonts w:hint="eastAsia" w:ascii="宋体" w:hAnsi="宋体" w:eastAsia="宋体" w:cs="宋体"/>
          <w:color w:val="auto"/>
          <w:kern w:val="0"/>
          <w:sz w:val="22"/>
          <w:szCs w:val="22"/>
          <w:highlight w:val="none"/>
        </w:rPr>
      </w:pPr>
      <w:bookmarkStart w:id="4" w:name="_Toc27378"/>
      <w:bookmarkStart w:id="5" w:name="_Toc20904"/>
      <w:bookmarkStart w:id="6" w:name="_Toc176"/>
      <w:r>
        <w:rPr>
          <w:rFonts w:hint="eastAsia" w:ascii="宋体" w:hAnsi="宋体" w:eastAsia="宋体" w:cs="宋体"/>
          <w:b/>
          <w:color w:val="auto"/>
          <w:kern w:val="0"/>
          <w:sz w:val="22"/>
          <w:szCs w:val="22"/>
          <w:highlight w:val="none"/>
        </w:rPr>
        <w:t>2.2、为促进电梯的安全管理，保障电梯事故受害方的合法权益，须为电梯办理保险，并将</w:t>
      </w:r>
      <w:r>
        <w:rPr>
          <w:rFonts w:hint="eastAsia" w:ascii="宋体" w:hAnsi="宋体" w:cs="宋体"/>
          <w:b/>
          <w:color w:val="auto"/>
          <w:kern w:val="0"/>
          <w:sz w:val="22"/>
          <w:szCs w:val="22"/>
          <w:highlight w:val="none"/>
          <w:lang w:val="en-US" w:eastAsia="zh-CN"/>
        </w:rPr>
        <w:t>采购人</w:t>
      </w:r>
      <w:r>
        <w:rPr>
          <w:rFonts w:hint="eastAsia" w:ascii="宋体" w:hAnsi="宋体" w:eastAsia="宋体" w:cs="宋体"/>
          <w:b/>
          <w:color w:val="auto"/>
          <w:kern w:val="0"/>
          <w:sz w:val="22"/>
          <w:szCs w:val="22"/>
          <w:highlight w:val="none"/>
        </w:rPr>
        <w:t>列为共同被保险人，保险费用由</w:t>
      </w:r>
      <w:r>
        <w:rPr>
          <w:rFonts w:hint="eastAsia" w:ascii="宋体" w:hAnsi="宋体" w:eastAsia="宋体" w:cs="宋体"/>
          <w:b/>
          <w:color w:val="auto"/>
          <w:kern w:val="0"/>
          <w:sz w:val="22"/>
          <w:szCs w:val="22"/>
          <w:highlight w:val="none"/>
          <w:lang w:eastAsia="zh-CN"/>
        </w:rPr>
        <w:t>成交</w:t>
      </w:r>
      <w:r>
        <w:rPr>
          <w:rFonts w:hint="eastAsia" w:ascii="宋体" w:hAnsi="宋体" w:eastAsia="宋体" w:cs="宋体"/>
          <w:b/>
          <w:color w:val="auto"/>
          <w:kern w:val="0"/>
          <w:sz w:val="22"/>
          <w:szCs w:val="22"/>
          <w:highlight w:val="none"/>
        </w:rPr>
        <w:t>供应商承担。</w:t>
      </w:r>
      <w:bookmarkEnd w:id="4"/>
      <w:bookmarkEnd w:id="5"/>
      <w:bookmarkEnd w:id="6"/>
    </w:p>
    <w:p w14:paraId="23E4B113">
      <w:pPr>
        <w:widowControl/>
        <w:shd w:val="clear" w:color="auto" w:fill="FFFFFF"/>
        <w:tabs>
          <w:tab w:val="left" w:pos="454"/>
        </w:tabs>
        <w:spacing w:line="460" w:lineRule="exact"/>
        <w:ind w:firstLine="440" w:firstLineChars="200"/>
        <w:jc w:val="left"/>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2.3、供应商应综合考虑各种风险因素后进行报价，服务期内维保服务价格不变。</w:t>
      </w:r>
    </w:p>
    <w:p w14:paraId="348F484F">
      <w:pPr>
        <w:tabs>
          <w:tab w:val="left" w:pos="454"/>
        </w:tabs>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服务期内，电梯所有的维保和维修服务人员工资都已在合同内(包括但不限于更换轴承、砝码搬运、更换主机钢丝绳、扶梯链拆装等大修人工费及监控等医院安装于电梯内设备的维修配合费)，不得另外收取服务费。</w:t>
      </w:r>
    </w:p>
    <w:p w14:paraId="1F7AB86C">
      <w:pPr>
        <w:tabs>
          <w:tab w:val="left" w:pos="454"/>
        </w:tabs>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r>
        <w:rPr>
          <w:rFonts w:hint="eastAsia" w:ascii="宋体" w:hAnsi="宋体" w:eastAsia="宋体" w:cs="宋体"/>
          <w:color w:val="auto"/>
          <w:sz w:val="22"/>
          <w:szCs w:val="22"/>
          <w:highlight w:val="none"/>
        </w:rPr>
        <w:t>采购单位在质保期内的电梯，采购人提交相关设备供应商资料，由</w:t>
      </w:r>
      <w:r>
        <w:rPr>
          <w:rFonts w:hint="eastAsia" w:ascii="宋体" w:hAnsi="宋体" w:cs="宋体"/>
          <w:color w:val="auto"/>
          <w:sz w:val="22"/>
          <w:szCs w:val="22"/>
          <w:highlight w:val="none"/>
          <w:lang w:eastAsia="zh-CN"/>
        </w:rPr>
        <w:t>成交供应商</w:t>
      </w:r>
      <w:r>
        <w:rPr>
          <w:rFonts w:hint="eastAsia" w:ascii="宋体" w:hAnsi="宋体" w:eastAsia="宋体" w:cs="宋体"/>
          <w:color w:val="auto"/>
          <w:sz w:val="22"/>
          <w:szCs w:val="22"/>
          <w:highlight w:val="none"/>
        </w:rPr>
        <w:t>负责联系设备供应商进行维修，如发生维修费用的由采购人承担。</w:t>
      </w:r>
    </w:p>
    <w:p w14:paraId="045EC0BA">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7" w:name="_Toc11821"/>
      <w:bookmarkStart w:id="8" w:name="_Toc25677"/>
      <w:bookmarkStart w:id="9" w:name="_Toc4521"/>
      <w:r>
        <w:rPr>
          <w:rFonts w:hint="eastAsia" w:ascii="宋体" w:hAnsi="宋体" w:eastAsia="宋体" w:cs="宋体"/>
          <w:bCs/>
          <w:color w:val="auto"/>
          <w:kern w:val="0"/>
          <w:sz w:val="22"/>
          <w:szCs w:val="22"/>
          <w:highlight w:val="none"/>
        </w:rPr>
        <w:t>三、维护保养的主要内容</w:t>
      </w:r>
      <w:bookmarkEnd w:id="7"/>
      <w:bookmarkEnd w:id="8"/>
      <w:bookmarkEnd w:id="9"/>
    </w:p>
    <w:p w14:paraId="749E8D5F">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10" w:name="_Toc18848"/>
      <w:bookmarkStart w:id="11" w:name="_Toc19196"/>
      <w:bookmarkStart w:id="12" w:name="_Toc24243"/>
      <w:r>
        <w:rPr>
          <w:rFonts w:hint="eastAsia" w:ascii="宋体" w:hAnsi="宋体" w:eastAsia="宋体" w:cs="宋体"/>
          <w:color w:val="auto"/>
          <w:kern w:val="0"/>
          <w:sz w:val="22"/>
          <w:szCs w:val="22"/>
          <w:highlight w:val="none"/>
        </w:rPr>
        <w:t>电梯维保单位对电梯的维护保养应遵守相关法律法规或国家标准，以保证电梯安全运行和防止维护保养时发生伤害人员、损坏货物和电梯的事故。电梯维保单位应当对维保的电梯制定半月度、季度、半年度、年度检查保养计划交采购人存档备案（保养计划需符合《电梯使用管理与维护保养规则》规定，经采购人认可），并督促维保人员执行。安排具有规定资格的技术人员，根据要求按计划进行维护保养，并且每年按标准进行两次全面的安全检查。维护保养服务包括但不限于以下内容：</w:t>
      </w:r>
      <w:bookmarkEnd w:id="10"/>
      <w:bookmarkEnd w:id="11"/>
      <w:bookmarkEnd w:id="12"/>
    </w:p>
    <w:p w14:paraId="65B32903">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13" w:name="_Toc24334"/>
      <w:bookmarkStart w:id="14" w:name="_Toc24271"/>
      <w:bookmarkStart w:id="15" w:name="_Toc24731"/>
      <w:r>
        <w:rPr>
          <w:rFonts w:hint="eastAsia" w:ascii="宋体" w:hAnsi="宋体" w:eastAsia="宋体" w:cs="宋体"/>
          <w:color w:val="auto"/>
          <w:kern w:val="0"/>
          <w:sz w:val="22"/>
          <w:szCs w:val="22"/>
          <w:highlight w:val="none"/>
        </w:rPr>
        <w:t>1、曳引系统维修保养；</w:t>
      </w:r>
      <w:bookmarkEnd w:id="13"/>
      <w:bookmarkEnd w:id="14"/>
      <w:bookmarkEnd w:id="15"/>
    </w:p>
    <w:p w14:paraId="597E4EC4">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16" w:name="_Toc18795"/>
      <w:bookmarkStart w:id="17" w:name="_Toc9511"/>
      <w:bookmarkStart w:id="18" w:name="_Toc14585"/>
      <w:r>
        <w:rPr>
          <w:rFonts w:hint="eastAsia" w:ascii="宋体" w:hAnsi="宋体" w:eastAsia="宋体" w:cs="宋体"/>
          <w:color w:val="auto"/>
          <w:kern w:val="0"/>
          <w:sz w:val="22"/>
          <w:szCs w:val="22"/>
          <w:highlight w:val="none"/>
        </w:rPr>
        <w:t>2、电力拖动系统维修保养；</w:t>
      </w:r>
      <w:bookmarkEnd w:id="16"/>
      <w:bookmarkEnd w:id="17"/>
      <w:bookmarkEnd w:id="18"/>
    </w:p>
    <w:p w14:paraId="4C78B83F">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19" w:name="_Toc8844"/>
      <w:bookmarkStart w:id="20" w:name="_Toc25033"/>
      <w:bookmarkStart w:id="21" w:name="_Toc10920"/>
      <w:r>
        <w:rPr>
          <w:rFonts w:hint="eastAsia" w:ascii="宋体" w:hAnsi="宋体" w:eastAsia="宋体" w:cs="宋体"/>
          <w:color w:val="auto"/>
          <w:kern w:val="0"/>
          <w:sz w:val="22"/>
          <w:szCs w:val="22"/>
          <w:highlight w:val="none"/>
        </w:rPr>
        <w:t>3、各控制系统维修保养；</w:t>
      </w:r>
      <w:bookmarkEnd w:id="19"/>
      <w:bookmarkEnd w:id="20"/>
      <w:bookmarkEnd w:id="21"/>
    </w:p>
    <w:p w14:paraId="22F78ECE">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22" w:name="_Toc19175"/>
      <w:bookmarkStart w:id="23" w:name="_Toc29731"/>
      <w:bookmarkStart w:id="24" w:name="_Toc27308"/>
      <w:r>
        <w:rPr>
          <w:rFonts w:hint="eastAsia" w:ascii="宋体" w:hAnsi="宋体" w:eastAsia="宋体" w:cs="宋体"/>
          <w:color w:val="auto"/>
          <w:kern w:val="0"/>
          <w:sz w:val="22"/>
          <w:szCs w:val="22"/>
          <w:highlight w:val="none"/>
        </w:rPr>
        <w:t>4、轿厢及轿门系统维修保养；</w:t>
      </w:r>
      <w:bookmarkEnd w:id="22"/>
      <w:bookmarkEnd w:id="23"/>
      <w:bookmarkEnd w:id="24"/>
    </w:p>
    <w:p w14:paraId="1478F6D8">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25" w:name="_Toc817"/>
      <w:bookmarkStart w:id="26" w:name="_Toc6484"/>
      <w:bookmarkStart w:id="27" w:name="_Toc16041"/>
      <w:r>
        <w:rPr>
          <w:rFonts w:hint="eastAsia" w:ascii="宋体" w:hAnsi="宋体" w:eastAsia="宋体" w:cs="宋体"/>
          <w:color w:val="auto"/>
          <w:kern w:val="0"/>
          <w:sz w:val="22"/>
          <w:szCs w:val="22"/>
          <w:highlight w:val="none"/>
        </w:rPr>
        <w:t>5、厅门及开关门系统维修保养；</w:t>
      </w:r>
      <w:bookmarkEnd w:id="25"/>
      <w:bookmarkEnd w:id="26"/>
      <w:bookmarkEnd w:id="27"/>
    </w:p>
    <w:p w14:paraId="786CBFCD">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28" w:name="_Toc25768"/>
      <w:bookmarkStart w:id="29" w:name="_Toc8840"/>
      <w:bookmarkStart w:id="30" w:name="_Toc7229"/>
      <w:r>
        <w:rPr>
          <w:rFonts w:hint="eastAsia" w:ascii="宋体" w:hAnsi="宋体" w:eastAsia="宋体" w:cs="宋体"/>
          <w:color w:val="auto"/>
          <w:kern w:val="0"/>
          <w:sz w:val="22"/>
          <w:szCs w:val="22"/>
          <w:highlight w:val="none"/>
        </w:rPr>
        <w:t>6、各安全系统维修保养；</w:t>
      </w:r>
      <w:bookmarkEnd w:id="28"/>
      <w:bookmarkEnd w:id="29"/>
      <w:bookmarkEnd w:id="30"/>
    </w:p>
    <w:p w14:paraId="291A60C5">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31" w:name="_Toc1572"/>
      <w:bookmarkStart w:id="32" w:name="_Toc5606"/>
      <w:bookmarkStart w:id="33" w:name="_Toc5122"/>
      <w:r>
        <w:rPr>
          <w:rFonts w:hint="eastAsia" w:ascii="宋体" w:hAnsi="宋体" w:eastAsia="宋体" w:cs="宋体"/>
          <w:color w:val="auto"/>
          <w:kern w:val="0"/>
          <w:sz w:val="22"/>
          <w:szCs w:val="22"/>
          <w:highlight w:val="none"/>
        </w:rPr>
        <w:t>7、各润滑系统维修保养；</w:t>
      </w:r>
      <w:bookmarkEnd w:id="31"/>
      <w:bookmarkEnd w:id="32"/>
      <w:bookmarkEnd w:id="33"/>
    </w:p>
    <w:p w14:paraId="24A84375">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34" w:name="_Toc15165"/>
      <w:bookmarkStart w:id="35" w:name="_Toc31470"/>
      <w:bookmarkStart w:id="36" w:name="_Toc29186"/>
      <w:r>
        <w:rPr>
          <w:rFonts w:hint="eastAsia" w:ascii="宋体" w:hAnsi="宋体" w:eastAsia="宋体" w:cs="宋体"/>
          <w:color w:val="auto"/>
          <w:kern w:val="0"/>
          <w:sz w:val="22"/>
          <w:szCs w:val="22"/>
          <w:highlight w:val="none"/>
        </w:rPr>
        <w:t>8、按要求做好电梯检查、调整、润滑，并根据设备状态要求，修理或更换以下零部件，保证电梯安全正常运行。</w:t>
      </w:r>
      <w:bookmarkEnd w:id="34"/>
      <w:bookmarkEnd w:id="35"/>
      <w:bookmarkEnd w:id="36"/>
    </w:p>
    <w:p w14:paraId="39FF6D59">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37" w:name="_Toc2621"/>
      <w:bookmarkStart w:id="38" w:name="_Toc25518"/>
      <w:bookmarkStart w:id="39" w:name="_Toc19899"/>
      <w:r>
        <w:rPr>
          <w:rFonts w:hint="eastAsia" w:ascii="宋体" w:hAnsi="宋体" w:eastAsia="宋体" w:cs="宋体"/>
          <w:color w:val="auto"/>
          <w:kern w:val="0"/>
          <w:sz w:val="22"/>
          <w:szCs w:val="22"/>
          <w:highlight w:val="none"/>
        </w:rPr>
        <w:t>1）机器部分：曳引轮、涡杆、涡轮、曳引轮轴承、制动线圈、制动臂、电机、冷却风机和轴承等。</w:t>
      </w:r>
      <w:bookmarkEnd w:id="37"/>
      <w:bookmarkEnd w:id="38"/>
      <w:bookmarkEnd w:id="39"/>
    </w:p>
    <w:p w14:paraId="760B73DE">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40" w:name="_Toc17351"/>
      <w:bookmarkStart w:id="41" w:name="_Toc17813"/>
      <w:bookmarkStart w:id="42" w:name="_Toc17110"/>
      <w:r>
        <w:rPr>
          <w:rFonts w:hint="eastAsia" w:ascii="宋体" w:hAnsi="宋体" w:eastAsia="宋体" w:cs="宋体"/>
          <w:color w:val="auto"/>
          <w:kern w:val="0"/>
          <w:sz w:val="22"/>
          <w:szCs w:val="22"/>
          <w:highlight w:val="none"/>
        </w:rPr>
        <w:t>2）电气部分：控制柜、派梯设备、平层装置、所有的继电器、传感器、电阻、电容、功率放大器、变压器、接触器、连接线、阻尼减振器、记时器、电子板、钢带及其机电驱动装置、电机线路和整流器电路的电阻等。</w:t>
      </w:r>
      <w:bookmarkEnd w:id="40"/>
      <w:bookmarkEnd w:id="41"/>
      <w:bookmarkEnd w:id="42"/>
    </w:p>
    <w:p w14:paraId="1910585F">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43" w:name="_Toc17226"/>
      <w:bookmarkStart w:id="44" w:name="_Toc16891"/>
      <w:bookmarkStart w:id="45" w:name="_Toc14522"/>
      <w:r>
        <w:rPr>
          <w:rFonts w:hint="eastAsia" w:ascii="宋体" w:hAnsi="宋体" w:eastAsia="宋体" w:cs="宋体"/>
          <w:color w:val="auto"/>
          <w:kern w:val="0"/>
          <w:sz w:val="22"/>
          <w:szCs w:val="22"/>
          <w:highlight w:val="none"/>
        </w:rPr>
        <w:t>3）安全设备部分：限速器、限速器轮和轴组件、轴承、安全钳等。</w:t>
      </w:r>
      <w:bookmarkEnd w:id="43"/>
      <w:bookmarkEnd w:id="44"/>
      <w:bookmarkEnd w:id="45"/>
    </w:p>
    <w:p w14:paraId="2EF5D172">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46" w:name="_Toc2841"/>
      <w:bookmarkStart w:id="47" w:name="_Toc11615"/>
      <w:bookmarkStart w:id="48" w:name="_Toc30935"/>
      <w:r>
        <w:rPr>
          <w:rFonts w:hint="eastAsia" w:ascii="宋体" w:hAnsi="宋体" w:eastAsia="宋体" w:cs="宋体"/>
          <w:color w:val="auto"/>
          <w:kern w:val="0"/>
          <w:sz w:val="22"/>
          <w:szCs w:val="22"/>
          <w:highlight w:val="none"/>
        </w:rPr>
        <w:t>4）井道部分：曳引绳、随行电缆、导向轮或复绕轮及其轴承、轿厢和对重、导轨及缓冲器、上下极限开关、限速器涨紧轮装置、补偿链、补偿链装置、轿厢风扇、对重及对重导靴，包括滚轮和导靴片等。</w:t>
      </w:r>
      <w:bookmarkEnd w:id="46"/>
      <w:bookmarkEnd w:id="47"/>
      <w:bookmarkEnd w:id="48"/>
    </w:p>
    <w:p w14:paraId="2D68DC1D">
      <w:pPr>
        <w:shd w:val="clear" w:color="auto" w:fill="FFFFFF"/>
        <w:spacing w:line="460" w:lineRule="exact"/>
        <w:ind w:firstLine="440" w:firstLineChars="200"/>
        <w:outlineLvl w:val="0"/>
        <w:rPr>
          <w:rFonts w:hint="eastAsia" w:ascii="宋体" w:hAnsi="宋体" w:eastAsia="宋体" w:cs="宋体"/>
          <w:color w:val="auto"/>
          <w:kern w:val="0"/>
          <w:sz w:val="22"/>
          <w:szCs w:val="22"/>
          <w:highlight w:val="none"/>
        </w:rPr>
      </w:pPr>
      <w:bookmarkStart w:id="49" w:name="_Toc16738"/>
      <w:bookmarkStart w:id="50" w:name="_Toc27746"/>
      <w:bookmarkStart w:id="51" w:name="_Toc30268"/>
      <w:r>
        <w:rPr>
          <w:rFonts w:hint="eastAsia" w:ascii="宋体" w:hAnsi="宋体" w:eastAsia="宋体" w:cs="宋体"/>
          <w:color w:val="auto"/>
          <w:kern w:val="0"/>
          <w:sz w:val="22"/>
          <w:szCs w:val="22"/>
          <w:highlight w:val="none"/>
        </w:rPr>
        <w:t>5）厅、轿门部分：轿厢和厅门机械按钮、电子轻触式按钮、轿厢和大厅楼层位置显示器、厅门信号灯、轿厢方向指示器、轿厢内吊顶装饰板、厅门连锁装置、厅门吊架、厅门门滑块及辅助关门装置、自动开门机、轿门吊板、轿门触点、门保护装置、称重设备。轿架安全装置和轿厢平台等。</w:t>
      </w:r>
      <w:bookmarkEnd w:id="49"/>
      <w:bookmarkEnd w:id="50"/>
      <w:bookmarkEnd w:id="51"/>
    </w:p>
    <w:p w14:paraId="6E8DD875">
      <w:pPr>
        <w:shd w:val="clear" w:color="auto" w:fill="FFFFFF"/>
        <w:spacing w:line="440" w:lineRule="atLeast"/>
        <w:ind w:firstLine="440" w:firstLineChars="200"/>
        <w:outlineLvl w:val="0"/>
        <w:rPr>
          <w:rFonts w:hint="eastAsia" w:ascii="宋体" w:hAnsi="宋体" w:eastAsia="宋体" w:cs="宋体"/>
          <w:color w:val="auto"/>
          <w:kern w:val="0"/>
          <w:sz w:val="22"/>
          <w:szCs w:val="22"/>
          <w:highlight w:val="none"/>
        </w:rPr>
      </w:pPr>
      <w:bookmarkStart w:id="52" w:name="_Toc16992"/>
      <w:bookmarkStart w:id="53" w:name="_Toc7440"/>
      <w:bookmarkStart w:id="54" w:name="_Toc21042"/>
      <w:r>
        <w:rPr>
          <w:rFonts w:hint="eastAsia" w:ascii="宋体" w:hAnsi="宋体" w:eastAsia="宋体" w:cs="宋体"/>
          <w:color w:val="auto"/>
          <w:kern w:val="0"/>
          <w:sz w:val="22"/>
          <w:szCs w:val="22"/>
          <w:highlight w:val="none"/>
        </w:rPr>
        <w:t>9、桥厢照明系统的维修维护。</w:t>
      </w:r>
      <w:bookmarkEnd w:id="52"/>
      <w:bookmarkEnd w:id="53"/>
      <w:bookmarkEnd w:id="54"/>
    </w:p>
    <w:p w14:paraId="69F8675D">
      <w:pPr>
        <w:shd w:val="clear" w:color="auto" w:fill="FFFFFF"/>
        <w:spacing w:line="440" w:lineRule="atLeast"/>
        <w:ind w:firstLine="440" w:firstLineChars="200"/>
        <w:outlineLvl w:val="0"/>
        <w:rPr>
          <w:rFonts w:hint="eastAsia" w:ascii="宋体" w:hAnsi="宋体" w:eastAsia="宋体" w:cs="宋体"/>
          <w:color w:val="auto"/>
          <w:kern w:val="0"/>
          <w:sz w:val="22"/>
          <w:szCs w:val="22"/>
          <w:highlight w:val="none"/>
        </w:rPr>
      </w:pPr>
      <w:bookmarkStart w:id="55" w:name="_Toc31946"/>
      <w:bookmarkStart w:id="56" w:name="_Toc11509"/>
      <w:bookmarkStart w:id="57" w:name="_Toc2857"/>
      <w:r>
        <w:rPr>
          <w:rFonts w:hint="eastAsia" w:ascii="宋体" w:hAnsi="宋体" w:eastAsia="宋体" w:cs="宋体"/>
          <w:color w:val="auto"/>
          <w:kern w:val="0"/>
          <w:sz w:val="22"/>
          <w:szCs w:val="22"/>
          <w:highlight w:val="none"/>
        </w:rPr>
        <w:t>10、供应商须提供24小时紧急故障维修和意外事件的技术性服务。</w:t>
      </w:r>
      <w:bookmarkEnd w:id="55"/>
      <w:bookmarkEnd w:id="56"/>
      <w:bookmarkEnd w:id="57"/>
    </w:p>
    <w:p w14:paraId="2BDB6238">
      <w:pPr>
        <w:shd w:val="clear" w:color="auto" w:fill="FFFFFF"/>
        <w:spacing w:line="440" w:lineRule="atLeast"/>
        <w:ind w:firstLine="440" w:firstLineChars="200"/>
        <w:outlineLvl w:val="0"/>
        <w:rPr>
          <w:rFonts w:hint="eastAsia" w:ascii="宋体" w:hAnsi="宋体" w:eastAsia="宋体" w:cs="宋体"/>
          <w:color w:val="auto"/>
          <w:kern w:val="0"/>
          <w:sz w:val="22"/>
          <w:szCs w:val="22"/>
          <w:highlight w:val="none"/>
        </w:rPr>
      </w:pPr>
      <w:bookmarkStart w:id="58" w:name="_Toc31278"/>
      <w:bookmarkStart w:id="59" w:name="_Toc26685"/>
      <w:bookmarkStart w:id="60" w:name="_Toc27708"/>
      <w:r>
        <w:rPr>
          <w:rFonts w:hint="eastAsia"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u w:val="single"/>
        </w:rPr>
        <w:t>本项目需有至少1名具有《特种设备作业人员证》的电梯修理作业人员常驻现场，并承诺提供7*24小时服务(采购人提供</w:t>
      </w:r>
      <w:r>
        <w:rPr>
          <w:rFonts w:hint="eastAsia" w:ascii="宋体" w:hAnsi="宋体" w:cs="宋体"/>
          <w:color w:val="auto"/>
          <w:kern w:val="0"/>
          <w:sz w:val="22"/>
          <w:szCs w:val="22"/>
          <w:highlight w:val="none"/>
          <w:u w:val="single"/>
          <w:lang w:val="en-US" w:eastAsia="zh-CN"/>
        </w:rPr>
        <w:t>住</w:t>
      </w:r>
      <w:r>
        <w:rPr>
          <w:rFonts w:hint="eastAsia" w:ascii="宋体" w:hAnsi="宋体" w:eastAsia="宋体" w:cs="宋体"/>
          <w:color w:val="auto"/>
          <w:kern w:val="0"/>
          <w:sz w:val="22"/>
          <w:szCs w:val="22"/>
          <w:highlight w:val="none"/>
          <w:u w:val="single"/>
        </w:rPr>
        <w:t>宿），如遇采购人有重大接待活动或大批量维修，须增加驻场服务人员。</w:t>
      </w:r>
      <w:bookmarkEnd w:id="58"/>
      <w:bookmarkEnd w:id="59"/>
      <w:bookmarkEnd w:id="60"/>
    </w:p>
    <w:p w14:paraId="7F3952E3">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61" w:name="_Toc9097"/>
      <w:bookmarkStart w:id="62" w:name="_Toc8377"/>
      <w:bookmarkStart w:id="63" w:name="_Toc6725"/>
      <w:r>
        <w:rPr>
          <w:rFonts w:hint="eastAsia" w:ascii="宋体" w:hAnsi="宋体" w:eastAsia="宋体" w:cs="宋体"/>
          <w:bCs/>
          <w:color w:val="auto"/>
          <w:kern w:val="0"/>
          <w:sz w:val="22"/>
          <w:szCs w:val="22"/>
          <w:highlight w:val="none"/>
        </w:rPr>
        <w:t>四、服务标准</w:t>
      </w:r>
      <w:bookmarkEnd w:id="61"/>
      <w:bookmarkEnd w:id="62"/>
      <w:bookmarkEnd w:id="63"/>
    </w:p>
    <w:p w14:paraId="2E6934BD">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64" w:name="_Toc20923"/>
      <w:bookmarkStart w:id="65" w:name="_Toc31421"/>
      <w:bookmarkStart w:id="66" w:name="_Toc13214"/>
      <w:r>
        <w:rPr>
          <w:rFonts w:hint="eastAsia" w:ascii="宋体" w:hAnsi="宋体" w:eastAsia="宋体" w:cs="宋体"/>
          <w:bCs/>
          <w:color w:val="auto"/>
          <w:kern w:val="0"/>
          <w:sz w:val="22"/>
          <w:szCs w:val="22"/>
          <w:highlight w:val="none"/>
        </w:rPr>
        <w:t>1、电梯维护保养规则 TSG T5002-20</w:t>
      </w:r>
      <w:bookmarkEnd w:id="64"/>
      <w:r>
        <w:rPr>
          <w:rFonts w:hint="eastAsia" w:ascii="宋体" w:hAnsi="宋体" w:eastAsia="宋体" w:cs="宋体"/>
          <w:bCs/>
          <w:color w:val="auto"/>
          <w:kern w:val="0"/>
          <w:sz w:val="22"/>
          <w:szCs w:val="22"/>
          <w:highlight w:val="none"/>
        </w:rPr>
        <w:t>17</w:t>
      </w:r>
      <w:bookmarkEnd w:id="65"/>
      <w:bookmarkEnd w:id="66"/>
      <w:r>
        <w:rPr>
          <w:rFonts w:hint="eastAsia" w:ascii="宋体" w:hAnsi="宋体" w:eastAsia="宋体" w:cs="宋体"/>
          <w:bCs/>
          <w:color w:val="auto"/>
          <w:kern w:val="0"/>
          <w:sz w:val="22"/>
          <w:szCs w:val="22"/>
          <w:highlight w:val="none"/>
        </w:rPr>
        <w:t>；</w:t>
      </w:r>
    </w:p>
    <w:p w14:paraId="47BCCF34">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特种设备使用管理规则</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TSG 08-2017</w:t>
      </w:r>
      <w:r>
        <w:rPr>
          <w:rFonts w:hint="eastAsia" w:ascii="宋体" w:hAnsi="宋体" w:cs="宋体"/>
          <w:color w:val="auto"/>
          <w:kern w:val="0"/>
          <w:sz w:val="22"/>
          <w:szCs w:val="22"/>
          <w:highlight w:val="none"/>
          <w:lang w:val="en-US" w:eastAsia="zh-CN"/>
        </w:rPr>
        <w:t>；</w:t>
      </w:r>
    </w:p>
    <w:p w14:paraId="37483EDC">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67" w:name="_Toc32593"/>
      <w:bookmarkStart w:id="68" w:name="_Toc5909"/>
      <w:bookmarkStart w:id="69" w:name="_Toc6092"/>
      <w:r>
        <w:rPr>
          <w:rFonts w:hint="eastAsia" w:ascii="宋体" w:hAnsi="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、电梯、自动扶梯和自动人行道维修规范 GB/T 18775-200</w:t>
      </w:r>
      <w:bookmarkEnd w:id="67"/>
      <w:bookmarkEnd w:id="68"/>
      <w:bookmarkEnd w:id="69"/>
      <w:r>
        <w:rPr>
          <w:rFonts w:hint="eastAsia" w:ascii="宋体" w:hAnsi="宋体" w:eastAsia="宋体" w:cs="宋体"/>
          <w:bCs/>
          <w:color w:val="auto"/>
          <w:kern w:val="0"/>
          <w:sz w:val="22"/>
          <w:szCs w:val="22"/>
          <w:highlight w:val="none"/>
        </w:rPr>
        <w:t>9；</w:t>
      </w:r>
    </w:p>
    <w:p w14:paraId="72ECA60F">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70" w:name="_Toc1861"/>
      <w:bookmarkStart w:id="71" w:name="_Toc12932"/>
      <w:bookmarkStart w:id="72" w:name="_Toc24267"/>
      <w:r>
        <w:rPr>
          <w:rFonts w:hint="eastAsia" w:ascii="宋体" w:hAnsi="宋体" w:cs="宋体"/>
          <w:bCs/>
          <w:color w:val="auto"/>
          <w:kern w:val="0"/>
          <w:sz w:val="22"/>
          <w:szCs w:val="22"/>
          <w:highlight w:val="none"/>
          <w:lang w:val="en-US" w:eastAsia="zh-CN"/>
        </w:rPr>
        <w:t>4</w:t>
      </w:r>
      <w:r>
        <w:rPr>
          <w:rFonts w:hint="eastAsia" w:ascii="宋体" w:hAnsi="宋体" w:eastAsia="宋体" w:cs="宋体"/>
          <w:bCs/>
          <w:color w:val="auto"/>
          <w:kern w:val="0"/>
          <w:sz w:val="22"/>
          <w:szCs w:val="22"/>
          <w:highlight w:val="none"/>
        </w:rPr>
        <w:t>、电梯日常维护保养规则 DB11/</w:t>
      </w:r>
      <w:r>
        <w:rPr>
          <w:rFonts w:hint="eastAsia" w:ascii="宋体" w:hAnsi="宋体" w:cs="宋体"/>
          <w:bCs/>
          <w:color w:val="auto"/>
          <w:kern w:val="0"/>
          <w:sz w:val="22"/>
          <w:szCs w:val="22"/>
          <w:highlight w:val="none"/>
          <w:lang w:val="en-US" w:eastAsia="zh-CN"/>
        </w:rPr>
        <w:t xml:space="preserve">T </w:t>
      </w:r>
      <w:r>
        <w:rPr>
          <w:rFonts w:hint="eastAsia" w:ascii="宋体" w:hAnsi="宋体" w:eastAsia="宋体" w:cs="宋体"/>
          <w:bCs/>
          <w:color w:val="auto"/>
          <w:kern w:val="0"/>
          <w:sz w:val="22"/>
          <w:szCs w:val="22"/>
          <w:highlight w:val="none"/>
        </w:rPr>
        <w:t>418-20</w:t>
      </w:r>
      <w:bookmarkEnd w:id="70"/>
      <w:bookmarkEnd w:id="71"/>
      <w:bookmarkEnd w:id="72"/>
      <w:r>
        <w:rPr>
          <w:rFonts w:hint="eastAsia" w:ascii="宋体" w:hAnsi="宋体" w:eastAsia="宋体" w:cs="宋体"/>
          <w:bCs/>
          <w:color w:val="auto"/>
          <w:kern w:val="0"/>
          <w:sz w:val="22"/>
          <w:szCs w:val="22"/>
          <w:highlight w:val="none"/>
        </w:rPr>
        <w:t>19；</w:t>
      </w:r>
    </w:p>
    <w:p w14:paraId="235CC21E">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73" w:name="_Toc17379"/>
      <w:bookmarkStart w:id="74" w:name="_Toc348"/>
      <w:bookmarkStart w:id="75" w:name="_Toc8677"/>
      <w:r>
        <w:rPr>
          <w:rFonts w:hint="eastAsia" w:ascii="宋体" w:hAnsi="宋体" w:cs="宋体"/>
          <w:bCs/>
          <w:color w:val="auto"/>
          <w:kern w:val="0"/>
          <w:sz w:val="22"/>
          <w:szCs w:val="22"/>
          <w:highlight w:val="none"/>
          <w:lang w:val="en-US" w:eastAsia="zh-CN"/>
        </w:rPr>
        <w:t>5</w:t>
      </w:r>
      <w:r>
        <w:rPr>
          <w:rFonts w:hint="eastAsia" w:ascii="宋体" w:hAnsi="宋体" w:eastAsia="宋体" w:cs="宋体"/>
          <w:bCs/>
          <w:color w:val="auto"/>
          <w:kern w:val="0"/>
          <w:sz w:val="22"/>
          <w:szCs w:val="22"/>
          <w:highlight w:val="none"/>
        </w:rPr>
        <w:t>、电梯安装、改造、重大维修和维护保养自检规则DB11/T 420-20</w:t>
      </w:r>
      <w:bookmarkEnd w:id="73"/>
      <w:bookmarkEnd w:id="74"/>
      <w:bookmarkEnd w:id="75"/>
      <w:r>
        <w:rPr>
          <w:rFonts w:hint="eastAsia" w:ascii="宋体" w:hAnsi="宋体" w:eastAsia="宋体" w:cs="宋体"/>
          <w:bCs/>
          <w:color w:val="auto"/>
          <w:kern w:val="0"/>
          <w:sz w:val="22"/>
          <w:szCs w:val="22"/>
          <w:highlight w:val="none"/>
        </w:rPr>
        <w:t>19；</w:t>
      </w:r>
    </w:p>
    <w:p w14:paraId="0125AF65">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76" w:name="_Toc27042"/>
      <w:bookmarkStart w:id="77" w:name="_Toc16809"/>
      <w:bookmarkStart w:id="78" w:name="_Toc1935"/>
      <w:r>
        <w:rPr>
          <w:rFonts w:hint="eastAsia" w:ascii="宋体" w:hAnsi="宋体" w:cs="宋体"/>
          <w:bCs/>
          <w:color w:val="auto"/>
          <w:kern w:val="0"/>
          <w:sz w:val="22"/>
          <w:szCs w:val="22"/>
          <w:highlight w:val="none"/>
          <w:lang w:val="en-US" w:eastAsia="zh-CN"/>
        </w:rPr>
        <w:t>6</w:t>
      </w:r>
      <w:r>
        <w:rPr>
          <w:rFonts w:hint="eastAsia" w:ascii="宋体" w:hAnsi="宋体" w:eastAsia="宋体" w:cs="宋体"/>
          <w:bCs/>
          <w:color w:val="auto"/>
          <w:kern w:val="0"/>
          <w:sz w:val="22"/>
          <w:szCs w:val="22"/>
          <w:highlight w:val="none"/>
        </w:rPr>
        <w:t>、电梯维修保养安全管理规范DB33/T 728-20</w:t>
      </w:r>
      <w:bookmarkEnd w:id="76"/>
      <w:bookmarkEnd w:id="77"/>
      <w:bookmarkEnd w:id="78"/>
      <w:r>
        <w:rPr>
          <w:rFonts w:hint="eastAsia" w:ascii="宋体" w:hAnsi="宋体" w:eastAsia="宋体" w:cs="宋体"/>
          <w:bCs/>
          <w:color w:val="auto"/>
          <w:kern w:val="0"/>
          <w:sz w:val="22"/>
          <w:szCs w:val="22"/>
          <w:highlight w:val="none"/>
        </w:rPr>
        <w:t>16；</w:t>
      </w:r>
    </w:p>
    <w:p w14:paraId="16551431">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79" w:name="_Toc23374"/>
      <w:bookmarkStart w:id="80" w:name="_Toc30198"/>
      <w:bookmarkStart w:id="81" w:name="_Toc5385"/>
      <w:r>
        <w:rPr>
          <w:rFonts w:hint="eastAsia" w:ascii="宋体" w:hAnsi="宋体" w:cs="宋体"/>
          <w:bCs/>
          <w:color w:val="auto"/>
          <w:kern w:val="0"/>
          <w:sz w:val="22"/>
          <w:szCs w:val="22"/>
          <w:highlight w:val="none"/>
          <w:lang w:val="en-US" w:eastAsia="zh-CN"/>
        </w:rPr>
        <w:t>7</w:t>
      </w:r>
      <w:r>
        <w:rPr>
          <w:rFonts w:hint="eastAsia" w:ascii="宋体" w:hAnsi="宋体" w:eastAsia="宋体" w:cs="宋体"/>
          <w:bCs/>
          <w:color w:val="auto"/>
          <w:kern w:val="0"/>
          <w:sz w:val="22"/>
          <w:szCs w:val="22"/>
          <w:highlight w:val="none"/>
        </w:rPr>
        <w:t>、特种设备的电气装置应符合IEC标准</w:t>
      </w:r>
      <w:bookmarkEnd w:id="79"/>
      <w:bookmarkEnd w:id="80"/>
      <w:bookmarkEnd w:id="81"/>
      <w:r>
        <w:rPr>
          <w:rFonts w:hint="eastAsia" w:ascii="宋体" w:hAnsi="宋体" w:eastAsia="宋体" w:cs="宋体"/>
          <w:bCs/>
          <w:color w:val="auto"/>
          <w:kern w:val="0"/>
          <w:sz w:val="22"/>
          <w:szCs w:val="22"/>
          <w:highlight w:val="none"/>
        </w:rPr>
        <w:t>；</w:t>
      </w:r>
    </w:p>
    <w:p w14:paraId="2386670B">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82" w:name="_Toc8913"/>
      <w:bookmarkStart w:id="83" w:name="_Toc20872"/>
      <w:bookmarkStart w:id="84" w:name="_Toc13857"/>
      <w:bookmarkStart w:id="85" w:name="_Toc15495"/>
      <w:bookmarkStart w:id="86" w:name="_Toc11894"/>
      <w:bookmarkStart w:id="87" w:name="_Toc569"/>
      <w:r>
        <w:rPr>
          <w:rFonts w:hint="eastAsia" w:ascii="宋体" w:hAnsi="宋体" w:cs="宋体"/>
          <w:bCs/>
          <w:color w:val="auto"/>
          <w:kern w:val="0"/>
          <w:sz w:val="22"/>
          <w:szCs w:val="22"/>
          <w:highlight w:val="none"/>
          <w:lang w:val="en-US" w:eastAsia="zh-CN"/>
        </w:rPr>
        <w:t>8</w:t>
      </w:r>
      <w:r>
        <w:rPr>
          <w:rFonts w:hint="eastAsia" w:ascii="宋体" w:hAnsi="宋体" w:eastAsia="宋体" w:cs="宋体"/>
          <w:bCs/>
          <w:color w:val="auto"/>
          <w:kern w:val="0"/>
          <w:sz w:val="22"/>
          <w:szCs w:val="22"/>
          <w:highlight w:val="none"/>
        </w:rPr>
        <w:t>、电梯安装使用维护说明书</w:t>
      </w:r>
      <w:bookmarkEnd w:id="82"/>
      <w:bookmarkEnd w:id="83"/>
      <w:bookmarkEnd w:id="84"/>
      <w:bookmarkEnd w:id="85"/>
      <w:bookmarkEnd w:id="86"/>
      <w:bookmarkEnd w:id="87"/>
      <w:r>
        <w:rPr>
          <w:rFonts w:hint="eastAsia" w:ascii="宋体" w:hAnsi="宋体" w:eastAsia="宋体" w:cs="宋体"/>
          <w:bCs/>
          <w:color w:val="auto"/>
          <w:kern w:val="0"/>
          <w:sz w:val="22"/>
          <w:szCs w:val="22"/>
          <w:highlight w:val="none"/>
        </w:rPr>
        <w:t>。</w:t>
      </w:r>
    </w:p>
    <w:p w14:paraId="0FD2C8D7">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88" w:name="_Toc18485"/>
      <w:bookmarkStart w:id="89" w:name="_Toc9459"/>
      <w:bookmarkStart w:id="90" w:name="_Toc10775"/>
      <w:r>
        <w:rPr>
          <w:rFonts w:hint="eastAsia" w:ascii="宋体" w:hAnsi="宋体" w:eastAsia="宋体" w:cs="宋体"/>
          <w:bCs/>
          <w:color w:val="auto"/>
          <w:kern w:val="0"/>
          <w:sz w:val="22"/>
          <w:szCs w:val="22"/>
          <w:highlight w:val="none"/>
        </w:rPr>
        <w:t>五、检验标准</w:t>
      </w:r>
      <w:bookmarkEnd w:id="88"/>
      <w:bookmarkEnd w:id="89"/>
      <w:bookmarkEnd w:id="90"/>
    </w:p>
    <w:p w14:paraId="4052B16E">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91" w:name="_Toc15489"/>
      <w:bookmarkStart w:id="92" w:name="_Toc30854"/>
      <w:bookmarkStart w:id="93" w:name="_Toc17664"/>
      <w:r>
        <w:rPr>
          <w:rFonts w:hint="eastAsia" w:ascii="宋体" w:hAnsi="宋体" w:eastAsia="宋体" w:cs="宋体"/>
          <w:bCs/>
          <w:color w:val="auto"/>
          <w:kern w:val="0"/>
          <w:sz w:val="22"/>
          <w:szCs w:val="22"/>
          <w:highlight w:val="none"/>
        </w:rPr>
        <w:t>1、电梯监督检验和定期检验规则 TSG T7001-20</w:t>
      </w:r>
      <w:r>
        <w:rPr>
          <w:rFonts w:hint="eastAsia" w:ascii="宋体" w:hAnsi="宋体" w:cs="宋体"/>
          <w:bCs/>
          <w:color w:val="auto"/>
          <w:kern w:val="0"/>
          <w:sz w:val="22"/>
          <w:szCs w:val="22"/>
          <w:highlight w:val="none"/>
          <w:lang w:val="en-US" w:eastAsia="zh-CN"/>
        </w:rPr>
        <w:t>23</w:t>
      </w:r>
      <w:r>
        <w:rPr>
          <w:rFonts w:hint="eastAsia" w:ascii="宋体" w:hAnsi="宋体" w:eastAsia="宋体" w:cs="宋体"/>
          <w:bCs/>
          <w:color w:val="auto"/>
          <w:kern w:val="0"/>
          <w:sz w:val="22"/>
          <w:szCs w:val="22"/>
          <w:highlight w:val="none"/>
        </w:rPr>
        <w:t>；</w:t>
      </w:r>
      <w:bookmarkEnd w:id="91"/>
      <w:bookmarkEnd w:id="92"/>
      <w:bookmarkEnd w:id="93"/>
    </w:p>
    <w:p w14:paraId="7C65FE26">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94" w:name="_Toc25617"/>
      <w:bookmarkStart w:id="95" w:name="_Toc4950"/>
      <w:bookmarkStart w:id="96" w:name="_Toc8201"/>
      <w:r>
        <w:rPr>
          <w:rFonts w:hint="eastAsia" w:ascii="宋体" w:hAnsi="宋体" w:eastAsia="宋体" w:cs="宋体"/>
          <w:bCs/>
          <w:color w:val="auto"/>
          <w:kern w:val="0"/>
          <w:sz w:val="22"/>
          <w:szCs w:val="22"/>
          <w:highlight w:val="none"/>
        </w:rPr>
        <w:t>2、电梯工程施工质量验收规范 GB 50310-2002；</w:t>
      </w:r>
      <w:bookmarkEnd w:id="94"/>
      <w:bookmarkEnd w:id="95"/>
      <w:bookmarkEnd w:id="96"/>
    </w:p>
    <w:p w14:paraId="72881492">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97" w:name="_Toc6755"/>
      <w:bookmarkStart w:id="98" w:name="_Toc208"/>
      <w:bookmarkStart w:id="99" w:name="_Toc29259"/>
      <w:r>
        <w:rPr>
          <w:rFonts w:hint="eastAsia" w:ascii="宋体" w:hAnsi="宋体" w:eastAsia="宋体" w:cs="宋体"/>
          <w:bCs/>
          <w:color w:val="auto"/>
          <w:kern w:val="0"/>
          <w:sz w:val="22"/>
          <w:szCs w:val="22"/>
          <w:highlight w:val="none"/>
        </w:rPr>
        <w:t>3、由投标人提供的所有产品和服务须符合国家规范及标准（如与国家权威部门最新颁布的有矛盾，一律以最新的或高于所例规范标准为准执行）。</w:t>
      </w:r>
      <w:bookmarkEnd w:id="97"/>
      <w:bookmarkEnd w:id="98"/>
      <w:bookmarkEnd w:id="99"/>
    </w:p>
    <w:p w14:paraId="5A26B1E4">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00" w:name="_Toc18778"/>
      <w:bookmarkStart w:id="101" w:name="_Toc2706"/>
      <w:bookmarkStart w:id="102" w:name="_Toc19936"/>
      <w:r>
        <w:rPr>
          <w:rFonts w:hint="eastAsia" w:ascii="宋体" w:hAnsi="宋体" w:eastAsia="宋体" w:cs="宋体"/>
          <w:bCs/>
          <w:color w:val="auto"/>
          <w:kern w:val="0"/>
          <w:sz w:val="22"/>
          <w:szCs w:val="22"/>
          <w:highlight w:val="none"/>
        </w:rPr>
        <w:t>六、服务质量</w:t>
      </w:r>
      <w:bookmarkEnd w:id="100"/>
      <w:bookmarkEnd w:id="101"/>
      <w:bookmarkEnd w:id="102"/>
      <w:r>
        <w:rPr>
          <w:rFonts w:hint="eastAsia" w:ascii="宋体" w:hAnsi="宋体" w:eastAsia="宋体" w:cs="宋体"/>
          <w:bCs/>
          <w:color w:val="auto"/>
          <w:kern w:val="0"/>
          <w:sz w:val="22"/>
          <w:szCs w:val="22"/>
          <w:highlight w:val="none"/>
        </w:rPr>
        <w:t>要求</w:t>
      </w:r>
    </w:p>
    <w:p w14:paraId="0F983EE5">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03" w:name="_Toc6214"/>
      <w:bookmarkStart w:id="104" w:name="_Toc2403"/>
      <w:bookmarkStart w:id="105" w:name="_Toc31714"/>
      <w:r>
        <w:rPr>
          <w:rFonts w:hint="eastAsia" w:ascii="宋体" w:hAnsi="宋体" w:eastAsia="宋体" w:cs="宋体"/>
          <w:bCs/>
          <w:color w:val="auto"/>
          <w:kern w:val="0"/>
          <w:sz w:val="22"/>
          <w:szCs w:val="22"/>
          <w:highlight w:val="none"/>
        </w:rPr>
        <w:t>1、维保合同期内不允许有违章作业发生；</w:t>
      </w:r>
      <w:bookmarkEnd w:id="103"/>
      <w:bookmarkEnd w:id="104"/>
      <w:bookmarkEnd w:id="105"/>
    </w:p>
    <w:p w14:paraId="7738316B">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06" w:name="_Toc7935"/>
      <w:bookmarkStart w:id="107" w:name="_Toc5376"/>
      <w:bookmarkStart w:id="108" w:name="_Toc880"/>
      <w:r>
        <w:rPr>
          <w:rFonts w:hint="eastAsia" w:ascii="宋体" w:hAnsi="宋体" w:eastAsia="宋体" w:cs="宋体"/>
          <w:bCs/>
          <w:color w:val="auto"/>
          <w:kern w:val="0"/>
          <w:sz w:val="22"/>
          <w:szCs w:val="22"/>
          <w:highlight w:val="none"/>
        </w:rPr>
        <w:t>2、必须满足使用单位对本项目的管理要求；</w:t>
      </w:r>
      <w:bookmarkEnd w:id="106"/>
      <w:bookmarkEnd w:id="107"/>
      <w:bookmarkEnd w:id="108"/>
    </w:p>
    <w:p w14:paraId="3116EA62">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09" w:name="_Toc4250"/>
      <w:bookmarkStart w:id="110" w:name="_Toc27754"/>
      <w:bookmarkStart w:id="111" w:name="_Toc32168"/>
      <w:r>
        <w:rPr>
          <w:rFonts w:hint="eastAsia" w:ascii="宋体" w:hAnsi="宋体" w:eastAsia="宋体" w:cs="宋体"/>
          <w:bCs/>
          <w:color w:val="auto"/>
          <w:kern w:val="0"/>
          <w:sz w:val="22"/>
          <w:szCs w:val="22"/>
          <w:highlight w:val="none"/>
        </w:rPr>
        <w:t>3、对项目维保作业人员及设施的安全负全责；</w:t>
      </w:r>
      <w:bookmarkEnd w:id="109"/>
      <w:bookmarkEnd w:id="110"/>
      <w:bookmarkEnd w:id="111"/>
    </w:p>
    <w:p w14:paraId="108062F4">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12" w:name="_Toc7715"/>
      <w:bookmarkStart w:id="113" w:name="_Toc29213"/>
      <w:bookmarkStart w:id="114" w:name="_Toc4695"/>
      <w:r>
        <w:rPr>
          <w:rFonts w:hint="eastAsia" w:ascii="宋体" w:hAnsi="宋体" w:eastAsia="宋体" w:cs="宋体"/>
          <w:bCs/>
          <w:color w:val="auto"/>
          <w:kern w:val="0"/>
          <w:sz w:val="22"/>
          <w:szCs w:val="22"/>
          <w:highlight w:val="none"/>
        </w:rPr>
        <w:t>4、必须保证中标后在本地配置备品备件库，并保证原厂配件来源渠道畅通，配件质量可靠，确保发生故障的情况下能迅速处理解决。</w:t>
      </w:r>
      <w:bookmarkEnd w:id="112"/>
      <w:bookmarkEnd w:id="113"/>
      <w:bookmarkEnd w:id="114"/>
    </w:p>
    <w:p w14:paraId="0E071DE2">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15" w:name="_Toc32037"/>
      <w:bookmarkStart w:id="116" w:name="_Toc4587"/>
      <w:r>
        <w:rPr>
          <w:rFonts w:hint="eastAsia" w:ascii="宋体" w:hAnsi="宋体" w:eastAsia="宋体" w:cs="宋体"/>
          <w:bCs/>
          <w:color w:val="auto"/>
          <w:kern w:val="0"/>
          <w:sz w:val="22"/>
          <w:szCs w:val="22"/>
          <w:highlight w:val="none"/>
        </w:rPr>
        <w:t>5、维保合同期内，确保电梯安全、正常、平稳运行。发生因电梯运行故障导致投诉</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lang w:val="en-US" w:eastAsia="zh-CN"/>
        </w:rPr>
        <w:t>发生人身伤亡或其他</w:t>
      </w:r>
      <w:r>
        <w:rPr>
          <w:rFonts w:hint="eastAsia" w:ascii="宋体" w:hAnsi="宋体" w:eastAsia="宋体" w:cs="宋体"/>
          <w:bCs/>
          <w:color w:val="auto"/>
          <w:kern w:val="0"/>
          <w:sz w:val="22"/>
          <w:szCs w:val="22"/>
          <w:highlight w:val="none"/>
        </w:rPr>
        <w:t>赔偿等纠纷，均</w:t>
      </w:r>
      <w:r>
        <w:rPr>
          <w:rFonts w:hint="eastAsia" w:ascii="宋体" w:hAnsi="宋体" w:cs="宋体"/>
          <w:bCs/>
          <w:color w:val="auto"/>
          <w:kern w:val="0"/>
          <w:sz w:val="22"/>
          <w:szCs w:val="22"/>
          <w:highlight w:val="none"/>
          <w:lang w:val="en-US" w:eastAsia="zh-CN"/>
        </w:rPr>
        <w:t>由</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供应商负全责。</w:t>
      </w:r>
      <w:bookmarkEnd w:id="115"/>
      <w:bookmarkEnd w:id="116"/>
    </w:p>
    <w:p w14:paraId="2C8FE97B">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17" w:name="_Toc13584"/>
      <w:bookmarkStart w:id="118" w:name="_Toc22301"/>
      <w:bookmarkStart w:id="119" w:name="_Toc2004"/>
      <w:r>
        <w:rPr>
          <w:rFonts w:hint="eastAsia" w:ascii="宋体" w:hAnsi="宋体" w:eastAsia="宋体" w:cs="宋体"/>
          <w:bCs/>
          <w:color w:val="auto"/>
          <w:kern w:val="0"/>
          <w:sz w:val="22"/>
          <w:szCs w:val="22"/>
          <w:highlight w:val="none"/>
        </w:rPr>
        <w:t>七、服务响应要求</w:t>
      </w:r>
      <w:bookmarkEnd w:id="117"/>
      <w:bookmarkEnd w:id="118"/>
      <w:bookmarkEnd w:id="119"/>
    </w:p>
    <w:p w14:paraId="40ED5659">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20" w:name="_Toc9181"/>
      <w:bookmarkStart w:id="121" w:name="_Toc1238"/>
      <w:bookmarkStart w:id="122" w:name="_Toc21903"/>
      <w:r>
        <w:rPr>
          <w:rFonts w:hint="eastAsia" w:ascii="宋体" w:hAnsi="宋体" w:eastAsia="宋体" w:cs="宋体"/>
          <w:bCs/>
          <w:color w:val="auto"/>
          <w:kern w:val="0"/>
          <w:sz w:val="22"/>
          <w:szCs w:val="22"/>
          <w:highlight w:val="none"/>
        </w:rPr>
        <w:t>1、每周对参保电梯进行一次巡检，每月对参保电梯进行不少于2次的维护、保养</w:t>
      </w:r>
      <w:bookmarkEnd w:id="120"/>
      <w:r>
        <w:rPr>
          <w:rFonts w:hint="eastAsia" w:ascii="宋体" w:hAnsi="宋体" w:eastAsia="宋体" w:cs="宋体"/>
          <w:bCs/>
          <w:color w:val="auto"/>
          <w:kern w:val="0"/>
          <w:sz w:val="22"/>
          <w:szCs w:val="22"/>
          <w:highlight w:val="none"/>
        </w:rPr>
        <w:t>，每个季度进行1次中型保养，每年进行不少于1次的年度大保养</w:t>
      </w:r>
      <w:r>
        <w:rPr>
          <w:rFonts w:hint="eastAsia" w:ascii="宋体" w:hAnsi="宋体" w:cs="宋体"/>
          <w:bCs/>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每年进行2次全面安全检查</w:t>
      </w:r>
      <w:r>
        <w:rPr>
          <w:rFonts w:hint="eastAsia" w:ascii="宋体" w:hAnsi="宋体" w:eastAsia="宋体" w:cs="宋体"/>
          <w:bCs/>
          <w:color w:val="auto"/>
          <w:kern w:val="0"/>
          <w:sz w:val="22"/>
          <w:szCs w:val="22"/>
          <w:highlight w:val="none"/>
        </w:rPr>
        <w:t>。</w:t>
      </w:r>
      <w:bookmarkEnd w:id="121"/>
      <w:bookmarkEnd w:id="122"/>
    </w:p>
    <w:p w14:paraId="00BE7AED">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23" w:name="_Toc7478"/>
      <w:bookmarkStart w:id="124" w:name="_Toc9966"/>
      <w:bookmarkStart w:id="125" w:name="_Toc18316"/>
      <w:r>
        <w:rPr>
          <w:rFonts w:hint="eastAsia" w:ascii="宋体" w:hAnsi="宋体" w:eastAsia="宋体" w:cs="宋体"/>
          <w:bCs/>
          <w:color w:val="auto"/>
          <w:kern w:val="0"/>
          <w:sz w:val="22"/>
          <w:szCs w:val="22"/>
          <w:highlight w:val="none"/>
        </w:rPr>
        <w:t>2、提供7*24小时的紧急救援服务</w:t>
      </w:r>
      <w:bookmarkEnd w:id="123"/>
      <w:r>
        <w:rPr>
          <w:rFonts w:hint="eastAsia" w:ascii="宋体" w:hAnsi="宋体" w:eastAsia="宋体" w:cs="宋体"/>
          <w:bCs/>
          <w:color w:val="auto"/>
          <w:kern w:val="0"/>
          <w:sz w:val="22"/>
          <w:szCs w:val="22"/>
          <w:highlight w:val="none"/>
        </w:rPr>
        <w:t>。</w:t>
      </w:r>
      <w:bookmarkEnd w:id="124"/>
      <w:bookmarkEnd w:id="125"/>
    </w:p>
    <w:p w14:paraId="25EDCC19">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26" w:name="_Toc5453"/>
      <w:bookmarkStart w:id="127" w:name="_Toc965"/>
      <w:bookmarkStart w:id="128" w:name="_Toc923"/>
      <w:r>
        <w:rPr>
          <w:rFonts w:hint="eastAsia" w:ascii="宋体" w:hAnsi="宋体" w:eastAsia="宋体" w:cs="宋体"/>
          <w:bCs/>
          <w:color w:val="auto"/>
          <w:kern w:val="0"/>
          <w:sz w:val="22"/>
          <w:szCs w:val="22"/>
          <w:highlight w:val="none"/>
        </w:rPr>
        <w:t>3、接到采购人故障电话后5分钟内响应，15分钟内到达现场，并能提供正常连续的服务直至故障或事故排除，满足采购人的正常使用要求。</w:t>
      </w:r>
      <w:bookmarkEnd w:id="126"/>
      <w:bookmarkEnd w:id="127"/>
      <w:bookmarkEnd w:id="128"/>
    </w:p>
    <w:p w14:paraId="0047E307">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29" w:name="_Toc26489"/>
      <w:bookmarkStart w:id="130" w:name="_Toc13320"/>
      <w:bookmarkStart w:id="131" w:name="_Toc2283"/>
      <w:r>
        <w:rPr>
          <w:rFonts w:hint="eastAsia" w:ascii="宋体" w:hAnsi="宋体" w:eastAsia="宋体" w:cs="宋体"/>
          <w:bCs/>
          <w:color w:val="auto"/>
          <w:kern w:val="0"/>
          <w:sz w:val="22"/>
          <w:szCs w:val="22"/>
          <w:highlight w:val="none"/>
        </w:rPr>
        <w:t>4、对电梯困人事故要求15分钟内到达现场，并在到达现场后30分钟内把乘客从轿厢中救出。</w:t>
      </w:r>
      <w:bookmarkEnd w:id="129"/>
      <w:bookmarkEnd w:id="130"/>
      <w:bookmarkEnd w:id="131"/>
    </w:p>
    <w:p w14:paraId="630CF95A">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32" w:name="_Toc25825"/>
      <w:bookmarkStart w:id="133" w:name="_Toc31699"/>
      <w:bookmarkStart w:id="134" w:name="_Toc2216"/>
      <w:r>
        <w:rPr>
          <w:rFonts w:hint="eastAsia" w:ascii="宋体" w:hAnsi="宋体" w:eastAsia="宋体" w:cs="宋体"/>
          <w:bCs/>
          <w:color w:val="auto"/>
          <w:kern w:val="0"/>
          <w:sz w:val="22"/>
          <w:szCs w:val="22"/>
          <w:highlight w:val="none"/>
        </w:rPr>
        <w:t>5、一般故障（非电脑板、线路板、主机原因的常见故障）应在60分钟内解决，重大故障应在24小时内解决，特殊故障应在7天内解决（主配电箱双电源下端电力维修部分由</w:t>
      </w:r>
      <w:r>
        <w:rPr>
          <w:rFonts w:hint="eastAsia" w:ascii="宋体" w:hAnsi="宋体" w:cs="宋体"/>
          <w:bCs/>
          <w:color w:val="auto"/>
          <w:kern w:val="0"/>
          <w:sz w:val="22"/>
          <w:szCs w:val="22"/>
          <w:highlight w:val="none"/>
          <w:lang w:eastAsia="zh-CN"/>
        </w:rPr>
        <w:t>成交供应商</w:t>
      </w:r>
      <w:r>
        <w:rPr>
          <w:rFonts w:hint="eastAsia" w:ascii="宋体" w:hAnsi="宋体" w:eastAsia="宋体" w:cs="宋体"/>
          <w:bCs/>
          <w:color w:val="auto"/>
          <w:kern w:val="0"/>
          <w:sz w:val="22"/>
          <w:szCs w:val="22"/>
          <w:highlight w:val="none"/>
        </w:rPr>
        <w:t>负责）。如遇故障时</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供应商无法按需提供服务或在规定时间内没有明确做出处置意见的，采购人将有权临时请第三方技术人员上门维护，费用由</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供应商承担。</w:t>
      </w:r>
      <w:bookmarkEnd w:id="132"/>
      <w:bookmarkEnd w:id="133"/>
      <w:bookmarkEnd w:id="134"/>
    </w:p>
    <w:p w14:paraId="315F0624">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35" w:name="_Toc17053"/>
      <w:bookmarkStart w:id="136" w:name="_Toc27184"/>
      <w:bookmarkStart w:id="137" w:name="_Toc10300"/>
      <w:r>
        <w:rPr>
          <w:rFonts w:hint="eastAsia" w:ascii="宋体" w:hAnsi="宋体" w:eastAsia="宋体" w:cs="宋体"/>
          <w:bCs/>
          <w:color w:val="auto"/>
          <w:kern w:val="0"/>
          <w:sz w:val="22"/>
          <w:szCs w:val="22"/>
          <w:highlight w:val="none"/>
        </w:rPr>
        <w:t>6、故障报修或按计划的维护保养结束后，维保人员应当做好维修保养记录，经采购人管理人员签字后归入电梯维修保养档案。</w:t>
      </w:r>
      <w:bookmarkEnd w:id="135"/>
      <w:bookmarkEnd w:id="136"/>
      <w:bookmarkEnd w:id="137"/>
    </w:p>
    <w:p w14:paraId="00F87947">
      <w:pPr>
        <w:shd w:val="clear" w:color="auto" w:fill="FFFFFF"/>
        <w:tabs>
          <w:tab w:val="left" w:pos="432"/>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38" w:name="_Toc26408"/>
      <w:bookmarkStart w:id="139" w:name="_Toc16359"/>
      <w:bookmarkStart w:id="140" w:name="_Toc29759"/>
      <w:r>
        <w:rPr>
          <w:rFonts w:hint="eastAsia" w:ascii="宋体" w:hAnsi="宋体" w:eastAsia="宋体" w:cs="宋体"/>
          <w:bCs/>
          <w:color w:val="auto"/>
          <w:kern w:val="0"/>
          <w:sz w:val="22"/>
          <w:szCs w:val="22"/>
          <w:highlight w:val="none"/>
        </w:rPr>
        <w:t>八、管理及作业要求</w:t>
      </w:r>
      <w:bookmarkEnd w:id="138"/>
      <w:bookmarkEnd w:id="139"/>
      <w:bookmarkEnd w:id="140"/>
    </w:p>
    <w:p w14:paraId="3921EAB4">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41" w:name="_Toc4157"/>
      <w:bookmarkStart w:id="142" w:name="_Toc22694"/>
      <w:bookmarkStart w:id="143" w:name="_Toc7842"/>
      <w:r>
        <w:rPr>
          <w:rFonts w:hint="eastAsia" w:ascii="宋体" w:hAnsi="宋体" w:eastAsia="宋体" w:cs="宋体"/>
          <w:bCs/>
          <w:color w:val="auto"/>
          <w:kern w:val="0"/>
          <w:sz w:val="22"/>
          <w:szCs w:val="22"/>
          <w:highlight w:val="none"/>
        </w:rPr>
        <w:t>1、</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供应商应建立完善的管理制度及作业规程，并建立健全的管理制度及档案资料。现场作业应严格按规定操作，不得擅自违章操作；</w:t>
      </w:r>
      <w:bookmarkEnd w:id="141"/>
      <w:bookmarkEnd w:id="142"/>
      <w:bookmarkEnd w:id="143"/>
    </w:p>
    <w:p w14:paraId="7546257F">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44" w:name="_Toc15933"/>
      <w:bookmarkStart w:id="145" w:name="_Toc32572"/>
      <w:bookmarkStart w:id="146" w:name="_Toc22634"/>
      <w:r>
        <w:rPr>
          <w:rFonts w:hint="eastAsia" w:ascii="宋体" w:hAnsi="宋体" w:eastAsia="宋体" w:cs="宋体"/>
          <w:bCs/>
          <w:color w:val="auto"/>
          <w:kern w:val="0"/>
          <w:sz w:val="22"/>
          <w:szCs w:val="22"/>
          <w:highlight w:val="none"/>
        </w:rPr>
        <w:t>2、项目负责人应具有多年电梯维保作业的管理与实施经验，对项目的实施进度及质量负责；负责协调解决项目实施过程中出现的各种问题，负责与采购人及相关人员的协调工作。</w:t>
      </w:r>
      <w:bookmarkEnd w:id="144"/>
      <w:bookmarkEnd w:id="145"/>
      <w:bookmarkEnd w:id="146"/>
    </w:p>
    <w:p w14:paraId="242D975B">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47" w:name="_Toc4360"/>
      <w:bookmarkStart w:id="148" w:name="_Toc5831"/>
      <w:bookmarkStart w:id="149" w:name="_Toc22979"/>
      <w:r>
        <w:rPr>
          <w:rFonts w:hint="eastAsia" w:ascii="宋体" w:hAnsi="宋体" w:eastAsia="宋体" w:cs="宋体"/>
          <w:bCs/>
          <w:color w:val="auto"/>
          <w:kern w:val="0"/>
          <w:sz w:val="22"/>
          <w:szCs w:val="22"/>
          <w:highlight w:val="none"/>
        </w:rPr>
        <w:t>3、现场作业人员及现场安全监督员应具有多年电梯维保的丰富经验及良好的个人综合素质。现场作业人员须具有《特种设备作业人员证》，不得无证上岗，同时须按有关部门规定进行管理并办理手续。如经发现无证上岗，采购人将有权要求</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供应商停止作业并更换合格的作业人员，并将对</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供应商进行经济处罚。</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供应商应为所有作业人员办理各种相关保险。</w:t>
      </w:r>
      <w:bookmarkEnd w:id="147"/>
      <w:bookmarkEnd w:id="148"/>
      <w:bookmarkEnd w:id="149"/>
    </w:p>
    <w:p w14:paraId="28C86FAB">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50" w:name="_Toc4013"/>
      <w:bookmarkStart w:id="151" w:name="_Toc29404"/>
      <w:bookmarkStart w:id="152" w:name="_Toc2093"/>
      <w:r>
        <w:rPr>
          <w:rFonts w:hint="eastAsia" w:ascii="宋体" w:hAnsi="宋体" w:eastAsia="宋体" w:cs="宋体"/>
          <w:bCs/>
          <w:color w:val="auto"/>
          <w:kern w:val="0"/>
          <w:sz w:val="22"/>
          <w:szCs w:val="22"/>
          <w:highlight w:val="none"/>
        </w:rPr>
        <w:t>4、现场服务人员必须统一穿着工作服、工作鞋，并挂牌上岗，遵守执行采购人有关的管理规章制度，文明作业，不得影响他人办公。作业人员必须登记办理出入证，采购人提供方便及协调工作。</w:t>
      </w:r>
      <w:bookmarkEnd w:id="150"/>
      <w:bookmarkEnd w:id="151"/>
      <w:bookmarkEnd w:id="152"/>
    </w:p>
    <w:p w14:paraId="12D3F962">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53" w:name="_Toc5248"/>
      <w:bookmarkStart w:id="154" w:name="_Toc9623"/>
      <w:bookmarkStart w:id="155" w:name="_Toc24310"/>
      <w:r>
        <w:rPr>
          <w:rFonts w:hint="eastAsia" w:ascii="宋体" w:hAnsi="宋体" w:eastAsia="宋体" w:cs="宋体"/>
          <w:bCs/>
          <w:color w:val="auto"/>
          <w:kern w:val="0"/>
          <w:sz w:val="22"/>
          <w:szCs w:val="22"/>
          <w:highlight w:val="none"/>
        </w:rPr>
        <w:t>5、</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供应商的电梯维保作业计划应获得采购人认可，原则上应不影响电梯的日常使用。</w:t>
      </w:r>
      <w:bookmarkEnd w:id="153"/>
      <w:bookmarkEnd w:id="154"/>
      <w:bookmarkEnd w:id="155"/>
    </w:p>
    <w:p w14:paraId="247251F1">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56" w:name="_Toc351"/>
      <w:bookmarkStart w:id="157" w:name="_Toc6394"/>
      <w:bookmarkStart w:id="158" w:name="_Toc27514"/>
      <w:r>
        <w:rPr>
          <w:rFonts w:hint="eastAsia" w:ascii="宋体" w:hAnsi="宋体" w:eastAsia="宋体" w:cs="宋体"/>
          <w:bCs/>
          <w:color w:val="auto"/>
          <w:kern w:val="0"/>
          <w:sz w:val="22"/>
          <w:szCs w:val="22"/>
          <w:highlight w:val="none"/>
        </w:rPr>
        <w:t>6、</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供应商在进行电梯维保服务作业时，同时作业人员不得少于2人，不得单独进行作业。</w:t>
      </w:r>
      <w:bookmarkEnd w:id="156"/>
      <w:bookmarkEnd w:id="157"/>
      <w:bookmarkEnd w:id="158"/>
    </w:p>
    <w:p w14:paraId="6F58A6F1">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59" w:name="_Toc28364"/>
      <w:bookmarkStart w:id="160" w:name="_Toc2906"/>
      <w:bookmarkStart w:id="161" w:name="_Toc32459"/>
      <w:r>
        <w:rPr>
          <w:rFonts w:hint="eastAsia" w:ascii="宋体" w:hAnsi="宋体" w:eastAsia="宋体" w:cs="宋体"/>
          <w:bCs/>
          <w:color w:val="auto"/>
          <w:kern w:val="0"/>
          <w:sz w:val="22"/>
          <w:szCs w:val="22"/>
          <w:highlight w:val="none"/>
        </w:rPr>
        <w:t>7、作业人员进入作业区须做好防火工作，不准吸烟，乱扔纸屑等杂物，注意保持作业区的环境整洁。</w:t>
      </w:r>
      <w:bookmarkEnd w:id="159"/>
      <w:bookmarkEnd w:id="160"/>
      <w:bookmarkEnd w:id="161"/>
    </w:p>
    <w:p w14:paraId="6484ECBB">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62" w:name="_Toc22587"/>
      <w:bookmarkStart w:id="163" w:name="_Toc13136"/>
      <w:bookmarkStart w:id="164" w:name="_Toc9543"/>
      <w:r>
        <w:rPr>
          <w:rFonts w:hint="eastAsia" w:ascii="宋体" w:hAnsi="宋体" w:eastAsia="宋体" w:cs="宋体"/>
          <w:bCs/>
          <w:color w:val="auto"/>
          <w:kern w:val="0"/>
          <w:sz w:val="22"/>
          <w:szCs w:val="22"/>
          <w:highlight w:val="none"/>
        </w:rPr>
        <w:t>8、维保人员作业时应挂牌施工，围栏及维修标志应置于施工范围明显处，防止因标识不明造成人员伤亡，开展文明作业，职业道德教育，做到无野蛮作业、无违章作业和无重大安全伤亡事故。</w:t>
      </w:r>
      <w:bookmarkEnd w:id="162"/>
      <w:bookmarkEnd w:id="163"/>
      <w:bookmarkEnd w:id="164"/>
    </w:p>
    <w:p w14:paraId="0DC79FFC">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65" w:name="_Toc14265"/>
      <w:bookmarkStart w:id="166" w:name="_Toc20513"/>
      <w:bookmarkStart w:id="167" w:name="_Toc21754"/>
      <w:r>
        <w:rPr>
          <w:rFonts w:hint="eastAsia" w:ascii="宋体" w:hAnsi="宋体" w:eastAsia="宋体" w:cs="宋体"/>
          <w:bCs/>
          <w:color w:val="auto"/>
          <w:kern w:val="0"/>
          <w:sz w:val="22"/>
          <w:szCs w:val="22"/>
          <w:highlight w:val="none"/>
        </w:rPr>
        <w:t>9、作业现场的材料堆放整齐有序，作业结束后做到工完场地清。</w:t>
      </w:r>
      <w:bookmarkEnd w:id="165"/>
      <w:bookmarkEnd w:id="166"/>
      <w:bookmarkEnd w:id="167"/>
    </w:p>
    <w:p w14:paraId="5DC658F8">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68" w:name="_Toc29457"/>
      <w:bookmarkStart w:id="169" w:name="_Toc31044"/>
      <w:bookmarkStart w:id="170" w:name="_Toc7070"/>
      <w:r>
        <w:rPr>
          <w:rFonts w:hint="eastAsia" w:ascii="宋体" w:hAnsi="宋体" w:eastAsia="宋体" w:cs="宋体"/>
          <w:bCs/>
          <w:color w:val="auto"/>
          <w:kern w:val="0"/>
          <w:sz w:val="22"/>
          <w:szCs w:val="22"/>
          <w:highlight w:val="none"/>
        </w:rPr>
        <w:t>10、杂物、垃圾必须当天清运，否则采购人另找他人清运，所涉及费用将在合同款中直接扣除。清运车辆须按有关部门规定进行管理并办理手续。</w:t>
      </w:r>
      <w:bookmarkEnd w:id="168"/>
      <w:bookmarkEnd w:id="169"/>
      <w:bookmarkEnd w:id="170"/>
    </w:p>
    <w:p w14:paraId="6080EF47">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71" w:name="_Toc18664"/>
      <w:bookmarkStart w:id="172" w:name="_Toc27646"/>
      <w:bookmarkStart w:id="173" w:name="_Toc1547"/>
      <w:r>
        <w:rPr>
          <w:rFonts w:hint="eastAsia" w:ascii="宋体" w:hAnsi="宋体" w:eastAsia="宋体" w:cs="宋体"/>
          <w:bCs/>
          <w:color w:val="auto"/>
          <w:kern w:val="0"/>
          <w:sz w:val="22"/>
          <w:szCs w:val="22"/>
          <w:highlight w:val="none"/>
        </w:rPr>
        <w:t>11、作业过程中必须注意保护采购人的一切设备、设施。如果作业程序可能影响到或损坏时，必须获得采购人的书面允许后，方可作业，若是操作不当或未经允许，而损坏其设备，</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供应商应承担经济赔偿责任。</w:t>
      </w:r>
      <w:bookmarkEnd w:id="171"/>
      <w:bookmarkEnd w:id="172"/>
      <w:bookmarkEnd w:id="173"/>
    </w:p>
    <w:p w14:paraId="26FA9C98">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74" w:name="_Toc5895"/>
      <w:bookmarkStart w:id="175" w:name="_Toc29267"/>
      <w:bookmarkStart w:id="176" w:name="_Toc30231"/>
      <w:r>
        <w:rPr>
          <w:rFonts w:hint="eastAsia" w:ascii="宋体" w:hAnsi="宋体" w:eastAsia="宋体" w:cs="宋体"/>
          <w:bCs/>
          <w:color w:val="auto"/>
          <w:kern w:val="0"/>
          <w:sz w:val="22"/>
          <w:szCs w:val="22"/>
          <w:highlight w:val="none"/>
        </w:rPr>
        <w:t>12、</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供应商在作业施工过程中，所发生或导致的任何伤亡事故均由</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供应商处理并承担全部法律责任，采购人不因此承担任何责任，若造成采购人财产损坏或向第三方赔付的，由</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供应商承担全部责任，采购人有权向</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供应商追偿。</w:t>
      </w:r>
      <w:bookmarkEnd w:id="174"/>
      <w:bookmarkEnd w:id="175"/>
      <w:bookmarkEnd w:id="176"/>
    </w:p>
    <w:p w14:paraId="3A14BA80">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77" w:name="_Toc25941"/>
      <w:bookmarkStart w:id="178" w:name="_Toc20592"/>
      <w:bookmarkStart w:id="179" w:name="_Toc13332"/>
      <w:r>
        <w:rPr>
          <w:rFonts w:hint="eastAsia" w:ascii="宋体" w:hAnsi="宋体" w:eastAsia="宋体" w:cs="宋体"/>
          <w:bCs/>
          <w:color w:val="auto"/>
          <w:kern w:val="0"/>
          <w:sz w:val="22"/>
          <w:szCs w:val="22"/>
          <w:highlight w:val="none"/>
        </w:rPr>
        <w:t>13、</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供应商应制定各类应急措施，如发生台风、地震及其他重大事项等特殊情况，在30分钟内赶到现场进行检查评估，如有必要须邀请温州市特种设备检测科学研究院进行专业检测，确保电梯正常运行。</w:t>
      </w:r>
      <w:bookmarkEnd w:id="177"/>
      <w:bookmarkEnd w:id="178"/>
      <w:bookmarkEnd w:id="179"/>
    </w:p>
    <w:p w14:paraId="292175A3">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80" w:name="_Toc24501"/>
      <w:bookmarkStart w:id="181" w:name="_Toc16597"/>
      <w:bookmarkStart w:id="182" w:name="_Toc12654"/>
      <w:r>
        <w:rPr>
          <w:rFonts w:hint="eastAsia" w:ascii="宋体" w:hAnsi="宋体" w:eastAsia="宋体" w:cs="宋体"/>
          <w:bCs/>
          <w:color w:val="auto"/>
          <w:kern w:val="0"/>
          <w:sz w:val="22"/>
          <w:szCs w:val="22"/>
          <w:highlight w:val="none"/>
        </w:rPr>
        <w:t>14、</w:t>
      </w:r>
      <w:r>
        <w:rPr>
          <w:rFonts w:hint="eastAsia" w:ascii="宋体" w:hAnsi="宋体" w:eastAsia="宋体" w:cs="宋体"/>
          <w:bCs/>
          <w:color w:val="auto"/>
          <w:kern w:val="0"/>
          <w:sz w:val="22"/>
          <w:szCs w:val="22"/>
          <w:highlight w:val="none"/>
          <w:lang w:eastAsia="zh-CN"/>
        </w:rPr>
        <w:t>成交</w:t>
      </w:r>
      <w:r>
        <w:rPr>
          <w:rFonts w:hint="eastAsia" w:ascii="宋体" w:hAnsi="宋体" w:eastAsia="宋体" w:cs="宋体"/>
          <w:bCs/>
          <w:color w:val="auto"/>
          <w:kern w:val="0"/>
          <w:sz w:val="22"/>
          <w:szCs w:val="22"/>
          <w:highlight w:val="none"/>
        </w:rPr>
        <w:t>供应商应制定安全生产奖罚制度，对违反制度的工作人员，根据情节轻重予以教育和处罚。</w:t>
      </w:r>
      <w:bookmarkEnd w:id="180"/>
      <w:bookmarkEnd w:id="181"/>
      <w:bookmarkEnd w:id="182"/>
    </w:p>
    <w:p w14:paraId="2044A2A2">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15、</w:t>
      </w:r>
      <w:r>
        <w:rPr>
          <w:rFonts w:hint="eastAsia" w:ascii="宋体" w:hAnsi="宋体" w:eastAsia="宋体" w:cs="宋体"/>
          <w:color w:val="auto"/>
          <w:kern w:val="0"/>
          <w:sz w:val="22"/>
          <w:szCs w:val="22"/>
          <w:highlight w:val="none"/>
          <w:lang w:eastAsia="zh-CN"/>
        </w:rPr>
        <w:t>成交</w:t>
      </w:r>
      <w:r>
        <w:rPr>
          <w:rFonts w:hint="eastAsia" w:ascii="宋体" w:hAnsi="宋体" w:eastAsia="宋体" w:cs="宋体"/>
          <w:color w:val="auto"/>
          <w:kern w:val="0"/>
          <w:sz w:val="22"/>
          <w:szCs w:val="22"/>
          <w:highlight w:val="none"/>
        </w:rPr>
        <w:t>供应商为用户免费提供电梯日常使用、维护、设备管理等的技术支持和技术咨询，免费提供用户方相关操作人员的应急培训。</w:t>
      </w:r>
    </w:p>
    <w:p w14:paraId="550D09EC">
      <w:pPr>
        <w:shd w:val="clear" w:color="auto" w:fill="FFFFFF"/>
        <w:tabs>
          <w:tab w:val="left" w:pos="420"/>
        </w:tabs>
        <w:spacing w:line="460" w:lineRule="exact"/>
        <w:ind w:firstLine="440" w:firstLineChars="200"/>
        <w:jc w:val="left"/>
        <w:outlineLvl w:val="0"/>
        <w:rPr>
          <w:rFonts w:hint="eastAsia" w:ascii="宋体" w:hAnsi="宋体" w:eastAsia="宋体" w:cs="宋体"/>
          <w:bCs/>
          <w:color w:val="auto"/>
          <w:kern w:val="0"/>
          <w:sz w:val="22"/>
          <w:szCs w:val="22"/>
          <w:highlight w:val="none"/>
        </w:rPr>
      </w:pPr>
      <w:bookmarkStart w:id="183" w:name="_Toc30006"/>
      <w:bookmarkStart w:id="184" w:name="_Toc17690"/>
      <w:bookmarkStart w:id="185" w:name="_Toc15384"/>
      <w:r>
        <w:rPr>
          <w:rFonts w:hint="eastAsia" w:ascii="宋体" w:hAnsi="宋体" w:eastAsia="宋体" w:cs="宋体"/>
          <w:bCs/>
          <w:color w:val="auto"/>
          <w:kern w:val="0"/>
          <w:sz w:val="22"/>
          <w:szCs w:val="22"/>
          <w:highlight w:val="none"/>
        </w:rPr>
        <w:t>16、在合同执行期间，</w:t>
      </w:r>
      <w:r>
        <w:rPr>
          <w:rFonts w:hint="eastAsia" w:ascii="宋体" w:hAnsi="宋体" w:cs="宋体"/>
          <w:bCs/>
          <w:color w:val="auto"/>
          <w:kern w:val="0"/>
          <w:sz w:val="22"/>
          <w:szCs w:val="22"/>
          <w:highlight w:val="none"/>
          <w:lang w:val="en-US" w:eastAsia="zh-CN"/>
        </w:rPr>
        <w:t>成交供应商</w:t>
      </w:r>
      <w:r>
        <w:rPr>
          <w:rFonts w:hint="eastAsia" w:ascii="宋体" w:hAnsi="宋体" w:eastAsia="宋体" w:cs="宋体"/>
          <w:bCs/>
          <w:color w:val="auto"/>
          <w:kern w:val="0"/>
          <w:sz w:val="22"/>
          <w:szCs w:val="22"/>
          <w:highlight w:val="none"/>
        </w:rPr>
        <w:t>应遵守法律法规及其他有关规定，并接受采购人及有关部门的监督、检查和管理。</w:t>
      </w:r>
      <w:bookmarkEnd w:id="183"/>
      <w:bookmarkEnd w:id="184"/>
      <w:bookmarkEnd w:id="185"/>
    </w:p>
    <w:p w14:paraId="7FEEC884">
      <w:pPr>
        <w:autoSpaceDE w:val="0"/>
        <w:autoSpaceDN w:val="0"/>
        <w:adjustRightInd w:val="0"/>
        <w:snapToGrid w:val="0"/>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九、服务期限</w:t>
      </w:r>
    </w:p>
    <w:p w14:paraId="3BB593D9">
      <w:pPr>
        <w:adjustRightInd w:val="0"/>
        <w:snapToGrid w:val="0"/>
        <w:spacing w:line="48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color w:val="auto"/>
          <w:kern w:val="0"/>
          <w:sz w:val="22"/>
          <w:szCs w:val="22"/>
          <w:highlight w:val="none"/>
          <w:u w:val="single"/>
        </w:rPr>
        <w:t>本次采购</w:t>
      </w:r>
      <w:r>
        <w:rPr>
          <w:rFonts w:hint="eastAsia" w:ascii="宋体" w:hAnsi="宋体" w:eastAsia="宋体" w:cs="宋体"/>
          <w:bCs/>
          <w:color w:val="auto"/>
          <w:kern w:val="0"/>
          <w:sz w:val="22"/>
          <w:szCs w:val="22"/>
          <w:highlight w:val="none"/>
          <w:u w:val="single"/>
        </w:rPr>
        <w:t>服务期为二年，合同一年一签。</w:t>
      </w:r>
      <w:r>
        <w:rPr>
          <w:rFonts w:hint="eastAsia" w:ascii="宋体" w:hAnsi="宋体" w:eastAsia="宋体" w:cs="宋体"/>
          <w:color w:val="auto"/>
          <w:sz w:val="22"/>
          <w:szCs w:val="22"/>
          <w:highlight w:val="none"/>
        </w:rPr>
        <w:t>如成交供应商考核评分为90分（含）以上，且</w:t>
      </w:r>
      <w:r>
        <w:rPr>
          <w:rFonts w:hint="eastAsia" w:ascii="宋体" w:hAnsi="宋体" w:eastAsia="宋体" w:cs="宋体"/>
          <w:bCs/>
          <w:color w:val="auto"/>
          <w:kern w:val="0"/>
          <w:sz w:val="22"/>
          <w:szCs w:val="22"/>
          <w:highlight w:val="none"/>
        </w:rPr>
        <w:t>采购人对成交供应商上一年的服务质量满意，可签订下一年的合同（合同金额不调整），否则，采购人有权拒签下一年的合同。</w:t>
      </w:r>
    </w:p>
    <w:p w14:paraId="25C8A030">
      <w:pPr>
        <w:autoSpaceDE w:val="0"/>
        <w:autoSpaceDN w:val="0"/>
        <w:adjustRightInd w:val="0"/>
        <w:snapToGrid w:val="0"/>
        <w:spacing w:line="460" w:lineRule="exac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十、</w:t>
      </w:r>
      <w:r>
        <w:rPr>
          <w:rFonts w:hint="eastAsia" w:ascii="宋体" w:hAnsi="宋体" w:eastAsia="宋体" w:cs="宋体"/>
          <w:color w:val="auto"/>
          <w:kern w:val="0"/>
          <w:sz w:val="22"/>
          <w:szCs w:val="22"/>
          <w:highlight w:val="none"/>
        </w:rPr>
        <w:t>考核方法</w:t>
      </w:r>
    </w:p>
    <w:p w14:paraId="2B4EC85D">
      <w:pPr>
        <w:adjustRightInd w:val="0"/>
        <w:snapToGrid w:val="0"/>
        <w:spacing w:line="48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考核方法见附件十二。</w:t>
      </w:r>
    </w:p>
    <w:p w14:paraId="6F7B4251">
      <w:pPr>
        <w:autoSpaceDE w:val="0"/>
        <w:autoSpaceDN w:val="0"/>
        <w:adjustRightInd w:val="0"/>
        <w:snapToGrid w:val="0"/>
        <w:spacing w:line="480" w:lineRule="exac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十一、付款方式</w:t>
      </w:r>
    </w:p>
    <w:p w14:paraId="411ED0A6">
      <w:pPr>
        <w:autoSpaceDE w:val="0"/>
        <w:autoSpaceDN w:val="0"/>
        <w:adjustRightInd w:val="0"/>
        <w:snapToGrid w:val="0"/>
        <w:spacing w:line="480" w:lineRule="exact"/>
        <w:ind w:firstLine="424" w:firstLineChars="193"/>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合同签订后，采购人收到</w:t>
      </w:r>
      <w:r>
        <w:rPr>
          <w:rFonts w:hint="eastAsia" w:ascii="宋体" w:hAnsi="宋体" w:eastAsia="宋体" w:cs="宋体"/>
          <w:color w:val="auto"/>
          <w:kern w:val="0"/>
          <w:sz w:val="22"/>
          <w:szCs w:val="22"/>
          <w:highlight w:val="none"/>
          <w:u w:val="single"/>
          <w:lang w:eastAsia="zh-CN"/>
        </w:rPr>
        <w:t>成交</w:t>
      </w:r>
      <w:r>
        <w:rPr>
          <w:rFonts w:hint="eastAsia" w:ascii="宋体" w:hAnsi="宋体" w:eastAsia="宋体" w:cs="宋体"/>
          <w:color w:val="auto"/>
          <w:kern w:val="0"/>
          <w:sz w:val="22"/>
          <w:szCs w:val="22"/>
          <w:highlight w:val="none"/>
          <w:u w:val="single"/>
        </w:rPr>
        <w:t>供应商的正式发票并完成医院内部付款流程后7个工作日内支付年服务费的25%；</w:t>
      </w:r>
    </w:p>
    <w:p w14:paraId="6F1FD692">
      <w:pPr>
        <w:autoSpaceDE w:val="0"/>
        <w:autoSpaceDN w:val="0"/>
        <w:adjustRightInd w:val="0"/>
        <w:snapToGrid w:val="0"/>
        <w:spacing w:line="480" w:lineRule="exact"/>
        <w:ind w:firstLine="424" w:firstLineChars="193"/>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采购人在合同期第7个月收到</w:t>
      </w:r>
      <w:r>
        <w:rPr>
          <w:rFonts w:hint="eastAsia" w:ascii="宋体" w:hAnsi="宋体" w:eastAsia="宋体" w:cs="宋体"/>
          <w:color w:val="auto"/>
          <w:kern w:val="0"/>
          <w:sz w:val="22"/>
          <w:szCs w:val="22"/>
          <w:highlight w:val="none"/>
          <w:u w:val="single"/>
          <w:lang w:eastAsia="zh-CN"/>
        </w:rPr>
        <w:t>成交</w:t>
      </w:r>
      <w:r>
        <w:rPr>
          <w:rFonts w:hint="eastAsia" w:ascii="宋体" w:hAnsi="宋体" w:eastAsia="宋体" w:cs="宋体"/>
          <w:color w:val="auto"/>
          <w:kern w:val="0"/>
          <w:sz w:val="22"/>
          <w:szCs w:val="22"/>
          <w:highlight w:val="none"/>
          <w:u w:val="single"/>
        </w:rPr>
        <w:t>供应商的正式发票并完成医院内部付款流程后7个工作日内支付年服务费的25%（需按合同期1-6个月的考核结果扣除相应费用）；</w:t>
      </w:r>
    </w:p>
    <w:p w14:paraId="6D8CCAF5">
      <w:pPr>
        <w:autoSpaceDE w:val="0"/>
        <w:autoSpaceDN w:val="0"/>
        <w:adjustRightInd w:val="0"/>
        <w:snapToGrid w:val="0"/>
        <w:spacing w:line="480" w:lineRule="exact"/>
        <w:ind w:firstLine="424" w:firstLineChars="193"/>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采购人在合同期第10个月收到</w:t>
      </w:r>
      <w:r>
        <w:rPr>
          <w:rFonts w:hint="eastAsia" w:ascii="宋体" w:hAnsi="宋体" w:eastAsia="宋体" w:cs="宋体"/>
          <w:color w:val="auto"/>
          <w:kern w:val="0"/>
          <w:sz w:val="22"/>
          <w:szCs w:val="22"/>
          <w:highlight w:val="none"/>
          <w:u w:val="single"/>
          <w:lang w:eastAsia="zh-CN"/>
        </w:rPr>
        <w:t>成交</w:t>
      </w:r>
      <w:r>
        <w:rPr>
          <w:rFonts w:hint="eastAsia" w:ascii="宋体" w:hAnsi="宋体" w:eastAsia="宋体" w:cs="宋体"/>
          <w:color w:val="auto"/>
          <w:kern w:val="0"/>
          <w:sz w:val="22"/>
          <w:szCs w:val="22"/>
          <w:highlight w:val="none"/>
          <w:u w:val="single"/>
        </w:rPr>
        <w:t>供应商的正式发票并完成医院内部付款流程后7个工作日内支付年服务费的25%（需按合同期7-9个月的考核结果扣除相应费用）；</w:t>
      </w:r>
    </w:p>
    <w:p w14:paraId="4604525E">
      <w:pPr>
        <w:autoSpaceDE w:val="0"/>
        <w:autoSpaceDN w:val="0"/>
        <w:adjustRightInd w:val="0"/>
        <w:snapToGrid w:val="0"/>
        <w:spacing w:line="480" w:lineRule="exac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合同期满</w:t>
      </w:r>
      <w:r>
        <w:rPr>
          <w:rFonts w:hint="eastAsia" w:ascii="宋体" w:hAnsi="宋体" w:cs="宋体"/>
          <w:color w:val="auto"/>
          <w:kern w:val="0"/>
          <w:sz w:val="22"/>
          <w:szCs w:val="22"/>
          <w:highlight w:val="none"/>
          <w:u w:val="single"/>
          <w:lang w:val="en-US" w:eastAsia="zh-CN"/>
        </w:rPr>
        <w:t>3个月</w:t>
      </w:r>
      <w:r>
        <w:rPr>
          <w:rFonts w:hint="eastAsia" w:ascii="宋体" w:hAnsi="宋体" w:eastAsia="宋体" w:cs="宋体"/>
          <w:color w:val="auto"/>
          <w:kern w:val="0"/>
          <w:sz w:val="22"/>
          <w:szCs w:val="22"/>
          <w:highlight w:val="none"/>
          <w:u w:val="single"/>
        </w:rPr>
        <w:t>后，采购人收到</w:t>
      </w:r>
      <w:r>
        <w:rPr>
          <w:rFonts w:hint="eastAsia" w:ascii="宋体" w:hAnsi="宋体" w:eastAsia="宋体" w:cs="宋体"/>
          <w:color w:val="auto"/>
          <w:kern w:val="0"/>
          <w:sz w:val="22"/>
          <w:szCs w:val="22"/>
          <w:highlight w:val="none"/>
          <w:u w:val="single"/>
          <w:lang w:eastAsia="zh-CN"/>
        </w:rPr>
        <w:t>成交</w:t>
      </w:r>
      <w:r>
        <w:rPr>
          <w:rFonts w:hint="eastAsia" w:ascii="宋体" w:hAnsi="宋体" w:eastAsia="宋体" w:cs="宋体"/>
          <w:color w:val="auto"/>
          <w:kern w:val="0"/>
          <w:sz w:val="22"/>
          <w:szCs w:val="22"/>
          <w:highlight w:val="none"/>
          <w:u w:val="single"/>
        </w:rPr>
        <w:t>供应商的正式发票并完成医院内部付款流程后7个工作日内支付年服务费的25%（需按合同期10-12个月的考核结果扣除相应费用）。</w:t>
      </w:r>
    </w:p>
    <w:p w14:paraId="77C59114">
      <w:pPr>
        <w:adjustRightInd w:val="0"/>
        <w:snapToGrid w:val="0"/>
        <w:spacing w:line="45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十二、采购代理服务费</w:t>
      </w:r>
    </w:p>
    <w:p w14:paraId="78BCB9DB">
      <w:pPr>
        <w:snapToGrid w:val="0"/>
        <w:spacing w:line="40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本次采购代理服务费为</w:t>
      </w:r>
      <w:r>
        <w:rPr>
          <w:rFonts w:hint="eastAsia" w:ascii="宋体" w:hAnsi="宋体" w:cs="宋体"/>
          <w:color w:val="auto"/>
          <w:sz w:val="22"/>
          <w:szCs w:val="22"/>
          <w:highlight w:val="none"/>
          <w:lang w:val="en-US" w:eastAsia="zh-CN"/>
        </w:rPr>
        <w:t>10400</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rPr>
        <w:t>，由成交供应商在领取成交通知书前向代理单位支付采购代理服务费。采购代理服务费包含在报价总价中。采购代理服务费汇入以下帐号：</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rPr>
        <w:t xml:space="preserve">    户名：乐清市中源建设咨询有限公司</w:t>
      </w:r>
    </w:p>
    <w:p w14:paraId="2B019620">
      <w:pPr>
        <w:widowControl/>
        <w:snapToGrid w:val="0"/>
        <w:spacing w:line="40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账号：33001627573053004451</w:t>
      </w:r>
    </w:p>
    <w:p w14:paraId="1B31AFCA">
      <w:pPr>
        <w:snapToGrid w:val="0"/>
        <w:spacing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开户行：中国建设银行乐清支行营业部</w:t>
      </w:r>
    </w:p>
    <w:p w14:paraId="4C13B11F">
      <w:pPr>
        <w:pStyle w:val="36"/>
        <w:adjustRightInd w:val="0"/>
        <w:snapToGrid w:val="0"/>
        <w:spacing w:line="460" w:lineRule="atLeast"/>
        <w:ind w:firstLine="0" w:firstLineChars="0"/>
        <w:jc w:val="center"/>
        <w:rPr>
          <w:rFonts w:hint="eastAsia" w:ascii="宋体" w:hAnsi="宋体" w:eastAsia="宋体" w:cs="宋体"/>
          <w:color w:val="auto"/>
          <w:sz w:val="36"/>
          <w:highlight w:val="none"/>
        </w:rPr>
        <w:sectPr>
          <w:headerReference r:id="rId7" w:type="default"/>
          <w:footerReference r:id="rId8" w:type="default"/>
          <w:pgSz w:w="11907" w:h="16840"/>
          <w:pgMar w:top="1440" w:right="1440" w:bottom="1440" w:left="1440" w:header="720" w:footer="720" w:gutter="0"/>
          <w:cols w:space="720" w:num="1"/>
          <w:docGrid w:linePitch="286" w:charSpace="-3831"/>
        </w:sectPr>
      </w:pPr>
      <w:bookmarkStart w:id="218" w:name="_GoBack"/>
      <w:bookmarkEnd w:id="218"/>
    </w:p>
    <w:p w14:paraId="10200001">
      <w:pPr>
        <w:pStyle w:val="36"/>
        <w:adjustRightInd w:val="0"/>
        <w:snapToGrid w:val="0"/>
        <w:spacing w:line="460" w:lineRule="atLeast"/>
        <w:ind w:firstLine="0" w:firstLineChars="0"/>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第三部分   供应商须知</w:t>
      </w:r>
    </w:p>
    <w:p w14:paraId="7DBBB89D">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一、说明</w:t>
      </w:r>
    </w:p>
    <w:p w14:paraId="2D95CD53">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1、本次采购工作是按照《中华人民共和国政府采购法》及相关法律规章组织和实施。</w:t>
      </w:r>
    </w:p>
    <w:p w14:paraId="70FF7452">
      <w:pPr>
        <w:autoSpaceDE w:val="0"/>
        <w:autoSpaceDN w:val="0"/>
        <w:adjustRightInd w:val="0"/>
        <w:spacing w:line="460" w:lineRule="exact"/>
        <w:ind w:firstLine="440" w:firstLineChars="200"/>
        <w:contextualSpacing/>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rPr>
        <w:t>供应商必须对本项目全部内容进行报价，只对部分内容进行报价的供应商将按无效响应处理。</w:t>
      </w:r>
    </w:p>
    <w:p w14:paraId="179C3B06">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3、无论采购过程中的作法和结果如何，供应商自行承担采购活动中所发生的全部费用。</w:t>
      </w:r>
    </w:p>
    <w:p w14:paraId="3FBFDC48">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b/>
          <w:color w:val="auto"/>
          <w:sz w:val="22"/>
          <w:szCs w:val="22"/>
          <w:highlight w:val="none"/>
        </w:rPr>
        <w:t>本次采购，采购预算为</w:t>
      </w:r>
      <w:r>
        <w:rPr>
          <w:rFonts w:hint="eastAsia" w:ascii="宋体" w:hAnsi="宋体" w:eastAsia="宋体" w:cs="宋体"/>
          <w:b/>
          <w:color w:val="auto"/>
          <w:sz w:val="22"/>
          <w:szCs w:val="22"/>
          <w:highlight w:val="none"/>
          <w:u w:val="single"/>
        </w:rPr>
        <w:t>340000元</w:t>
      </w:r>
      <w:r>
        <w:rPr>
          <w:rFonts w:hint="eastAsia" w:ascii="宋体" w:hAnsi="宋体" w:eastAsia="宋体" w:cs="宋体"/>
          <w:b/>
          <w:color w:val="auto"/>
          <w:sz w:val="22"/>
          <w:szCs w:val="22"/>
          <w:highlight w:val="none"/>
        </w:rPr>
        <w:t>，如果某个（些）供应商最后报价超出采购预算的，则该供应商的报价按无效报价处理。</w:t>
      </w:r>
    </w:p>
    <w:p w14:paraId="7517FE67">
      <w:pPr>
        <w:snapToGrid w:val="0"/>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本项目采用竞争性磋商采购方式进行采购，在磋商过程中，磋商小组可以根据竞争性磋商文件和磋商情况实质性变动采购需求中的技术、服务要求以及合同草案条款，但不得变动竞争性磋商文件中的其他内容。如有实质性变动的内容，须经采购人代表确认。已提交响应文件的供应商，在提交最后报价之前，可以根据磋商情况退出磋商。</w:t>
      </w:r>
    </w:p>
    <w:p w14:paraId="47EBE0EE">
      <w:pPr>
        <w:snapToGrid w:val="0"/>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6、供应商须自行现场勘察，确认采购人的实际需求，取得准确的报价依据。供应商成交后不得以各种理由提出增价要求，否则做投标违约处理。</w:t>
      </w:r>
    </w:p>
    <w:p w14:paraId="050E185E">
      <w:pPr>
        <w:snapToGrid w:val="0"/>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单位负责人为同一人或者存在直接控股、管理关系的不同供应商，不得参加同一合同项下的政府采购活动。如在评审过程（或标后质疑投诉期内）中发现供应商间存在上述关系，存在上述关系的全部供应商均做无效响应（无效成交）处理。</w:t>
      </w:r>
    </w:p>
    <w:p w14:paraId="34097CFD">
      <w:pPr>
        <w:snapToGrid w:val="0"/>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除单一来源采购项目外，为采购项目提供整体设计、规范编制或者项目管理、监理、检测等服务的供应商，不得再参加该采购项目的其他采购活动。</w:t>
      </w:r>
    </w:p>
    <w:p w14:paraId="2C58B5C1">
      <w:pPr>
        <w:autoSpaceDE w:val="0"/>
        <w:autoSpaceDN w:val="0"/>
        <w:adjustRightInd w:val="0"/>
        <w:spacing w:line="460" w:lineRule="exact"/>
        <w:ind w:firstLine="420" w:firstLineChars="191"/>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eastAsia="宋体" w:cs="宋体"/>
          <w:b/>
          <w:color w:val="auto"/>
          <w:sz w:val="22"/>
          <w:szCs w:val="22"/>
          <w:highlight w:val="none"/>
        </w:rPr>
        <w:t>本项目采用在线投标响应方式，执行《浙江省财政厅关于印发浙江省政府采购项目电子交易管理暂行办法的通知》（浙财采监〔2019〕10 号）等相关规定。</w:t>
      </w:r>
    </w:p>
    <w:p w14:paraId="044C0000">
      <w:pPr>
        <w:autoSpaceDE w:val="0"/>
        <w:autoSpaceDN w:val="0"/>
        <w:adjustRightInd w:val="0"/>
        <w:spacing w:line="460" w:lineRule="exact"/>
        <w:ind w:firstLine="440" w:firstLineChars="200"/>
        <w:contextualSpacing/>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9、</w:t>
      </w:r>
      <w:r>
        <w:rPr>
          <w:rFonts w:hint="eastAsia" w:ascii="宋体" w:hAnsi="宋体" w:eastAsia="宋体" w:cs="宋体"/>
          <w:b/>
          <w:color w:val="auto"/>
          <w:sz w:val="22"/>
          <w:szCs w:val="22"/>
          <w:highlight w:val="none"/>
        </w:rPr>
        <w:t>本项目在线磋商进行时，供应商法定代表人或其授权代表需保持电话畅通，配备电脑和打印机，自行关注平台提示信息，期间如有发出“询标/澄清函”等相关线上函件时，因供应商自身原因逾期/错过回复时间，由此造成的后果由供应商自行承担。</w:t>
      </w:r>
    </w:p>
    <w:p w14:paraId="76D0743E">
      <w:pPr>
        <w:snapToGrid w:val="0"/>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3DBA729B">
      <w:pPr>
        <w:snapToGrid w:val="0"/>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11、成交后，成交供应商需提供一份纸质响应文件给采购人。</w:t>
      </w:r>
    </w:p>
    <w:p w14:paraId="7BBAC1F1">
      <w:pPr>
        <w:spacing w:line="460" w:lineRule="exact"/>
        <w:ind w:firstLine="440" w:firstLineChars="200"/>
        <w:contextualSpacing/>
        <w:rPr>
          <w:rFonts w:hint="eastAsia" w:ascii="宋体" w:hAnsi="宋体" w:eastAsia="宋体" w:cs="宋体"/>
          <w:color w:val="auto"/>
          <w:sz w:val="22"/>
          <w:highlight w:val="none"/>
        </w:rPr>
      </w:pPr>
      <w:r>
        <w:rPr>
          <w:rFonts w:hint="eastAsia" w:ascii="宋体" w:hAnsi="宋体" w:eastAsia="宋体" w:cs="宋体"/>
          <w:color w:val="auto"/>
          <w:sz w:val="22"/>
          <w:highlight w:val="none"/>
        </w:rPr>
        <w:t>二、竞争性磋商文件</w:t>
      </w:r>
    </w:p>
    <w:p w14:paraId="6D0CD61A">
      <w:pPr>
        <w:spacing w:line="460" w:lineRule="exact"/>
        <w:ind w:firstLine="440" w:firstLineChars="200"/>
        <w:contextualSpacing/>
        <w:rPr>
          <w:rFonts w:hint="eastAsia" w:ascii="宋体" w:hAnsi="宋体" w:eastAsia="宋体" w:cs="宋体"/>
          <w:color w:val="auto"/>
          <w:sz w:val="22"/>
          <w:highlight w:val="none"/>
        </w:rPr>
      </w:pPr>
      <w:r>
        <w:rPr>
          <w:rFonts w:hint="eastAsia" w:ascii="宋体" w:hAnsi="宋体" w:eastAsia="宋体" w:cs="宋体"/>
          <w:color w:val="auto"/>
          <w:sz w:val="22"/>
          <w:highlight w:val="none"/>
        </w:rPr>
        <w:t>1、竞争性磋商文件</w:t>
      </w:r>
    </w:p>
    <w:p w14:paraId="1C4D41C8">
      <w:pPr>
        <w:spacing w:line="460" w:lineRule="exact"/>
        <w:ind w:firstLine="440" w:firstLineChars="200"/>
        <w:contextualSpacing/>
        <w:rPr>
          <w:rFonts w:hint="eastAsia" w:ascii="宋体" w:hAnsi="宋体" w:eastAsia="宋体" w:cs="宋体"/>
          <w:color w:val="auto"/>
          <w:sz w:val="22"/>
          <w:highlight w:val="none"/>
        </w:rPr>
      </w:pPr>
      <w:r>
        <w:rPr>
          <w:rFonts w:hint="eastAsia" w:ascii="宋体" w:hAnsi="宋体" w:eastAsia="宋体" w:cs="宋体"/>
          <w:color w:val="auto"/>
          <w:sz w:val="22"/>
          <w:highlight w:val="none"/>
        </w:rPr>
        <w:t>1.1、竞争性磋商文件发放</w:t>
      </w:r>
    </w:p>
    <w:p w14:paraId="73A50916">
      <w:pPr>
        <w:spacing w:line="460" w:lineRule="exact"/>
        <w:ind w:firstLine="440" w:firstLineChars="200"/>
        <w:contextualSpacing/>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本项目竞争性磋商文件实行“政府采购云平台”在线获取，不提供竞争性磋商文件纸质版。</w:t>
      </w:r>
    </w:p>
    <w:p w14:paraId="0207F80C">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1.2、竞争性磋商文件约束力</w:t>
      </w:r>
    </w:p>
    <w:p w14:paraId="0F0435EC">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供应商一旦获取了本竞争性磋商文件并参加磋商采购，即被认为接受了本竞争性磋商文件中所有条款和规定。</w:t>
      </w:r>
    </w:p>
    <w:p w14:paraId="400D4583">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1.3、竞争性磋商文件的组成</w:t>
      </w:r>
    </w:p>
    <w:p w14:paraId="21B227F8">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竞争性磋商文件由竞争性磋商文件总目录所列内容及补充资料（如有）等组成。</w:t>
      </w:r>
    </w:p>
    <w:p w14:paraId="6F61F8ED">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2、竞争性磋商文件的澄清</w:t>
      </w:r>
    </w:p>
    <w:p w14:paraId="46668F11">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eastAsia="宋体" w:cs="宋体"/>
          <w:b/>
          <w:color w:val="auto"/>
          <w:sz w:val="22"/>
          <w:szCs w:val="22"/>
          <w:highlight w:val="none"/>
        </w:rPr>
        <w:t>任何口头答复均不作为报价依据</w:t>
      </w:r>
      <w:r>
        <w:rPr>
          <w:rFonts w:hint="eastAsia" w:ascii="宋体" w:hAnsi="宋体" w:eastAsia="宋体" w:cs="宋体"/>
          <w:color w:val="auto"/>
          <w:sz w:val="22"/>
          <w:szCs w:val="22"/>
          <w:highlight w:val="none"/>
        </w:rPr>
        <w:t>。</w:t>
      </w:r>
    </w:p>
    <w:p w14:paraId="6FCBCEBB">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3、竞争性磋商文件的修改</w:t>
      </w:r>
    </w:p>
    <w:p w14:paraId="6D853305">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3.1、在响应文件递交截止时间前，采购人有权修改竞争性磋商文件，并通知供应商。补充文件作为竞争性磋商文件的补充和组成部分，对所有供应商均有约束力。</w:t>
      </w:r>
    </w:p>
    <w:p w14:paraId="1A5AA791">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3.2、为使供应商有足够的时间按竞争性磋商文件要求修正响应文件，采购人可酌情推迟响应文件递交截止时间和磋商开始时间，并将此变更通知供应商。</w:t>
      </w:r>
    </w:p>
    <w:p w14:paraId="3D8ABC10">
      <w:pPr>
        <w:autoSpaceDE w:val="0"/>
        <w:autoSpaceDN w:val="0"/>
        <w:adjustRightInd w:val="0"/>
        <w:spacing w:line="460" w:lineRule="exact"/>
        <w:ind w:firstLine="442" w:firstLineChars="200"/>
        <w:contextualSpacing/>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3.3、本项目竞争性磋商文件如有补充、更正、澄清均见浙江政府采购网。磋商供应商须在响应文件递交截止前自行查看是否有补充、更正、澄清文件，并按补充、更正、澄清文件要求投标，否则责任自负。</w:t>
      </w:r>
    </w:p>
    <w:p w14:paraId="59EFB574">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三、响应文件</w:t>
      </w:r>
    </w:p>
    <w:p w14:paraId="006B0D6B">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1、响应文件</w:t>
      </w:r>
    </w:p>
    <w:p w14:paraId="56B963AB">
      <w:pPr>
        <w:autoSpaceDE w:val="0"/>
        <w:autoSpaceDN w:val="0"/>
        <w:adjustRightInd w:val="0"/>
        <w:spacing w:line="460" w:lineRule="exact"/>
        <w:ind w:firstLine="440" w:firstLineChars="200"/>
        <w:contextualSpacing/>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供应商应仔细阅读竞争性磋商文件中的所有内容，按照竞争性磋商文件要求，详细编制响应文件。并对竞争性磋商文件的要求做出实质性响应。实质性响应的响应文件应该是与竞争性磋商文件要求没有重大偏离。未实质性响应的响应文件将被拒绝，但允许在基本满足采购技术要求的前提下出现的微小差异。</w:t>
      </w:r>
    </w:p>
    <w:p w14:paraId="5EB7B169">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竞争性磋商文件的要求提供相关技术参数、资料，包括采用的计量单位，并保证响应文件的正确性和真实性。响应文件全部内容应保持一致，否则可能导致对其不利评定甚至被拒绝。技术和商务如有偏离均应填写偏离表。</w:t>
      </w:r>
    </w:p>
    <w:p w14:paraId="7736E343">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1.3、供应商应仔细阅读竞争性磋商文件中的所有内容，按照竞争性磋商文件要求，详细编制</w:t>
      </w:r>
      <w:r>
        <w:rPr>
          <w:rFonts w:hint="eastAsia" w:ascii="宋体" w:hAnsi="宋体" w:eastAsia="宋体" w:cs="宋体"/>
          <w:color w:val="auto"/>
          <w:sz w:val="22"/>
          <w:szCs w:val="22"/>
          <w:highlight w:val="none"/>
        </w:rPr>
        <w:t>响应文件</w:t>
      </w:r>
      <w:r>
        <w:rPr>
          <w:rFonts w:hint="eastAsia" w:ascii="宋体" w:hAnsi="宋体" w:eastAsia="宋体" w:cs="宋体"/>
          <w:color w:val="auto"/>
          <w:sz w:val="22"/>
          <w:szCs w:val="22"/>
          <w:highlight w:val="none"/>
          <w:lang w:val="zh-CN"/>
        </w:rPr>
        <w:t>，所有文件资料必须是针对本次采购。不按竞争性磋商文件的要求提供的</w:t>
      </w:r>
      <w:r>
        <w:rPr>
          <w:rFonts w:hint="eastAsia" w:ascii="宋体" w:hAnsi="宋体" w:eastAsia="宋体" w:cs="宋体"/>
          <w:color w:val="auto"/>
          <w:sz w:val="22"/>
          <w:szCs w:val="22"/>
          <w:highlight w:val="none"/>
        </w:rPr>
        <w:t>响应文件</w:t>
      </w:r>
      <w:r>
        <w:rPr>
          <w:rFonts w:hint="eastAsia" w:ascii="宋体" w:hAnsi="宋体" w:eastAsia="宋体" w:cs="宋体"/>
          <w:color w:val="auto"/>
          <w:sz w:val="22"/>
          <w:szCs w:val="22"/>
          <w:highlight w:val="none"/>
          <w:lang w:val="zh-CN"/>
        </w:rPr>
        <w:t>可能导致被拒绝。</w:t>
      </w:r>
    </w:p>
    <w:p w14:paraId="35AFF890">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2、响应文件的组成  </w:t>
      </w:r>
    </w:p>
    <w:p w14:paraId="29CA359C">
      <w:pPr>
        <w:autoSpaceDE w:val="0"/>
        <w:autoSpaceDN w:val="0"/>
        <w:adjustRightInd w:val="0"/>
        <w:snapToGrid w:val="0"/>
        <w:spacing w:line="460" w:lineRule="exact"/>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响应文件由资格文件、报价文件、商务技术文件组成。</w:t>
      </w:r>
    </w:p>
    <w:p w14:paraId="1A0CDD5E">
      <w:pPr>
        <w:autoSpaceDE w:val="0"/>
        <w:autoSpaceDN w:val="0"/>
        <w:adjustRightInd w:val="0"/>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2.1、资格文件组成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6F8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E26D430">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序号</w:t>
            </w:r>
          </w:p>
        </w:tc>
        <w:tc>
          <w:tcPr>
            <w:tcW w:w="8747" w:type="dxa"/>
          </w:tcPr>
          <w:p w14:paraId="4C185D1B">
            <w:pPr>
              <w:autoSpaceDE w:val="0"/>
              <w:autoSpaceDN w:val="0"/>
              <w:adjustRightInd w:val="0"/>
              <w:snapToGrid w:val="0"/>
              <w:spacing w:line="430" w:lineRule="atLeas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内容（</w:t>
            </w:r>
            <w:r>
              <w:rPr>
                <w:rFonts w:hint="eastAsia" w:ascii="宋体" w:hAnsi="宋体" w:eastAsia="宋体" w:cs="宋体"/>
                <w:b/>
                <w:color w:val="auto"/>
                <w:sz w:val="22"/>
                <w:highlight w:val="none"/>
                <w:lang w:val="zh-CN"/>
              </w:rPr>
              <w:t>以下内容磋商供应商必须提供，否则不能通过资格审查的，责任自负。</w:t>
            </w:r>
            <w:r>
              <w:rPr>
                <w:rFonts w:hint="eastAsia" w:ascii="宋体" w:hAnsi="宋体" w:eastAsia="宋体" w:cs="宋体"/>
                <w:color w:val="auto"/>
                <w:sz w:val="22"/>
                <w:highlight w:val="none"/>
                <w:lang w:val="zh-CN"/>
              </w:rPr>
              <w:t>）</w:t>
            </w:r>
          </w:p>
        </w:tc>
      </w:tr>
      <w:tr w14:paraId="1032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4E57FDA">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1</w:t>
            </w:r>
          </w:p>
        </w:tc>
        <w:tc>
          <w:tcPr>
            <w:tcW w:w="8747" w:type="dxa"/>
          </w:tcPr>
          <w:p w14:paraId="21BD3ABE">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磋商供应商的营业执照（营业执照扫描件加盖公章）</w:t>
            </w:r>
          </w:p>
        </w:tc>
      </w:tr>
      <w:tr w14:paraId="1678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9E9114A">
            <w:pPr>
              <w:autoSpaceDE w:val="0"/>
              <w:autoSpaceDN w:val="0"/>
              <w:adjustRightInd w:val="0"/>
              <w:snapToGrid w:val="0"/>
              <w:spacing w:line="43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8747" w:type="dxa"/>
          </w:tcPr>
          <w:p w14:paraId="7B194334">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磋商供应商参与政府采购活动投标资格声明函（附件一）</w:t>
            </w:r>
          </w:p>
        </w:tc>
      </w:tr>
      <w:tr w14:paraId="44A4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9DD3FD6">
            <w:pPr>
              <w:autoSpaceDE w:val="0"/>
              <w:autoSpaceDN w:val="0"/>
              <w:adjustRightInd w:val="0"/>
              <w:snapToGrid w:val="0"/>
              <w:spacing w:line="43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8747" w:type="dxa"/>
          </w:tcPr>
          <w:p w14:paraId="7BF16F2B">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供应商特定资格条件证明：</w:t>
            </w:r>
            <w:r>
              <w:rPr>
                <w:rFonts w:hint="eastAsia" w:ascii="宋体" w:hAnsi="宋体" w:eastAsia="宋体" w:cs="宋体"/>
                <w:color w:val="auto"/>
                <w:sz w:val="22"/>
                <w:szCs w:val="22"/>
                <w:highlight w:val="none"/>
              </w:rPr>
              <w:t>供应商具有有效期内的</w:t>
            </w:r>
            <w:bookmarkStart w:id="186" w:name="OLE_LINK1"/>
            <w:bookmarkStart w:id="187" w:name="OLE_LINK2"/>
            <w:r>
              <w:rPr>
                <w:rFonts w:hint="eastAsia" w:ascii="宋体" w:hAnsi="宋体" w:eastAsia="宋体" w:cs="宋体"/>
                <w:color w:val="auto"/>
                <w:sz w:val="22"/>
                <w:szCs w:val="22"/>
                <w:highlight w:val="none"/>
              </w:rPr>
              <w:t>《特种设备生产许可证》，许可项目为电梯制造（含安装、修理、改造）或电梯安装（含修理）</w:t>
            </w:r>
            <w:bookmarkEnd w:id="186"/>
            <w:bookmarkEnd w:id="187"/>
            <w:r>
              <w:rPr>
                <w:rFonts w:hint="eastAsia" w:ascii="宋体" w:hAnsi="宋体" w:eastAsia="宋体" w:cs="宋体"/>
                <w:color w:val="auto"/>
                <w:sz w:val="22"/>
                <w:szCs w:val="22"/>
                <w:highlight w:val="none"/>
              </w:rPr>
              <w:t>，许可子项目须包含曳引驱动乘客电梯（含消防员电梯）B级及以上和杂物电梯（含防爆电梯中的杂物电梯）</w:t>
            </w:r>
            <w:r>
              <w:rPr>
                <w:rFonts w:hint="eastAsia" w:ascii="宋体" w:hAnsi="宋体" w:eastAsia="宋体" w:cs="宋体"/>
                <w:color w:val="auto"/>
                <w:sz w:val="22"/>
                <w:highlight w:val="none"/>
              </w:rPr>
              <w:t>（提供证书扫描件加盖公章）</w:t>
            </w:r>
          </w:p>
        </w:tc>
      </w:tr>
    </w:tbl>
    <w:p w14:paraId="6A28529F">
      <w:pPr>
        <w:autoSpaceDE w:val="0"/>
        <w:autoSpaceDN w:val="0"/>
        <w:adjustRightInd w:val="0"/>
        <w:snapToGrid w:val="0"/>
        <w:spacing w:line="460" w:lineRule="atLeas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2.2、报价文件组成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035D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A235443">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序号</w:t>
            </w:r>
          </w:p>
        </w:tc>
        <w:tc>
          <w:tcPr>
            <w:tcW w:w="8736" w:type="dxa"/>
          </w:tcPr>
          <w:p w14:paraId="7694E533">
            <w:pPr>
              <w:autoSpaceDE w:val="0"/>
              <w:autoSpaceDN w:val="0"/>
              <w:adjustRightInd w:val="0"/>
              <w:snapToGrid w:val="0"/>
              <w:spacing w:line="430" w:lineRule="atLeas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内容（▲</w:t>
            </w:r>
            <w:r>
              <w:rPr>
                <w:rFonts w:hint="eastAsia" w:ascii="宋体" w:hAnsi="宋体" w:eastAsia="宋体" w:cs="宋体"/>
                <w:b/>
                <w:color w:val="auto"/>
                <w:sz w:val="22"/>
                <w:highlight w:val="none"/>
                <w:lang w:val="zh-CN"/>
              </w:rPr>
              <w:t>序号2-3项磋商供应商必须提供，否则不能通过符合性审查的，责任自负</w:t>
            </w:r>
            <w:r>
              <w:rPr>
                <w:rFonts w:hint="eastAsia" w:ascii="宋体" w:hAnsi="宋体" w:eastAsia="宋体" w:cs="宋体"/>
                <w:color w:val="auto"/>
                <w:sz w:val="22"/>
                <w:highlight w:val="none"/>
                <w:lang w:val="zh-CN"/>
              </w:rPr>
              <w:t>。）</w:t>
            </w:r>
          </w:p>
        </w:tc>
      </w:tr>
      <w:tr w14:paraId="72BF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868813E">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1</w:t>
            </w:r>
          </w:p>
        </w:tc>
        <w:tc>
          <w:tcPr>
            <w:tcW w:w="8736" w:type="dxa"/>
          </w:tcPr>
          <w:p w14:paraId="71E75BCC">
            <w:pPr>
              <w:autoSpaceDE w:val="0"/>
              <w:autoSpaceDN w:val="0"/>
              <w:adjustRightInd w:val="0"/>
              <w:snapToGrid w:val="0"/>
              <w:spacing w:line="430" w:lineRule="atLeast"/>
              <w:rPr>
                <w:rFonts w:hint="eastAsia" w:ascii="宋体" w:hAnsi="宋体" w:eastAsia="宋体" w:cs="宋体"/>
                <w:color w:val="auto"/>
                <w:sz w:val="22"/>
                <w:highlight w:val="none"/>
                <w:lang w:val="zh-CN"/>
              </w:rPr>
            </w:pPr>
            <w:r>
              <w:rPr>
                <w:rFonts w:hint="eastAsia" w:ascii="宋体" w:hAnsi="宋体" w:eastAsia="宋体" w:cs="宋体"/>
                <w:color w:val="auto"/>
                <w:sz w:val="22"/>
                <w:szCs w:val="22"/>
                <w:highlight w:val="none"/>
              </w:rPr>
              <w:t>报价文件封面（格式自拟）</w:t>
            </w:r>
          </w:p>
        </w:tc>
      </w:tr>
      <w:tr w14:paraId="0F5B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B372EE9">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2</w:t>
            </w:r>
          </w:p>
        </w:tc>
        <w:tc>
          <w:tcPr>
            <w:tcW w:w="8736" w:type="dxa"/>
          </w:tcPr>
          <w:p w14:paraId="744BB8C1">
            <w:pPr>
              <w:autoSpaceDE w:val="0"/>
              <w:autoSpaceDN w:val="0"/>
              <w:adjustRightInd w:val="0"/>
              <w:spacing w:line="430" w:lineRule="atLeast"/>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开标一览表（附件二）</w:t>
            </w:r>
          </w:p>
        </w:tc>
      </w:tr>
      <w:tr w14:paraId="3F8B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F503835">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3</w:t>
            </w:r>
          </w:p>
        </w:tc>
        <w:tc>
          <w:tcPr>
            <w:tcW w:w="8736" w:type="dxa"/>
          </w:tcPr>
          <w:p w14:paraId="1B1B75E7">
            <w:pPr>
              <w:autoSpaceDE w:val="0"/>
              <w:autoSpaceDN w:val="0"/>
              <w:adjustRightInd w:val="0"/>
              <w:spacing w:line="430" w:lineRule="atLeast"/>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 w:val="22"/>
                <w:highlight w:val="none"/>
              </w:rPr>
              <w:t>分项报价表（附件三</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一</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w:t>
            </w:r>
          </w:p>
        </w:tc>
      </w:tr>
      <w:tr w14:paraId="0861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330FEE5">
            <w:pPr>
              <w:autoSpaceDE w:val="0"/>
              <w:autoSpaceDN w:val="0"/>
              <w:adjustRightInd w:val="0"/>
              <w:snapToGrid w:val="0"/>
              <w:spacing w:line="430" w:lineRule="atLeas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4</w:t>
            </w:r>
          </w:p>
        </w:tc>
        <w:tc>
          <w:tcPr>
            <w:tcW w:w="8736" w:type="dxa"/>
          </w:tcPr>
          <w:p w14:paraId="43D77AAD">
            <w:pPr>
              <w:autoSpaceDE w:val="0"/>
              <w:autoSpaceDN w:val="0"/>
              <w:adjustRightInd w:val="0"/>
              <w:spacing w:line="430" w:lineRule="atLeast"/>
              <w:textAlignment w:val="bottom"/>
              <w:rPr>
                <w:rFonts w:hint="eastAsia" w:ascii="宋体" w:hAnsi="宋体" w:eastAsia="宋体" w:cs="宋体"/>
                <w:color w:val="auto"/>
                <w:sz w:val="22"/>
                <w:highlight w:val="none"/>
              </w:rPr>
            </w:pPr>
            <w:r>
              <w:rPr>
                <w:rFonts w:hint="eastAsia" w:ascii="宋体" w:hAnsi="宋体" w:cs="宋体"/>
                <w:color w:val="auto"/>
                <w:sz w:val="22"/>
                <w:highlight w:val="none"/>
              </w:rPr>
              <w:t>200元内的耗材及配件清单（附件三（二））</w:t>
            </w:r>
          </w:p>
        </w:tc>
      </w:tr>
      <w:tr w14:paraId="63DE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B0B36D1">
            <w:pPr>
              <w:autoSpaceDE w:val="0"/>
              <w:autoSpaceDN w:val="0"/>
              <w:adjustRightInd w:val="0"/>
              <w:snapToGrid w:val="0"/>
              <w:spacing w:line="430" w:lineRule="atLeast"/>
              <w:jc w:val="center"/>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en-US" w:eastAsia="zh-CN"/>
              </w:rPr>
              <w:t>5</w:t>
            </w:r>
          </w:p>
        </w:tc>
        <w:tc>
          <w:tcPr>
            <w:tcW w:w="8736" w:type="dxa"/>
          </w:tcPr>
          <w:p w14:paraId="42E62033">
            <w:pPr>
              <w:snapToGrid w:val="0"/>
              <w:spacing w:line="460" w:lineRule="atLeas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r>
              <w:rPr>
                <w:rFonts w:hint="eastAsia" w:ascii="宋体" w:hAnsi="宋体" w:eastAsia="宋体" w:cs="宋体"/>
                <w:b/>
                <w:color w:val="auto"/>
                <w:sz w:val="22"/>
                <w:highlight w:val="none"/>
                <w:lang w:eastAsia="zh-CN"/>
              </w:rPr>
              <w:t>磋商供应商</w:t>
            </w:r>
            <w:r>
              <w:rPr>
                <w:rFonts w:hint="eastAsia" w:ascii="宋体" w:hAnsi="宋体" w:eastAsia="宋体" w:cs="宋体"/>
                <w:b/>
                <w:color w:val="auto"/>
                <w:sz w:val="22"/>
                <w:highlight w:val="none"/>
              </w:rPr>
              <w:t>享受小微企业价格折扣应提供以下证明材料（放在报价文件中，不提供的不享受价格折扣）：</w:t>
            </w:r>
          </w:p>
          <w:p w14:paraId="5A6EA009">
            <w:pPr>
              <w:snapToGrid w:val="0"/>
              <w:spacing w:line="460" w:lineRule="atLeas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（1）《中小企业声明函》（加盖供应商公章，格式见</w:t>
            </w:r>
            <w:r>
              <w:rPr>
                <w:rFonts w:hint="eastAsia" w:ascii="宋体" w:eastAsia="宋体" w:cs="宋体"/>
                <w:b/>
                <w:color w:val="auto"/>
                <w:sz w:val="22"/>
                <w:highlight w:val="none"/>
                <w:lang w:eastAsia="zh-CN"/>
              </w:rPr>
              <w:t>竞争性磋商文件</w:t>
            </w:r>
            <w:r>
              <w:rPr>
                <w:rFonts w:hint="eastAsia" w:ascii="宋体" w:hAnsi="宋体" w:eastAsia="宋体" w:cs="宋体"/>
                <w:b/>
                <w:color w:val="auto"/>
                <w:sz w:val="22"/>
                <w:highlight w:val="none"/>
              </w:rPr>
              <w:t>第四部分附件1）。</w:t>
            </w:r>
          </w:p>
          <w:p w14:paraId="1137DEEB">
            <w:pPr>
              <w:snapToGrid w:val="0"/>
              <w:spacing w:line="460" w:lineRule="atLeas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r>
              <w:rPr>
                <w:rFonts w:hint="eastAsia" w:ascii="宋体" w:hAnsi="宋体" w:eastAsia="宋体" w:cs="宋体"/>
                <w:b/>
                <w:color w:val="auto"/>
                <w:sz w:val="22"/>
                <w:highlight w:val="none"/>
                <w:lang w:eastAsia="zh-CN"/>
              </w:rPr>
              <w:t>磋商供应商</w:t>
            </w:r>
            <w:r>
              <w:rPr>
                <w:rFonts w:hint="eastAsia" w:ascii="宋体" w:hAnsi="宋体" w:eastAsia="宋体" w:cs="宋体"/>
                <w:b/>
                <w:color w:val="auto"/>
                <w:sz w:val="22"/>
                <w:highlight w:val="none"/>
              </w:rPr>
              <w:t>享受监狱企业价格折扣应提供以下证明材料（放在报价文件中，不提供的不享受价格折扣）：</w:t>
            </w:r>
          </w:p>
          <w:p w14:paraId="688A4F36">
            <w:pPr>
              <w:snapToGrid w:val="0"/>
              <w:spacing w:line="460" w:lineRule="atLeas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（1）监狱企业参加政府采购活动时，应当提供由省级及以上监狱管理局、戒毒管理局(含新疆生产建设兵团)出具的属于监狱企业的证明文件（加盖</w:t>
            </w:r>
            <w:r>
              <w:rPr>
                <w:rFonts w:hint="eastAsia" w:ascii="宋体" w:hAnsi="宋体" w:eastAsia="宋体" w:cs="宋体"/>
                <w:b/>
                <w:color w:val="auto"/>
                <w:sz w:val="22"/>
                <w:highlight w:val="none"/>
                <w:lang w:eastAsia="zh-CN"/>
              </w:rPr>
              <w:t>磋商供应商</w:t>
            </w:r>
            <w:r>
              <w:rPr>
                <w:rFonts w:hint="eastAsia" w:ascii="宋体" w:hAnsi="宋体" w:eastAsia="宋体" w:cs="宋体"/>
                <w:b/>
                <w:color w:val="auto"/>
                <w:sz w:val="22"/>
                <w:highlight w:val="none"/>
              </w:rPr>
              <w:t>公章）。在政府采购活动中，监狱企业视同小型、微型企业，享受评审中价格扣除政策。</w:t>
            </w:r>
          </w:p>
          <w:p w14:paraId="1B7CA03E">
            <w:pPr>
              <w:snapToGrid w:val="0"/>
              <w:spacing w:line="460" w:lineRule="atLeas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w:t>
            </w:r>
            <w:r>
              <w:rPr>
                <w:rFonts w:hint="eastAsia" w:ascii="宋体" w:hAnsi="宋体" w:eastAsia="宋体" w:cs="宋体"/>
                <w:b/>
                <w:color w:val="auto"/>
                <w:sz w:val="22"/>
                <w:highlight w:val="none"/>
                <w:lang w:eastAsia="zh-CN"/>
              </w:rPr>
              <w:t>磋商供应商</w:t>
            </w:r>
            <w:r>
              <w:rPr>
                <w:rFonts w:hint="eastAsia" w:ascii="宋体" w:hAnsi="宋体" w:eastAsia="宋体" w:cs="宋体"/>
                <w:b/>
                <w:color w:val="auto"/>
                <w:sz w:val="22"/>
                <w:highlight w:val="none"/>
              </w:rPr>
              <w:t>享受残疾人福利性单位价格折扣应提供以下证明材料（放在报价文件中，不提供的不享受价格折扣）：</w:t>
            </w:r>
          </w:p>
          <w:p w14:paraId="3D4DCE8F">
            <w:pPr>
              <w:autoSpaceDE w:val="0"/>
              <w:autoSpaceDN w:val="0"/>
              <w:adjustRightInd w:val="0"/>
              <w:spacing w:line="430" w:lineRule="atLeast"/>
              <w:textAlignment w:val="bottom"/>
              <w:rPr>
                <w:rFonts w:hint="eastAsia" w:ascii="宋体" w:hAnsi="宋体" w:eastAsia="宋体" w:cs="宋体"/>
                <w:color w:val="auto"/>
                <w:sz w:val="22"/>
                <w:highlight w:val="none"/>
              </w:rPr>
            </w:pPr>
            <w:r>
              <w:rPr>
                <w:rFonts w:hint="eastAsia" w:ascii="宋体" w:hAnsi="宋体" w:eastAsia="宋体" w:cs="宋体"/>
                <w:b/>
                <w:color w:val="auto"/>
                <w:sz w:val="22"/>
                <w:highlight w:val="none"/>
              </w:rPr>
              <w:t>（1）残疾人福利性单位声明函（加盖</w:t>
            </w:r>
            <w:r>
              <w:rPr>
                <w:rFonts w:hint="eastAsia" w:ascii="宋体" w:hAnsi="宋体" w:eastAsia="宋体" w:cs="宋体"/>
                <w:b/>
                <w:color w:val="auto"/>
                <w:sz w:val="22"/>
                <w:highlight w:val="none"/>
                <w:lang w:eastAsia="zh-CN"/>
              </w:rPr>
              <w:t>磋商供应商</w:t>
            </w:r>
            <w:r>
              <w:rPr>
                <w:rFonts w:hint="eastAsia" w:ascii="宋体" w:hAnsi="宋体" w:eastAsia="宋体" w:cs="宋体"/>
                <w:b/>
                <w:color w:val="auto"/>
                <w:sz w:val="22"/>
                <w:highlight w:val="none"/>
              </w:rPr>
              <w:t>公章，格式见</w:t>
            </w:r>
            <w:r>
              <w:rPr>
                <w:rFonts w:hint="eastAsia" w:ascii="宋体" w:eastAsia="宋体" w:cs="宋体"/>
                <w:b/>
                <w:color w:val="auto"/>
                <w:sz w:val="22"/>
                <w:highlight w:val="none"/>
                <w:lang w:eastAsia="zh-CN"/>
              </w:rPr>
              <w:t>竞争性磋商文件</w:t>
            </w:r>
            <w:r>
              <w:rPr>
                <w:rFonts w:hint="eastAsia" w:ascii="宋体" w:hAnsi="宋体" w:eastAsia="宋体" w:cs="宋体"/>
                <w:b/>
                <w:color w:val="auto"/>
                <w:sz w:val="22"/>
                <w:highlight w:val="none"/>
              </w:rPr>
              <w:t>第四部分附件2）。在政府采购活动中，残疾人福利性单位视同小型、微型企业，享受评审中价格扣除政策。</w:t>
            </w:r>
          </w:p>
        </w:tc>
      </w:tr>
      <w:tr w14:paraId="61B2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3A8B63A">
            <w:pPr>
              <w:autoSpaceDE w:val="0"/>
              <w:autoSpaceDN w:val="0"/>
              <w:adjustRightInd w:val="0"/>
              <w:snapToGrid w:val="0"/>
              <w:spacing w:line="430" w:lineRule="atLeas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6</w:t>
            </w:r>
          </w:p>
        </w:tc>
        <w:tc>
          <w:tcPr>
            <w:tcW w:w="8736" w:type="dxa"/>
          </w:tcPr>
          <w:p w14:paraId="55A74601">
            <w:pPr>
              <w:snapToGrid w:val="0"/>
              <w:spacing w:line="46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其他供应商须说明的资料（如有则提供）</w:t>
            </w:r>
          </w:p>
        </w:tc>
      </w:tr>
    </w:tbl>
    <w:p w14:paraId="7A71CAEC">
      <w:pPr>
        <w:autoSpaceDE w:val="0"/>
        <w:autoSpaceDN w:val="0"/>
        <w:adjustRightInd w:val="0"/>
        <w:snapToGrid w:val="0"/>
        <w:spacing w:line="460" w:lineRule="atLeas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2.3、商务技术文件组成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33E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1CD027B">
            <w:pPr>
              <w:autoSpaceDE w:val="0"/>
              <w:autoSpaceDN w:val="0"/>
              <w:adjustRightInd w:val="0"/>
              <w:snapToGrid w:val="0"/>
              <w:spacing w:line="430" w:lineRule="atLeas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序号</w:t>
            </w:r>
          </w:p>
        </w:tc>
        <w:tc>
          <w:tcPr>
            <w:tcW w:w="8747" w:type="dxa"/>
          </w:tcPr>
          <w:p w14:paraId="76813E29">
            <w:pPr>
              <w:autoSpaceDE w:val="0"/>
              <w:autoSpaceDN w:val="0"/>
              <w:adjustRightInd w:val="0"/>
              <w:snapToGrid w:val="0"/>
              <w:spacing w:line="43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highlight w:val="none"/>
                <w:lang w:val="zh-CN"/>
              </w:rPr>
              <w:t>（▲</w:t>
            </w:r>
            <w:r>
              <w:rPr>
                <w:rFonts w:hint="eastAsia" w:ascii="宋体" w:hAnsi="宋体" w:eastAsia="宋体" w:cs="宋体"/>
                <w:b/>
                <w:color w:val="auto"/>
                <w:sz w:val="22"/>
                <w:highlight w:val="none"/>
                <w:lang w:val="zh-CN"/>
              </w:rPr>
              <w:t>序号3-</w:t>
            </w:r>
            <w:r>
              <w:rPr>
                <w:rFonts w:hint="eastAsia" w:ascii="宋体" w:hAnsi="宋体" w:cs="宋体"/>
                <w:b/>
                <w:color w:val="auto"/>
                <w:sz w:val="22"/>
                <w:highlight w:val="none"/>
                <w:lang w:val="en-US" w:eastAsia="zh-CN"/>
              </w:rPr>
              <w:t>5</w:t>
            </w:r>
            <w:r>
              <w:rPr>
                <w:rFonts w:hint="eastAsia" w:ascii="宋体" w:hAnsi="宋体" w:eastAsia="宋体" w:cs="宋体"/>
                <w:b/>
                <w:color w:val="auto"/>
                <w:sz w:val="22"/>
                <w:highlight w:val="none"/>
                <w:lang w:val="zh-CN"/>
              </w:rPr>
              <w:t>项磋商供应商必须提供，否则不能通过符合性审查的，责任自负</w:t>
            </w:r>
            <w:r>
              <w:rPr>
                <w:rFonts w:hint="eastAsia" w:ascii="宋体" w:hAnsi="宋体" w:eastAsia="宋体" w:cs="宋体"/>
                <w:color w:val="auto"/>
                <w:sz w:val="22"/>
                <w:highlight w:val="none"/>
                <w:lang w:val="zh-CN"/>
              </w:rPr>
              <w:t>。）</w:t>
            </w:r>
          </w:p>
        </w:tc>
      </w:tr>
      <w:tr w14:paraId="6F68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D52EA06">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1</w:t>
            </w:r>
          </w:p>
        </w:tc>
        <w:tc>
          <w:tcPr>
            <w:tcW w:w="8747" w:type="dxa"/>
          </w:tcPr>
          <w:p w14:paraId="5C17A04B">
            <w:pPr>
              <w:autoSpaceDE w:val="0"/>
              <w:autoSpaceDN w:val="0"/>
              <w:adjustRightInd w:val="0"/>
              <w:snapToGrid w:val="0"/>
              <w:spacing w:line="43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商务技术文件封面（格式自拟）</w:t>
            </w:r>
          </w:p>
        </w:tc>
      </w:tr>
      <w:tr w14:paraId="645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0C2611F">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2</w:t>
            </w:r>
          </w:p>
        </w:tc>
        <w:tc>
          <w:tcPr>
            <w:tcW w:w="8747" w:type="dxa"/>
          </w:tcPr>
          <w:p w14:paraId="0C5B4ED8">
            <w:pPr>
              <w:autoSpaceDE w:val="0"/>
              <w:autoSpaceDN w:val="0"/>
              <w:adjustRightInd w:val="0"/>
              <w:snapToGrid w:val="0"/>
              <w:spacing w:line="43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目录</w:t>
            </w:r>
          </w:p>
        </w:tc>
      </w:tr>
      <w:tr w14:paraId="3E50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0AD20BA">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3</w:t>
            </w:r>
          </w:p>
        </w:tc>
        <w:tc>
          <w:tcPr>
            <w:tcW w:w="8747" w:type="dxa"/>
          </w:tcPr>
          <w:p w14:paraId="7D28FE3F">
            <w:pPr>
              <w:autoSpaceDE w:val="0"/>
              <w:autoSpaceDN w:val="0"/>
              <w:adjustRightInd w:val="0"/>
              <w:snapToGrid w:val="0"/>
              <w:spacing w:line="430" w:lineRule="atLeas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磋商函（附件四）</w:t>
            </w:r>
          </w:p>
        </w:tc>
      </w:tr>
      <w:tr w14:paraId="1966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3974C53">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4</w:t>
            </w:r>
          </w:p>
        </w:tc>
        <w:tc>
          <w:tcPr>
            <w:tcW w:w="8747" w:type="dxa"/>
          </w:tcPr>
          <w:p w14:paraId="22164BD6">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法定代表人授权书（附件五），如为法定代表人参与磋商的只需提供法定代表人身份证扫描件</w:t>
            </w:r>
          </w:p>
        </w:tc>
      </w:tr>
      <w:tr w14:paraId="44A3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38CD37">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5</w:t>
            </w:r>
          </w:p>
        </w:tc>
        <w:tc>
          <w:tcPr>
            <w:tcW w:w="8747" w:type="dxa"/>
          </w:tcPr>
          <w:p w14:paraId="7359BA09">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本项目需有至少1名具有《特种设备作业人员证》的电梯修理作业人员常驻现场，项目人员配置表（附件九）（提供</w:t>
            </w:r>
            <w:r>
              <w:rPr>
                <w:rFonts w:hint="eastAsia" w:ascii="宋体" w:hAnsi="宋体" w:cs="宋体"/>
                <w:color w:val="auto"/>
                <w:sz w:val="22"/>
                <w:highlight w:val="none"/>
                <w:lang w:val="en-US" w:eastAsia="zh-CN"/>
              </w:rPr>
              <w:t>以上人员的</w:t>
            </w:r>
            <w:r>
              <w:rPr>
                <w:rFonts w:hint="eastAsia" w:ascii="宋体" w:hAnsi="宋体" w:eastAsia="宋体" w:cs="宋体"/>
                <w:color w:val="auto"/>
                <w:sz w:val="22"/>
                <w:highlight w:val="none"/>
              </w:rPr>
              <w:t>证书及在本次投标单位缴纳社保的证明</w:t>
            </w:r>
            <w:r>
              <w:rPr>
                <w:rFonts w:hint="eastAsia" w:ascii="宋体" w:hAnsi="宋体" w:cs="宋体"/>
                <w:color w:val="auto"/>
                <w:sz w:val="22"/>
                <w:highlight w:val="none"/>
                <w:lang w:val="en-US" w:eastAsia="zh-CN"/>
              </w:rPr>
              <w:t>材料</w:t>
            </w:r>
            <w:r>
              <w:rPr>
                <w:rFonts w:hint="eastAsia" w:ascii="宋体" w:hAnsi="宋体" w:eastAsia="宋体" w:cs="宋体"/>
                <w:color w:val="auto"/>
                <w:sz w:val="22"/>
                <w:highlight w:val="none"/>
              </w:rPr>
              <w:t>（社保缴纳时间为投标截止时间近3个月</w:t>
            </w:r>
            <w:r>
              <w:rPr>
                <w:rFonts w:hint="eastAsia" w:ascii="宋体" w:hAnsi="宋体" w:cs="宋体"/>
                <w:color w:val="auto"/>
                <w:sz w:val="22"/>
                <w:highlight w:val="none"/>
                <w:lang w:val="en-US" w:eastAsia="zh-CN"/>
              </w:rPr>
              <w:t>内</w:t>
            </w:r>
            <w:r>
              <w:rPr>
                <w:rFonts w:hint="eastAsia" w:ascii="宋体" w:hAnsi="宋体" w:eastAsia="宋体" w:cs="宋体"/>
                <w:color w:val="auto"/>
                <w:sz w:val="22"/>
                <w:highlight w:val="none"/>
              </w:rPr>
              <w:t>任意一个月）</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扫描件加盖公章）</w:t>
            </w:r>
          </w:p>
          <w:p w14:paraId="5E4F67C7">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承诺提供7*24小时服务(采购人提供</w:t>
            </w:r>
            <w:r>
              <w:rPr>
                <w:rFonts w:hint="eastAsia" w:ascii="宋体" w:hAnsi="宋体" w:cs="宋体"/>
                <w:color w:val="auto"/>
                <w:sz w:val="22"/>
                <w:highlight w:val="none"/>
                <w:lang w:val="en-US" w:eastAsia="zh-CN"/>
              </w:rPr>
              <w:t>住</w:t>
            </w:r>
            <w:r>
              <w:rPr>
                <w:rFonts w:hint="eastAsia" w:ascii="宋体" w:hAnsi="宋体" w:eastAsia="宋体" w:cs="宋体"/>
                <w:color w:val="auto"/>
                <w:sz w:val="22"/>
                <w:highlight w:val="none"/>
              </w:rPr>
              <w:t>宿），如遇采购人有重大接待活动或大批量维修，须增加驻场服务人员（提供承诺函）</w:t>
            </w:r>
          </w:p>
        </w:tc>
      </w:tr>
      <w:tr w14:paraId="09BC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AC78733">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6</w:t>
            </w:r>
          </w:p>
        </w:tc>
        <w:tc>
          <w:tcPr>
            <w:tcW w:w="8747" w:type="dxa"/>
          </w:tcPr>
          <w:p w14:paraId="70388A8E">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法定代表人诚信磋商承诺书（附件六）</w:t>
            </w:r>
          </w:p>
        </w:tc>
      </w:tr>
      <w:tr w14:paraId="333A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2645403">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7</w:t>
            </w:r>
          </w:p>
        </w:tc>
        <w:tc>
          <w:tcPr>
            <w:tcW w:w="8747" w:type="dxa"/>
          </w:tcPr>
          <w:p w14:paraId="3E72CBD8">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偏离表（附件八）（如不填写，采购人有权视为完全响应磋商文件的技术及商务要求）</w:t>
            </w:r>
          </w:p>
        </w:tc>
      </w:tr>
      <w:tr w14:paraId="3C52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B62D6F5">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8</w:t>
            </w:r>
          </w:p>
        </w:tc>
        <w:tc>
          <w:tcPr>
            <w:tcW w:w="8747" w:type="dxa"/>
          </w:tcPr>
          <w:p w14:paraId="40B6EA5C">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项目业绩表（附件七）</w:t>
            </w:r>
          </w:p>
        </w:tc>
      </w:tr>
      <w:tr w14:paraId="1D8D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28242D66">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eastAsia="宋体" w:cs="宋体"/>
                <w:color w:val="auto"/>
                <w:sz w:val="22"/>
                <w:highlight w:val="none"/>
              </w:rPr>
              <w:t>9</w:t>
            </w:r>
          </w:p>
        </w:tc>
        <w:tc>
          <w:tcPr>
            <w:tcW w:w="8747" w:type="dxa"/>
          </w:tcPr>
          <w:p w14:paraId="1F3C767F">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2"/>
                <w:highlight w:val="none"/>
              </w:rPr>
            </w:pPr>
            <w:r>
              <w:rPr>
                <w:rFonts w:hint="eastAsia" w:ascii="宋体" w:hAnsi="宋体" w:cs="宋体"/>
                <w:color w:val="auto"/>
                <w:sz w:val="22"/>
                <w:szCs w:val="22"/>
                <w:highlight w:val="none"/>
                <w:lang w:val="en-US" w:eastAsia="zh-CN"/>
              </w:rPr>
              <w:t>供应商2021年1月至今获得</w:t>
            </w:r>
            <w:r>
              <w:rPr>
                <w:rFonts w:ascii="Arial" w:hAnsi="Arial" w:eastAsia="Arial" w:cs="Arial"/>
                <w:i w:val="0"/>
                <w:iCs w:val="0"/>
                <w:caps w:val="0"/>
                <w:color w:val="auto"/>
                <w:spacing w:val="0"/>
                <w:sz w:val="22"/>
                <w:szCs w:val="22"/>
                <w:highlight w:val="none"/>
                <w:shd w:val="clear" w:fill="FFFFFF"/>
              </w:rPr>
              <w:t>市场监督管</w:t>
            </w:r>
            <w:r>
              <w:rPr>
                <w:rFonts w:hint="eastAsia" w:ascii="宋体" w:hAnsi="宋体" w:cs="宋体"/>
                <w:color w:val="auto"/>
                <w:sz w:val="22"/>
                <w:szCs w:val="22"/>
                <w:highlight w:val="none"/>
                <w:lang w:val="en-US" w:eastAsia="zh-CN"/>
              </w:rPr>
              <w:t>理局出具的信用等级评价A级</w:t>
            </w:r>
            <w:r>
              <w:rPr>
                <w:rFonts w:hint="eastAsia" w:ascii="Arial" w:hAnsi="Arial" w:cs="Arial"/>
                <w:i w:val="0"/>
                <w:iCs w:val="0"/>
                <w:caps w:val="0"/>
                <w:color w:val="auto"/>
                <w:spacing w:val="0"/>
                <w:sz w:val="22"/>
                <w:szCs w:val="22"/>
                <w:highlight w:val="none"/>
                <w:shd w:val="clear" w:fill="FFFFFF"/>
                <w:lang w:val="en-US" w:eastAsia="zh-CN"/>
              </w:rPr>
              <w:t>（如有，则提供相关证明材料扫描件加盖公章）</w:t>
            </w:r>
          </w:p>
        </w:tc>
      </w:tr>
      <w:tr w14:paraId="1E7E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73" w:type="dxa"/>
            <w:shd w:val="clear" w:color="auto" w:fill="auto"/>
            <w:vAlign w:val="center"/>
          </w:tcPr>
          <w:p w14:paraId="640D81C5">
            <w:pPr>
              <w:autoSpaceDE w:val="0"/>
              <w:autoSpaceDN w:val="0"/>
              <w:adjustRightInd w:val="0"/>
              <w:snapToGrid w:val="0"/>
              <w:spacing w:line="430" w:lineRule="atLeast"/>
              <w:jc w:val="center"/>
              <w:rPr>
                <w:rFonts w:hint="default" w:ascii="宋体" w:hAnsi="宋体" w:eastAsia="宋体" w:cs="宋体"/>
                <w:color w:val="auto"/>
                <w:kern w:val="2"/>
                <w:sz w:val="22"/>
                <w:szCs w:val="24"/>
                <w:highlight w:val="none"/>
                <w:lang w:val="en-US" w:eastAsia="zh-CN" w:bidi="ar-SA"/>
              </w:rPr>
            </w:pPr>
            <w:r>
              <w:rPr>
                <w:rFonts w:hint="eastAsia" w:ascii="宋体" w:hAnsi="宋体" w:cs="宋体"/>
                <w:color w:val="auto"/>
                <w:kern w:val="2"/>
                <w:sz w:val="22"/>
                <w:szCs w:val="24"/>
                <w:highlight w:val="none"/>
                <w:lang w:val="en-US" w:eastAsia="zh-CN" w:bidi="ar-SA"/>
              </w:rPr>
              <w:t>10</w:t>
            </w:r>
          </w:p>
        </w:tc>
        <w:tc>
          <w:tcPr>
            <w:tcW w:w="8747" w:type="dxa"/>
            <w:vAlign w:val="center"/>
          </w:tcPr>
          <w:p w14:paraId="7034EAD6">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供应商对项目现状的了解分析，完成项目的难点分析</w:t>
            </w:r>
          </w:p>
        </w:tc>
      </w:tr>
      <w:tr w14:paraId="79C9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77B62EBC">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eastAsia="宋体" w:cs="宋体"/>
                <w:color w:val="auto"/>
                <w:sz w:val="22"/>
                <w:highlight w:val="none"/>
                <w:lang w:val="zh-CN"/>
              </w:rPr>
              <w:t>1</w:t>
            </w:r>
            <w:r>
              <w:rPr>
                <w:rFonts w:hint="eastAsia" w:ascii="宋体" w:hAnsi="宋体" w:eastAsia="宋体" w:cs="宋体"/>
                <w:color w:val="auto"/>
                <w:sz w:val="22"/>
                <w:highlight w:val="none"/>
              </w:rPr>
              <w:t>1</w:t>
            </w:r>
          </w:p>
        </w:tc>
        <w:tc>
          <w:tcPr>
            <w:tcW w:w="8747" w:type="dxa"/>
            <w:vAlign w:val="center"/>
          </w:tcPr>
          <w:p w14:paraId="17D98396">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投入项目的主要设备表（附件十）</w:t>
            </w:r>
          </w:p>
        </w:tc>
      </w:tr>
      <w:tr w14:paraId="1078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6FF63448">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eastAsia="宋体" w:cs="宋体"/>
                <w:color w:val="auto"/>
                <w:sz w:val="22"/>
                <w:highlight w:val="none"/>
                <w:lang w:val="zh-CN"/>
              </w:rPr>
              <w:t>1</w:t>
            </w:r>
            <w:r>
              <w:rPr>
                <w:rFonts w:hint="eastAsia" w:ascii="宋体" w:hAnsi="宋体" w:eastAsia="宋体" w:cs="宋体"/>
                <w:color w:val="auto"/>
                <w:sz w:val="22"/>
                <w:highlight w:val="none"/>
              </w:rPr>
              <w:t>2</w:t>
            </w:r>
          </w:p>
        </w:tc>
        <w:tc>
          <w:tcPr>
            <w:tcW w:w="8747" w:type="dxa"/>
            <w:vAlign w:val="center"/>
          </w:tcPr>
          <w:p w14:paraId="7965D53C">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highlight w:val="none"/>
              </w:rPr>
              <w:t>设备维保组织实施计划（包含维修保养和操作规程、定期巡检及巡检报告、故障处理分析及预防等）</w:t>
            </w:r>
          </w:p>
        </w:tc>
      </w:tr>
      <w:tr w14:paraId="4A2E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42550994">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eastAsia="宋体" w:cs="宋体"/>
                <w:color w:val="auto"/>
                <w:sz w:val="22"/>
                <w:highlight w:val="none"/>
                <w:lang w:val="zh-CN"/>
              </w:rPr>
              <w:t>1</w:t>
            </w:r>
            <w:r>
              <w:rPr>
                <w:rFonts w:hint="eastAsia" w:ascii="宋体" w:hAnsi="宋体" w:eastAsia="宋体" w:cs="宋体"/>
                <w:color w:val="auto"/>
                <w:sz w:val="22"/>
                <w:highlight w:val="none"/>
              </w:rPr>
              <w:t>3</w:t>
            </w:r>
          </w:p>
        </w:tc>
        <w:tc>
          <w:tcPr>
            <w:tcW w:w="8747" w:type="dxa"/>
            <w:vAlign w:val="center"/>
          </w:tcPr>
          <w:p w14:paraId="406279F7">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Cs/>
                <w:color w:val="auto"/>
                <w:sz w:val="22"/>
                <w:szCs w:val="22"/>
                <w:highlight w:val="none"/>
              </w:rPr>
            </w:pPr>
            <w:r>
              <w:rPr>
                <w:rFonts w:hint="eastAsia" w:ascii="宋体" w:hAnsi="宋体"/>
                <w:color w:val="auto"/>
                <w:sz w:val="22"/>
                <w:szCs w:val="22"/>
                <w:highlight w:val="none"/>
              </w:rPr>
              <w:t>根据供应商具有本项目维保</w:t>
            </w:r>
            <w:r>
              <w:rPr>
                <w:rFonts w:hint="eastAsia" w:ascii="宋体" w:hAnsi="宋体"/>
                <w:color w:val="auto"/>
                <w:sz w:val="22"/>
                <w:szCs w:val="22"/>
                <w:highlight w:val="none"/>
                <w:lang w:val="en-US" w:eastAsia="zh-CN"/>
              </w:rPr>
              <w:t>电梯制造商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杭州西子奥的斯电梯有限公司、通力电梯有限公司、奥的斯电梯（中国）有限公司</w:t>
            </w:r>
            <w:r>
              <w:rPr>
                <w:rFonts w:hint="eastAsia" w:ascii="宋体" w:hAnsi="宋体"/>
                <w:color w:val="auto"/>
                <w:sz w:val="22"/>
                <w:szCs w:val="22"/>
                <w:highlight w:val="none"/>
              </w:rPr>
              <w:t>）特约维修认定证书或授权的情况（</w:t>
            </w:r>
            <w:r>
              <w:rPr>
                <w:rFonts w:hint="eastAsia" w:ascii="宋体" w:hAnsi="宋体"/>
                <w:color w:val="auto"/>
                <w:sz w:val="22"/>
                <w:szCs w:val="22"/>
                <w:highlight w:val="none"/>
                <w:lang w:val="en-US" w:eastAsia="zh-CN"/>
              </w:rPr>
              <w:t>如有，则</w:t>
            </w:r>
            <w:r>
              <w:rPr>
                <w:rFonts w:hint="eastAsia" w:ascii="宋体" w:hAnsi="宋体"/>
                <w:color w:val="auto"/>
                <w:sz w:val="22"/>
                <w:szCs w:val="22"/>
                <w:highlight w:val="none"/>
              </w:rPr>
              <w:t>提供证明材料</w:t>
            </w:r>
            <w:r>
              <w:rPr>
                <w:rFonts w:hint="eastAsia" w:ascii="宋体" w:hAnsi="宋体"/>
                <w:color w:val="auto"/>
                <w:sz w:val="22"/>
                <w:szCs w:val="22"/>
                <w:highlight w:val="none"/>
                <w:lang w:val="en-US" w:eastAsia="zh-CN"/>
              </w:rPr>
              <w:t>扫描件</w:t>
            </w:r>
            <w:r>
              <w:rPr>
                <w:rFonts w:hint="eastAsia" w:ascii="宋体" w:hAnsi="宋体"/>
                <w:color w:val="auto"/>
                <w:sz w:val="22"/>
                <w:szCs w:val="22"/>
                <w:highlight w:val="none"/>
              </w:rPr>
              <w:t>加盖公章）</w:t>
            </w:r>
          </w:p>
        </w:tc>
      </w:tr>
      <w:tr w14:paraId="61E7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47B65E83">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eastAsia="宋体" w:cs="宋体"/>
                <w:color w:val="auto"/>
                <w:sz w:val="22"/>
                <w:highlight w:val="none"/>
                <w:lang w:val="zh-CN"/>
              </w:rPr>
              <w:t>1</w:t>
            </w:r>
            <w:r>
              <w:rPr>
                <w:rFonts w:hint="eastAsia" w:ascii="宋体" w:hAnsi="宋体" w:eastAsia="宋体" w:cs="宋体"/>
                <w:color w:val="auto"/>
                <w:sz w:val="22"/>
                <w:highlight w:val="none"/>
              </w:rPr>
              <w:t>4</w:t>
            </w:r>
          </w:p>
        </w:tc>
        <w:tc>
          <w:tcPr>
            <w:tcW w:w="8747" w:type="dxa"/>
            <w:vAlign w:val="center"/>
          </w:tcPr>
          <w:p w14:paraId="46748BF6">
            <w:pPr>
              <w:autoSpaceDE w:val="0"/>
              <w:autoSpaceDN w:val="0"/>
              <w:adjustRightInd w:val="0"/>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highlight w:val="none"/>
              </w:rPr>
              <w:t>供应商针对防汛抗台、重大检查、突发事件等分别制定保障方案，并有各项应急保障承诺</w:t>
            </w:r>
          </w:p>
        </w:tc>
      </w:tr>
      <w:tr w14:paraId="1548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5802A5CD">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eastAsia="宋体" w:cs="宋体"/>
                <w:color w:val="auto"/>
                <w:sz w:val="22"/>
                <w:highlight w:val="none"/>
                <w:lang w:val="zh-CN"/>
              </w:rPr>
              <w:t>1</w:t>
            </w:r>
            <w:r>
              <w:rPr>
                <w:rFonts w:hint="eastAsia" w:ascii="宋体" w:hAnsi="宋体" w:eastAsia="宋体" w:cs="宋体"/>
                <w:color w:val="auto"/>
                <w:sz w:val="22"/>
                <w:highlight w:val="none"/>
              </w:rPr>
              <w:t>5</w:t>
            </w:r>
          </w:p>
        </w:tc>
        <w:tc>
          <w:tcPr>
            <w:tcW w:w="8747" w:type="dxa"/>
            <w:vAlign w:val="center"/>
          </w:tcPr>
          <w:p w14:paraId="2C0CC7DA">
            <w:pPr>
              <w:autoSpaceDE w:val="0"/>
              <w:autoSpaceDN w:val="0"/>
              <w:adjustRightInd w:val="0"/>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highlight w:val="none"/>
              </w:rPr>
              <w:t>供应商针对本项目的服务响应时间、设备故障解决时间及保障措施</w:t>
            </w:r>
          </w:p>
        </w:tc>
      </w:tr>
      <w:tr w14:paraId="7267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0DEE237F">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eastAsia="宋体" w:cs="宋体"/>
                <w:color w:val="auto"/>
                <w:sz w:val="22"/>
                <w:highlight w:val="none"/>
                <w:lang w:val="zh-CN"/>
              </w:rPr>
              <w:t>1</w:t>
            </w:r>
            <w:r>
              <w:rPr>
                <w:rFonts w:hint="eastAsia" w:ascii="宋体" w:hAnsi="宋体" w:eastAsia="宋体" w:cs="宋体"/>
                <w:color w:val="auto"/>
                <w:sz w:val="22"/>
                <w:highlight w:val="none"/>
              </w:rPr>
              <w:t>6</w:t>
            </w:r>
          </w:p>
        </w:tc>
        <w:tc>
          <w:tcPr>
            <w:tcW w:w="8747" w:type="dxa"/>
            <w:vAlign w:val="center"/>
          </w:tcPr>
          <w:p w14:paraId="22A94FCF">
            <w:pPr>
              <w:autoSpaceDE w:val="0"/>
              <w:autoSpaceDN w:val="0"/>
              <w:adjustRightInd w:val="0"/>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highlight w:val="none"/>
              </w:rPr>
              <w:t>安全管理保障措施</w:t>
            </w:r>
          </w:p>
        </w:tc>
      </w:tr>
      <w:tr w14:paraId="3AE8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57625AA7">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highlight w:val="none"/>
              </w:rPr>
              <w:t>17</w:t>
            </w:r>
          </w:p>
        </w:tc>
        <w:tc>
          <w:tcPr>
            <w:tcW w:w="8747" w:type="dxa"/>
            <w:vAlign w:val="center"/>
          </w:tcPr>
          <w:p w14:paraId="61C1C237">
            <w:pPr>
              <w:autoSpaceDE w:val="0"/>
              <w:autoSpaceDN w:val="0"/>
              <w:adjustRightInd w:val="0"/>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highlight w:val="none"/>
              </w:rPr>
              <w:t>备品备件报价表（附件十一）</w:t>
            </w:r>
          </w:p>
        </w:tc>
      </w:tr>
      <w:tr w14:paraId="113D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3ED1A50A">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highlight w:val="none"/>
              </w:rPr>
              <w:t>18</w:t>
            </w:r>
          </w:p>
        </w:tc>
        <w:tc>
          <w:tcPr>
            <w:tcW w:w="8747" w:type="dxa"/>
            <w:vAlign w:val="center"/>
          </w:tcPr>
          <w:p w14:paraId="368E80A5">
            <w:pPr>
              <w:autoSpaceDE w:val="0"/>
              <w:autoSpaceDN w:val="0"/>
              <w:adjustRightInd w:val="0"/>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highlight w:val="none"/>
              </w:rPr>
              <w:t>供应商针对本项目备品备件提供方案、储备情况</w:t>
            </w:r>
          </w:p>
        </w:tc>
      </w:tr>
      <w:tr w14:paraId="3CFD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10280EE3">
            <w:pPr>
              <w:autoSpaceDE w:val="0"/>
              <w:autoSpaceDN w:val="0"/>
              <w:adjustRightInd w:val="0"/>
              <w:snapToGrid w:val="0"/>
              <w:spacing w:line="430" w:lineRule="atLeast"/>
              <w:jc w:val="center"/>
              <w:rPr>
                <w:rFonts w:hint="default" w:ascii="宋体" w:hAnsi="宋体" w:eastAsia="宋体" w:cs="宋体"/>
                <w:color w:val="auto"/>
                <w:kern w:val="2"/>
                <w:sz w:val="22"/>
                <w:szCs w:val="24"/>
                <w:highlight w:val="none"/>
                <w:lang w:val="en-US" w:eastAsia="zh-CN" w:bidi="ar-SA"/>
              </w:rPr>
            </w:pPr>
            <w:r>
              <w:rPr>
                <w:rFonts w:hint="eastAsia" w:ascii="宋体" w:hAnsi="宋体" w:eastAsia="宋体" w:cs="宋体"/>
                <w:color w:val="auto"/>
                <w:sz w:val="22"/>
                <w:highlight w:val="none"/>
              </w:rPr>
              <w:t>19</w:t>
            </w:r>
          </w:p>
        </w:tc>
        <w:tc>
          <w:tcPr>
            <w:tcW w:w="8747" w:type="dxa"/>
            <w:vAlign w:val="center"/>
          </w:tcPr>
          <w:p w14:paraId="44022C11">
            <w:pPr>
              <w:autoSpaceDE w:val="0"/>
              <w:autoSpaceDN w:val="0"/>
              <w:adjustRightInd w:val="0"/>
              <w:snapToGrid w:val="0"/>
              <w:spacing w:line="360" w:lineRule="exact"/>
              <w:rPr>
                <w:rFonts w:hint="eastAsia" w:ascii="宋体" w:hAnsi="宋体" w:eastAsia="宋体" w:cs="宋体"/>
                <w:color w:val="auto"/>
                <w:spacing w:val="-4"/>
                <w:sz w:val="22"/>
                <w:highlight w:val="none"/>
              </w:rPr>
            </w:pPr>
            <w:r>
              <w:rPr>
                <w:rFonts w:hint="eastAsia" w:ascii="宋体" w:hAnsi="宋体" w:eastAsia="宋体" w:cs="宋体"/>
                <w:color w:val="auto"/>
                <w:spacing w:val="-4"/>
                <w:sz w:val="22"/>
                <w:highlight w:val="none"/>
              </w:rPr>
              <w:t>根据竞争性磋商文件中的采购内容与技术要求、评分细则，需要提供的其它文件和资料</w:t>
            </w:r>
          </w:p>
        </w:tc>
      </w:tr>
    </w:tbl>
    <w:p w14:paraId="081ABE60">
      <w:pPr>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3、采购内容填写说明</w:t>
      </w:r>
    </w:p>
    <w:p w14:paraId="5357F5E2">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3.1、响应文件格式</w:t>
      </w:r>
    </w:p>
    <w:p w14:paraId="74052454">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供应商应按照本文件第三部分第三条第2款所列出的内容及格式</w:t>
      </w:r>
      <w:r>
        <w:rPr>
          <w:rFonts w:hint="eastAsia" w:ascii="宋体" w:hAnsi="宋体" w:eastAsia="宋体" w:cs="宋体"/>
          <w:bCs/>
          <w:color w:val="auto"/>
          <w:sz w:val="22"/>
          <w:szCs w:val="22"/>
          <w:highlight w:val="none"/>
        </w:rPr>
        <w:t>逐一按顺序</w:t>
      </w:r>
      <w:r>
        <w:rPr>
          <w:rFonts w:hint="eastAsia" w:ascii="宋体" w:hAnsi="宋体" w:eastAsia="宋体" w:cs="宋体"/>
          <w:color w:val="auto"/>
          <w:sz w:val="22"/>
          <w:szCs w:val="22"/>
          <w:highlight w:val="none"/>
        </w:rPr>
        <w:t>组成响应文件。</w:t>
      </w:r>
    </w:p>
    <w:p w14:paraId="4186FA5C">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bookmarkStart w:id="188" w:name="_Toc132122115"/>
      <w:bookmarkStart w:id="189" w:name="_Toc132122412"/>
      <w:r>
        <w:rPr>
          <w:rFonts w:hint="eastAsia" w:ascii="宋体" w:hAnsi="宋体" w:eastAsia="宋体" w:cs="宋体"/>
          <w:color w:val="auto"/>
          <w:sz w:val="22"/>
          <w:szCs w:val="22"/>
          <w:highlight w:val="none"/>
        </w:rPr>
        <w:t>4、报价</w:t>
      </w:r>
      <w:bookmarkEnd w:id="188"/>
      <w:bookmarkEnd w:id="189"/>
    </w:p>
    <w:p w14:paraId="7BDAE6C9">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4.1、供应商应按竞争性磋商文件中《开标一览表》填写投标报价。</w:t>
      </w:r>
    </w:p>
    <w:p w14:paraId="2762DF08">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根据本次竞争性磋商采购工作要求，最终只允许有一个最后磋商报价，供应商应在各自技术和商务占优势的基础上并充分考虑本项目的重要性，在磋商结束后提供给采购代理机构及采购人最优惠价格的最后磋商报价。</w:t>
      </w:r>
    </w:p>
    <w:p w14:paraId="57F66F56">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4.3、供应商投标报价中应充分考虑所有可能发生的费用，否则采购人将视其总价中已包括所有费用。</w:t>
      </w:r>
    </w:p>
    <w:p w14:paraId="5C9DDF06">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供应商对在合同执行中，除上述费用及竞争性磋商文件规定的由成交供应商负责的工作范围以外需要采购人协调或提供便利的工作应当在响应文件中说明。</w:t>
      </w:r>
    </w:p>
    <w:p w14:paraId="1AB1568F">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填写报价表格时，各项费用应如实填写。</w:t>
      </w:r>
    </w:p>
    <w:p w14:paraId="22450DC5">
      <w:pPr>
        <w:autoSpaceDE w:val="0"/>
        <w:autoSpaceDN w:val="0"/>
        <w:adjustRightInd w:val="0"/>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5、采购人要求分类报价是为了方便评审，但在任何情况下不限制采购人以其认为最合适的条款签订合同的权利。</w:t>
      </w:r>
    </w:p>
    <w:p w14:paraId="3BFE714A">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bookmarkStart w:id="190" w:name="_Toc132122413"/>
      <w:bookmarkStart w:id="191" w:name="_Toc132122116"/>
      <w:r>
        <w:rPr>
          <w:rFonts w:hint="eastAsia" w:ascii="宋体" w:hAnsi="宋体" w:eastAsia="宋体" w:cs="宋体"/>
          <w:color w:val="auto"/>
          <w:sz w:val="22"/>
          <w:szCs w:val="22"/>
          <w:highlight w:val="none"/>
        </w:rPr>
        <w:t>6、磋商保证金</w:t>
      </w:r>
      <w:bookmarkEnd w:id="190"/>
      <w:bookmarkEnd w:id="191"/>
      <w:r>
        <w:rPr>
          <w:rFonts w:hint="eastAsia" w:ascii="宋体" w:hAnsi="宋体" w:eastAsia="宋体" w:cs="宋体"/>
          <w:color w:val="auto"/>
          <w:sz w:val="22"/>
          <w:szCs w:val="22"/>
          <w:highlight w:val="none"/>
        </w:rPr>
        <w:t>：无。</w:t>
      </w:r>
    </w:p>
    <w:p w14:paraId="58358CB4">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bookmarkStart w:id="192" w:name="_Toc132122117"/>
      <w:bookmarkStart w:id="193" w:name="_Toc132122414"/>
      <w:r>
        <w:rPr>
          <w:rFonts w:hint="eastAsia" w:ascii="宋体" w:hAnsi="宋体" w:eastAsia="宋体" w:cs="宋体"/>
          <w:color w:val="auto"/>
          <w:sz w:val="22"/>
          <w:szCs w:val="22"/>
          <w:highlight w:val="none"/>
        </w:rPr>
        <w:t>7、响应文件的有效期</w:t>
      </w:r>
      <w:bookmarkEnd w:id="192"/>
      <w:bookmarkEnd w:id="193"/>
    </w:p>
    <w:p w14:paraId="40A1CC16">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7.1、自响应文件递交截止时间起90天内，响应文件应保持有效。有效期短于这个规定期限的响应文件将被拒绝。</w:t>
      </w:r>
    </w:p>
    <w:p w14:paraId="1214FAF0">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7.2、在特殊情况下，采购人可与供应商协商延长响应文件的有效期，这种要求和答复均应以书面形式进行。</w:t>
      </w:r>
    </w:p>
    <w:p w14:paraId="57AE9CEA">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7.3、供应商可拒绝接受延期要求，同意延长有效期的供应商不能修改响应文件。</w:t>
      </w:r>
    </w:p>
    <w:p w14:paraId="5A3BA4D6">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bookmarkStart w:id="194" w:name="_Toc132122118"/>
      <w:bookmarkStart w:id="195" w:name="_Toc132122415"/>
      <w:r>
        <w:rPr>
          <w:rFonts w:hint="eastAsia" w:ascii="宋体" w:hAnsi="宋体" w:eastAsia="宋体" w:cs="宋体"/>
          <w:color w:val="auto"/>
          <w:sz w:val="22"/>
          <w:szCs w:val="22"/>
          <w:highlight w:val="none"/>
        </w:rPr>
        <w:t>8、响应文件的</w:t>
      </w:r>
      <w:bookmarkEnd w:id="194"/>
      <w:bookmarkEnd w:id="195"/>
      <w:r>
        <w:rPr>
          <w:rFonts w:hint="eastAsia" w:ascii="宋体" w:hAnsi="宋体" w:eastAsia="宋体" w:cs="宋体"/>
          <w:color w:val="auto"/>
          <w:sz w:val="22"/>
          <w:szCs w:val="22"/>
          <w:highlight w:val="none"/>
        </w:rPr>
        <w:t>编制</w:t>
      </w:r>
    </w:p>
    <w:p w14:paraId="6A42F914">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8.1、本项目通过“政府采购云平台（www.zcygov.cn）”实行在线投标响应（电子投标）。供应商应通过“政采云电子交易客户端”，并按照本竞争性磋商文件和“政府采购云平台”的要求编制并加密响应文件。</w:t>
      </w:r>
    </w:p>
    <w:p w14:paraId="5423E373">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8.2、磋商供应商应当按照本章节“响应文件组成”规定的内容及顺序在“政采云电子交易客户端”编制响应文件。</w:t>
      </w:r>
    </w:p>
    <w:p w14:paraId="57D10F87">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8.3、本文件《第六部分 响应文件格式》中有提供格式的，磋商供应商参照格式进行编制（格式中要求提供相关证明材料的还需后附相关证明材料），并在指定位置根据要求进行签章，否则视为未提供；本文件《第六部分 响应文件格式》未提供格式的，请各投标单位自行拟定格式。</w:t>
      </w:r>
    </w:p>
    <w:p w14:paraId="2786D78B">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8.4、《响应文件》内容不完整、编排混乱导致《响应文件》被误读、漏读或者查找不到相关内容的，相关责任由磋商供应商自负。</w:t>
      </w:r>
    </w:p>
    <w:p w14:paraId="48927534">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8.5、《响应文件》因字迹潦草或表达不清所引起的后果由磋商供应商负责。</w:t>
      </w:r>
    </w:p>
    <w:p w14:paraId="481FDD9F">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8.6、磋商供应商没有按照本章节“响应文件组成”要求提供全部资料，或者没有仔细阅读竞争性磋商文件，或者没有对竞争性磋商文件在各方面的要求作出实质性响应，由此造成的一切后果由磋商供应商自行承担。</w:t>
      </w:r>
    </w:p>
    <w:p w14:paraId="33D1F9C1">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9、响应文件的签章</w:t>
      </w:r>
    </w:p>
    <w:p w14:paraId="23C0CAAC">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9.1、《响应文件》的签章：见《第一部分    磋商邀请函（供应商须知前附表）》；</w:t>
      </w:r>
    </w:p>
    <w:p w14:paraId="5083CBF5">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9.2、《响应文件》：根据竞争性磋商文件要求在响应文件相应位置由磋商供应商法定代表人或授权代表签字（或盖章），需要加盖磋商供应商公章的采用CA电子签章。</w:t>
      </w:r>
    </w:p>
    <w:p w14:paraId="2ADD8FC4">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9.3、CA电子签章操作流程自行登陆政采云平台-服务中心-帮助文档-项目采购-操作流程-电子招投标查看《政府采购项目电子交易管理操作指南-供应商》。</w:t>
      </w:r>
    </w:p>
    <w:p w14:paraId="0BDF4924">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10、响应文件的形式</w:t>
      </w:r>
    </w:p>
    <w:p w14:paraId="20E7A967">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10.1、响应文件的形式：见《第一部分    磋商邀请函（供应商须知前附表）》；</w:t>
      </w:r>
    </w:p>
    <w:p w14:paraId="6A6C0368">
      <w:pPr>
        <w:autoSpaceDE w:val="0"/>
        <w:autoSpaceDN w:val="0"/>
        <w:adjustRightInd w:val="0"/>
        <w:snapToGrid w:val="0"/>
        <w:spacing w:line="460" w:lineRule="exac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10.2、“电子加密响应文件”：“电子加密响应文件”是指通过“政采云电子交易客户端”完成响应文件编制后生成并加密的数据电文形式的响应文件。</w:t>
      </w:r>
    </w:p>
    <w:p w14:paraId="3FA48E88">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“备份响应文件”是指与电子加密响应文件同时生成的数据电文形式的电子文件（备份标书），其他方式编制的备份响应文件视为无效备份响应文件。</w:t>
      </w:r>
    </w:p>
    <w:p w14:paraId="374B0DC2">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10.3响应文件的份数</w:t>
      </w:r>
    </w:p>
    <w:p w14:paraId="6FED352A">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响应文件的份数：见《第一部分    磋商邀请函（供应商须知前附表）》。</w:t>
      </w:r>
    </w:p>
    <w:p w14:paraId="666112DB">
      <w:pPr>
        <w:snapToGrid w:val="0"/>
        <w:spacing w:line="460" w:lineRule="exact"/>
        <w:ind w:firstLine="440" w:firstLineChars="200"/>
        <w:rPr>
          <w:rFonts w:hint="eastAsia" w:ascii="宋体" w:hAnsi="宋体" w:eastAsia="宋体" w:cs="宋体"/>
          <w:color w:val="auto"/>
          <w:sz w:val="22"/>
          <w:szCs w:val="22"/>
          <w:highlight w:val="none"/>
        </w:rPr>
      </w:pPr>
      <w:bookmarkStart w:id="196" w:name="_Toc132122119"/>
      <w:bookmarkStart w:id="197" w:name="_Toc132655776"/>
      <w:bookmarkStart w:id="198" w:name="_Toc132123838"/>
      <w:bookmarkStart w:id="199" w:name="_Toc132125983"/>
      <w:bookmarkStart w:id="200" w:name="_Toc132124594"/>
      <w:bookmarkStart w:id="201" w:name="_Toc132125574"/>
      <w:bookmarkStart w:id="202" w:name="_Toc132125151"/>
      <w:bookmarkStart w:id="203" w:name="_Toc132123634"/>
      <w:bookmarkStart w:id="204" w:name="_Toc132123439"/>
      <w:bookmarkStart w:id="205" w:name="_Toc132122416"/>
      <w:bookmarkStart w:id="206" w:name="_Toc132123881"/>
      <w:bookmarkStart w:id="207" w:name="_Toc132125037"/>
      <w:bookmarkStart w:id="208" w:name="_Toc132125095"/>
      <w:bookmarkStart w:id="209" w:name="_Toc132123547"/>
      <w:bookmarkStart w:id="210" w:name="_Toc132126154"/>
      <w:r>
        <w:rPr>
          <w:rFonts w:hint="eastAsia" w:ascii="宋体" w:hAnsi="宋体" w:eastAsia="宋体" w:cs="宋体"/>
          <w:color w:val="auto"/>
          <w:sz w:val="22"/>
          <w:szCs w:val="22"/>
          <w:highlight w:val="none"/>
        </w:rPr>
        <w:t>四、响应文件递交</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881663C">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1、响应文件的上传和递交</w:t>
      </w:r>
    </w:p>
    <w:p w14:paraId="74D86545">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“响应文件”的上传、递交：见《第一部分磋商邀请函（供应商须知前附表）》。</w:t>
      </w:r>
    </w:p>
    <w:p w14:paraId="5210C74C">
      <w:pPr>
        <w:autoSpaceDE w:val="0"/>
        <w:autoSpaceDN w:val="0"/>
        <w:adjustRightInd w:val="0"/>
        <w:snapToGrid w:val="0"/>
        <w:spacing w:line="460" w:lineRule="exac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2、“电子加密响应文件”解密和异常情况处理</w:t>
      </w:r>
    </w:p>
    <w:p w14:paraId="00693CCA">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“电子加密响应文件”解密和异常情况处理：见《第一部分磋商邀请函（供应商须知前附表）》。</w:t>
      </w:r>
    </w:p>
    <w:p w14:paraId="1B1C1BDB">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3、响应文件的补充、修改或撤回</w:t>
      </w:r>
      <w:r>
        <w:rPr>
          <w:rFonts w:hint="eastAsia" w:ascii="宋体" w:hAnsi="宋体" w:eastAsia="宋体" w:cs="宋体"/>
          <w:color w:val="auto"/>
          <w:sz w:val="22"/>
          <w:szCs w:val="22"/>
          <w:highlight w:val="none"/>
        </w:rPr>
        <w:tab/>
      </w:r>
    </w:p>
    <w:p w14:paraId="1471A086">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府采购云平台”将予以拒收。</w:t>
      </w:r>
    </w:p>
    <w:p w14:paraId="3A69E930">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3.2、响应文件递交截止时间后，磋商供应商不得撤回、修改《响应文件》。</w:t>
      </w:r>
    </w:p>
    <w:p w14:paraId="444955C5">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4、响应文件的备选方案</w:t>
      </w:r>
    </w:p>
    <w:p w14:paraId="09DBA506">
      <w:pPr>
        <w:autoSpaceDE w:val="0"/>
        <w:autoSpaceDN w:val="0"/>
        <w:adjustRightInd w:val="0"/>
        <w:snapToGrid w:val="0"/>
        <w:spacing w:line="460" w:lineRule="exact"/>
        <w:ind w:firstLine="442"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磋商供应商不得递交任何的投标备选（替代）方案，否则其响应文件将作无效标处理。</w:t>
      </w:r>
    </w:p>
    <w:p w14:paraId="16F53097">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五、开标和评审</w:t>
      </w:r>
    </w:p>
    <w:p w14:paraId="3C550C8E">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w:t>
      </w:r>
    </w:p>
    <w:p w14:paraId="2815CF58">
      <w:pPr>
        <w:autoSpaceDE w:val="0"/>
        <w:autoSpaceDN w:val="0"/>
        <w:adjustRightInd w:val="0"/>
        <w:snapToGrid w:val="0"/>
        <w:spacing w:line="460" w:lineRule="exact"/>
        <w:ind w:firstLine="442"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采购代理机构按竞争性磋商文件规定的时间、地点通过“政府采购云平台”组织开标、开启响应文件，所有供应商均应当准时在线参加。磋商供应商因未在线参加开标而导致响应文件无法按时解密等一切后果由供应商自己承担。</w:t>
      </w:r>
    </w:p>
    <w:p w14:paraId="20D1EE92">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1.2、开标流程</w:t>
      </w:r>
    </w:p>
    <w:p w14:paraId="1E1D5AE6">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（1）向各磋商供应商发出电子加密响应文件【开始解密】通知，由供应商按竞争性磋商文件规定的时间内自行进行响应文件解密。</w:t>
      </w:r>
      <w:r>
        <w:rPr>
          <w:rFonts w:hint="eastAsia" w:ascii="宋体" w:hAnsi="宋体" w:eastAsia="宋体" w:cs="宋体"/>
          <w:b/>
          <w:color w:val="auto"/>
          <w:sz w:val="22"/>
          <w:szCs w:val="22"/>
          <w:highlight w:val="none"/>
        </w:rPr>
        <w:t>通过“政府采购云平台”上传递交的“电子加密响应文件”无法按时解密，供应商递交了备份响应文件的，以备份响应文件为依据，否则视为响应文件撤回。</w:t>
      </w:r>
    </w:p>
    <w:p w14:paraId="47EE9D49">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响应文件解密结束，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9685BB">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磋商小组所有成员应当集中与单一供应商分别进行磋商。在磋商过程中，磋商小组可以根据竞争性磋商文件和磋商情况实质性变动采购需求中的技术、服务要求以及合同草案条款，但不得变动竞争性磋商文件中的其他内容。如有实质性变动的内容，须经采购人代表确认。对竞争性磋商文件作出的实质性变动是竞争性磋商文件的有效组成部分，磋商小组通知所有参加磋商的供应商。供应商应当按照竞争性磋商文件的变动情况和磋商小组的要求重新提交响应文件，并由其法定代表人或授权代表签字（或盖章）并加盖公章。</w:t>
      </w:r>
      <w:r>
        <w:rPr>
          <w:rFonts w:hint="eastAsia" w:ascii="宋体" w:hAnsi="宋体" w:eastAsia="宋体" w:cs="宋体"/>
          <w:b/>
          <w:color w:val="auto"/>
          <w:sz w:val="22"/>
          <w:szCs w:val="22"/>
          <w:highlight w:val="none"/>
        </w:rPr>
        <w:t>如竞争性磋商文件所列采购内容明确不需要修改的或供应商响应文件清楚明确不需要澄清的，可以不进行磋商，直接要求供应商进行最后报价</w:t>
      </w:r>
      <w:r>
        <w:rPr>
          <w:rFonts w:hint="eastAsia" w:ascii="宋体" w:hAnsi="宋体" w:eastAsia="宋体" w:cs="宋体"/>
          <w:color w:val="auto"/>
          <w:sz w:val="22"/>
          <w:szCs w:val="22"/>
          <w:highlight w:val="none"/>
        </w:rPr>
        <w:t>。</w:t>
      </w:r>
    </w:p>
    <w:p w14:paraId="30C562E4">
      <w:pPr>
        <w:pStyle w:val="25"/>
        <w:adjustRightInd w:val="0"/>
        <w:snapToGrid w:val="0"/>
        <w:spacing w:line="460" w:lineRule="exact"/>
        <w:ind w:firstLine="431" w:firstLineChars="196"/>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（4）</w:t>
      </w:r>
      <w:r>
        <w:rPr>
          <w:rFonts w:hint="eastAsia" w:ascii="宋体" w:hAnsi="宋体" w:eastAsia="宋体" w:cs="宋体"/>
          <w:b/>
          <w:color w:val="auto"/>
          <w:sz w:val="22"/>
          <w:szCs w:val="22"/>
          <w:highlight w:val="none"/>
          <w:u w:val="single"/>
        </w:rPr>
        <w:t>磋商结束后，磋商小组应当要求所有实质性响应的磋商供应商在规定时间内提交最后报价。供应商未在规定时间内提交最后报价的按无效响应处理。</w:t>
      </w:r>
    </w:p>
    <w:p w14:paraId="4EC101E4">
      <w:pPr>
        <w:pStyle w:val="25"/>
        <w:adjustRightInd w:val="0"/>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（5）开启所有实质性响应的磋商供应商的最后报价。</w:t>
      </w:r>
    </w:p>
    <w:p w14:paraId="6CDDA882">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（6）评审结束后，公布采购结果。</w:t>
      </w:r>
    </w:p>
    <w:p w14:paraId="5FA4D185">
      <w:pPr>
        <w:pStyle w:val="25"/>
        <w:adjustRightInd w:val="0"/>
        <w:snapToGrid w:val="0"/>
        <w:spacing w:line="460" w:lineRule="exact"/>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特别说明：如遇“政府采购云平台”电子化开标或评审程序调整的，按调整后程序执行。</w:t>
      </w:r>
    </w:p>
    <w:p w14:paraId="2E7BD967">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2、评审</w:t>
      </w:r>
    </w:p>
    <w:p w14:paraId="683AC210">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2.1、评审由采购人依法组建的磋商小组负责，并独立履行下列职责：</w:t>
      </w:r>
    </w:p>
    <w:p w14:paraId="666829DF">
      <w:pPr>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1）审查响应文件是否符合竞争性磋商文件要求，并作出评价；</w:t>
      </w:r>
    </w:p>
    <w:p w14:paraId="0C1A8076">
      <w:pPr>
        <w:snapToGrid w:val="0"/>
        <w:spacing w:line="46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2）要求供应商对响应文件有关事项作出解释或者澄清；</w:t>
      </w:r>
    </w:p>
    <w:p w14:paraId="7CC47C89">
      <w:pPr>
        <w:snapToGrid w:val="0"/>
        <w:spacing w:line="46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3）按照竞争性磋商文件确定的评审办法对供应商进行排序，推荐候选供应商（不超过3名），将综合得分第一的供应商向采购人推荐其为成交供应商；</w:t>
      </w:r>
    </w:p>
    <w:p w14:paraId="41FCF25B">
      <w:pPr>
        <w:pStyle w:val="25"/>
        <w:adjustRightInd w:val="0"/>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4）向采购代理机构或者有关部门报告非法干预评审工作的行为。</w:t>
      </w:r>
    </w:p>
    <w:p w14:paraId="21D6E174">
      <w:pPr>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2.2、评审应当遵循下列工作程序：</w:t>
      </w:r>
    </w:p>
    <w:p w14:paraId="0DF08962">
      <w:pPr>
        <w:snapToGrid w:val="0"/>
        <w:spacing w:line="46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1）响应文件初审。初审分为资格性检查和符合性检查。</w:t>
      </w:r>
    </w:p>
    <w:p w14:paraId="4C48949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（1）资格性检查。依据法律法规和竞争性磋商文件的规定，对响应文件中的资格证明等进行审查，以确定供应商是否具备参与磋商资格。</w:t>
      </w:r>
    </w:p>
    <w:p w14:paraId="5702147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（2）符合性检查。依据竞争性磋商文件的规定，从响应文件的有效性、完整性和对竞争性磋商文件的响应程度进行审查，以确定是否对竞争性磋商文件的实质性要求作出响应。</w:t>
      </w:r>
    </w:p>
    <w:p w14:paraId="3A0B14F1">
      <w:pPr>
        <w:snapToGrid w:val="0"/>
        <w:spacing w:line="46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澄清有关问题。对响应文件中含义不明确、同类问题表述不一致或者有明显文字和计算错误的内容，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DF6A77">
      <w:pPr>
        <w:snapToGrid w:val="0"/>
        <w:spacing w:line="46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3）比较与评价。按竞争性磋商文件中规定的评审方法和标准，对资格性检查和符合性检查合格的响应文件进行商务和技术评估，综合比较与评价。</w:t>
      </w:r>
    </w:p>
    <w:p w14:paraId="4C9E4549">
      <w:pPr>
        <w:pStyle w:val="25"/>
        <w:adjustRightInd w:val="0"/>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r>
        <w:rPr>
          <w:rFonts w:hint="eastAsia" w:ascii="宋体" w:hAnsi="宋体" w:eastAsia="宋体" w:cs="宋体"/>
          <w:b/>
          <w:color w:val="auto"/>
          <w:sz w:val="22"/>
          <w:szCs w:val="22"/>
          <w:highlight w:val="none"/>
        </w:rPr>
        <w:t>本次采购，供应商的最后报价均超出采购预算的，本次采购做流标处理。</w:t>
      </w:r>
    </w:p>
    <w:p w14:paraId="4E4D3A02">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rPr>
        <w:t>供应商存在下列情况之一的，响应文件按无效处理：</w:t>
      </w:r>
    </w:p>
    <w:p w14:paraId="2E87739A">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1）响应文件未按竞争性磋商文件要求签署或CA电子签章的；</w:t>
      </w:r>
    </w:p>
    <w:p w14:paraId="63F66C18">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2）不具备竞争性磋商文件中规定的资格要求的；</w:t>
      </w:r>
    </w:p>
    <w:p w14:paraId="4AC6A6D7">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3）最后报价超过竞争性磋商文件中规定的预算金额或者最高限价的；</w:t>
      </w:r>
    </w:p>
    <w:p w14:paraId="193AE947">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4）对关键条文的偏离、保留或反对，例如关于付款方式、服务期限、适用法律法规、标准、税费等其他内容；</w:t>
      </w:r>
    </w:p>
    <w:p w14:paraId="7C669C32">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5）存在串标或弄虚作假情况的；</w:t>
      </w:r>
    </w:p>
    <w:p w14:paraId="03806824">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6）参与本项目的不同供应商单位负责人为同一人或者存在直接控股、管理关系的；</w:t>
      </w:r>
    </w:p>
    <w:p w14:paraId="3E00BC1D">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7）在竞争性磋商文件未做任何调整的情况下，参与磋商的供应商最后报价超过其响应文件中报价的；</w:t>
      </w:r>
    </w:p>
    <w:p w14:paraId="05E249F9">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8）未在规定时间提交的最后报价的；</w:t>
      </w:r>
    </w:p>
    <w:p w14:paraId="5A39E7D6">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9）法律、法规和竞争性磋商文件规定的其他无效情形（或出现重大偏差）。</w:t>
      </w:r>
    </w:p>
    <w:p w14:paraId="2BE1567A">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r>
        <w:rPr>
          <w:rFonts w:hint="eastAsia" w:ascii="宋体" w:hAnsi="宋体" w:eastAsia="宋体" w:cs="宋体"/>
          <w:b/>
          <w:color w:val="auto"/>
          <w:sz w:val="22"/>
          <w:szCs w:val="22"/>
          <w:highlight w:val="none"/>
        </w:rPr>
        <w:t>磋商小组发现响应文件有下列情形之一的属于重大偏差(磋商小组按少数服从多数原则认定)，按照无效响应处理</w:t>
      </w:r>
      <w:r>
        <w:rPr>
          <w:rFonts w:hint="eastAsia" w:ascii="宋体" w:hAnsi="宋体" w:eastAsia="宋体" w:cs="宋体"/>
          <w:color w:val="auto"/>
          <w:sz w:val="22"/>
          <w:szCs w:val="22"/>
          <w:highlight w:val="none"/>
        </w:rPr>
        <w:t>：</w:t>
      </w:r>
    </w:p>
    <w:p w14:paraId="608B206A">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1）未按竞争性磋商文件要求编制或字迹模糊、辨认不清的响应文件；</w:t>
      </w:r>
    </w:p>
    <w:p w14:paraId="264E69E6">
      <w:pPr>
        <w:pStyle w:val="25"/>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2）除2.4条款以外，出现其它明显不符合采购要求的响应文件；</w:t>
      </w:r>
    </w:p>
    <w:p w14:paraId="0804CCEB">
      <w:pPr>
        <w:pStyle w:val="25"/>
        <w:adjustRightInd w:val="0"/>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3）除2.4条款以外，出现其它不符合竞争性磋商文件中规定的实质性要求的响应文件，是否为偏离实质性要求由磋商小组认定。</w:t>
      </w:r>
    </w:p>
    <w:p w14:paraId="4456B8DE">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r>
        <w:rPr>
          <w:rFonts w:hint="eastAsia" w:ascii="宋体" w:hAnsi="宋体" w:eastAsia="宋体" w:cs="宋体"/>
          <w:b/>
          <w:color w:val="auto"/>
          <w:sz w:val="22"/>
          <w:szCs w:val="22"/>
          <w:highlight w:val="none"/>
        </w:rPr>
        <w:t>磋商小组认为供应商的最后报价明显低于其他有效供应商的最后报价，有可能影响采购质量或者不能诚信履约的，应当要求其在合理的时间内提供书面说明，必要时提交相关证明材料；供应商不能证明其报价合理性的，磋商小组应当将其作为无效响应处理</w:t>
      </w:r>
      <w:r>
        <w:rPr>
          <w:rFonts w:hint="eastAsia" w:ascii="宋体" w:hAnsi="宋体" w:eastAsia="宋体" w:cs="宋体"/>
          <w:color w:val="auto"/>
          <w:sz w:val="22"/>
          <w:szCs w:val="22"/>
          <w:highlight w:val="none"/>
        </w:rPr>
        <w:t>。</w:t>
      </w:r>
    </w:p>
    <w:p w14:paraId="58548600">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2.7、磋商小组在评审中，不得改变竞争性磋商文件中规定的评审标准、方法和成交条件。</w:t>
      </w:r>
    </w:p>
    <w:p w14:paraId="2FBFA6D2">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2.8、评审时如遇到竞争性磋商文件未规定的特殊情况，由磋商小组按少数服从多数原则集体决定处理。</w:t>
      </w:r>
    </w:p>
    <w:p w14:paraId="7524FDF1">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3、响应文件的澄清</w:t>
      </w:r>
    </w:p>
    <w:p w14:paraId="6C042F12">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为有利于对响应文件的比较和评议，必要时磋商小组可要求磋商供应商对响应文件相关事宜进行澄清。磋商小组将通过“政府采购云平台”在线询标的形式要求磋商供应商在规定的时间内作出必要的澄清、说明，供磋商供应商澄清、说明时间不少于30分钟，磋商供应商未在规定的时间内作出必要的澄清、说明可能导致对其不利的评定。</w:t>
      </w:r>
    </w:p>
    <w:p w14:paraId="1F0C122C">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3.2、磋商供应商的澄清、说明应当通过“政府采购云平台”在线答复形式提交，并加盖公章。磋商供应商的澄清、说明不得超出响应文件的范围或者改变响应文件的实质性内容。</w:t>
      </w:r>
    </w:p>
    <w:p w14:paraId="672D736B">
      <w:pPr>
        <w:pStyle w:val="25"/>
        <w:adjustRightInd w:val="0"/>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b/>
          <w:color w:val="auto"/>
          <w:sz w:val="22"/>
          <w:szCs w:val="22"/>
          <w:highlight w:val="none"/>
        </w:rPr>
        <w:t>响应文件递交截止时或评审过程中有效磋商供应商不足三家的，不予开标或评标，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只有2家的，竞争性磋商采购活动可以继续进行。采购过程中符合要求的供应商只有1家的，采购人（项目实施机构）或者采购代理机构应当终止竞争性磋商采购活动，发布项目终止公告并说明原因，重新开展采购活动。</w:t>
      </w:r>
    </w:p>
    <w:p w14:paraId="590E2D76">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5、评审原则</w:t>
      </w:r>
    </w:p>
    <w:p w14:paraId="75692031">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磋商小组按照竞争性磋商文件的要求和条件对响应文件进行评估，综合比较与评价。</w:t>
      </w:r>
    </w:p>
    <w:p w14:paraId="6DC8C812">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5.1、磋商小组负责审查响应文件是否符合竞争性磋商文件的要求，并作出评价。磋商小组认为必要时，可向供应商进行询标澄清。</w:t>
      </w:r>
    </w:p>
    <w:p w14:paraId="69065657">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5.2、磋商小组将综合分析合格供应商的各项指标，而不是以单项指标的优劣评选出成交的供应商。   </w:t>
      </w:r>
    </w:p>
    <w:p w14:paraId="44DE9481">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磋商小组对合格供应商的响应文件和最后报价进行综合评定。如竞争性磋商文件所列采购内容明确不需要修改的或供应商响应文件清楚明确不需要澄清的，可以不进行磋商环节，直接要求供应商进行最后报价，进行综合评分。</w:t>
      </w:r>
    </w:p>
    <w:p w14:paraId="109C6EE1">
      <w:pPr>
        <w:adjustRightInd w:val="0"/>
        <w:snapToGrid w:val="0"/>
        <w:spacing w:line="460" w:lineRule="exact"/>
        <w:ind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在竞争性磋商文件未做任何调整的情况下，参与磋商的供应商如有出现最后报价超过其响应文件中报价的，则该供应商的报价按无效处理。</w:t>
      </w:r>
    </w:p>
    <w:p w14:paraId="7866D94C">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5.4、本次评审采用综合评分法，磋商小组根据竞争性磋商文件制定的评审办法对供应商进行评审排序，将综合得分第一的供应商向采购人推荐其为成交供应商。</w:t>
      </w:r>
    </w:p>
    <w:p w14:paraId="1AEFA183">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6、有下列情形之一的，视为供应商相互串通投标：</w:t>
      </w:r>
    </w:p>
    <w:p w14:paraId="13C85DC0">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6.1、不同供应商的响应文件由同一单位或者个人编制；</w:t>
      </w:r>
    </w:p>
    <w:p w14:paraId="43BB3F18">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6.2、不同供应商委托同一单位或者个人办理投标事宜；</w:t>
      </w:r>
    </w:p>
    <w:p w14:paraId="67B81C1A">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6.3、不同供应商的响应文件载明的项目管理成员为同一人；</w:t>
      </w:r>
    </w:p>
    <w:p w14:paraId="2849AD0E">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6.4、不同供应商的响应文件异常一致或者投标报价呈规律性差异；</w:t>
      </w:r>
    </w:p>
    <w:p w14:paraId="571F477C">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6.5、不同供应商的响应文件相互混装。</w:t>
      </w:r>
    </w:p>
    <w:p w14:paraId="35F21599">
      <w:pPr>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7、经磋商小组认定供应商进行串通投标的，磋商小组可以对相关供应商做出无效响应处理，并上报政府采购管理部门进行进一步处理。</w:t>
      </w:r>
    </w:p>
    <w:p w14:paraId="73B1DFCB">
      <w:pPr>
        <w:adjustRightInd w:val="0"/>
        <w:snapToGrid w:val="0"/>
        <w:spacing w:line="460" w:lineRule="exact"/>
        <w:ind w:firstLine="442" w:firstLineChars="200"/>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val="en-US" w:eastAsia="zh-CN"/>
        </w:rPr>
        <w:t>8、磋商</w:t>
      </w:r>
      <w:r>
        <w:rPr>
          <w:rFonts w:hint="eastAsia" w:ascii="宋体" w:hAnsi="宋体" w:eastAsia="宋体" w:cs="Times New Roman"/>
          <w:b/>
          <w:bCs/>
          <w:color w:val="auto"/>
          <w:sz w:val="22"/>
          <w:szCs w:val="22"/>
          <w:highlight w:val="none"/>
        </w:rPr>
        <w:t>供应商存在下列情形之一且无法合理解释的，其投标（响应）文件无效：</w:t>
      </w:r>
    </w:p>
    <w:p w14:paraId="35DD373F">
      <w:pPr>
        <w:adjustRightInd w:val="0"/>
        <w:snapToGrid w:val="0"/>
        <w:spacing w:line="460" w:lineRule="exact"/>
        <w:ind w:firstLine="442" w:firstLineChars="200"/>
        <w:rPr>
          <w:rFonts w:hint="default"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val="en-US" w:eastAsia="zh-CN"/>
        </w:rPr>
        <w:t>8.</w:t>
      </w:r>
      <w:r>
        <w:rPr>
          <w:rFonts w:hint="eastAsia" w:ascii="宋体" w:hAnsi="宋体" w:eastAsia="宋体" w:cs="Times New Roman"/>
          <w:b/>
          <w:bCs/>
          <w:color w:val="auto"/>
          <w:sz w:val="22"/>
          <w:szCs w:val="22"/>
          <w:highlight w:val="none"/>
        </w:rPr>
        <w:t>1.</w:t>
      </w:r>
      <w:r>
        <w:rPr>
          <w:rFonts w:hint="default" w:ascii="宋体" w:hAnsi="宋体" w:eastAsia="宋体" w:cs="Times New Roman"/>
          <w:b/>
          <w:bCs/>
          <w:color w:val="auto"/>
          <w:sz w:val="22"/>
          <w:szCs w:val="22"/>
          <w:highlight w:val="none"/>
        </w:rPr>
        <w:t>不同供应商的电子投标（响应）文件上传计算机的网卡MAC地址或硬盘序列号等硬件信息相同的；</w:t>
      </w:r>
    </w:p>
    <w:p w14:paraId="4C685452">
      <w:pPr>
        <w:adjustRightInd w:val="0"/>
        <w:snapToGrid w:val="0"/>
        <w:spacing w:line="460" w:lineRule="exact"/>
        <w:ind w:firstLine="442" w:firstLineChars="200"/>
        <w:rPr>
          <w:rFonts w:hint="default"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val="en-US" w:eastAsia="zh-CN"/>
        </w:rPr>
        <w:t>8.</w:t>
      </w:r>
      <w:r>
        <w:rPr>
          <w:rFonts w:hint="default" w:ascii="宋体" w:hAnsi="宋体" w:eastAsia="宋体" w:cs="Times New Roman"/>
          <w:b/>
          <w:bCs/>
          <w:color w:val="auto"/>
          <w:sz w:val="22"/>
          <w:szCs w:val="22"/>
          <w:highlight w:val="none"/>
        </w:rPr>
        <w:t>2.上传的电子投标（响应）文件若出现使用本项目其他投标（响应）供应商的数字证书加密的，或者加盖本项目其他投标（响应）供应商的电子印章的；</w:t>
      </w:r>
    </w:p>
    <w:p w14:paraId="5F435D01">
      <w:pPr>
        <w:adjustRightInd w:val="0"/>
        <w:snapToGrid w:val="0"/>
        <w:spacing w:line="460" w:lineRule="exact"/>
        <w:ind w:firstLine="442" w:firstLineChars="200"/>
        <w:rPr>
          <w:rFonts w:hint="default"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val="en-US" w:eastAsia="zh-CN"/>
        </w:rPr>
        <w:t>8.</w:t>
      </w:r>
      <w:r>
        <w:rPr>
          <w:rFonts w:hint="default" w:ascii="宋体" w:hAnsi="宋体" w:eastAsia="宋体" w:cs="Times New Roman"/>
          <w:b/>
          <w:bCs/>
          <w:color w:val="auto"/>
          <w:sz w:val="22"/>
          <w:szCs w:val="22"/>
          <w:highlight w:val="none"/>
        </w:rPr>
        <w:t>3.不同供应商的投标（响应）文件的内容存在3处（含）以上错误一致的；</w:t>
      </w:r>
    </w:p>
    <w:p w14:paraId="1A042F82">
      <w:pPr>
        <w:adjustRightInd w:val="0"/>
        <w:snapToGrid w:val="0"/>
        <w:spacing w:line="460" w:lineRule="exact"/>
        <w:ind w:firstLine="442" w:firstLineChars="200"/>
        <w:rPr>
          <w:rFonts w:ascii="宋体" w:hAnsi="宋体"/>
          <w:b/>
          <w:color w:val="auto"/>
          <w:sz w:val="22"/>
          <w:szCs w:val="22"/>
          <w:highlight w:val="none"/>
        </w:rPr>
      </w:pPr>
      <w:r>
        <w:rPr>
          <w:rFonts w:hint="eastAsia" w:ascii="宋体" w:hAnsi="宋体" w:eastAsia="宋体" w:cs="Times New Roman"/>
          <w:b/>
          <w:bCs/>
          <w:color w:val="auto"/>
          <w:sz w:val="22"/>
          <w:szCs w:val="22"/>
          <w:highlight w:val="none"/>
          <w:lang w:val="en-US" w:eastAsia="zh-CN"/>
        </w:rPr>
        <w:t>8.</w:t>
      </w:r>
      <w:r>
        <w:rPr>
          <w:rFonts w:hint="default" w:ascii="宋体" w:hAnsi="宋体" w:eastAsia="宋体" w:cs="Times New Roman"/>
          <w:b/>
          <w:bCs/>
          <w:color w:val="auto"/>
          <w:sz w:val="22"/>
          <w:szCs w:val="22"/>
          <w:highlight w:val="none"/>
        </w:rPr>
        <w:t>4.不同供应商联系人为同一人或不同联系人的联系电话一致的。</w:t>
      </w:r>
    </w:p>
    <w:p w14:paraId="70AD9EA4">
      <w:pPr>
        <w:adjustRightInd w:val="0"/>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、可中止电子交易活动的情形</w:t>
      </w:r>
    </w:p>
    <w:p w14:paraId="6F8EF9EE">
      <w:pPr>
        <w:pStyle w:val="25"/>
        <w:adjustRightInd w:val="0"/>
        <w:spacing w:line="460" w:lineRule="exact"/>
        <w:ind w:left="0" w:leftChars="0" w:firstLine="380" w:firstLineChars="172"/>
        <w:contextualSpacing/>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31361348">
      <w:pPr>
        <w:pStyle w:val="25"/>
        <w:adjustRightInd w:val="0"/>
        <w:spacing w:line="460" w:lineRule="exact"/>
        <w:ind w:left="218" w:leftChars="104" w:firstLine="442" w:firstLineChars="200"/>
        <w:contextualSpacing/>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1）电子交易平台发生故障而无法登录访问的；</w:t>
      </w:r>
    </w:p>
    <w:p w14:paraId="7DA047C3">
      <w:pPr>
        <w:pStyle w:val="25"/>
        <w:adjustRightInd w:val="0"/>
        <w:spacing w:line="460" w:lineRule="exact"/>
        <w:ind w:left="218" w:leftChars="104" w:firstLine="442" w:firstLineChars="200"/>
        <w:contextualSpacing/>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2）电子交易平台应用或数据库出现错误，不能进行正常操作的；</w:t>
      </w:r>
    </w:p>
    <w:p w14:paraId="08CD341F">
      <w:pPr>
        <w:pStyle w:val="25"/>
        <w:adjustRightInd w:val="0"/>
        <w:spacing w:line="460" w:lineRule="exact"/>
        <w:ind w:left="218" w:leftChars="104" w:firstLine="442" w:firstLineChars="200"/>
        <w:contextualSpacing/>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3）电子交易平台发现严重安全漏洞，有潜在泄密危险的；</w:t>
      </w:r>
    </w:p>
    <w:p w14:paraId="65062091">
      <w:pPr>
        <w:pStyle w:val="25"/>
        <w:adjustRightInd w:val="0"/>
        <w:spacing w:line="460" w:lineRule="exact"/>
        <w:ind w:left="218" w:leftChars="104" w:firstLine="442" w:firstLineChars="200"/>
        <w:contextualSpacing/>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4）病毒发作导致不能进行正常操作的；</w:t>
      </w:r>
    </w:p>
    <w:p w14:paraId="7D58EB0E">
      <w:pPr>
        <w:pStyle w:val="25"/>
        <w:adjustRightInd w:val="0"/>
        <w:spacing w:line="460" w:lineRule="exact"/>
        <w:ind w:left="218" w:leftChars="104" w:firstLine="442" w:firstLineChars="200"/>
        <w:contextualSpacing/>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5）其他无法保证电子交易的公平、公正和安全的情况。</w:t>
      </w:r>
    </w:p>
    <w:p w14:paraId="18F4A723">
      <w:pPr>
        <w:spacing w:line="460" w:lineRule="exact"/>
        <w:ind w:firstLine="433" w:firstLineChars="196"/>
        <w:contextualSpacing/>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02E5197D">
      <w:pPr>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六、授予合同</w:t>
      </w:r>
    </w:p>
    <w:p w14:paraId="406D12DA">
      <w:pPr>
        <w:pStyle w:val="25"/>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3AFD5752">
      <w:pPr>
        <w:pStyle w:val="25"/>
        <w:adjustRightInd w:val="0"/>
        <w:spacing w:line="460" w:lineRule="exact"/>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磋商结束后，磋商小组按照竞争性磋商文件确定的评审办法，确定成交供应商。</w:t>
      </w:r>
    </w:p>
    <w:p w14:paraId="20AAC107">
      <w:pPr>
        <w:pStyle w:val="25"/>
        <w:adjustRightInd w:val="0"/>
        <w:spacing w:line="460" w:lineRule="exact"/>
        <w:contextualSpacing/>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采购人将把成交通知书授予最佳报价者</w:t>
      </w:r>
      <w:r>
        <w:rPr>
          <w:rFonts w:hint="eastAsia" w:ascii="宋体" w:hAnsi="宋体" w:eastAsia="宋体" w:cs="宋体"/>
          <w:b/>
          <w:color w:val="auto"/>
          <w:sz w:val="22"/>
          <w:szCs w:val="22"/>
          <w:highlight w:val="none"/>
        </w:rPr>
        <w:t>，</w:t>
      </w:r>
      <w:r>
        <w:rPr>
          <w:rFonts w:hint="eastAsia" w:ascii="宋体" w:hAnsi="宋体" w:eastAsia="宋体" w:cs="宋体"/>
          <w:b/>
          <w:bCs/>
          <w:color w:val="auto"/>
          <w:sz w:val="22"/>
          <w:szCs w:val="22"/>
          <w:highlight w:val="none"/>
        </w:rPr>
        <w:t>但最低报价不是成交的唯一保证。</w:t>
      </w:r>
    </w:p>
    <w:p w14:paraId="2E7EC6F2">
      <w:pPr>
        <w:pStyle w:val="25"/>
        <w:adjustRightInd w:val="0"/>
        <w:spacing w:line="460" w:lineRule="exact"/>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2、成交通知书</w:t>
      </w:r>
    </w:p>
    <w:p w14:paraId="1C8E5CA6">
      <w:pPr>
        <w:pStyle w:val="19"/>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2.1、评审结束后，采购代理机构在浙江政府采购网公告采购结果，同时发出成交通知书，成交公告期限为1个工作日。</w:t>
      </w:r>
    </w:p>
    <w:p w14:paraId="1AE1DB14">
      <w:pPr>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2.2、成交通知书对采购人和成交供应商具有法律约束力。成交通知书发出后，采购人改变成交结果或者成交供应商放弃成交资格的，应当承担法律责任。</w:t>
      </w:r>
    </w:p>
    <w:p w14:paraId="7AD81C49">
      <w:pPr>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2.3、成交无效</w:t>
      </w:r>
    </w:p>
    <w:p w14:paraId="32827AF7">
      <w:pPr>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1）发现成交供应商资格无效或成交供应商放弃成交或拒绝与采购人签订合同的，按相关规定执行。</w:t>
      </w:r>
    </w:p>
    <w:p w14:paraId="7D7E8656">
      <w:pPr>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2）有《中华人民共和国政府采购法实施条例》第七十一条、第七十二条、第七十三条、第七十四条规定的违法行为之一，由政府采购监管部门依法处理。</w:t>
      </w:r>
    </w:p>
    <w:p w14:paraId="50CFA4C8">
      <w:pPr>
        <w:adjustRightInd w:val="0"/>
        <w:spacing w:line="460" w:lineRule="exact"/>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3、磋商小组对未成交的供应商不作落标原因解释。</w:t>
      </w:r>
    </w:p>
    <w:p w14:paraId="0E63A3DD">
      <w:pPr>
        <w:pStyle w:val="25"/>
        <w:adjustRightInd w:val="0"/>
        <w:spacing w:line="460" w:lineRule="exact"/>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4、签订合同</w:t>
      </w:r>
    </w:p>
    <w:p w14:paraId="1E8BAE21">
      <w:pPr>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4CA162BA">
      <w:pPr>
        <w:adjustRightInd w:val="0"/>
        <w:spacing w:line="46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4.2、竞争性磋商文件、成交供应商的响应文件及响应修改文件、评审过程中有关澄清文件及经双方签字的询标纪要（承诺）和成交通知书均作为合同附件。</w:t>
      </w:r>
    </w:p>
    <w:p w14:paraId="59EC0624">
      <w:pPr>
        <w:pStyle w:val="25"/>
        <w:adjustRightInd w:val="0"/>
        <w:spacing w:line="460" w:lineRule="exact"/>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4.3、拒签合同的责任</w:t>
      </w:r>
    </w:p>
    <w:p w14:paraId="4DF3EB46">
      <w:pPr>
        <w:pStyle w:val="25"/>
        <w:adjustRightInd w:val="0"/>
        <w:spacing w:line="460" w:lineRule="exact"/>
        <w:ind w:firstLine="45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成交供应商接到成交通知书后，在规定时间内借故否认已经承诺的条件而拒签合同，以违约处理，并赔偿采购人由此造成的直接经济损失；采购人重新组织采购的，所需费用由原成交供应商承担。</w:t>
      </w:r>
    </w:p>
    <w:p w14:paraId="13ABC281">
      <w:pPr>
        <w:pStyle w:val="25"/>
        <w:adjustRightInd w:val="0"/>
        <w:snapToGrid w:val="0"/>
        <w:spacing w:line="400" w:lineRule="exact"/>
        <w:ind w:firstLine="440"/>
        <w:jc w:val="center"/>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br w:type="page"/>
      </w:r>
      <w:r>
        <w:rPr>
          <w:rFonts w:hint="eastAsia" w:ascii="宋体" w:hAnsi="宋体" w:eastAsia="宋体" w:cs="宋体"/>
          <w:color w:val="auto"/>
          <w:sz w:val="36"/>
          <w:highlight w:val="none"/>
        </w:rPr>
        <w:t>第四部分   政府采购政策功能相关说明</w:t>
      </w:r>
    </w:p>
    <w:p w14:paraId="1A902678">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一、小、微企业（含监狱企业、残疾人福利性单位）扶持政策说明</w:t>
      </w:r>
    </w:p>
    <w:p w14:paraId="51B86409">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1、文件依据</w:t>
      </w:r>
    </w:p>
    <w:p w14:paraId="43F4173D">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（1）财政部 工业和信息化部关于印发《政府采购促进中小企业发展管理办法》的通知  （财库[2020]46号）</w:t>
      </w:r>
    </w:p>
    <w:p w14:paraId="27951133">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（2）《工业和信息化部、国家统计局、国家发展和改革委员会、财政部关于印发中小企业划型标准规定的通知》（工信部联企业[2011]300号）</w:t>
      </w:r>
    </w:p>
    <w:p w14:paraId="79B6D671">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（3）财政部、司法部《关于政府采购支持监狱企业发展有关问题的通知》（财库〔2014〕68号）</w:t>
      </w:r>
    </w:p>
    <w:p w14:paraId="34673CAB">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（4）《财政部 民政部 中国残疾人联合会关于促进残疾人就业政府采购政策的通知》（财库〔2017〕 141号）</w:t>
      </w:r>
    </w:p>
    <w:p w14:paraId="2BD9E1A4">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r>
        <w:rPr>
          <w:rFonts w:hint="eastAsia" w:ascii="宋体" w:eastAsia="宋体" w:cs="宋体"/>
          <w:b w:val="0"/>
          <w:bCs/>
          <w:color w:val="auto"/>
          <w:sz w:val="22"/>
          <w:szCs w:val="22"/>
          <w:highlight w:val="none"/>
          <w:lang w:eastAsia="zh-CN"/>
        </w:rPr>
        <w:t>磋商供应商</w:t>
      </w:r>
      <w:r>
        <w:rPr>
          <w:rFonts w:hint="eastAsia" w:ascii="宋体" w:hAnsi="宋体" w:eastAsia="宋体" w:cs="宋体"/>
          <w:b w:val="0"/>
          <w:bCs/>
          <w:color w:val="auto"/>
          <w:sz w:val="22"/>
          <w:szCs w:val="22"/>
          <w:highlight w:val="none"/>
        </w:rPr>
        <w:t>享受小微企业价格折扣，提供的货物、工程或者服务应符合下列情形：</w:t>
      </w:r>
    </w:p>
    <w:p w14:paraId="28DA734E">
      <w:pPr>
        <w:snapToGrid w:val="0"/>
        <w:spacing w:line="460" w:lineRule="atLeast"/>
        <w:ind w:firstLine="424" w:firstLineChars="193"/>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在货物采购项目中，货物由小微企业制造，即货物由小微企业生产且使用该小微企业商号或者注册商标。</w:t>
      </w:r>
    </w:p>
    <w:p w14:paraId="592D6E19">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在工程采购项目中，工程由小微企业承建，即工程施工单位为小微企业。</w:t>
      </w:r>
    </w:p>
    <w:p w14:paraId="250B3A53">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在服务采购项目中，服务由小微企业承接，即提供服务的人员为小微企业依照《中华人民共和国劳动合同法》订立劳动合同的从业人员。</w:t>
      </w:r>
    </w:p>
    <w:p w14:paraId="7B34330E">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在货物采购项目中，供应商提供的货物既有小微企业制造货物，也有大中型企业制造货物的，不享受本办法规定的小微企业价格折扣。</w:t>
      </w:r>
    </w:p>
    <w:p w14:paraId="37329D59">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以联合体形式参加政府采购活动，联合体各方均为小微企业的，联合体视同小微企业。</w:t>
      </w:r>
    </w:p>
    <w:p w14:paraId="7C392EF2">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r>
        <w:rPr>
          <w:rFonts w:hint="eastAsia" w:ascii="宋体" w:eastAsia="宋体" w:cs="宋体"/>
          <w:b w:val="0"/>
          <w:bCs/>
          <w:color w:val="auto"/>
          <w:sz w:val="22"/>
          <w:szCs w:val="22"/>
          <w:highlight w:val="none"/>
          <w:lang w:eastAsia="zh-CN"/>
        </w:rPr>
        <w:t>磋商供应商</w:t>
      </w:r>
      <w:r>
        <w:rPr>
          <w:rFonts w:hint="eastAsia" w:ascii="宋体" w:hAnsi="宋体" w:eastAsia="宋体" w:cs="宋体"/>
          <w:b w:val="0"/>
          <w:bCs/>
          <w:color w:val="auto"/>
          <w:sz w:val="22"/>
          <w:szCs w:val="22"/>
          <w:highlight w:val="none"/>
        </w:rPr>
        <w:t>享受小微企业价格折扣应提供以下证明材料（放在报价文件中，不提供的不享受价格折扣）：</w:t>
      </w:r>
    </w:p>
    <w:p w14:paraId="5614C85E">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（1）《中小企业声明函》（加盖</w:t>
      </w:r>
      <w:r>
        <w:rPr>
          <w:rFonts w:hint="eastAsia" w:ascii="宋体" w:eastAsia="宋体" w:cs="宋体"/>
          <w:b w:val="0"/>
          <w:bCs/>
          <w:color w:val="auto"/>
          <w:sz w:val="22"/>
          <w:szCs w:val="22"/>
          <w:highlight w:val="none"/>
          <w:lang w:eastAsia="zh-CN"/>
        </w:rPr>
        <w:t>磋商供应商</w:t>
      </w:r>
      <w:r>
        <w:rPr>
          <w:rFonts w:hint="eastAsia" w:ascii="宋体" w:hAnsi="宋体" w:eastAsia="宋体" w:cs="宋体"/>
          <w:b w:val="0"/>
          <w:bCs/>
          <w:color w:val="auto"/>
          <w:sz w:val="22"/>
          <w:szCs w:val="22"/>
          <w:highlight w:val="none"/>
        </w:rPr>
        <w:t>公章，格式见附件1）</w:t>
      </w:r>
    </w:p>
    <w:p w14:paraId="56850D9B">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4、享受监狱企业价格折扣应提供以下证明材料（放在报价文件中，不提供的不享受价格折扣）：</w:t>
      </w:r>
    </w:p>
    <w:p w14:paraId="71DAA32F">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（1）监狱企业参加政府采购活动时，应当提供由省级及以上监狱管理局、戒毒管理局(含新疆生产建设兵团)出具的属于监狱企业的证明文件（扫描件加盖</w:t>
      </w:r>
      <w:r>
        <w:rPr>
          <w:rFonts w:hint="eastAsia" w:ascii="宋体" w:eastAsia="宋体" w:cs="宋体"/>
          <w:b w:val="0"/>
          <w:bCs/>
          <w:color w:val="auto"/>
          <w:sz w:val="22"/>
          <w:szCs w:val="22"/>
          <w:highlight w:val="none"/>
          <w:lang w:eastAsia="zh-CN"/>
        </w:rPr>
        <w:t>磋商供应商</w:t>
      </w:r>
      <w:r>
        <w:rPr>
          <w:rFonts w:hint="eastAsia" w:ascii="宋体" w:hAnsi="宋体" w:eastAsia="宋体" w:cs="宋体"/>
          <w:b w:val="0"/>
          <w:bCs/>
          <w:color w:val="auto"/>
          <w:sz w:val="22"/>
          <w:szCs w:val="22"/>
          <w:highlight w:val="none"/>
        </w:rPr>
        <w:t>公章）。在政府采购活动中，监狱企业视同小型、微型企业，享受评审中价格扣除政策。</w:t>
      </w:r>
    </w:p>
    <w:p w14:paraId="107580AF">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5、享受残疾人福利性单位价格折扣应提供以下证明材料（放在报价文件中，不提供的不享受价格折扣）：</w:t>
      </w:r>
    </w:p>
    <w:p w14:paraId="0AED5ECC">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（1）残疾人福利性单位声明函（加盖</w:t>
      </w:r>
      <w:r>
        <w:rPr>
          <w:rFonts w:hint="eastAsia" w:ascii="宋体" w:eastAsia="宋体" w:cs="宋体"/>
          <w:b w:val="0"/>
          <w:bCs/>
          <w:color w:val="auto"/>
          <w:sz w:val="22"/>
          <w:szCs w:val="22"/>
          <w:highlight w:val="none"/>
          <w:lang w:eastAsia="zh-CN"/>
        </w:rPr>
        <w:t>磋商供应商</w:t>
      </w:r>
      <w:r>
        <w:rPr>
          <w:rFonts w:hint="eastAsia" w:ascii="宋体" w:hAnsi="宋体" w:eastAsia="宋体" w:cs="宋体"/>
          <w:b w:val="0"/>
          <w:bCs/>
          <w:color w:val="auto"/>
          <w:sz w:val="22"/>
          <w:szCs w:val="22"/>
          <w:highlight w:val="none"/>
        </w:rPr>
        <w:t>公章，格式见附件2）。在政府采购活动中，残疾人福利性单位视同小型、微型企业，享受评审中价格扣除政策。</w:t>
      </w:r>
    </w:p>
    <w:p w14:paraId="62291037">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6、非单一产品采购，无法核实（按</w:t>
      </w:r>
      <w:r>
        <w:rPr>
          <w:rFonts w:hint="eastAsia" w:ascii="宋体" w:eastAsia="宋体" w:cs="宋体"/>
          <w:b w:val="0"/>
          <w:bCs/>
          <w:color w:val="auto"/>
          <w:sz w:val="22"/>
          <w:szCs w:val="22"/>
          <w:highlight w:val="none"/>
          <w:lang w:eastAsia="zh-CN"/>
        </w:rPr>
        <w:t>投标文件</w:t>
      </w:r>
      <w:r>
        <w:rPr>
          <w:rFonts w:hint="eastAsia" w:ascii="宋体" w:hAnsi="宋体" w:eastAsia="宋体" w:cs="宋体"/>
          <w:b w:val="0"/>
          <w:bCs/>
          <w:color w:val="auto"/>
          <w:sz w:val="22"/>
          <w:szCs w:val="22"/>
          <w:highlight w:val="none"/>
        </w:rPr>
        <w:t>资料）全部货物均为小微企业制造的不享受价格折扣。</w:t>
      </w:r>
    </w:p>
    <w:p w14:paraId="0CC7BA13">
      <w:pPr>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7、依据本办法规定享受扶持政策获得政府采购合同的，小微企业不得将合同分包给大中型企业。</w:t>
      </w:r>
    </w:p>
    <w:p w14:paraId="7537CBE9">
      <w:pPr>
        <w:snapToGrid w:val="0"/>
        <w:spacing w:line="460" w:lineRule="atLeast"/>
        <w:ind w:firstLine="440" w:firstLineChars="200"/>
        <w:rPr>
          <w:rFonts w:hint="eastAsia" w:ascii="宋体" w:hAnsi="宋体" w:eastAsia="宋体" w:cs="宋体"/>
          <w:color w:val="auto"/>
          <w:sz w:val="22"/>
          <w:szCs w:val="22"/>
          <w:highlight w:val="none"/>
        </w:rPr>
      </w:pPr>
    </w:p>
    <w:p w14:paraId="0B4251D9">
      <w:pPr>
        <w:spacing w:line="460" w:lineRule="atLeast"/>
        <w:rPr>
          <w:rFonts w:hint="eastAsia" w:ascii="宋体" w:hAnsi="宋体" w:eastAsia="宋体" w:cs="宋体"/>
          <w:color w:val="auto"/>
          <w:sz w:val="24"/>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附件1：</w:t>
      </w:r>
    </w:p>
    <w:p w14:paraId="495448D2">
      <w:pPr>
        <w:spacing w:afterLines="100" w:line="46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中小企业声明函</w:t>
      </w:r>
    </w:p>
    <w:p w14:paraId="17558716">
      <w:pPr>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本公司（联合体）郑重声明，根据《政府采购促进中小企业发展管理办法》（财库[2020]46号）的规定，本公司（联合体）参加</w:t>
      </w:r>
      <w:r>
        <w:rPr>
          <w:rFonts w:hint="eastAsia" w:ascii="宋体" w:hAnsi="宋体" w:eastAsia="宋体" w:cs="宋体"/>
          <w:color w:val="auto"/>
          <w:sz w:val="22"/>
          <w:highlight w:val="none"/>
          <w:u w:val="single"/>
        </w:rPr>
        <w:t xml:space="preserve">   （单位名称）   </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 xml:space="preserve">  （项目名称）  </w:t>
      </w:r>
      <w:r>
        <w:rPr>
          <w:rFonts w:hint="eastAsia" w:ascii="宋体" w:hAnsi="宋体" w:eastAsia="宋体" w:cs="宋体"/>
          <w:color w:val="auto"/>
          <w:sz w:val="22"/>
          <w:highlight w:val="none"/>
        </w:rPr>
        <w:t>采购活动，</w:t>
      </w:r>
      <w:r>
        <w:rPr>
          <w:rFonts w:hint="eastAsia" w:ascii="宋体" w:hAnsi="宋体" w:eastAsia="宋体" w:cs="宋体"/>
          <w:bCs/>
          <w:color w:val="auto"/>
          <w:sz w:val="22"/>
          <w:highlight w:val="none"/>
        </w:rPr>
        <w:t>服务</w:t>
      </w:r>
      <w:r>
        <w:rPr>
          <w:rFonts w:hint="eastAsia" w:ascii="宋体" w:hAnsi="宋体" w:eastAsia="宋体" w:cs="宋体"/>
          <w:color w:val="auto"/>
          <w:sz w:val="22"/>
          <w:highlight w:val="none"/>
        </w:rPr>
        <w:t>全部由符合政策要求的中小企业承接。相关企业（含联合体中的中小企业、签订分包意向协议的中小企业）的具体情况如下：</w:t>
      </w:r>
    </w:p>
    <w:p w14:paraId="6255F2E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u w:val="single"/>
        </w:rPr>
        <w:t xml:space="preserve">（标的名称） </w:t>
      </w:r>
      <w:r>
        <w:rPr>
          <w:rFonts w:hint="eastAsia" w:ascii="宋体" w:hAnsi="宋体" w:eastAsia="宋体" w:cs="宋体"/>
          <w:color w:val="auto"/>
          <w:sz w:val="22"/>
          <w:highlight w:val="none"/>
        </w:rPr>
        <w:t>，属于</w:t>
      </w:r>
      <w:r>
        <w:rPr>
          <w:rFonts w:hint="eastAsia" w:ascii="宋体" w:hAnsi="宋体" w:eastAsia="宋体" w:cs="宋体"/>
          <w:color w:val="auto"/>
          <w:sz w:val="22"/>
          <w:highlight w:val="none"/>
          <w:u w:val="single"/>
        </w:rPr>
        <w:t xml:space="preserve">   （采购文件中明确的所属行业） </w:t>
      </w:r>
      <w:r>
        <w:rPr>
          <w:rFonts w:hint="eastAsia" w:ascii="宋体" w:hAnsi="宋体" w:eastAsia="宋体" w:cs="宋体"/>
          <w:color w:val="auto"/>
          <w:sz w:val="22"/>
          <w:highlight w:val="none"/>
        </w:rPr>
        <w:t>；</w:t>
      </w:r>
      <w:r>
        <w:rPr>
          <w:rFonts w:hint="eastAsia" w:ascii="宋体" w:hAnsi="宋体" w:eastAsia="宋体" w:cs="宋体"/>
          <w:bCs/>
          <w:color w:val="auto"/>
          <w:sz w:val="22"/>
          <w:highlight w:val="none"/>
        </w:rPr>
        <w:t>承接企业</w:t>
      </w:r>
      <w:r>
        <w:rPr>
          <w:rFonts w:hint="eastAsia" w:ascii="宋体" w:hAnsi="宋体" w:eastAsia="宋体" w:cs="宋体"/>
          <w:color w:val="auto"/>
          <w:sz w:val="22"/>
          <w:highlight w:val="none"/>
        </w:rPr>
        <w:t>为</w:t>
      </w:r>
      <w:r>
        <w:rPr>
          <w:rFonts w:hint="eastAsia" w:ascii="宋体" w:hAnsi="宋体" w:eastAsia="宋体" w:cs="宋体"/>
          <w:color w:val="auto"/>
          <w:sz w:val="22"/>
          <w:highlight w:val="none"/>
          <w:u w:val="single"/>
        </w:rPr>
        <w:t xml:space="preserve">  （企业名称）</w:t>
      </w:r>
      <w:r>
        <w:rPr>
          <w:rFonts w:hint="eastAsia" w:ascii="宋体" w:hAnsi="宋体" w:eastAsia="宋体" w:cs="宋体"/>
          <w:color w:val="auto"/>
          <w:sz w:val="22"/>
          <w:highlight w:val="none"/>
        </w:rPr>
        <w:t>，从业人员</w:t>
      </w:r>
      <w:r>
        <w:rPr>
          <w:rFonts w:hint="eastAsia" w:ascii="宋体" w:hAnsi="宋体" w:cs="宋体"/>
          <w:color w:val="auto"/>
          <w:sz w:val="22"/>
          <w:highlight w:val="none"/>
          <w:u w:val="single"/>
          <w:lang w:val="en-US" w:eastAsia="zh-CN"/>
        </w:rPr>
        <w:t xml:space="preserve">      </w:t>
      </w:r>
      <w:r>
        <w:rPr>
          <w:rFonts w:hint="eastAsia" w:ascii="宋体" w:hAnsi="宋体" w:eastAsia="宋体" w:cs="宋体"/>
          <w:color w:val="auto"/>
          <w:sz w:val="22"/>
          <w:highlight w:val="none"/>
        </w:rPr>
        <w:t>人，营业收入为</w:t>
      </w:r>
      <w:r>
        <w:rPr>
          <w:rFonts w:hint="eastAsia" w:ascii="宋体" w:hAnsi="宋体" w:cs="宋体"/>
          <w:color w:val="auto"/>
          <w:sz w:val="22"/>
          <w:highlight w:val="none"/>
          <w:u w:val="single"/>
          <w:lang w:val="en-US" w:eastAsia="zh-CN"/>
        </w:rPr>
        <w:t xml:space="preserve">      </w:t>
      </w:r>
      <w:r>
        <w:rPr>
          <w:rFonts w:hint="eastAsia" w:ascii="宋体" w:hAnsi="宋体" w:eastAsia="宋体" w:cs="宋体"/>
          <w:color w:val="auto"/>
          <w:sz w:val="22"/>
          <w:highlight w:val="none"/>
        </w:rPr>
        <w:t>万元，资产总额为</w:t>
      </w:r>
      <w:r>
        <w:rPr>
          <w:rFonts w:hint="eastAsia" w:ascii="宋体" w:hAnsi="宋体" w:cs="宋体"/>
          <w:color w:val="auto"/>
          <w:sz w:val="22"/>
          <w:highlight w:val="none"/>
          <w:u w:val="single"/>
          <w:lang w:val="en-US" w:eastAsia="zh-CN"/>
        </w:rPr>
        <w:t xml:space="preserve">      </w:t>
      </w:r>
      <w:r>
        <w:rPr>
          <w:rFonts w:hint="eastAsia" w:ascii="宋体" w:hAnsi="宋体" w:eastAsia="宋体" w:cs="宋体"/>
          <w:color w:val="auto"/>
          <w:sz w:val="22"/>
          <w:highlight w:val="none"/>
        </w:rPr>
        <w:t>万元，属于</w:t>
      </w:r>
      <w:r>
        <w:rPr>
          <w:rFonts w:hint="eastAsia" w:ascii="宋体" w:hAnsi="宋体" w:eastAsia="宋体" w:cs="宋体"/>
          <w:color w:val="auto"/>
          <w:sz w:val="22"/>
          <w:highlight w:val="none"/>
          <w:u w:val="single"/>
        </w:rPr>
        <w:t xml:space="preserve">  （中型企业、小型企业、微型企业）</w:t>
      </w:r>
      <w:r>
        <w:rPr>
          <w:rFonts w:hint="eastAsia" w:ascii="宋体" w:hAnsi="宋体" w:eastAsia="宋体" w:cs="宋体"/>
          <w:color w:val="auto"/>
          <w:sz w:val="22"/>
          <w:highlight w:val="none"/>
        </w:rPr>
        <w:t>；</w:t>
      </w:r>
      <w:r>
        <w:rPr>
          <w:rFonts w:hint="eastAsia" w:ascii="宋体" w:hAnsi="宋体" w:eastAsia="宋体" w:cs="宋体"/>
          <w:color w:val="auto"/>
          <w:sz w:val="22"/>
          <w:highlight w:val="none"/>
        </w:rPr>
        <w:br w:type="textWrapping"/>
      </w:r>
    </w:p>
    <w:p w14:paraId="0401EFA2">
      <w:pPr>
        <w:pStyle w:val="8"/>
        <w:spacing w:line="4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以上企业，不属于大企业的分支机构，不存在控股股东为大企业的情形，也不存在与大企业的负责人为同一人的情形。</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  本企业对上述声明内容的真实性负责。如有虚假，将依法承担相应责任。</w:t>
      </w:r>
    </w:p>
    <w:p w14:paraId="2D970090">
      <w:pPr>
        <w:spacing w:line="460" w:lineRule="atLeast"/>
        <w:rPr>
          <w:rFonts w:hint="eastAsia" w:ascii="宋体" w:hAnsi="宋体" w:eastAsia="宋体" w:cs="宋体"/>
          <w:color w:val="auto"/>
          <w:sz w:val="22"/>
          <w:highlight w:val="none"/>
        </w:rPr>
      </w:pPr>
    </w:p>
    <w:p w14:paraId="4C5F5BF2">
      <w:pPr>
        <w:spacing w:line="460" w:lineRule="atLeast"/>
        <w:rPr>
          <w:rFonts w:hint="eastAsia" w:ascii="宋体" w:hAnsi="宋体" w:eastAsia="宋体" w:cs="宋体"/>
          <w:color w:val="auto"/>
          <w:sz w:val="22"/>
          <w:highlight w:val="none"/>
        </w:rPr>
      </w:pPr>
    </w:p>
    <w:p w14:paraId="1388D829">
      <w:pPr>
        <w:tabs>
          <w:tab w:val="left" w:pos="580"/>
          <w:tab w:val="left" w:pos="760"/>
        </w:tabs>
        <w:spacing w:line="460" w:lineRule="atLeast"/>
        <w:jc w:val="both"/>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企业名称（盖章）：</w:t>
      </w:r>
    </w:p>
    <w:p w14:paraId="6EC15430">
      <w:pPr>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日期：</w:t>
      </w:r>
      <w:r>
        <w:rPr>
          <w:rFonts w:hint="eastAsia" w:ascii="宋体" w:hAnsi="宋体" w:eastAsia="宋体" w:cs="宋体"/>
          <w:color w:val="auto"/>
          <w:sz w:val="22"/>
          <w:highlight w:val="none"/>
        </w:rPr>
        <w:t>                </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  </w:t>
      </w:r>
    </w:p>
    <w:p w14:paraId="6AD241BD">
      <w:pPr>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r>
        <w:rPr>
          <w:rFonts w:hint="eastAsia" w:ascii="宋体" w:hAnsi="宋体" w:eastAsia="宋体" w:cs="宋体"/>
          <w:b/>
          <w:color w:val="auto"/>
          <w:sz w:val="22"/>
          <w:highlight w:val="none"/>
        </w:rPr>
        <w:t>            </w:t>
      </w:r>
      <w:r>
        <w:rPr>
          <w:rFonts w:hint="eastAsia" w:ascii="宋体" w:hAnsi="宋体" w:eastAsia="宋体" w:cs="宋体"/>
          <w:color w:val="auto"/>
          <w:sz w:val="22"/>
          <w:highlight w:val="none"/>
        </w:rPr>
        <w:t>                     </w:t>
      </w:r>
    </w:p>
    <w:p w14:paraId="48787B21">
      <w:pPr>
        <w:spacing w:line="440" w:lineRule="atLeast"/>
        <w:rPr>
          <w:rFonts w:hint="eastAsia" w:ascii="宋体" w:hAnsi="宋体" w:eastAsia="宋体" w:cs="宋体"/>
          <w:b/>
          <w:color w:val="auto"/>
          <w:sz w:val="22"/>
          <w:highlight w:val="none"/>
        </w:rPr>
      </w:pPr>
      <w:r>
        <w:rPr>
          <w:rFonts w:hint="eastAsia" w:ascii="宋体" w:hAnsi="宋体" w:eastAsia="宋体" w:cs="宋体"/>
          <w:color w:val="auto"/>
          <w:sz w:val="22"/>
          <w:highlight w:val="none"/>
        </w:rPr>
        <w:t>备注说明：1、从业人员、营业收入、资产总额填报上一年度数据，无上一年度数据的新成立企业可不填报。</w:t>
      </w:r>
    </w:p>
    <w:p w14:paraId="64C74C12">
      <w:pPr>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2、如成交，将在中标（成交）公告中将此中小企业声明函予以公示，接受社会监督。</w:t>
      </w:r>
    </w:p>
    <w:p w14:paraId="0703A422">
      <w:pPr>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3、根据《工业和信息化部、国家统计局、国家发展和改革委员会、财政部关于印发中小企业划型标准规定的通知》（工信部联企业[2011]300号），本项目提供服务所属行业为其他未列明行业（包括科学研究和技术服务业，水利、环境和公共设施管理业，居民服务、修理和其他服务业，社会工作，文化、体育和娱乐业等）。</w:t>
      </w:r>
    </w:p>
    <w:p w14:paraId="12E4A7AB">
      <w:pPr>
        <w:spacing w:line="440" w:lineRule="atLeast"/>
        <w:rPr>
          <w:rFonts w:hint="eastAsia" w:ascii="宋体" w:hAnsi="宋体" w:eastAsia="宋体" w:cs="宋体"/>
          <w:color w:val="auto"/>
          <w:highlight w:val="none"/>
        </w:rPr>
      </w:pPr>
      <w:r>
        <w:rPr>
          <w:rFonts w:hint="eastAsia" w:ascii="宋体" w:hAnsi="宋体" w:eastAsia="宋体" w:cs="宋体"/>
          <w:color w:val="auto"/>
          <w:sz w:val="22"/>
          <w:highlight w:val="none"/>
        </w:rPr>
        <w:t>4、其他未列明行业：从业人员300人以下的为中小微型企业。其中，从业人员100人及以上的为中型企业；从业人员10人及以上的为小型企业；从业人员10人以下的为微型企业。</w:t>
      </w:r>
    </w:p>
    <w:p w14:paraId="013CB196">
      <w:pPr>
        <w:spacing w:line="440" w:lineRule="atLeast"/>
        <w:rPr>
          <w:rFonts w:hint="eastAsia" w:ascii="宋体" w:hAnsi="宋体" w:eastAsia="宋体" w:cs="宋体"/>
          <w:color w:val="auto"/>
          <w:sz w:val="22"/>
          <w:highlight w:val="none"/>
        </w:rPr>
      </w:pPr>
    </w:p>
    <w:p w14:paraId="16E9CADD">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附件2：</w:t>
      </w:r>
    </w:p>
    <w:p w14:paraId="5EC145DB">
      <w:pPr>
        <w:spacing w:line="460" w:lineRule="exact"/>
        <w:jc w:val="center"/>
        <w:rPr>
          <w:rFonts w:hint="eastAsia" w:ascii="宋体" w:hAnsi="宋体" w:eastAsia="宋体" w:cs="宋体"/>
          <w:color w:val="auto"/>
          <w:sz w:val="22"/>
          <w:highlight w:val="none"/>
        </w:rPr>
      </w:pPr>
      <w:bookmarkStart w:id="211" w:name="OLE_LINK14"/>
      <w:bookmarkStart w:id="212" w:name="OLE_LINK13"/>
      <w:r>
        <w:rPr>
          <w:rFonts w:hint="eastAsia" w:ascii="宋体" w:hAnsi="宋体" w:eastAsia="宋体" w:cs="宋体"/>
          <w:color w:val="auto"/>
          <w:sz w:val="22"/>
          <w:highlight w:val="none"/>
        </w:rPr>
        <w:t>残疾人福利性单位声明函</w:t>
      </w:r>
    </w:p>
    <w:bookmarkEnd w:id="211"/>
    <w:bookmarkEnd w:id="212"/>
    <w:p w14:paraId="1624FB8F">
      <w:pPr>
        <w:spacing w:line="588" w:lineRule="exact"/>
        <w:rPr>
          <w:rFonts w:hint="eastAsia" w:ascii="宋体" w:hAnsi="宋体" w:eastAsia="宋体" w:cs="宋体"/>
          <w:color w:val="auto"/>
          <w:spacing w:val="6"/>
          <w:sz w:val="30"/>
          <w:szCs w:val="30"/>
          <w:highlight w:val="none"/>
        </w:rPr>
      </w:pPr>
    </w:p>
    <w:p w14:paraId="4149CB83">
      <w:pPr>
        <w:spacing w:line="588"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468889">
      <w:pPr>
        <w:spacing w:line="588"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本单位对上述声明的真实性负责。如有虚假，将依法承担相应责任。</w:t>
      </w:r>
    </w:p>
    <w:p w14:paraId="54A0C7E7">
      <w:pPr>
        <w:spacing w:line="588" w:lineRule="exact"/>
        <w:ind w:firstLine="624" w:firstLineChars="200"/>
        <w:rPr>
          <w:rFonts w:hint="eastAsia" w:ascii="宋体" w:hAnsi="宋体" w:eastAsia="宋体" w:cs="宋体"/>
          <w:color w:val="auto"/>
          <w:spacing w:val="6"/>
          <w:sz w:val="30"/>
          <w:szCs w:val="30"/>
          <w:highlight w:val="none"/>
        </w:rPr>
      </w:pPr>
    </w:p>
    <w:p w14:paraId="40F7D53E">
      <w:pPr>
        <w:spacing w:line="588" w:lineRule="exact"/>
        <w:ind w:firstLine="624" w:firstLineChars="200"/>
        <w:rPr>
          <w:rFonts w:hint="eastAsia" w:ascii="宋体" w:hAnsi="宋体" w:eastAsia="宋体" w:cs="宋体"/>
          <w:color w:val="auto"/>
          <w:spacing w:val="6"/>
          <w:sz w:val="30"/>
          <w:szCs w:val="30"/>
          <w:highlight w:val="none"/>
        </w:rPr>
      </w:pPr>
    </w:p>
    <w:p w14:paraId="4F63BA9B">
      <w:pPr>
        <w:spacing w:line="46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磋商供应商名称（盖章）：                </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日期：</w:t>
      </w:r>
    </w:p>
    <w:p w14:paraId="171E4B05">
      <w:pPr>
        <w:tabs>
          <w:tab w:val="left" w:pos="4860"/>
        </w:tabs>
        <w:spacing w:line="588" w:lineRule="exact"/>
        <w:ind w:right="1560" w:firstLine="624" w:firstLineChars="200"/>
        <w:jc w:val="center"/>
        <w:rPr>
          <w:rFonts w:hint="eastAsia" w:ascii="宋体" w:hAnsi="宋体" w:eastAsia="宋体" w:cs="宋体"/>
          <w:color w:val="auto"/>
          <w:spacing w:val="6"/>
          <w:sz w:val="30"/>
          <w:szCs w:val="30"/>
          <w:highlight w:val="none"/>
        </w:rPr>
      </w:pPr>
    </w:p>
    <w:p w14:paraId="5CA3B60E">
      <w:pPr>
        <w:tabs>
          <w:tab w:val="left" w:pos="4860"/>
        </w:tabs>
        <w:spacing w:line="588" w:lineRule="exact"/>
        <w:ind w:right="1560" w:firstLine="624" w:firstLineChars="200"/>
        <w:jc w:val="center"/>
        <w:rPr>
          <w:rFonts w:hint="eastAsia" w:ascii="宋体" w:hAnsi="宋体" w:eastAsia="宋体" w:cs="宋体"/>
          <w:color w:val="auto"/>
          <w:spacing w:val="6"/>
          <w:sz w:val="30"/>
          <w:szCs w:val="30"/>
          <w:highlight w:val="none"/>
        </w:rPr>
      </w:pPr>
    </w:p>
    <w:p w14:paraId="69F33212">
      <w:pPr>
        <w:tabs>
          <w:tab w:val="left" w:pos="4860"/>
        </w:tabs>
        <w:spacing w:line="588" w:lineRule="exact"/>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备注说明：</w:t>
      </w:r>
    </w:p>
    <w:p w14:paraId="6F28A3BD">
      <w:pPr>
        <w:spacing w:line="588"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1、如中标，将在中标公告中将此残疾人福利性单位声明函予以公示，接受社会监督；</w:t>
      </w:r>
    </w:p>
    <w:p w14:paraId="32DE3EE3">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2、供应商提供的《残疾人福利性单位声明函》与事实不符的，依照《政府采购法》第七十七条第一款的规定追究法律责任。</w:t>
      </w:r>
    </w:p>
    <w:p w14:paraId="7FD93FD9">
      <w:pPr>
        <w:pStyle w:val="34"/>
        <w:rPr>
          <w:rFonts w:hint="eastAsia" w:ascii="宋体" w:hAnsi="宋体" w:eastAsia="宋体" w:cs="宋体"/>
          <w:color w:val="auto"/>
          <w:highlight w:val="none"/>
        </w:rPr>
      </w:pPr>
    </w:p>
    <w:p w14:paraId="1D21DA7C">
      <w:pPr>
        <w:pStyle w:val="34"/>
        <w:rPr>
          <w:rFonts w:hint="eastAsia" w:ascii="宋体" w:hAnsi="宋体" w:eastAsia="宋体" w:cs="宋体"/>
          <w:color w:val="auto"/>
          <w:highlight w:val="none"/>
        </w:rPr>
      </w:pPr>
    </w:p>
    <w:p w14:paraId="10CCD67B">
      <w:pPr>
        <w:pStyle w:val="34"/>
        <w:rPr>
          <w:rFonts w:hint="eastAsia" w:ascii="宋体" w:hAnsi="宋体" w:eastAsia="宋体" w:cs="宋体"/>
          <w:color w:val="auto"/>
          <w:highlight w:val="none"/>
        </w:rPr>
      </w:pPr>
    </w:p>
    <w:p w14:paraId="32CF5470">
      <w:pPr>
        <w:pStyle w:val="34"/>
        <w:rPr>
          <w:rFonts w:hint="eastAsia" w:ascii="宋体" w:hAnsi="宋体" w:eastAsia="宋体" w:cs="宋体"/>
          <w:color w:val="auto"/>
          <w:highlight w:val="none"/>
        </w:rPr>
      </w:pPr>
    </w:p>
    <w:p w14:paraId="78598252">
      <w:pPr>
        <w:pStyle w:val="34"/>
        <w:rPr>
          <w:rFonts w:hint="eastAsia" w:ascii="宋体" w:hAnsi="宋体" w:eastAsia="宋体" w:cs="宋体"/>
          <w:color w:val="auto"/>
          <w:highlight w:val="none"/>
        </w:rPr>
      </w:pPr>
    </w:p>
    <w:p w14:paraId="4009265C">
      <w:pPr>
        <w:pStyle w:val="34"/>
        <w:rPr>
          <w:rFonts w:hint="eastAsia" w:ascii="宋体" w:hAnsi="宋体" w:eastAsia="宋体" w:cs="宋体"/>
          <w:color w:val="auto"/>
          <w:highlight w:val="none"/>
        </w:rPr>
      </w:pPr>
    </w:p>
    <w:p w14:paraId="126995C4">
      <w:pPr>
        <w:pStyle w:val="34"/>
        <w:rPr>
          <w:rFonts w:hint="eastAsia" w:ascii="宋体" w:hAnsi="宋体" w:eastAsia="宋体" w:cs="宋体"/>
          <w:color w:val="auto"/>
          <w:highlight w:val="none"/>
        </w:rPr>
      </w:pPr>
    </w:p>
    <w:p w14:paraId="29BA66F7">
      <w:pPr>
        <w:pStyle w:val="34"/>
        <w:rPr>
          <w:rFonts w:hint="eastAsia" w:ascii="宋体" w:hAnsi="宋体" w:eastAsia="宋体" w:cs="宋体"/>
          <w:color w:val="auto"/>
          <w:highlight w:val="none"/>
        </w:rPr>
      </w:pPr>
    </w:p>
    <w:p w14:paraId="0D0D37F3">
      <w:pPr>
        <w:pStyle w:val="34"/>
        <w:rPr>
          <w:rFonts w:hint="eastAsia" w:ascii="宋体" w:hAnsi="宋体" w:eastAsia="宋体" w:cs="宋体"/>
          <w:color w:val="auto"/>
          <w:highlight w:val="none"/>
        </w:rPr>
      </w:pPr>
    </w:p>
    <w:p w14:paraId="37D17046">
      <w:pPr>
        <w:pStyle w:val="34"/>
        <w:rPr>
          <w:rFonts w:hint="eastAsia" w:ascii="宋体" w:hAnsi="宋体" w:eastAsia="宋体" w:cs="宋体"/>
          <w:color w:val="auto"/>
          <w:highlight w:val="none"/>
        </w:rPr>
      </w:pPr>
    </w:p>
    <w:p w14:paraId="023D08FD">
      <w:pPr>
        <w:pStyle w:val="34"/>
        <w:rPr>
          <w:rFonts w:hint="eastAsia" w:ascii="宋体" w:hAnsi="宋体" w:eastAsia="宋体" w:cs="宋体"/>
          <w:color w:val="auto"/>
          <w:highlight w:val="none"/>
        </w:rPr>
      </w:pPr>
    </w:p>
    <w:p w14:paraId="08B6AA82">
      <w:pPr>
        <w:pStyle w:val="34"/>
        <w:rPr>
          <w:rFonts w:hint="eastAsia" w:ascii="宋体" w:hAnsi="宋体" w:eastAsia="宋体" w:cs="宋体"/>
          <w:color w:val="auto"/>
          <w:highlight w:val="none"/>
        </w:rPr>
      </w:pPr>
    </w:p>
    <w:p w14:paraId="424025B9">
      <w:pPr>
        <w:pStyle w:val="34"/>
        <w:rPr>
          <w:rFonts w:hint="eastAsia" w:ascii="宋体" w:hAnsi="宋体" w:eastAsia="宋体" w:cs="宋体"/>
          <w:color w:val="auto"/>
          <w:highlight w:val="none"/>
        </w:rPr>
      </w:pPr>
    </w:p>
    <w:p w14:paraId="6899DCED">
      <w:pPr>
        <w:pStyle w:val="34"/>
        <w:rPr>
          <w:rFonts w:hint="eastAsia" w:ascii="宋体" w:hAnsi="宋体" w:eastAsia="宋体" w:cs="宋体"/>
          <w:color w:val="auto"/>
          <w:highlight w:val="none"/>
        </w:rPr>
      </w:pPr>
    </w:p>
    <w:p w14:paraId="31E1D6A1">
      <w:pPr>
        <w:snapToGrid w:val="0"/>
        <w:spacing w:line="440" w:lineRule="exact"/>
        <w:ind w:firstLine="440" w:firstLineChars="200"/>
        <w:jc w:val="left"/>
        <w:rPr>
          <w:rFonts w:hint="eastAsia" w:ascii="宋体" w:hAnsi="宋体" w:eastAsia="宋体" w:cs="宋体"/>
          <w:color w:val="auto"/>
          <w:sz w:val="22"/>
          <w:highlight w:val="none"/>
        </w:rPr>
      </w:pPr>
    </w:p>
    <w:p w14:paraId="648546A7">
      <w:pPr>
        <w:snapToGrid w:val="0"/>
        <w:spacing w:afterLines="50" w:line="460" w:lineRule="atLeast"/>
        <w:jc w:val="center"/>
        <w:rPr>
          <w:rFonts w:hint="eastAsia" w:ascii="宋体" w:hAnsi="宋体" w:eastAsia="宋体" w:cs="宋体"/>
          <w:color w:val="auto"/>
          <w:sz w:val="36"/>
          <w:highlight w:val="none"/>
        </w:rPr>
      </w:pPr>
      <w:bookmarkStart w:id="213" w:name="_Toc19007697"/>
      <w:bookmarkStart w:id="214" w:name="_Toc21529896"/>
      <w:r>
        <w:rPr>
          <w:rFonts w:hint="eastAsia" w:ascii="宋体" w:hAnsi="宋体" w:eastAsia="宋体" w:cs="宋体"/>
          <w:color w:val="auto"/>
          <w:sz w:val="36"/>
          <w:highlight w:val="none"/>
        </w:rPr>
        <w:t>第五部分  合同格式</w:t>
      </w:r>
    </w:p>
    <w:bookmarkEnd w:id="213"/>
    <w:bookmarkEnd w:id="214"/>
    <w:p w14:paraId="7F938072">
      <w:pPr>
        <w:pStyle w:val="27"/>
        <w:spacing w:line="460" w:lineRule="exact"/>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采购人：</w:t>
      </w:r>
      <w:r>
        <w:rPr>
          <w:rFonts w:hint="eastAsia" w:ascii="宋体" w:hAnsi="宋体" w:eastAsia="宋体" w:cs="宋体"/>
          <w:bCs/>
          <w:color w:val="auto"/>
          <w:sz w:val="22"/>
          <w:szCs w:val="22"/>
          <w:highlight w:val="none"/>
          <w:u w:val="single"/>
        </w:rPr>
        <w:t>乐清市人民医院</w:t>
      </w:r>
      <w:r>
        <w:rPr>
          <w:rFonts w:hint="eastAsia" w:ascii="宋体" w:hAnsi="宋体" w:eastAsia="宋体" w:cs="宋体"/>
          <w:bCs/>
          <w:color w:val="auto"/>
          <w:sz w:val="22"/>
          <w:szCs w:val="22"/>
          <w:highlight w:val="none"/>
        </w:rPr>
        <w:t xml:space="preserve">                                   （以下简称甲方）</w:t>
      </w:r>
    </w:p>
    <w:p w14:paraId="02053B2D">
      <w:pPr>
        <w:pStyle w:val="27"/>
        <w:spacing w:line="460" w:lineRule="exact"/>
        <w:ind w:left="0" w:leftChars="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成交供应商：</w:t>
      </w:r>
      <w:r>
        <w:rPr>
          <w:rFonts w:hint="eastAsia" w:ascii="宋体" w:hAnsi="宋体" w:eastAsia="宋体" w:cs="宋体"/>
          <w:bCs/>
          <w:color w:val="auto"/>
          <w:sz w:val="22"/>
          <w:szCs w:val="22"/>
          <w:highlight w:val="none"/>
          <w:u w:val="single"/>
        </w:rPr>
        <w:t>本次采购成交供应商</w:t>
      </w:r>
      <w:r>
        <w:rPr>
          <w:rFonts w:hint="eastAsia" w:ascii="宋体" w:hAnsi="宋体" w:eastAsia="宋体" w:cs="宋体"/>
          <w:bCs/>
          <w:color w:val="auto"/>
          <w:sz w:val="22"/>
          <w:szCs w:val="22"/>
          <w:highlight w:val="none"/>
          <w:u w:val="none"/>
          <w:lang w:val="en-US" w:eastAsia="zh-CN"/>
        </w:rPr>
        <w:t xml:space="preserve">                           </w:t>
      </w:r>
      <w:r>
        <w:rPr>
          <w:rFonts w:hint="eastAsia" w:ascii="宋体" w:hAnsi="宋体" w:eastAsia="宋体" w:cs="宋体"/>
          <w:color w:val="auto"/>
          <w:sz w:val="22"/>
          <w:szCs w:val="22"/>
          <w:highlight w:val="none"/>
        </w:rPr>
        <w:t>（以下简称乙方）</w:t>
      </w:r>
    </w:p>
    <w:p w14:paraId="571A3247">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依照《中华人民共和国民法典》等法规的规定，甲乙双方遵循平等、自愿、公平和诚实信用的原则，就电梯日常维护保养的有关事宜协商订立本合同。</w:t>
      </w:r>
    </w:p>
    <w:p w14:paraId="793ABD98">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第一条  维护保养的电梯</w:t>
      </w:r>
    </w:p>
    <w:p w14:paraId="5DB26F32">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甲乙双方约定，由乙方对甲方使用、管理的电梯提供日常的巡检、维护、保养和抢修、技术服务等。</w:t>
      </w:r>
    </w:p>
    <w:p w14:paraId="3A0987F6">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维保清单：见</w:t>
      </w:r>
      <w:r>
        <w:rPr>
          <w:rFonts w:hint="eastAsia" w:ascii="宋体" w:hAnsi="宋体" w:cs="宋体"/>
          <w:color w:val="auto"/>
          <w:kern w:val="0"/>
          <w:sz w:val="22"/>
          <w:szCs w:val="22"/>
          <w:highlight w:val="none"/>
          <w:lang w:val="en-US" w:eastAsia="zh-CN"/>
        </w:rPr>
        <w:t>竞争性磋商</w:t>
      </w:r>
      <w:r>
        <w:rPr>
          <w:rFonts w:hint="eastAsia" w:ascii="宋体" w:hAnsi="宋体" w:eastAsia="宋体" w:cs="宋体"/>
          <w:color w:val="auto"/>
          <w:kern w:val="0"/>
          <w:sz w:val="22"/>
          <w:szCs w:val="22"/>
          <w:highlight w:val="none"/>
        </w:rPr>
        <w:t>文件维保清单。</w:t>
      </w:r>
    </w:p>
    <w:p w14:paraId="592B5D8B">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第二条  维护保养内容</w:t>
      </w:r>
    </w:p>
    <w:p w14:paraId="7E76508F">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1、乙方应当按照《电梯维护保养规则》（TSG T5002-2017）、《特种设备使用管理规则》（TSG 08-2017）完成每周巡检，半月、季度、半年、年维护保养项目，并做好维护保养记录，在电梯出现故障时提供抢修服务。具体维护保养的内容、服务标准及服务质量要求和管理作业要求等见</w:t>
      </w:r>
      <w:r>
        <w:rPr>
          <w:rFonts w:hint="eastAsia" w:ascii="宋体" w:hAnsi="宋体" w:cs="宋体"/>
          <w:color w:val="auto"/>
          <w:kern w:val="0"/>
          <w:sz w:val="22"/>
          <w:szCs w:val="22"/>
          <w:highlight w:val="none"/>
          <w:lang w:val="en-US" w:eastAsia="zh-CN"/>
        </w:rPr>
        <w:t>竞争性磋商</w:t>
      </w:r>
      <w:r>
        <w:rPr>
          <w:rFonts w:hint="eastAsia" w:ascii="宋体" w:hAnsi="宋体" w:eastAsia="宋体" w:cs="宋体"/>
          <w:color w:val="auto"/>
          <w:kern w:val="0"/>
          <w:sz w:val="22"/>
          <w:szCs w:val="22"/>
          <w:highlight w:val="none"/>
        </w:rPr>
        <w:t>文件。</w:t>
      </w:r>
    </w:p>
    <w:p w14:paraId="4FC90A15">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2、服务标准</w:t>
      </w:r>
    </w:p>
    <w:p w14:paraId="3C00D812">
      <w:pPr>
        <w:widowControl/>
        <w:shd w:val="clear" w:color="auto" w:fill="FFFFFF"/>
        <w:spacing w:line="450" w:lineRule="exact"/>
        <w:ind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2.1、电梯维护保养规则</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TSG T5002-2017；</w:t>
      </w:r>
    </w:p>
    <w:p w14:paraId="7B2B0975">
      <w:pPr>
        <w:widowControl/>
        <w:shd w:val="clear" w:color="auto" w:fill="FFFFFF"/>
        <w:spacing w:line="450" w:lineRule="exact"/>
        <w:ind w:firstLine="440"/>
        <w:jc w:val="left"/>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2.2、</w:t>
      </w:r>
      <w:r>
        <w:rPr>
          <w:rFonts w:hint="eastAsia" w:ascii="宋体" w:hAnsi="宋体" w:eastAsia="宋体" w:cs="宋体"/>
          <w:color w:val="auto"/>
          <w:kern w:val="0"/>
          <w:sz w:val="22"/>
          <w:szCs w:val="22"/>
          <w:highlight w:val="none"/>
        </w:rPr>
        <w:t>特种设备使用管理规则</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TSG 08-2017</w:t>
      </w:r>
      <w:r>
        <w:rPr>
          <w:rFonts w:hint="eastAsia" w:ascii="宋体" w:hAnsi="宋体" w:cs="宋体"/>
          <w:color w:val="auto"/>
          <w:kern w:val="0"/>
          <w:sz w:val="22"/>
          <w:szCs w:val="22"/>
          <w:highlight w:val="none"/>
          <w:lang w:val="en-US" w:eastAsia="zh-CN"/>
        </w:rPr>
        <w:t xml:space="preserve">； </w:t>
      </w:r>
    </w:p>
    <w:p w14:paraId="6BAFBCEC">
      <w:pPr>
        <w:widowControl/>
        <w:shd w:val="clear" w:color="auto" w:fill="FFFFFF"/>
        <w:spacing w:line="450" w:lineRule="exact"/>
        <w:ind w:firstLine="44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、电梯、自动扶梯和自动人行道维修规范 GB/T 18775-2009；</w:t>
      </w:r>
    </w:p>
    <w:p w14:paraId="4614FDB3">
      <w:pPr>
        <w:widowControl/>
        <w:shd w:val="clear" w:color="auto" w:fill="FFFFFF"/>
        <w:spacing w:line="450" w:lineRule="exact"/>
        <w:ind w:firstLine="44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 xml:space="preserve">、电梯日常维护保养规则 </w:t>
      </w:r>
      <w:r>
        <w:rPr>
          <w:rFonts w:hint="eastAsia" w:ascii="宋体" w:hAnsi="宋体" w:eastAsia="宋体" w:cs="宋体"/>
          <w:bCs/>
          <w:color w:val="auto"/>
          <w:kern w:val="0"/>
          <w:sz w:val="22"/>
          <w:szCs w:val="22"/>
          <w:highlight w:val="none"/>
        </w:rPr>
        <w:t>DB11/</w:t>
      </w:r>
      <w:r>
        <w:rPr>
          <w:rFonts w:hint="eastAsia" w:ascii="宋体" w:hAnsi="宋体" w:cs="宋体"/>
          <w:bCs/>
          <w:color w:val="auto"/>
          <w:kern w:val="0"/>
          <w:sz w:val="22"/>
          <w:szCs w:val="22"/>
          <w:highlight w:val="none"/>
          <w:lang w:val="en-US" w:eastAsia="zh-CN"/>
        </w:rPr>
        <w:t xml:space="preserve">T </w:t>
      </w:r>
      <w:r>
        <w:rPr>
          <w:rFonts w:hint="eastAsia" w:ascii="宋体" w:hAnsi="宋体" w:eastAsia="宋体" w:cs="宋体"/>
          <w:bCs/>
          <w:color w:val="auto"/>
          <w:kern w:val="0"/>
          <w:sz w:val="22"/>
          <w:szCs w:val="22"/>
          <w:highlight w:val="none"/>
        </w:rPr>
        <w:t>418-2019</w:t>
      </w:r>
      <w:r>
        <w:rPr>
          <w:rFonts w:hint="eastAsia" w:ascii="宋体" w:hAnsi="宋体" w:eastAsia="宋体" w:cs="宋体"/>
          <w:color w:val="auto"/>
          <w:kern w:val="0"/>
          <w:sz w:val="22"/>
          <w:szCs w:val="22"/>
          <w:highlight w:val="none"/>
        </w:rPr>
        <w:t>；</w:t>
      </w:r>
    </w:p>
    <w:p w14:paraId="4E51BE79">
      <w:pPr>
        <w:widowControl/>
        <w:shd w:val="clear" w:color="auto" w:fill="FFFFFF"/>
        <w:spacing w:line="450" w:lineRule="exact"/>
        <w:ind w:firstLine="44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、电梯安装、改造、重大维修和维护保养自检规则DB11/T 420-2019；</w:t>
      </w:r>
    </w:p>
    <w:p w14:paraId="08B823B3">
      <w:pPr>
        <w:widowControl/>
        <w:shd w:val="clear" w:color="auto" w:fill="FFFFFF"/>
        <w:spacing w:line="450" w:lineRule="exact"/>
        <w:ind w:firstLine="44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、电梯维修保养安全管理规范DB33/T 728-2016；</w:t>
      </w:r>
    </w:p>
    <w:p w14:paraId="7E92CF09">
      <w:pPr>
        <w:widowControl/>
        <w:shd w:val="clear" w:color="auto" w:fill="FFFFFF"/>
        <w:spacing w:line="450" w:lineRule="exact"/>
        <w:ind w:firstLine="44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、特种设备的电气装置应符合IEC标准；</w:t>
      </w:r>
    </w:p>
    <w:p w14:paraId="5C1B7D54">
      <w:pPr>
        <w:widowControl/>
        <w:shd w:val="clear" w:color="auto" w:fill="FFFFFF"/>
        <w:spacing w:line="450" w:lineRule="exact"/>
        <w:ind w:firstLine="44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、电梯安装使用维护说明书。</w:t>
      </w:r>
    </w:p>
    <w:p w14:paraId="5E535873">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第三条  合同期限</w:t>
      </w:r>
    </w:p>
    <w:p w14:paraId="2EBD4D69">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合同期限：一年，自</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日起至</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日止。</w:t>
      </w:r>
    </w:p>
    <w:p w14:paraId="0D187612">
      <w:pPr>
        <w:widowControl/>
        <w:spacing w:line="45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注：本次采购服务期为二年，合同一年一签。如乙方考核评分为90分（含）以上，且甲方对乙方上一年的服务质量满意，可签订下一年的合同（合同金额不调整），否则，甲方有权拒签下一年的合同。</w:t>
      </w:r>
    </w:p>
    <w:p w14:paraId="2C5A3B06">
      <w:pPr>
        <w:keepNext w:val="0"/>
        <w:keepLines w:val="0"/>
        <w:pageBreakBefore w:val="0"/>
        <w:widowControl w:val="0"/>
        <w:kinsoku/>
        <w:wordWrap/>
        <w:overflowPunct/>
        <w:topLinePunct w:val="0"/>
        <w:autoSpaceDE/>
        <w:autoSpaceDN/>
        <w:bidi w:val="0"/>
        <w:adjustRightInd/>
        <w:snapToGrid/>
        <w:spacing w:line="450" w:lineRule="exact"/>
        <w:ind w:firstLine="442"/>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乙方在服务期内无正当理由拒不续签合同的，应支付甲方违约金</w:t>
      </w:r>
      <w:r>
        <w:rPr>
          <w:rFonts w:hint="eastAsia" w:ascii="宋体" w:hAnsi="宋体" w:cs="宋体"/>
          <w:color w:val="auto"/>
          <w:kern w:val="0"/>
          <w:sz w:val="22"/>
          <w:szCs w:val="22"/>
          <w:highlight w:val="none"/>
          <w:u w:val="single"/>
          <w:lang w:val="en-US" w:eastAsia="zh-CN"/>
        </w:rPr>
        <w:t>3万</w:t>
      </w:r>
      <w:r>
        <w:rPr>
          <w:rFonts w:hint="eastAsia" w:ascii="宋体" w:hAnsi="宋体" w:cs="宋体"/>
          <w:color w:val="auto"/>
          <w:kern w:val="0"/>
          <w:sz w:val="22"/>
          <w:szCs w:val="22"/>
          <w:highlight w:val="none"/>
          <w:lang w:val="en-US" w:eastAsia="zh-CN"/>
        </w:rPr>
        <w:t>元及赔偿损失（包括但不限于甲方确定新供应商前因另行委托其他供应商提供服务产生的溢价、甲方重新组织采购支出的代理费、律师费、差旅费等）。</w:t>
      </w:r>
    </w:p>
    <w:p w14:paraId="6CC89FAD">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第四条  合同金额</w:t>
      </w:r>
    </w:p>
    <w:p w14:paraId="4DE95FDC">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合同金额（1年服务费）：￥</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元，大写：</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w:t>
      </w:r>
    </w:p>
    <w:p w14:paraId="65C57E75">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注：本次</w:t>
      </w:r>
      <w:r>
        <w:rPr>
          <w:rFonts w:hint="eastAsia" w:ascii="宋体" w:hAnsi="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的全部电梯维保费用按照清包形式。即在维保服务期内，电梯维护保养所产生的人员工资、工器具费、食宿与交通、安全措施、管理费用、技术服务费（包括电梯平衡系数、自学习、板子刷程序等）、培训费、各种保险、税费、利润以及履行合同所需的一切费用、零配件费及耗材费（维保作业中更换的单个配件或使用的耗材价格在200元（含）以内的）均由</w:t>
      </w:r>
      <w:r>
        <w:rPr>
          <w:rFonts w:hint="eastAsia" w:ascii="宋体" w:hAnsi="宋体" w:cs="宋体"/>
          <w:color w:val="auto"/>
          <w:kern w:val="0"/>
          <w:sz w:val="22"/>
          <w:szCs w:val="22"/>
          <w:highlight w:val="none"/>
          <w:lang w:eastAsia="zh-CN"/>
        </w:rPr>
        <w:t>乙方</w:t>
      </w:r>
      <w:r>
        <w:rPr>
          <w:rFonts w:hint="eastAsia" w:ascii="宋体" w:hAnsi="宋体" w:eastAsia="宋体" w:cs="宋体"/>
          <w:color w:val="auto"/>
          <w:kern w:val="0"/>
          <w:sz w:val="22"/>
          <w:szCs w:val="22"/>
          <w:highlight w:val="none"/>
        </w:rPr>
        <w:t>承担，包含在</w:t>
      </w:r>
      <w:r>
        <w:rPr>
          <w:rFonts w:hint="eastAsia" w:ascii="宋体" w:hAnsi="宋体" w:cs="宋体"/>
          <w:color w:val="auto"/>
          <w:kern w:val="0"/>
          <w:sz w:val="22"/>
          <w:szCs w:val="22"/>
          <w:highlight w:val="none"/>
          <w:lang w:val="en-US" w:eastAsia="zh-CN"/>
        </w:rPr>
        <w:t>合同</w:t>
      </w:r>
      <w:r>
        <w:rPr>
          <w:rFonts w:hint="eastAsia" w:ascii="宋体" w:hAnsi="宋体" w:eastAsia="宋体" w:cs="宋体"/>
          <w:color w:val="auto"/>
          <w:kern w:val="0"/>
          <w:sz w:val="22"/>
          <w:szCs w:val="22"/>
          <w:highlight w:val="none"/>
        </w:rPr>
        <w:t>总价中。超过200元的耗材及配件</w:t>
      </w:r>
      <w:r>
        <w:rPr>
          <w:rFonts w:hint="eastAsia" w:ascii="宋体" w:hAnsi="宋体" w:cs="宋体"/>
          <w:color w:val="auto"/>
          <w:kern w:val="0"/>
          <w:sz w:val="22"/>
          <w:szCs w:val="22"/>
          <w:highlight w:val="none"/>
          <w:lang w:eastAsia="zh-CN"/>
        </w:rPr>
        <w:t>甲方</w:t>
      </w:r>
      <w:r>
        <w:rPr>
          <w:rFonts w:hint="eastAsia" w:ascii="宋体" w:hAnsi="宋体" w:eastAsia="宋体" w:cs="宋体"/>
          <w:color w:val="auto"/>
          <w:kern w:val="0"/>
          <w:sz w:val="22"/>
          <w:szCs w:val="22"/>
          <w:highlight w:val="none"/>
        </w:rPr>
        <w:t>有权自行采购，国家特种设备检验机构的电梯检验费用由</w:t>
      </w:r>
      <w:r>
        <w:rPr>
          <w:rFonts w:hint="eastAsia" w:ascii="宋体" w:hAnsi="宋体" w:cs="宋体"/>
          <w:color w:val="auto"/>
          <w:kern w:val="0"/>
          <w:sz w:val="22"/>
          <w:szCs w:val="22"/>
          <w:highlight w:val="none"/>
          <w:lang w:eastAsia="zh-CN"/>
        </w:rPr>
        <w:t>甲方</w:t>
      </w:r>
      <w:r>
        <w:rPr>
          <w:rFonts w:hint="eastAsia" w:ascii="宋体" w:hAnsi="宋体" w:eastAsia="宋体" w:cs="宋体"/>
          <w:color w:val="auto"/>
          <w:kern w:val="0"/>
          <w:sz w:val="22"/>
          <w:szCs w:val="22"/>
          <w:highlight w:val="none"/>
        </w:rPr>
        <w:t>自行支付（不在本次</w:t>
      </w:r>
      <w:r>
        <w:rPr>
          <w:rFonts w:hint="eastAsia" w:ascii="宋体" w:hAnsi="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范围内）。</w:t>
      </w:r>
    </w:p>
    <w:p w14:paraId="2ED39ECE">
      <w:pPr>
        <w:widowControl/>
        <w:shd w:val="clear" w:color="auto" w:fill="FFFFFF"/>
        <w:spacing w:line="450" w:lineRule="exact"/>
        <w:ind w:firstLine="44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为促进电梯的安全管理，保障电梯事故受害方的合法权益，乙方须为电梯办理保险，并将甲方列为共同被保险人，保险费用由乙方承担，包含在合同金额中。如因乙方未及时参保导致事故赔偿的，由乙方承担所有赔偿金额和一切法律责任。</w:t>
      </w:r>
    </w:p>
    <w:p w14:paraId="5FF3B33F">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第五条  付款方式</w:t>
      </w:r>
    </w:p>
    <w:p w14:paraId="3CFC9B9D">
      <w:pPr>
        <w:widowControl/>
        <w:spacing w:line="450" w:lineRule="exact"/>
        <w:ind w:firstLine="424"/>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u w:val="single"/>
        </w:rPr>
        <w:t>合同签订后，甲方收到乙方的正式发票并完成医院内部付款流程后7个工作日内支付年服务费的25%；</w:t>
      </w:r>
    </w:p>
    <w:p w14:paraId="2CCAF7C3">
      <w:pPr>
        <w:widowControl/>
        <w:spacing w:line="450" w:lineRule="exact"/>
        <w:ind w:firstLine="424"/>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u w:val="single"/>
        </w:rPr>
        <w:t>甲方在合同期第7个月收到乙方的正式发票并完成医院内部付款流程后7个工作日内支付年服务费的25%（需按合同期1—6个月的考核结果扣除相应费用）；</w:t>
      </w:r>
    </w:p>
    <w:p w14:paraId="4221EDEF">
      <w:pPr>
        <w:widowControl/>
        <w:spacing w:line="450" w:lineRule="exact"/>
        <w:ind w:firstLine="424"/>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u w:val="single"/>
        </w:rPr>
        <w:t>甲方在合同期第10个月收到乙方的正式发票并完成医院内部付款流程后7个工作日内支付年服务费的25%（需按合同期7—9个月的考核结果扣除相应费用）；</w:t>
      </w:r>
    </w:p>
    <w:p w14:paraId="13D64C26">
      <w:pPr>
        <w:widowControl/>
        <w:spacing w:line="450" w:lineRule="exact"/>
        <w:ind w:firstLine="440"/>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u w:val="single"/>
        </w:rPr>
        <w:t>合同期满</w:t>
      </w:r>
      <w:r>
        <w:rPr>
          <w:rFonts w:hint="eastAsia" w:ascii="宋体" w:hAnsi="宋体" w:cs="宋体"/>
          <w:color w:val="auto"/>
          <w:kern w:val="0"/>
          <w:sz w:val="22"/>
          <w:szCs w:val="22"/>
          <w:highlight w:val="none"/>
          <w:u w:val="single"/>
          <w:lang w:val="en-US" w:eastAsia="zh-CN"/>
        </w:rPr>
        <w:t>3个月</w:t>
      </w:r>
      <w:r>
        <w:rPr>
          <w:rFonts w:hint="eastAsia" w:ascii="宋体" w:hAnsi="宋体" w:eastAsia="宋体" w:cs="宋体"/>
          <w:color w:val="auto"/>
          <w:kern w:val="0"/>
          <w:sz w:val="22"/>
          <w:szCs w:val="22"/>
          <w:highlight w:val="none"/>
          <w:u w:val="single"/>
        </w:rPr>
        <w:t>后，甲方收到乙方的正式发票并完成医院内部付款流程后7个工作日内支付年服务费的25%（需按合同期10—12个月的考核结果扣除相应费用）。</w:t>
      </w:r>
    </w:p>
    <w:p w14:paraId="402B1295">
      <w:pPr>
        <w:widowControl/>
        <w:spacing w:line="45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第六条  维护保养周期</w:t>
      </w:r>
    </w:p>
    <w:p w14:paraId="1D198E92">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每周对参保电梯进行一次巡检，每月对参保电梯进行不少于2次的维护、保养，每个季度进行1次中型保养，每年进行不少于1次的年度大保养</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每年进行2次全面安全检查</w:t>
      </w:r>
      <w:r>
        <w:rPr>
          <w:rFonts w:hint="eastAsia" w:ascii="宋体" w:hAnsi="宋体" w:eastAsia="宋体" w:cs="宋体"/>
          <w:color w:val="auto"/>
          <w:kern w:val="0"/>
          <w:sz w:val="22"/>
          <w:szCs w:val="22"/>
          <w:highlight w:val="none"/>
        </w:rPr>
        <w:t>。乙方抢修服务热线电话：</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；投诉电话：</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w:t>
      </w:r>
    </w:p>
    <w:p w14:paraId="27A07CDC">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第七条  驻场</w:t>
      </w:r>
    </w:p>
    <w:p w14:paraId="719B3C4E">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乙方提供驻场作业服务，至少1人驻场（需具有《特种设备作业人员证》），并提供7*24小时服务（甲方不提供食宿），费用已经包含在服务费中。如遇甲方有重大接待活动或大批量维修，需增加驻场服务人员。</w:t>
      </w:r>
    </w:p>
    <w:p w14:paraId="7573A8A3">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第八条  甲方权利、义务</w:t>
      </w:r>
    </w:p>
    <w:p w14:paraId="4BDD6BBB">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（一）权利</w:t>
      </w:r>
    </w:p>
    <w:p w14:paraId="584B97B7">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1、有权监督乙方按照合同约定履行维护保养义务，发出故障通知或提出建议。</w:t>
      </w:r>
    </w:p>
    <w:p w14:paraId="7007A6AD">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2、有权要求乙方保障电梯的正常运行。乙方的维护保养达不到合同约定的维护保养标准或要求的，甲方有权拒绝在维护保养记录上签字。</w:t>
      </w:r>
    </w:p>
    <w:p w14:paraId="3883D17C">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（二）义务</w:t>
      </w:r>
    </w:p>
    <w:p w14:paraId="4B8073E6">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1、应当对每台电梯建立完整的安全技术档案，并供乙方查询。签订合同后应当向乙方提供如下资料或复印件（如有）：</w:t>
      </w:r>
    </w:p>
    <w:p w14:paraId="7CC93266">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 产品合格证；</w:t>
      </w:r>
    </w:p>
    <w:p w14:paraId="60E8C6C8">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2） 使用维护说明书；</w:t>
      </w:r>
    </w:p>
    <w:p w14:paraId="0477B1C2">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3） 电气原理图；</w:t>
      </w:r>
    </w:p>
    <w:p w14:paraId="7BCB9752">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4） 电气敷设图；</w:t>
      </w:r>
    </w:p>
    <w:p w14:paraId="0595FD31">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5） 安装、调试说明书；</w:t>
      </w:r>
    </w:p>
    <w:p w14:paraId="2C74207B">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6） 电梯整机、安全部件和主要部件型式试验报告结论副本或结论；</w:t>
      </w:r>
    </w:p>
    <w:p w14:paraId="6909CFCC">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7） 特种设备注册登记表；</w:t>
      </w:r>
    </w:p>
    <w:p w14:paraId="6EF23847">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8） 电梯施工检验报告；</w:t>
      </w:r>
    </w:p>
    <w:p w14:paraId="70BF6818">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9） 改造、重大维修、一般维修原始记录；</w:t>
      </w:r>
    </w:p>
    <w:p w14:paraId="65AFC1DF">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10） 事故记录；</w:t>
      </w:r>
    </w:p>
    <w:p w14:paraId="662098EC">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11） 上年度的定期检验报告；</w:t>
      </w:r>
    </w:p>
    <w:p w14:paraId="46C6536B">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12） 电梯运行记录（维护保养、抢修记录等）。</w:t>
      </w:r>
    </w:p>
    <w:p w14:paraId="68A5EE70">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应当为乙方提供维护保养所需的工作环境，保证电梯的用电、消防、防雷、通风、通道、电话通讯、监控摄像和报警装置等系统安全可靠；并保证机房、井道、底坑在移交乙方维保前无漏水、渗水现象，通往机房、底坑、滑轮间、井道安全门的通道畅通、照明充分。</w:t>
      </w:r>
    </w:p>
    <w:p w14:paraId="5DF70E80">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、应当配备电梯安全管理人员负责电梯的日常安全管理：</w:t>
      </w:r>
    </w:p>
    <w:p w14:paraId="799496EB">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1）负责电梯钥匙的使用管理；</w:t>
      </w:r>
    </w:p>
    <w:p w14:paraId="2121E4B6">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2）负责对乙方的维护保养、抢修等记录签字确认；</w:t>
      </w:r>
    </w:p>
    <w:p w14:paraId="2734D022">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3）负责对乙方提交的电梯安全隐患提示单签字确认。</w:t>
      </w:r>
    </w:p>
    <w:p w14:paraId="59D26890">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4）如果更换电梯安全管理人员，应当及时通知乙方。</w:t>
      </w:r>
    </w:p>
    <w:p w14:paraId="45B836FE">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、在电梯使用过程中发现故障或异常情况应当立即停止使用，并及时通知乙方。</w:t>
      </w:r>
    </w:p>
    <w:p w14:paraId="63126935">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、应当在电梯安全检验合格有效期届满前1 个月，向电梯监督检验机构提出定期监督检验申请，并由甲方承担检验费用。</w:t>
      </w:r>
    </w:p>
    <w:p w14:paraId="62E500B6">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第九条  乙方权利、义务</w:t>
      </w:r>
    </w:p>
    <w:p w14:paraId="13B61E32">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（一）权利</w:t>
      </w:r>
    </w:p>
    <w:p w14:paraId="1781483E">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1、有权要求甲方提供维护保养所需的工作环境及相关资料。</w:t>
      </w:r>
    </w:p>
    <w:p w14:paraId="5AB0F7E6">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2、有权拒绝甲方提出的影响电梯安全运行的要求。</w:t>
      </w:r>
    </w:p>
    <w:p w14:paraId="312BA8DD">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（二）义务</w:t>
      </w:r>
    </w:p>
    <w:p w14:paraId="12165C09">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1、应当具备特种设备安全监督管理部门核发的相应许可证。</w:t>
      </w:r>
    </w:p>
    <w:p w14:paraId="219DB226">
      <w:pPr>
        <w:widowControl/>
        <w:spacing w:line="45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2、提供7*24小时的紧急救援服务。接到甲方故障通知后5分钟内响应，15分钟内到达现场进行处理，</w:t>
      </w:r>
      <w:r>
        <w:rPr>
          <w:rFonts w:hint="eastAsia" w:ascii="宋体" w:hAnsi="宋体" w:eastAsia="宋体" w:cs="宋体"/>
          <w:bCs/>
          <w:color w:val="auto"/>
          <w:kern w:val="0"/>
          <w:sz w:val="22"/>
          <w:szCs w:val="22"/>
          <w:highlight w:val="none"/>
        </w:rPr>
        <w:t>并能提供正常连续的服务直至故障或事故排除</w:t>
      </w:r>
      <w:r>
        <w:rPr>
          <w:rFonts w:hint="eastAsia" w:ascii="宋体" w:hAnsi="宋体" w:eastAsia="宋体" w:cs="宋体"/>
          <w:color w:val="auto"/>
          <w:kern w:val="0"/>
          <w:sz w:val="22"/>
          <w:szCs w:val="22"/>
          <w:highlight w:val="none"/>
        </w:rPr>
        <w:t>；对电梯困人事故要求15分钟内到达现场，并在到达现场后30分钟内把乘客从轿厢中救出；一般故障（非电脑板、线路板、主机原因的常见故障）应在60分钟内解决，重大故障应在24小时内解决，特殊故障应在7天内解决（主配电箱双电源下端电力维修部分由乙方负责）。如遇故障时乙方无法按需提供服务或在规定时间内没有明确做出处置意见的，甲方将有权临时请第三方技术人员上门维护，费用由乙方承担。</w:t>
      </w:r>
    </w:p>
    <w:p w14:paraId="0929F2FB">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3、故障报修或按计划的维护保养结束后，维保人员应当做好维修保养记录，经甲方管理人员签字后归入电梯维修保养档案。</w:t>
      </w:r>
    </w:p>
    <w:p w14:paraId="28917479">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4、现场作业人员应当取得相应的《特种设备作业人员证》。</w:t>
      </w:r>
    </w:p>
    <w:p w14:paraId="185F8E04">
      <w:pPr>
        <w:widowControl/>
        <w:spacing w:line="45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乙方应当建立电梯安全运行相关管理制度，如相关人员职责、操作人员守则、安全操作规程、常规检查制度、维修保养制度、定期报检制度、作业人员培训考核制度、意外事件和事故应急救援预案与演习制度、技术档案资料保管制度等。</w:t>
      </w:r>
    </w:p>
    <w:p w14:paraId="1CDF7D42">
      <w:pPr>
        <w:widowControl/>
        <w:spacing w:line="450" w:lineRule="exact"/>
        <w:ind w:firstLine="44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乙方应当制定电梯事故应急防范措施和救援预案。</w:t>
      </w:r>
    </w:p>
    <w:p w14:paraId="26DD02F5">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作业中应当负责落实现场安全防护措施，保证作业安全。</w:t>
      </w:r>
    </w:p>
    <w:p w14:paraId="51D3848C">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、应当向甲方提出合理化建议并定期（具体时间由甲方确定）向甲方书面报告所维护保养电梯的运行情况、零部件使用情况、易损件的更换情况及电梯零部件更换、修理需求。</w:t>
      </w:r>
    </w:p>
    <w:p w14:paraId="76CE5B88">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rPr>
        <w:t>、应当对所维护保养电梯的安全运行负责，保障设备整机及零部件完整无损。</w:t>
      </w:r>
      <w:r>
        <w:rPr>
          <w:rFonts w:hint="eastAsia" w:ascii="宋体" w:hAnsi="宋体" w:eastAsia="宋体" w:cs="宋体"/>
          <w:color w:val="auto"/>
          <w:sz w:val="22"/>
          <w:szCs w:val="22"/>
          <w:highlight w:val="none"/>
        </w:rPr>
        <w:t>若因乙方维护不当导致电梯安全事故，乙方需承担全部赔偿责任，包括但不限于医疗费用、设备修复费用及甲方声誉损失赔偿。</w:t>
      </w:r>
    </w:p>
    <w:p w14:paraId="1B1EB74F">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、应当建立回访制度（包括工作人员服务态度、维修质量、是否按照规定实施维护保养等）。</w:t>
      </w:r>
    </w:p>
    <w:p w14:paraId="660DB4C8">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rPr>
        <w:t>、应当配合电梯监督检验机构对电梯的定期检验，并参与电梯安全管理活动。</w:t>
      </w:r>
    </w:p>
    <w:p w14:paraId="1114BAB6">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、应当妥善保管电梯图纸及相关资料，并在合同终止后交给甲方。</w:t>
      </w:r>
    </w:p>
    <w:p w14:paraId="70BAB10F">
      <w:pPr>
        <w:spacing w:line="450" w:lineRule="exact"/>
        <w:ind w:firstLine="442"/>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、乙方在作业施工过程中，所发生或导致的任何伤亡事故均由乙方处理并承担全部法律责任，甲方不因此承担任何责任，若造成甲方财产损坏或向第三方赔付的，由乙方承担全部责任，甲方有权向乙方追偿。</w:t>
      </w:r>
    </w:p>
    <w:p w14:paraId="01DD2A0B">
      <w:pPr>
        <w:spacing w:line="450" w:lineRule="exact"/>
        <w:ind w:firstLine="442"/>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、乙方应制定各类应急措施，如发生台风、地震及其他重大事项等特殊情况，在30分钟内赶到现场进行检查评估，如有必要须邀请温州市特种设备检测科学研究院进行专业检测，确保电梯正常运行。</w:t>
      </w:r>
    </w:p>
    <w:p w14:paraId="5A3422CD">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、不得以任何形式分包、转包。</w:t>
      </w:r>
    </w:p>
    <w:p w14:paraId="3F9F4B8A">
      <w:pPr>
        <w:widowControl/>
        <w:spacing w:line="45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、根据</w:t>
      </w:r>
      <w:r>
        <w:rPr>
          <w:rFonts w:hint="eastAsia" w:ascii="宋体" w:hAnsi="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要求进行维护保养。</w:t>
      </w:r>
    </w:p>
    <w:p w14:paraId="15A87BFE">
      <w:pPr>
        <w:tabs>
          <w:tab w:val="left" w:pos="0"/>
          <w:tab w:val="left" w:pos="426"/>
        </w:tabs>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第十条 廉洁责任书</w:t>
      </w:r>
    </w:p>
    <w:p w14:paraId="1530BAD9">
      <w:pPr>
        <w:tabs>
          <w:tab w:val="left" w:pos="0"/>
          <w:tab w:val="left" w:pos="426"/>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政府采购项目的廉政建设，维护公平竞争秩序，规范采购项目双方的行为，防止发生谋取不正当利益的违法违纪行为，保护国家、集体和当事人的合法权益，确保采购质量。根据国家有关政府采购法律法规和廉政建设责任制规定，特订立本廉政责任书。</w:t>
      </w:r>
    </w:p>
    <w:p w14:paraId="2901A1E0">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一、</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甲乙双方的责任</w:t>
      </w:r>
    </w:p>
    <w:p w14:paraId="279C0B4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（一）应严格遵守国家关于政府采购、招标投标等有关法律、法规和相关政策，以及廉政建设的各项规定。</w:t>
      </w:r>
    </w:p>
    <w:p w14:paraId="2AE28B9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（二）严格执行采购项目合同文件，自觉按合同的约定履行权利和义务。</w:t>
      </w:r>
    </w:p>
    <w:p w14:paraId="392FB92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（三）采购活动必须坚持公开、公平、公正、诚信、透明的原则（除法律法规另有规定者外），不得在采购活动中获取不正当利益，损害国家、集体和对方的利益。</w:t>
      </w:r>
    </w:p>
    <w:p w14:paraId="29A2B74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（四）发现对方在采购活动中和项目实施过程中有违规、违法违纪行为的，未造成后果的，应及时指出并制止；情节严重的，应向其上级主管部门或纪检监察、司法等有关机关举报。</w:t>
      </w:r>
    </w:p>
    <w:p w14:paraId="56A35ADF">
      <w:pPr>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二、 </w:t>
      </w:r>
      <w:r>
        <w:rPr>
          <w:rFonts w:hint="eastAsia" w:ascii="宋体" w:hAnsi="宋体" w:eastAsia="宋体" w:cs="宋体"/>
          <w:color w:val="auto"/>
          <w:sz w:val="22"/>
          <w:szCs w:val="22"/>
          <w:highlight w:val="none"/>
        </w:rPr>
        <w:t>甲方的责任</w:t>
      </w:r>
    </w:p>
    <w:p w14:paraId="0972D09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甲方在采购活动的事前、事中、事后应遵守以下规定：</w:t>
      </w:r>
    </w:p>
    <w:p w14:paraId="14C8EB4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（一）不准向乙方和相关单位索要或接受回扣、礼金、有价证券、贵重物品和好处费、感谢费等。</w:t>
      </w:r>
    </w:p>
    <w:p w14:paraId="338BF8D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（二）不准在乙方和相关单位报销任何应由甲方或个人支付的费用。</w:t>
      </w:r>
    </w:p>
    <w:p w14:paraId="36352CA9">
      <w:pPr>
        <w:spacing w:line="460" w:lineRule="exact"/>
        <w:ind w:firstLine="407" w:firstLineChars="1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（三）不准要求、暗示和接受乙方和相关单位为个人装修住房、婚丧嫁娶、配偶子女的工作安排以及出国（境）、旅游等提供方便。</w:t>
      </w:r>
    </w:p>
    <w:p w14:paraId="2CD01EA2">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（四）不准参加乙方和相关单位的宴请和健身、娱乐等活动。</w:t>
      </w:r>
    </w:p>
    <w:p w14:paraId="2629A904">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（五）不准要求乙方为配偶、子女、亲属参与同甲方采购项目合同有关的采购事项提供任何便利条件。</w:t>
      </w:r>
    </w:p>
    <w:p w14:paraId="66B2B5D0">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（六）不准以任何理由向乙方和相关单位推荐分包单位或要求乙方购买采购项目合同规定以外的货物等。</w:t>
      </w:r>
    </w:p>
    <w:p w14:paraId="2AB25E2D">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三、</w:t>
      </w:r>
      <w:r>
        <w:rPr>
          <w:rFonts w:hint="eastAsia" w:ascii="宋体" w:hAnsi="宋体" w:eastAsia="宋体" w:cs="宋体"/>
          <w:color w:val="auto"/>
          <w:sz w:val="22"/>
          <w:szCs w:val="22"/>
          <w:highlight w:val="none"/>
        </w:rPr>
        <w:t xml:space="preserve"> 乙方的责任</w:t>
      </w:r>
    </w:p>
    <w:p w14:paraId="48A6155C">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应与甲方保持正常的业务交往，按照有关法律法规和程序开展业务工作，严格执行政府采购的有关方针政策，并遵守以下规定：</w:t>
      </w:r>
    </w:p>
    <w:p w14:paraId="15AF6D09">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（一）不准以任何理由接受甲方、相关单位及其工作人员的索要或为其赠送礼金、有价证券、贵重物品和回扣、好处费、感谢费等。</w:t>
      </w:r>
    </w:p>
    <w:p w14:paraId="3D07F079">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（二）不准以任何理由为甲方、相关单位或个人报销应当由对方或个人支付的费用。</w:t>
      </w:r>
    </w:p>
    <w:p w14:paraId="1CAEE73A">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（三）不准接受或暗示为甲方、相关单位或个人装修住房、婚丧嫁娶、配偶、子女的工作安排以及出国（境）、旅游等提供方便。</w:t>
      </w:r>
    </w:p>
    <w:p w14:paraId="7B42F3C1">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（四）不准以任何理由为甲方、相关单位或个人安排宴请、健身、娱乐等活动。</w:t>
      </w:r>
    </w:p>
    <w:p w14:paraId="2A464705">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（五）不准接受甲方工作人员的要求，为其配偶、子女、亲属参与同采购项目合同有关的采购事项提供任何便利条件。</w:t>
      </w:r>
    </w:p>
    <w:p w14:paraId="514D4C30">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（六）不准接受甲方工作人员的要求为其安排与采购合同有关的分包单位或为其购买采购合同规定以外的货物等。</w:t>
      </w:r>
    </w:p>
    <w:p w14:paraId="1B5F627A">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四、</w:t>
      </w:r>
      <w:r>
        <w:rPr>
          <w:rFonts w:hint="eastAsia" w:ascii="宋体" w:hAnsi="宋体" w:eastAsia="宋体" w:cs="宋体"/>
          <w:color w:val="auto"/>
          <w:sz w:val="22"/>
          <w:szCs w:val="22"/>
          <w:highlight w:val="none"/>
        </w:rPr>
        <w:t xml:space="preserve"> 违约责任</w:t>
      </w:r>
    </w:p>
    <w:p w14:paraId="58C507EF">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一）甲方工作人员有违反本责任书第一、二条责任行为的，按照管理权限，依照有关法律法规和规定给予党纪、政纪处分或组织处理；涉嫌犯罪的，移交司法机关追究刑事责任；给乙方单位造成经济损失的，应予以赔偿。</w:t>
      </w:r>
    </w:p>
    <w:p w14:paraId="21DA139F">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二）乙方工作人员有违反本责任书第一、三条责任行为的，除由其主管单位依据有关法律法规和规定给予处理外，视情节予以罚款，解除采购合同，今后不列入合作单位；给甲方单位造成经济损失的应给予以赔偿。</w:t>
      </w:r>
    </w:p>
    <w:p w14:paraId="7B0ADD5A">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五、</w:t>
      </w:r>
      <w:r>
        <w:rPr>
          <w:rFonts w:hint="eastAsia" w:ascii="宋体" w:hAnsi="宋体" w:eastAsia="宋体" w:cs="宋体"/>
          <w:color w:val="auto"/>
          <w:sz w:val="22"/>
          <w:szCs w:val="22"/>
          <w:highlight w:val="none"/>
        </w:rPr>
        <w:t>本责任书为采购合同的附件，与采购项目合同具有同等的法律效力，经双方签署后立即生效。</w:t>
      </w:r>
    </w:p>
    <w:p w14:paraId="186C1DC1">
      <w:pPr>
        <w:spacing w:line="460" w:lineRule="exact"/>
        <w:ind w:firstLine="43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 xml:space="preserve">六、 </w:t>
      </w:r>
      <w:r>
        <w:rPr>
          <w:rFonts w:hint="eastAsia" w:ascii="宋体" w:hAnsi="宋体" w:eastAsia="宋体" w:cs="宋体"/>
          <w:color w:val="auto"/>
          <w:sz w:val="22"/>
          <w:szCs w:val="22"/>
          <w:highlight w:val="none"/>
        </w:rPr>
        <w:t>本责任书的有效期为双方签署之日起至该采购项目服务期限止。</w:t>
      </w:r>
    </w:p>
    <w:p w14:paraId="1E047D5E">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一</w:t>
      </w:r>
      <w:r>
        <w:rPr>
          <w:rFonts w:hint="eastAsia" w:ascii="宋体" w:hAnsi="宋体" w:eastAsia="宋体" w:cs="宋体"/>
          <w:color w:val="auto"/>
          <w:kern w:val="0"/>
          <w:sz w:val="22"/>
          <w:szCs w:val="22"/>
          <w:highlight w:val="none"/>
        </w:rPr>
        <w:t>条  考核方法</w:t>
      </w:r>
    </w:p>
    <w:p w14:paraId="6AE3C035">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考核方法见附件</w:t>
      </w:r>
      <w:r>
        <w:rPr>
          <w:rFonts w:hint="eastAsia" w:ascii="宋体" w:hAnsi="宋体" w:cs="宋体"/>
          <w:color w:val="auto"/>
          <w:kern w:val="0"/>
          <w:sz w:val="22"/>
          <w:szCs w:val="22"/>
          <w:highlight w:val="none"/>
          <w:lang w:val="en-US" w:eastAsia="zh-CN"/>
        </w:rPr>
        <w:t>十二</w:t>
      </w:r>
      <w:r>
        <w:rPr>
          <w:rFonts w:hint="eastAsia" w:ascii="宋体" w:hAnsi="宋体" w:eastAsia="宋体" w:cs="宋体"/>
          <w:color w:val="auto"/>
          <w:kern w:val="0"/>
          <w:sz w:val="22"/>
          <w:szCs w:val="22"/>
          <w:highlight w:val="none"/>
        </w:rPr>
        <w:t>。</w:t>
      </w:r>
    </w:p>
    <w:p w14:paraId="07D15460">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二</w:t>
      </w:r>
      <w:r>
        <w:rPr>
          <w:rFonts w:hint="eastAsia" w:ascii="宋体" w:hAnsi="宋体" w:eastAsia="宋体" w:cs="宋体"/>
          <w:color w:val="auto"/>
          <w:kern w:val="0"/>
          <w:sz w:val="22"/>
          <w:szCs w:val="22"/>
          <w:highlight w:val="none"/>
        </w:rPr>
        <w:t>条  违约责任</w:t>
      </w:r>
    </w:p>
    <w:p w14:paraId="52883379">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1、乙方因维护保养</w:t>
      </w:r>
      <w:r>
        <w:rPr>
          <w:rFonts w:hint="eastAsia" w:ascii="宋体" w:hAnsi="宋体" w:cs="宋体"/>
          <w:color w:val="auto"/>
          <w:kern w:val="0"/>
          <w:sz w:val="22"/>
          <w:szCs w:val="22"/>
          <w:highlight w:val="none"/>
          <w:lang w:val="en-US" w:eastAsia="zh-CN"/>
        </w:rPr>
        <w:t>不当等</w:t>
      </w:r>
      <w:r>
        <w:rPr>
          <w:rFonts w:hint="eastAsia" w:ascii="宋体" w:hAnsi="宋体" w:eastAsia="宋体" w:cs="宋体"/>
          <w:color w:val="auto"/>
          <w:kern w:val="0"/>
          <w:sz w:val="22"/>
          <w:szCs w:val="22"/>
          <w:highlight w:val="none"/>
        </w:rPr>
        <w:t>原因导致人身伤亡或设备损坏、丢失的，由乙方承担全部责任。</w:t>
      </w:r>
    </w:p>
    <w:p w14:paraId="685CE125">
      <w:pPr>
        <w:widowControl/>
        <w:spacing w:line="45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2、因乙方维护保养</w:t>
      </w:r>
      <w:r>
        <w:rPr>
          <w:rFonts w:hint="eastAsia" w:ascii="宋体" w:hAnsi="宋体" w:cs="宋体"/>
          <w:color w:val="auto"/>
          <w:kern w:val="0"/>
          <w:sz w:val="22"/>
          <w:szCs w:val="22"/>
          <w:highlight w:val="none"/>
          <w:lang w:val="en-US" w:eastAsia="zh-CN"/>
        </w:rPr>
        <w:t>不当</w:t>
      </w:r>
      <w:r>
        <w:rPr>
          <w:rFonts w:hint="eastAsia" w:ascii="宋体" w:hAnsi="宋体" w:eastAsia="宋体" w:cs="宋体"/>
          <w:color w:val="auto"/>
          <w:kern w:val="0"/>
          <w:sz w:val="22"/>
          <w:szCs w:val="22"/>
          <w:highlight w:val="none"/>
        </w:rPr>
        <w:t>原因导致电梯监督检验不合格的，乙方还应当承担电梯复验费用。</w:t>
      </w:r>
    </w:p>
    <w:p w14:paraId="66509821">
      <w:pPr>
        <w:widowControl/>
        <w:spacing w:line="450" w:lineRule="exact"/>
        <w:ind w:firstLine="440"/>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3、若乙方人员无证上岗、擅自</w:t>
      </w:r>
      <w:r>
        <w:rPr>
          <w:rFonts w:hint="eastAsia" w:ascii="宋体" w:hAnsi="宋体" w:cs="宋体"/>
          <w:color w:val="auto"/>
          <w:kern w:val="0"/>
          <w:sz w:val="22"/>
          <w:szCs w:val="22"/>
          <w:highlight w:val="none"/>
          <w:lang w:val="en-US" w:eastAsia="zh-CN"/>
        </w:rPr>
        <w:t>分包、</w:t>
      </w:r>
      <w:r>
        <w:rPr>
          <w:rFonts w:hint="eastAsia" w:ascii="宋体" w:hAnsi="宋体" w:eastAsia="宋体" w:cs="宋体"/>
          <w:color w:val="auto"/>
          <w:kern w:val="0"/>
          <w:sz w:val="22"/>
          <w:szCs w:val="22"/>
          <w:highlight w:val="none"/>
        </w:rPr>
        <w:t>转包或使用非原厂配件，甲方有权单方解除合同</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且甲方不予支付未付的服务费，并有权要求乙方退还已付服务费的30%。</w:t>
      </w:r>
    </w:p>
    <w:p w14:paraId="1BA5DBA7">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4、乙方未依照本合同第九条第二款之规定履行合同义务的，按照</w:t>
      </w:r>
      <w:r>
        <w:rPr>
          <w:rFonts w:hint="eastAsia" w:ascii="宋体" w:hAnsi="宋体" w:cs="宋体"/>
          <w:color w:val="auto"/>
          <w:kern w:val="0"/>
          <w:sz w:val="22"/>
          <w:szCs w:val="22"/>
          <w:highlight w:val="none"/>
          <w:lang w:val="en-US" w:eastAsia="zh-CN"/>
        </w:rPr>
        <w:t>考核方法</w:t>
      </w:r>
      <w:r>
        <w:rPr>
          <w:rFonts w:hint="eastAsia" w:ascii="宋体" w:hAnsi="宋体" w:eastAsia="宋体" w:cs="宋体"/>
          <w:color w:val="auto"/>
          <w:kern w:val="0"/>
          <w:sz w:val="22"/>
          <w:szCs w:val="22"/>
          <w:highlight w:val="none"/>
        </w:rPr>
        <w:t>的约定承担违约责任</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考核方法</w:t>
      </w:r>
      <w:r>
        <w:rPr>
          <w:rFonts w:hint="eastAsia" w:ascii="宋体" w:hAnsi="宋体" w:cs="宋体"/>
          <w:color w:val="auto"/>
          <w:kern w:val="0"/>
          <w:sz w:val="22"/>
          <w:szCs w:val="22"/>
          <w:highlight w:val="none"/>
          <w:lang w:val="en-US" w:eastAsia="zh-CN"/>
        </w:rPr>
        <w:t>未作规定的违约情形，一律扣除当月维保费的</w:t>
      </w:r>
      <w:r>
        <w:rPr>
          <w:rFonts w:hint="eastAsia" w:ascii="宋体" w:hAnsi="宋体" w:cs="宋体"/>
          <w:color w:val="auto"/>
          <w:kern w:val="0"/>
          <w:sz w:val="22"/>
          <w:szCs w:val="22"/>
          <w:highlight w:val="none"/>
          <w:u w:val="single"/>
          <w:lang w:val="en-US" w:eastAsia="zh-CN"/>
        </w:rPr>
        <w:t>20</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乙方不得对此提出异议。</w:t>
      </w:r>
    </w:p>
    <w:p w14:paraId="37D9836B">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三</w:t>
      </w:r>
      <w:r>
        <w:rPr>
          <w:rFonts w:hint="eastAsia" w:ascii="宋体" w:hAnsi="宋体" w:eastAsia="宋体" w:cs="宋体"/>
          <w:color w:val="auto"/>
          <w:kern w:val="0"/>
          <w:sz w:val="22"/>
          <w:szCs w:val="22"/>
          <w:highlight w:val="none"/>
        </w:rPr>
        <w:t>条  合同的解除</w:t>
      </w:r>
    </w:p>
    <w:p w14:paraId="4BCDF90E">
      <w:pPr>
        <w:widowControl/>
        <w:spacing w:line="450" w:lineRule="exact"/>
        <w:ind w:firstLine="440"/>
        <w:rPr>
          <w:rFonts w:hint="default" w:ascii="宋体" w:hAnsi="宋体" w:eastAsia="宋体" w:cs="宋体"/>
          <w:b/>
          <w:bCs/>
          <w:color w:val="auto"/>
          <w:kern w:val="0"/>
          <w:szCs w:val="21"/>
          <w:highlight w:val="none"/>
          <w:lang w:val="en-US" w:eastAsia="zh-CN"/>
        </w:rPr>
      </w:pPr>
      <w:r>
        <w:rPr>
          <w:rFonts w:hint="eastAsia" w:ascii="宋体" w:hAnsi="宋体" w:cs="宋体"/>
          <w:color w:val="auto"/>
          <w:kern w:val="0"/>
          <w:sz w:val="22"/>
          <w:szCs w:val="22"/>
          <w:highlight w:val="none"/>
          <w:lang w:eastAsia="zh-CN"/>
        </w:rPr>
        <w:t>累计三个月</w:t>
      </w:r>
      <w:r>
        <w:rPr>
          <w:rFonts w:hint="eastAsia" w:ascii="宋体" w:hAnsi="宋体" w:eastAsia="宋体" w:cs="宋体"/>
          <w:color w:val="auto"/>
          <w:kern w:val="0"/>
          <w:sz w:val="22"/>
          <w:szCs w:val="22"/>
          <w:highlight w:val="none"/>
        </w:rPr>
        <w:t>考核评分80分以下甲方有权单方解除合同，单月考核评分60分以下甲方有权单方解除合同</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且甲方不予支付未付的服务费，并有权要求乙方退还已付服务费的30%。</w:t>
      </w:r>
    </w:p>
    <w:p w14:paraId="352028F6">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四</w:t>
      </w:r>
      <w:r>
        <w:rPr>
          <w:rFonts w:hint="eastAsia" w:ascii="宋体" w:hAnsi="宋体" w:eastAsia="宋体" w:cs="宋体"/>
          <w:color w:val="auto"/>
          <w:kern w:val="0"/>
          <w:sz w:val="22"/>
          <w:szCs w:val="22"/>
          <w:highlight w:val="none"/>
        </w:rPr>
        <w:t>条  不可抗力</w:t>
      </w:r>
    </w:p>
    <w:p w14:paraId="346F39CE">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1、如果合同各方因不可抗力而导致合同实施延误或不能履行合同义务的话，不应该承担误期或不能履行合同义务的责任。</w:t>
      </w:r>
    </w:p>
    <w:p w14:paraId="667D9931">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633DE244">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4F8E032B">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五</w:t>
      </w:r>
      <w:r>
        <w:rPr>
          <w:rFonts w:hint="eastAsia" w:ascii="宋体" w:hAnsi="宋体" w:eastAsia="宋体" w:cs="宋体"/>
          <w:color w:val="auto"/>
          <w:kern w:val="0"/>
          <w:sz w:val="22"/>
          <w:szCs w:val="22"/>
          <w:highlight w:val="none"/>
        </w:rPr>
        <w:t>条  争议解决方式</w:t>
      </w:r>
    </w:p>
    <w:p w14:paraId="1CAE32B7">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凡有关本合同产生的争端，甲乙双方应通过友好协商妥善解决。如通过协商仍不能解决时，</w:t>
      </w:r>
      <w:r>
        <w:rPr>
          <w:rFonts w:hint="eastAsia" w:ascii="宋体" w:hAnsi="宋体" w:cs="宋体"/>
          <w:color w:val="auto"/>
          <w:kern w:val="0"/>
          <w:sz w:val="22"/>
          <w:szCs w:val="22"/>
          <w:highlight w:val="none"/>
          <w:lang w:val="en-US" w:eastAsia="zh-CN"/>
        </w:rPr>
        <w:t>应</w:t>
      </w:r>
      <w:r>
        <w:rPr>
          <w:rFonts w:hint="eastAsia" w:ascii="宋体" w:hAnsi="宋体" w:eastAsia="宋体" w:cs="宋体"/>
          <w:color w:val="auto"/>
          <w:kern w:val="0"/>
          <w:sz w:val="22"/>
          <w:szCs w:val="22"/>
          <w:highlight w:val="none"/>
        </w:rPr>
        <w:t>在甲方住所地法院通过诉讼的途径解决。</w:t>
      </w:r>
    </w:p>
    <w:p w14:paraId="0D8D0D56">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六</w:t>
      </w:r>
      <w:r>
        <w:rPr>
          <w:rFonts w:hint="eastAsia" w:ascii="宋体" w:hAnsi="宋体" w:eastAsia="宋体" w:cs="宋体"/>
          <w:color w:val="auto"/>
          <w:kern w:val="0"/>
          <w:sz w:val="22"/>
          <w:szCs w:val="22"/>
          <w:highlight w:val="none"/>
        </w:rPr>
        <w:t>条  其它约定</w:t>
      </w:r>
    </w:p>
    <w:p w14:paraId="05020FDC">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（一）甲方要求乙方提供本合同及</w:t>
      </w:r>
      <w:r>
        <w:rPr>
          <w:rFonts w:hint="eastAsia" w:ascii="宋体" w:hAnsi="宋体" w:cs="宋体"/>
          <w:color w:val="auto"/>
          <w:kern w:val="0"/>
          <w:sz w:val="22"/>
          <w:szCs w:val="22"/>
          <w:highlight w:val="none"/>
          <w:lang w:eastAsia="zh-CN"/>
        </w:rPr>
        <w:t>磋商文件</w:t>
      </w:r>
      <w:r>
        <w:rPr>
          <w:rFonts w:hint="eastAsia" w:ascii="宋体" w:hAnsi="宋体" w:eastAsia="宋体" w:cs="宋体"/>
          <w:color w:val="auto"/>
          <w:kern w:val="0"/>
          <w:sz w:val="22"/>
          <w:szCs w:val="22"/>
          <w:highlight w:val="none"/>
        </w:rPr>
        <w:t>约定以外的增值服务的，双方均应当以书面形式另行约定。</w:t>
      </w:r>
    </w:p>
    <w:p w14:paraId="10FD7440">
      <w:pPr>
        <w:widowControl/>
        <w:spacing w:line="45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（二）维护保养记录是记载电梯运行、维护、保养的依据。每台电梯均应当建立独立的维护保养记录。维护保养记录应当一式两份，甲乙双方各保存一份，保存时间为4 年。一般维修、重大维修、改造协议与抢修记录均应当与维护保养记录一并保存。</w:t>
      </w:r>
    </w:p>
    <w:p w14:paraId="14B008F8">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（三）乙方承担</w:t>
      </w:r>
      <w:r>
        <w:rPr>
          <w:rFonts w:hint="eastAsia" w:ascii="宋体" w:hAnsi="宋体" w:eastAsia="宋体" w:cs="宋体"/>
          <w:color w:val="auto"/>
          <w:sz w:val="22"/>
          <w:szCs w:val="22"/>
          <w:highlight w:val="none"/>
        </w:rPr>
        <w:t>项目验收小组专业技术人员（除甲方人员外）的劳务报酬。</w:t>
      </w:r>
    </w:p>
    <w:p w14:paraId="11E8255C">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七</w:t>
      </w:r>
      <w:r>
        <w:rPr>
          <w:rFonts w:hint="eastAsia" w:ascii="宋体" w:hAnsi="宋体" w:eastAsia="宋体" w:cs="宋体"/>
          <w:color w:val="auto"/>
          <w:kern w:val="0"/>
          <w:sz w:val="22"/>
          <w:szCs w:val="22"/>
          <w:highlight w:val="none"/>
        </w:rPr>
        <w:t>条  合同转让和分包</w:t>
      </w:r>
    </w:p>
    <w:p w14:paraId="0777C44B">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乙方不得转让和分包其应履行的合同义务。</w:t>
      </w:r>
    </w:p>
    <w:p w14:paraId="4E7ECFA6">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八</w:t>
      </w:r>
      <w:r>
        <w:rPr>
          <w:rFonts w:hint="eastAsia" w:ascii="宋体" w:hAnsi="宋体" w:eastAsia="宋体" w:cs="宋体"/>
          <w:color w:val="auto"/>
          <w:kern w:val="0"/>
          <w:sz w:val="22"/>
          <w:szCs w:val="22"/>
          <w:highlight w:val="none"/>
        </w:rPr>
        <w:t>条  合同生效</w:t>
      </w:r>
    </w:p>
    <w:p w14:paraId="724C44A0">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本合同经双方法定代表人或其授权代表签字或盖章，双方加盖公章后生效。</w:t>
      </w:r>
    </w:p>
    <w:p w14:paraId="214B83EC">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第十</w:t>
      </w:r>
      <w:r>
        <w:rPr>
          <w:rFonts w:hint="eastAsia" w:ascii="宋体" w:hAnsi="宋体" w:eastAsia="宋体" w:cs="宋体"/>
          <w:color w:val="auto"/>
          <w:kern w:val="0"/>
          <w:sz w:val="22"/>
          <w:szCs w:val="22"/>
          <w:highlight w:val="none"/>
          <w:lang w:eastAsia="zh-CN"/>
        </w:rPr>
        <w:t>九</w:t>
      </w:r>
      <w:r>
        <w:rPr>
          <w:rFonts w:hint="eastAsia" w:ascii="宋体" w:hAnsi="宋体" w:eastAsia="宋体" w:cs="宋体"/>
          <w:color w:val="auto"/>
          <w:kern w:val="0"/>
          <w:sz w:val="22"/>
          <w:szCs w:val="22"/>
          <w:highlight w:val="none"/>
        </w:rPr>
        <w:t>条  合同修改</w:t>
      </w:r>
    </w:p>
    <w:p w14:paraId="7FAC70D8">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除了双方签署书面修改合同，并成为本合同不可分割的一部分之外，本合同条件不得有任何变化或修改。</w:t>
      </w:r>
    </w:p>
    <w:p w14:paraId="063A33CC">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w:t>
      </w:r>
      <w:r>
        <w:rPr>
          <w:rFonts w:hint="eastAsia" w:ascii="宋体" w:hAnsi="宋体" w:eastAsia="宋体" w:cs="宋体"/>
          <w:color w:val="auto"/>
          <w:kern w:val="0"/>
          <w:sz w:val="22"/>
          <w:szCs w:val="22"/>
          <w:highlight w:val="none"/>
          <w:lang w:eastAsia="zh-CN"/>
        </w:rPr>
        <w:t>二</w:t>
      </w:r>
      <w:r>
        <w:rPr>
          <w:rFonts w:hint="eastAsia" w:ascii="宋体" w:hAnsi="宋体" w:eastAsia="宋体" w:cs="宋体"/>
          <w:color w:val="auto"/>
          <w:kern w:val="0"/>
          <w:sz w:val="22"/>
          <w:szCs w:val="22"/>
          <w:highlight w:val="none"/>
        </w:rPr>
        <w:t>十条  合同份数</w:t>
      </w:r>
    </w:p>
    <w:p w14:paraId="755A8B48">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本合同一式</w:t>
      </w:r>
      <w:r>
        <w:rPr>
          <w:rFonts w:hint="eastAsia" w:ascii="宋体" w:hAnsi="宋体" w:eastAsia="宋体" w:cs="宋体"/>
          <w:color w:val="auto"/>
          <w:kern w:val="0"/>
          <w:sz w:val="22"/>
          <w:szCs w:val="22"/>
          <w:highlight w:val="none"/>
          <w:lang w:eastAsia="zh-CN"/>
        </w:rPr>
        <w:t>四</w:t>
      </w:r>
      <w:r>
        <w:rPr>
          <w:rFonts w:hint="eastAsia" w:ascii="宋体" w:hAnsi="宋体" w:eastAsia="宋体" w:cs="宋体"/>
          <w:color w:val="auto"/>
          <w:kern w:val="0"/>
          <w:sz w:val="22"/>
          <w:szCs w:val="22"/>
          <w:highlight w:val="none"/>
        </w:rPr>
        <w:t>份，均具有同等法律效力，甲乙双方各执</w:t>
      </w:r>
      <w:r>
        <w:rPr>
          <w:rFonts w:hint="eastAsia" w:ascii="宋体" w:hAnsi="宋体" w:eastAsia="宋体" w:cs="宋体"/>
          <w:color w:val="auto"/>
          <w:kern w:val="0"/>
          <w:sz w:val="22"/>
          <w:szCs w:val="22"/>
          <w:highlight w:val="none"/>
          <w:lang w:eastAsia="zh-CN"/>
        </w:rPr>
        <w:t>二</w:t>
      </w:r>
      <w:r>
        <w:rPr>
          <w:rFonts w:hint="eastAsia" w:ascii="宋体" w:hAnsi="宋体" w:eastAsia="宋体" w:cs="宋体"/>
          <w:color w:val="auto"/>
          <w:kern w:val="0"/>
          <w:sz w:val="22"/>
          <w:szCs w:val="22"/>
          <w:highlight w:val="none"/>
        </w:rPr>
        <w:t>份。</w:t>
      </w:r>
    </w:p>
    <w:p w14:paraId="39C44849">
      <w:pPr>
        <w:widowControl/>
        <w:spacing w:line="450" w:lineRule="exact"/>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第二十</w:t>
      </w:r>
      <w:r>
        <w:rPr>
          <w:rFonts w:hint="eastAsia" w:ascii="宋体" w:hAnsi="宋体" w:eastAsia="宋体" w:cs="宋体"/>
          <w:color w:val="auto"/>
          <w:kern w:val="0"/>
          <w:sz w:val="22"/>
          <w:szCs w:val="22"/>
          <w:highlight w:val="none"/>
          <w:lang w:eastAsia="zh-CN"/>
        </w:rPr>
        <w:t>一</w:t>
      </w:r>
      <w:r>
        <w:rPr>
          <w:rFonts w:hint="eastAsia" w:ascii="宋体" w:hAnsi="宋体" w:eastAsia="宋体" w:cs="宋体"/>
          <w:color w:val="auto"/>
          <w:kern w:val="0"/>
          <w:sz w:val="22"/>
          <w:szCs w:val="22"/>
          <w:highlight w:val="none"/>
        </w:rPr>
        <w:t>条  合同附件</w:t>
      </w:r>
    </w:p>
    <w:p w14:paraId="002032C0">
      <w:pPr>
        <w:widowControl/>
        <w:spacing w:line="450" w:lineRule="exact"/>
        <w:ind w:firstLine="440"/>
        <w:rPr>
          <w:rFonts w:hint="eastAsia" w:ascii="宋体" w:hAnsi="宋体" w:eastAsia="宋体" w:cs="宋体"/>
          <w:b/>
          <w:bCs/>
          <w:color w:val="auto"/>
          <w:kern w:val="0"/>
          <w:szCs w:val="21"/>
          <w:highlight w:val="none"/>
        </w:rPr>
      </w:pPr>
      <w:r>
        <w:rPr>
          <w:rFonts w:hint="eastAsia" w:ascii="宋体" w:hAnsi="宋体" w:eastAsia="宋体" w:cs="宋体"/>
          <w:color w:val="auto"/>
          <w:kern w:val="0"/>
          <w:sz w:val="22"/>
          <w:szCs w:val="22"/>
          <w:highlight w:val="none"/>
        </w:rPr>
        <w:t>下列文件与本合同具有同等法律效力：</w:t>
      </w:r>
    </w:p>
    <w:p w14:paraId="17E43D15">
      <w:pPr>
        <w:snapToGrid w:val="0"/>
        <w:spacing w:line="460" w:lineRule="exact"/>
        <w:ind w:firstLine="378" w:firstLineChars="172"/>
        <w:textAlignment w:val="baseline"/>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1.采购人的</w:t>
      </w:r>
      <w:r>
        <w:rPr>
          <w:rFonts w:hint="eastAsia" w:ascii="宋体" w:hAnsi="宋体" w:cs="宋体"/>
          <w:bCs/>
          <w:color w:val="auto"/>
          <w:sz w:val="22"/>
          <w:szCs w:val="22"/>
          <w:highlight w:val="none"/>
          <w:lang w:val="en-US" w:eastAsia="zh-CN"/>
        </w:rPr>
        <w:t>竞争性磋商</w:t>
      </w:r>
      <w:r>
        <w:rPr>
          <w:rFonts w:hint="eastAsia" w:ascii="宋体" w:hAnsi="宋体" w:eastAsia="宋体" w:cs="宋体"/>
          <w:bCs/>
          <w:color w:val="auto"/>
          <w:sz w:val="22"/>
          <w:szCs w:val="22"/>
          <w:highlight w:val="none"/>
        </w:rPr>
        <w:t>文件与采购补充文件；</w:t>
      </w:r>
    </w:p>
    <w:p w14:paraId="0192756F">
      <w:pPr>
        <w:snapToGrid w:val="0"/>
        <w:spacing w:line="460" w:lineRule="exact"/>
        <w:ind w:firstLine="378" w:firstLineChars="172"/>
        <w:textAlignment w:val="baseline"/>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2.成交供应商</w:t>
      </w:r>
      <w:r>
        <w:rPr>
          <w:rFonts w:hint="eastAsia" w:ascii="宋体" w:hAnsi="宋体" w:cs="宋体"/>
          <w:bCs/>
          <w:color w:val="auto"/>
          <w:sz w:val="22"/>
          <w:szCs w:val="22"/>
          <w:highlight w:val="none"/>
          <w:lang w:val="en-US" w:eastAsia="zh-CN"/>
        </w:rPr>
        <w:t>响应</w:t>
      </w:r>
      <w:r>
        <w:rPr>
          <w:rFonts w:hint="eastAsia" w:ascii="宋体" w:hAnsi="宋体" w:eastAsia="宋体" w:cs="宋体"/>
          <w:bCs/>
          <w:color w:val="auto"/>
          <w:sz w:val="22"/>
          <w:szCs w:val="22"/>
          <w:highlight w:val="none"/>
        </w:rPr>
        <w:t>文件；</w:t>
      </w:r>
    </w:p>
    <w:p w14:paraId="78F24C67">
      <w:pPr>
        <w:pStyle w:val="25"/>
        <w:snapToGrid w:val="0"/>
        <w:spacing w:line="460" w:lineRule="exact"/>
        <w:ind w:firstLine="378" w:firstLineChars="172"/>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3.询标纪要和承诺书（如有）；</w:t>
      </w:r>
    </w:p>
    <w:p w14:paraId="5BA414CF">
      <w:pPr>
        <w:snapToGrid w:val="0"/>
        <w:spacing w:line="460" w:lineRule="exact"/>
        <w:ind w:firstLine="378" w:firstLineChars="172"/>
        <w:textAlignment w:val="baseline"/>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4.成交通知书。</w:t>
      </w:r>
    </w:p>
    <w:p w14:paraId="2AA67B3C">
      <w:pPr>
        <w:widowControl/>
        <w:spacing w:line="450" w:lineRule="exact"/>
        <w:ind w:firstLine="440"/>
        <w:rPr>
          <w:rFonts w:hint="eastAsia" w:ascii="宋体" w:hAnsi="宋体" w:eastAsia="宋体" w:cs="宋体"/>
          <w:color w:val="auto"/>
          <w:kern w:val="0"/>
          <w:sz w:val="22"/>
          <w:szCs w:val="22"/>
          <w:highlight w:val="none"/>
        </w:rPr>
      </w:pPr>
    </w:p>
    <w:p w14:paraId="2C2AC5C1">
      <w:pPr>
        <w:spacing w:line="400" w:lineRule="exact"/>
        <w:ind w:left="899" w:leftChars="428"/>
        <w:rPr>
          <w:rFonts w:hint="eastAsia" w:ascii="宋体" w:hAnsi="宋体" w:eastAsia="宋体" w:cs="宋体"/>
          <w:b/>
          <w:color w:val="auto"/>
          <w:kern w:val="0"/>
          <w:sz w:val="22"/>
          <w:szCs w:val="20"/>
          <w:highlight w:val="none"/>
        </w:rPr>
      </w:pPr>
    </w:p>
    <w:p w14:paraId="291A9CA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采购人：（盖章）                          </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供应商：（盖章）</w:t>
      </w:r>
    </w:p>
    <w:p w14:paraId="4F8E28C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                                法定代表人 </w:t>
      </w:r>
    </w:p>
    <w:p w14:paraId="4BB20D3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或授权代表人（签字或盖章）：              或授权代表人（签字或盖章）：</w:t>
      </w:r>
    </w:p>
    <w:p w14:paraId="7191D43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14:paraId="02DC7972">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14:paraId="1ECB3D5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72F3C50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14:paraId="55797BF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2D54970C">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                                    账号：</w:t>
      </w:r>
    </w:p>
    <w:p w14:paraId="30AC93FF">
      <w:pPr>
        <w:snapToGrid w:val="0"/>
        <w:spacing w:line="460" w:lineRule="exact"/>
        <w:ind w:right="550"/>
        <w:rPr>
          <w:rFonts w:hint="eastAsia" w:ascii="宋体" w:hAnsi="宋体" w:eastAsia="宋体" w:cs="宋体"/>
          <w:color w:val="auto"/>
          <w:sz w:val="36"/>
          <w:szCs w:val="36"/>
          <w:highlight w:val="none"/>
        </w:rPr>
        <w:sectPr>
          <w:pgSz w:w="11907" w:h="16840"/>
          <w:pgMar w:top="1440" w:right="1440" w:bottom="1440" w:left="1440" w:header="720" w:footer="720" w:gutter="0"/>
          <w:cols w:space="720" w:num="1"/>
          <w:docGrid w:linePitch="286" w:charSpace="-3831"/>
        </w:sectPr>
      </w:pPr>
      <w:r>
        <w:rPr>
          <w:rFonts w:hint="eastAsia" w:ascii="宋体" w:hAnsi="宋体" w:eastAsia="宋体" w:cs="宋体"/>
          <w:color w:val="auto"/>
          <w:sz w:val="22"/>
          <w:szCs w:val="22"/>
          <w:highlight w:val="none"/>
        </w:rPr>
        <w:t>签订时间：                                签订地点：</w:t>
      </w:r>
    </w:p>
    <w:p w14:paraId="27C83E14">
      <w:pPr>
        <w:pStyle w:val="25"/>
        <w:adjustRightInd w:val="0"/>
        <w:snapToGrid w:val="0"/>
        <w:spacing w:afterLines="100" w:line="600" w:lineRule="atLeas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附件——响应文件格式</w:t>
      </w:r>
    </w:p>
    <w:p w14:paraId="3E25BD28">
      <w:pPr>
        <w:autoSpaceDE w:val="0"/>
        <w:autoSpaceDN w:val="0"/>
        <w:adjustRightInd w:val="0"/>
        <w:spacing w:line="460" w:lineRule="atLeas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一、资格文件格式</w:t>
      </w:r>
    </w:p>
    <w:p w14:paraId="1C5E2D81">
      <w:pPr>
        <w:autoSpaceDE w:val="0"/>
        <w:autoSpaceDN w:val="0"/>
        <w:adjustRightInd w:val="0"/>
        <w:spacing w:line="46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附件一</w:t>
      </w:r>
    </w:p>
    <w:p w14:paraId="7B222A35">
      <w:pPr>
        <w:tabs>
          <w:tab w:val="left" w:pos="1080"/>
        </w:tabs>
        <w:autoSpaceDE w:val="0"/>
        <w:autoSpaceDN w:val="0"/>
        <w:adjustRightInd w:val="0"/>
        <w:spacing w:line="46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磋商供应商参与政府采购活动投标资格声明函</w:t>
      </w:r>
    </w:p>
    <w:tbl>
      <w:tblPr>
        <w:tblStyle w:val="47"/>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30CF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75B32695">
            <w:pPr>
              <w:pStyle w:val="25"/>
              <w:adjustRightInd w:val="0"/>
              <w:snapToGrid w:val="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Pr>
          <w:p w14:paraId="21189503">
            <w:pPr>
              <w:pStyle w:val="25"/>
              <w:adjustRightInd w:val="0"/>
              <w:snapToGrid w:val="0"/>
              <w:spacing w:line="340" w:lineRule="exact"/>
              <w:ind w:left="422" w:firstLine="331"/>
              <w:rPr>
                <w:rFonts w:hint="eastAsia" w:ascii="宋体" w:hAnsi="宋体" w:eastAsia="宋体" w:cs="宋体"/>
                <w:color w:val="auto"/>
                <w:sz w:val="22"/>
                <w:szCs w:val="22"/>
                <w:highlight w:val="none"/>
              </w:rPr>
            </w:pPr>
          </w:p>
        </w:tc>
      </w:tr>
      <w:tr w14:paraId="32D8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72F36D96">
            <w:pPr>
              <w:pStyle w:val="25"/>
              <w:adjustRightInd w:val="0"/>
              <w:snapToGrid w:val="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采购编号</w:t>
            </w:r>
          </w:p>
        </w:tc>
        <w:tc>
          <w:tcPr>
            <w:tcW w:w="7992" w:type="dxa"/>
          </w:tcPr>
          <w:p w14:paraId="13D2F01F">
            <w:pPr>
              <w:pStyle w:val="25"/>
              <w:adjustRightInd w:val="0"/>
              <w:snapToGrid w:val="0"/>
              <w:spacing w:line="340" w:lineRule="exact"/>
              <w:ind w:left="422" w:firstLine="361"/>
              <w:rPr>
                <w:rFonts w:hint="eastAsia" w:ascii="宋体" w:hAnsi="宋体" w:eastAsia="宋体" w:cs="宋体"/>
                <w:color w:val="auto"/>
                <w:sz w:val="22"/>
                <w:szCs w:val="22"/>
                <w:highlight w:val="none"/>
              </w:rPr>
            </w:pPr>
          </w:p>
        </w:tc>
      </w:tr>
      <w:tr w14:paraId="07D2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D143B4A">
            <w:pPr>
              <w:pStyle w:val="25"/>
              <w:adjustRightInd w:val="0"/>
              <w:snapToGrid w:val="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7992" w:type="dxa"/>
          </w:tcPr>
          <w:p w14:paraId="6CD33063">
            <w:pPr>
              <w:pStyle w:val="25"/>
              <w:adjustRightInd w:val="0"/>
              <w:snapToGrid w:val="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响应文件提交截止时间前</w:t>
            </w:r>
          </w:p>
        </w:tc>
      </w:tr>
      <w:tr w14:paraId="7BDB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152E0440">
            <w:pPr>
              <w:pStyle w:val="25"/>
              <w:adjustRightInd w:val="0"/>
              <w:snapToGrid w:val="0"/>
              <w:spacing w:line="42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我单位参与本项目投标，现声明如下：</w:t>
            </w:r>
          </w:p>
          <w:p w14:paraId="01B2A807">
            <w:pPr>
              <w:pStyle w:val="25"/>
              <w:adjustRightInd w:val="0"/>
              <w:snapToGrid w:val="0"/>
              <w:spacing w:line="42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1、我单位符合政府采购法第二十二条规定。 </w:t>
            </w:r>
          </w:p>
          <w:p w14:paraId="6CE1B2FC">
            <w:pPr>
              <w:pStyle w:val="25"/>
              <w:adjustRightInd w:val="0"/>
              <w:snapToGrid w:val="0"/>
              <w:spacing w:line="42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ascii="宋体" w:hAnsi="宋体" w:eastAsia="宋体" w:cs="宋体"/>
                <w:color w:val="auto"/>
                <w:sz w:val="22"/>
                <w:szCs w:val="22"/>
                <w:highlight w:val="none"/>
                <w:u w:val="single"/>
              </w:rPr>
              <w:t>□存在/□不存在</w:t>
            </w:r>
            <w:r>
              <w:rPr>
                <w:rFonts w:hint="eastAsia" w:ascii="宋体" w:hAnsi="宋体" w:eastAsia="宋体" w:cs="宋体"/>
                <w:color w:val="auto"/>
                <w:sz w:val="22"/>
                <w:szCs w:val="22"/>
                <w:highlight w:val="none"/>
              </w:rPr>
              <w:t>上述文件规定依法限制参与政府采购的情况。（说明：在□上打√。）</w:t>
            </w:r>
          </w:p>
          <w:p w14:paraId="6FAD83A7">
            <w:pPr>
              <w:tabs>
                <w:tab w:val="center" w:pos="4483"/>
              </w:tabs>
              <w:adjustRightInd w:val="0"/>
              <w:spacing w:line="420" w:lineRule="exact"/>
              <w:ind w:firstLine="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3、我单位□没有被限制参加政府采购活动/□在参加政府采购活动前3年内因违法经营被禁止在一定期限内参加政府采购活动，但期限届满，已可以参加政府采购活动。（说明：在□上打√。）</w:t>
            </w:r>
          </w:p>
          <w:p w14:paraId="095629B4">
            <w:pPr>
              <w:tabs>
                <w:tab w:val="center" w:pos="4483"/>
              </w:tabs>
              <w:adjustRightInd w:val="0"/>
              <w:spacing w:line="420" w:lineRule="exact"/>
              <w:ind w:firstLine="400"/>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4、我单位参与本项目政府采购活动3年内其它重大违法记录（重大违法记录，是指磋商供应商因违法经营受到刑事处罚或者责令停产停业、吊销许可证或者执照、较大数额罚款等行政处罚）情况声明：</w:t>
            </w:r>
            <w:r>
              <w:rPr>
                <w:rFonts w:hint="eastAsia" w:ascii="宋体" w:hAnsi="宋体" w:cs="宋体"/>
                <w:color w:val="auto"/>
                <w:sz w:val="22"/>
                <w:szCs w:val="22"/>
                <w:highlight w:val="none"/>
                <w:u w:val="single"/>
                <w:lang w:val="en-US" w:eastAsia="zh-CN"/>
              </w:rPr>
              <w:t xml:space="preserve">          </w:t>
            </w:r>
          </w:p>
          <w:p w14:paraId="6EE9CB4F">
            <w:pPr>
              <w:tabs>
                <w:tab w:val="center" w:pos="4483"/>
              </w:tabs>
              <w:adjustRightInd w:val="0"/>
              <w:spacing w:line="420" w:lineRule="exact"/>
              <w:ind w:firstLine="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5、我单位符合本项目特定资格条件：</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的要求，并在响应文件中提供了相应的证明材料（采购文件没有要求特定资格条件的，本条款空格处可以空白）。</w:t>
            </w:r>
          </w:p>
          <w:p w14:paraId="730F7AEF">
            <w:pPr>
              <w:tabs>
                <w:tab w:val="center" w:pos="4483"/>
              </w:tabs>
              <w:adjustRightInd w:val="0"/>
              <w:spacing w:line="420" w:lineRule="exact"/>
              <w:ind w:firstLine="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6、我单位与参加本次项目同一合同项下政府采购活动的其他供应商不存在单位负责人为同一人或者直接控股、管理关系。</w:t>
            </w:r>
          </w:p>
          <w:p w14:paraId="187CC339">
            <w:pPr>
              <w:tabs>
                <w:tab w:val="center" w:pos="4483"/>
              </w:tabs>
              <w:adjustRightInd w:val="0"/>
              <w:spacing w:line="420" w:lineRule="exact"/>
              <w:ind w:firstLine="4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7、本公司所提交的声明和陈述均是真实的、准确的。若与真实情况不符，本公司愿意承担由此而产生的一切后果。</w:t>
            </w:r>
          </w:p>
        </w:tc>
      </w:tr>
      <w:tr w14:paraId="28E6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6D46DCE1">
            <w:pPr>
              <w:pStyle w:val="25"/>
              <w:adjustRightInd w:val="0"/>
              <w:snapToGrid w:val="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磋商供应商（公章）：</w:t>
            </w:r>
          </w:p>
        </w:tc>
      </w:tr>
      <w:tr w14:paraId="63CD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207D4733">
            <w:pPr>
              <w:pStyle w:val="25"/>
              <w:adjustRightInd w:val="0"/>
              <w:snapToGrid w:val="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法定代表人或其授权代表（签字或盖章）：</w:t>
            </w:r>
          </w:p>
        </w:tc>
      </w:tr>
      <w:tr w14:paraId="44B5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625E1F5E">
            <w:pPr>
              <w:pStyle w:val="25"/>
              <w:adjustRightInd w:val="0"/>
              <w:snapToGrid w:val="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签署日期：</w:t>
            </w:r>
          </w:p>
        </w:tc>
      </w:tr>
    </w:tbl>
    <w:p w14:paraId="270D0481">
      <w:pPr>
        <w:pStyle w:val="25"/>
        <w:adjustRightInd w:val="0"/>
        <w:snapToGrid w:val="0"/>
        <w:spacing w:line="460" w:lineRule="atLeast"/>
        <w:jc w:val="center"/>
        <w:rPr>
          <w:rFonts w:hint="eastAsia" w:ascii="宋体" w:hAnsi="宋体" w:eastAsia="宋体" w:cs="宋体"/>
          <w:color w:val="auto"/>
          <w:sz w:val="36"/>
          <w:szCs w:val="36"/>
          <w:highlight w:val="none"/>
        </w:rPr>
      </w:pPr>
    </w:p>
    <w:p w14:paraId="13C97618">
      <w:pPr>
        <w:pStyle w:val="25"/>
        <w:adjustRightInd w:val="0"/>
        <w:snapToGrid w:val="0"/>
        <w:spacing w:line="460" w:lineRule="atLeast"/>
        <w:jc w:val="center"/>
        <w:rPr>
          <w:rFonts w:hint="eastAsia" w:ascii="宋体" w:hAnsi="宋体" w:eastAsia="宋体" w:cs="宋体"/>
          <w:color w:val="auto"/>
          <w:sz w:val="36"/>
          <w:highlight w:val="none"/>
        </w:rPr>
      </w:pPr>
      <w:bookmarkStart w:id="215" w:name="_Toc493530212"/>
      <w:r>
        <w:rPr>
          <w:rFonts w:hint="eastAsia" w:ascii="宋体" w:hAnsi="宋体" w:eastAsia="宋体" w:cs="宋体"/>
          <w:color w:val="auto"/>
          <w:sz w:val="36"/>
          <w:highlight w:val="none"/>
        </w:rPr>
        <w:t>二、报价文件格式</w:t>
      </w:r>
    </w:p>
    <w:bookmarkEnd w:id="215"/>
    <w:p w14:paraId="5AFC1B08">
      <w:pPr>
        <w:autoSpaceDE w:val="0"/>
        <w:autoSpaceDN w:val="0"/>
        <w:adjustRightInd w:val="0"/>
        <w:spacing w:line="46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附件二</w:t>
      </w:r>
    </w:p>
    <w:p w14:paraId="7EB32519">
      <w:pPr>
        <w:pStyle w:val="2"/>
        <w:keepNext w:val="0"/>
        <w:spacing w:beforeLines="100" w:afterLines="100" w:line="400" w:lineRule="atLeast"/>
        <w:rPr>
          <w:rFonts w:hint="eastAsia" w:ascii="宋体" w:hAnsi="宋体" w:eastAsia="宋体" w:cs="宋体"/>
          <w:color w:val="auto"/>
          <w:sz w:val="30"/>
          <w:szCs w:val="30"/>
          <w:highlight w:val="none"/>
        </w:rPr>
      </w:pPr>
      <w:bookmarkStart w:id="216" w:name="_Toc23168116"/>
      <w:r>
        <w:rPr>
          <w:rFonts w:hint="eastAsia" w:ascii="宋体" w:hAnsi="宋体" w:eastAsia="宋体" w:cs="宋体"/>
          <w:color w:val="auto"/>
          <w:sz w:val="30"/>
          <w:szCs w:val="30"/>
          <w:highlight w:val="none"/>
        </w:rPr>
        <w:t>开标一览表</w:t>
      </w:r>
      <w:bookmarkEnd w:id="216"/>
      <w:r>
        <w:rPr>
          <w:rFonts w:hint="eastAsia" w:ascii="宋体" w:hAnsi="宋体" w:eastAsia="宋体" w:cs="宋体"/>
          <w:color w:val="auto"/>
          <w:sz w:val="30"/>
          <w:szCs w:val="30"/>
          <w:highlight w:val="none"/>
        </w:rPr>
        <w:t>（第一次报价）</w:t>
      </w:r>
    </w:p>
    <w:p w14:paraId="66C9EF8A">
      <w:pPr>
        <w:autoSpaceDE w:val="0"/>
        <w:autoSpaceDN w:val="0"/>
        <w:adjustRightInd w:val="0"/>
        <w:spacing w:line="460" w:lineRule="atLeast"/>
        <w:rPr>
          <w:rFonts w:hint="eastAsia" w:ascii="宋体" w:hAnsi="宋体" w:eastAsia="宋体" w:cs="宋体"/>
          <w:b/>
          <w:color w:val="auto"/>
          <w:sz w:val="22"/>
          <w:szCs w:val="22"/>
          <w:highlight w:val="none"/>
          <w:u w:val="single"/>
          <w:lang w:val="zh-CN"/>
        </w:rPr>
      </w:pPr>
      <w:r>
        <w:rPr>
          <w:rFonts w:hint="eastAsia" w:ascii="宋体" w:hAnsi="宋体" w:eastAsia="宋体" w:cs="宋体"/>
          <w:color w:val="auto"/>
          <w:sz w:val="22"/>
          <w:szCs w:val="22"/>
          <w:highlight w:val="none"/>
          <w:lang w:val="zh-CN"/>
        </w:rPr>
        <w:t>项目名称：                 采购编号：</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zh-CN"/>
        </w:rPr>
        <w:t>报价单位：</w:t>
      </w:r>
      <w:r>
        <w:rPr>
          <w:rFonts w:hint="eastAsia" w:ascii="宋体" w:hAnsi="宋体" w:eastAsia="宋体" w:cs="宋体"/>
          <w:color w:val="auto"/>
          <w:sz w:val="22"/>
          <w:szCs w:val="22"/>
          <w:highlight w:val="none"/>
          <w:u w:val="single"/>
          <w:lang w:val="zh-CN"/>
        </w:rPr>
        <w:t>人民币元</w:t>
      </w:r>
    </w:p>
    <w:tbl>
      <w:tblPr>
        <w:tblStyle w:val="47"/>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4827"/>
        <w:gridCol w:w="1733"/>
      </w:tblGrid>
      <w:tr w14:paraId="3B65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407" w:type="dxa"/>
            <w:vAlign w:val="center"/>
          </w:tcPr>
          <w:p w14:paraId="74952A4B">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w:t>
            </w:r>
          </w:p>
        </w:tc>
        <w:tc>
          <w:tcPr>
            <w:tcW w:w="4827" w:type="dxa"/>
            <w:vAlign w:val="center"/>
          </w:tcPr>
          <w:p w14:paraId="4CD0FFE1">
            <w:pPr>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报价</w:t>
            </w:r>
            <w:r>
              <w:rPr>
                <w:rFonts w:hint="eastAsia" w:ascii="宋体" w:hAnsi="宋体" w:eastAsia="宋体" w:cs="宋体"/>
                <w:bCs/>
                <w:color w:val="auto"/>
                <w:sz w:val="22"/>
                <w:szCs w:val="22"/>
                <w:highlight w:val="none"/>
              </w:rPr>
              <w:t>总价</w:t>
            </w:r>
          </w:p>
        </w:tc>
        <w:tc>
          <w:tcPr>
            <w:tcW w:w="1733" w:type="dxa"/>
            <w:vAlign w:val="center"/>
          </w:tcPr>
          <w:p w14:paraId="1C90822B">
            <w:pPr>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highlight w:val="none"/>
              </w:rPr>
              <w:t>服务期限</w:t>
            </w:r>
          </w:p>
        </w:tc>
      </w:tr>
      <w:tr w14:paraId="432F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trPr>
        <w:tc>
          <w:tcPr>
            <w:tcW w:w="2407" w:type="dxa"/>
            <w:vAlign w:val="center"/>
          </w:tcPr>
          <w:p w14:paraId="2ED33F5C">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eastAsia="zh-CN"/>
              </w:rPr>
              <w:t>乐清市人民医院电梯维保服务（第二次）</w:t>
            </w:r>
          </w:p>
        </w:tc>
        <w:tc>
          <w:tcPr>
            <w:tcW w:w="4827" w:type="dxa"/>
            <w:vAlign w:val="center"/>
          </w:tcPr>
          <w:p w14:paraId="5A4C2886">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大写：</w:t>
            </w:r>
          </w:p>
          <w:p w14:paraId="208A3B1C">
            <w:pPr>
              <w:pStyle w:val="45"/>
              <w:ind w:firstLine="220"/>
              <w:rPr>
                <w:rFonts w:hint="eastAsia" w:ascii="宋体" w:hAnsi="宋体" w:eastAsia="宋体" w:cs="宋体"/>
                <w:bCs/>
                <w:color w:val="auto"/>
                <w:sz w:val="22"/>
                <w:szCs w:val="22"/>
                <w:highlight w:val="none"/>
              </w:rPr>
            </w:pPr>
          </w:p>
          <w:p w14:paraId="030A17CE">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小写：</w:t>
            </w:r>
          </w:p>
        </w:tc>
        <w:tc>
          <w:tcPr>
            <w:tcW w:w="1733" w:type="dxa"/>
            <w:vAlign w:val="center"/>
          </w:tcPr>
          <w:p w14:paraId="63B9A0C9">
            <w:pPr>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highlight w:val="none"/>
              </w:rPr>
              <w:t>2年</w:t>
            </w:r>
          </w:p>
        </w:tc>
      </w:tr>
    </w:tbl>
    <w:p w14:paraId="3747414C">
      <w:pPr>
        <w:rPr>
          <w:rFonts w:hint="eastAsia" w:ascii="宋体" w:hAnsi="宋体" w:eastAsia="宋体" w:cs="宋体"/>
          <w:color w:val="auto"/>
          <w:highlight w:val="none"/>
        </w:rPr>
      </w:pPr>
    </w:p>
    <w:p w14:paraId="37EDE956">
      <w:pPr>
        <w:pStyle w:val="25"/>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注：</w:t>
      </w:r>
      <w:r>
        <w:rPr>
          <w:rFonts w:hint="eastAsia" w:ascii="宋体" w:hAnsi="宋体" w:eastAsia="宋体" w:cs="宋体"/>
          <w:color w:val="auto"/>
          <w:sz w:val="22"/>
          <w:szCs w:val="22"/>
          <w:highlight w:val="none"/>
        </w:rPr>
        <w:t>1、报价</w:t>
      </w:r>
      <w:r>
        <w:rPr>
          <w:rFonts w:hint="eastAsia" w:ascii="宋体" w:hAnsi="宋体" w:eastAsia="宋体" w:cs="宋体"/>
          <w:color w:val="auto"/>
          <w:sz w:val="22"/>
          <w:szCs w:val="22"/>
          <w:highlight w:val="none"/>
          <w:lang w:val="zh-CN"/>
        </w:rPr>
        <w:t>总价为符合竞争性磋商文件要求的所有费用</w:t>
      </w:r>
      <w:r>
        <w:rPr>
          <w:rFonts w:hint="eastAsia" w:ascii="宋体" w:hAnsi="宋体" w:eastAsia="宋体" w:cs="宋体"/>
          <w:color w:val="auto"/>
          <w:sz w:val="22"/>
          <w:szCs w:val="22"/>
          <w:highlight w:val="none"/>
        </w:rPr>
        <w:t>。</w:t>
      </w:r>
    </w:p>
    <w:p w14:paraId="48AF6503">
      <w:pPr>
        <w:pStyle w:val="25"/>
        <w:spacing w:line="460" w:lineRule="atLeast"/>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2、不提供此表格将被视为没有实质性响应竞争性</w:t>
      </w:r>
      <w:r>
        <w:rPr>
          <w:rFonts w:hint="eastAsia" w:hAnsi="宋体" w:cs="宋体"/>
          <w:color w:val="auto"/>
          <w:sz w:val="22"/>
          <w:szCs w:val="22"/>
          <w:highlight w:val="none"/>
          <w:lang w:val="zh-CN"/>
        </w:rPr>
        <w:t>磋商文件</w:t>
      </w:r>
      <w:r>
        <w:rPr>
          <w:rFonts w:hint="eastAsia" w:ascii="宋体" w:hAnsi="宋体" w:eastAsia="宋体" w:cs="宋体"/>
          <w:color w:val="auto"/>
          <w:sz w:val="22"/>
          <w:szCs w:val="22"/>
          <w:highlight w:val="none"/>
          <w:lang w:val="zh-CN"/>
        </w:rPr>
        <w:t>。</w:t>
      </w:r>
    </w:p>
    <w:p w14:paraId="092F6837">
      <w:pPr>
        <w:autoSpaceDE w:val="0"/>
        <w:autoSpaceDN w:val="0"/>
        <w:adjustRightInd w:val="0"/>
        <w:spacing w:line="460" w:lineRule="atLeast"/>
        <w:ind w:firstLine="442"/>
        <w:rPr>
          <w:rFonts w:hint="eastAsia" w:ascii="宋体" w:hAnsi="宋体" w:eastAsia="宋体" w:cs="宋体"/>
          <w:b/>
          <w:color w:val="auto"/>
          <w:sz w:val="22"/>
          <w:szCs w:val="22"/>
          <w:highlight w:val="none"/>
          <w:lang w:val="zh-CN"/>
        </w:rPr>
      </w:pPr>
    </w:p>
    <w:p w14:paraId="0462AB2F">
      <w:pPr>
        <w:autoSpaceDE w:val="0"/>
        <w:autoSpaceDN w:val="0"/>
        <w:adjustRightInd w:val="0"/>
        <w:spacing w:line="460" w:lineRule="atLeast"/>
        <w:ind w:firstLine="442"/>
        <w:rPr>
          <w:rFonts w:hint="eastAsia" w:ascii="宋体" w:hAnsi="宋体" w:eastAsia="宋体" w:cs="宋体"/>
          <w:b/>
          <w:color w:val="auto"/>
          <w:sz w:val="22"/>
          <w:szCs w:val="22"/>
          <w:highlight w:val="none"/>
          <w:lang w:val="zh-CN"/>
        </w:rPr>
      </w:pPr>
    </w:p>
    <w:p w14:paraId="2892C59B">
      <w:pPr>
        <w:pStyle w:val="34"/>
        <w:rPr>
          <w:rFonts w:hint="eastAsia" w:ascii="宋体" w:hAnsi="宋体" w:eastAsia="宋体" w:cs="宋体"/>
          <w:color w:val="auto"/>
          <w:highlight w:val="none"/>
        </w:rPr>
      </w:pPr>
    </w:p>
    <w:p w14:paraId="07127A8C">
      <w:pPr>
        <w:pStyle w:val="34"/>
        <w:rPr>
          <w:rFonts w:hint="eastAsia" w:ascii="宋体" w:hAnsi="宋体" w:eastAsia="宋体" w:cs="宋体"/>
          <w:color w:val="auto"/>
          <w:highlight w:val="none"/>
        </w:rPr>
      </w:pPr>
    </w:p>
    <w:p w14:paraId="0A7A0F22">
      <w:pPr>
        <w:pStyle w:val="25"/>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磋商</w:t>
      </w:r>
      <w:r>
        <w:rPr>
          <w:rFonts w:hint="eastAsia" w:ascii="宋体" w:hAnsi="宋体" w:eastAsia="宋体" w:cs="宋体"/>
          <w:color w:val="auto"/>
          <w:sz w:val="22"/>
          <w:szCs w:val="22"/>
          <w:highlight w:val="none"/>
        </w:rPr>
        <w:t>供应商（盖章）：</w:t>
      </w:r>
    </w:p>
    <w:p w14:paraId="08B1491C">
      <w:pPr>
        <w:pStyle w:val="25"/>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法定代表人或授权代表（签字或盖章）</w:t>
      </w:r>
      <w:r>
        <w:rPr>
          <w:rFonts w:hint="eastAsia" w:ascii="宋体" w:hAnsi="宋体" w:eastAsia="宋体" w:cs="宋体"/>
          <w:color w:val="auto"/>
          <w:sz w:val="22"/>
          <w:szCs w:val="22"/>
          <w:highlight w:val="none"/>
        </w:rPr>
        <w:t>：</w:t>
      </w:r>
    </w:p>
    <w:p w14:paraId="687D76DA">
      <w:pPr>
        <w:pStyle w:val="25"/>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0A2AF5A3">
      <w:pPr>
        <w:pStyle w:val="34"/>
        <w:rPr>
          <w:rFonts w:hint="eastAsia" w:ascii="宋体" w:hAnsi="宋体" w:eastAsia="宋体" w:cs="宋体"/>
          <w:color w:val="auto"/>
          <w:highlight w:val="none"/>
        </w:rPr>
      </w:pPr>
    </w:p>
    <w:p w14:paraId="5B5FE255">
      <w:pPr>
        <w:autoSpaceDE w:val="0"/>
        <w:autoSpaceDN w:val="0"/>
        <w:adjustRightInd w:val="0"/>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r>
        <w:rPr>
          <w:rFonts w:hint="eastAsia" w:ascii="宋体" w:hAnsi="宋体" w:eastAsia="宋体" w:cs="宋体"/>
          <w:color w:val="auto"/>
          <w:sz w:val="22"/>
          <w:szCs w:val="22"/>
          <w:highlight w:val="none"/>
          <w:lang w:val="zh-CN"/>
        </w:rPr>
        <w:t>附件</w:t>
      </w:r>
      <w:bookmarkStart w:id="217" w:name="_Toc157410896"/>
      <w:r>
        <w:rPr>
          <w:rFonts w:hint="eastAsia" w:ascii="宋体" w:hAnsi="宋体" w:eastAsia="宋体" w:cs="宋体"/>
          <w:color w:val="auto"/>
          <w:sz w:val="22"/>
          <w:szCs w:val="22"/>
          <w:highlight w:val="none"/>
          <w:lang w:val="zh-CN"/>
        </w:rPr>
        <w:t>三（</w:t>
      </w:r>
      <w:r>
        <w:rPr>
          <w:rFonts w:hint="eastAsia" w:ascii="宋体" w:hAnsi="宋体" w:eastAsia="宋体" w:cs="宋体"/>
          <w:color w:val="auto"/>
          <w:sz w:val="22"/>
          <w:szCs w:val="22"/>
          <w:highlight w:val="none"/>
        </w:rPr>
        <w:t>一）</w:t>
      </w:r>
    </w:p>
    <w:p w14:paraId="323A9869">
      <w:pPr>
        <w:spacing w:line="360" w:lineRule="auto"/>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分项报价表</w:t>
      </w:r>
    </w:p>
    <w:p w14:paraId="3190243A">
      <w:pPr>
        <w:autoSpaceDE w:val="0"/>
        <w:autoSpaceDN w:val="0"/>
        <w:adjustRightInd w:val="0"/>
        <w:spacing w:line="460" w:lineRule="atLeast"/>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lang w:val="zh-CN"/>
        </w:rPr>
        <w:t>项目名称：                       采购编号：</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zh-CN"/>
        </w:rPr>
        <w:t>报价单位：</w:t>
      </w:r>
      <w:r>
        <w:rPr>
          <w:rFonts w:hint="eastAsia" w:ascii="宋体" w:hAnsi="宋体" w:eastAsia="宋体" w:cs="宋体"/>
          <w:color w:val="auto"/>
          <w:sz w:val="22"/>
          <w:szCs w:val="22"/>
          <w:highlight w:val="none"/>
          <w:u w:val="single"/>
          <w:lang w:val="zh-CN"/>
        </w:rPr>
        <w:t>人民币元</w:t>
      </w:r>
    </w:p>
    <w:bookmarkEnd w:id="217"/>
    <w:tbl>
      <w:tblPr>
        <w:tblStyle w:val="47"/>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432"/>
        <w:gridCol w:w="1447"/>
        <w:gridCol w:w="1603"/>
        <w:gridCol w:w="1578"/>
        <w:gridCol w:w="1561"/>
      </w:tblGrid>
      <w:tr w14:paraId="198C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66EE5CD3">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2432" w:type="dxa"/>
            <w:tcBorders>
              <w:top w:val="single" w:color="auto" w:sz="4" w:space="0"/>
              <w:left w:val="single" w:color="auto" w:sz="4" w:space="0"/>
              <w:bottom w:val="single" w:color="auto" w:sz="4" w:space="0"/>
              <w:right w:val="single" w:color="auto" w:sz="4" w:space="0"/>
            </w:tcBorders>
            <w:noWrap/>
            <w:vAlign w:val="center"/>
          </w:tcPr>
          <w:p w14:paraId="23D9D10D">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项目内容</w:t>
            </w:r>
          </w:p>
        </w:tc>
        <w:tc>
          <w:tcPr>
            <w:tcW w:w="1447" w:type="dxa"/>
            <w:tcBorders>
              <w:top w:val="single" w:color="auto" w:sz="4" w:space="0"/>
              <w:left w:val="single" w:color="auto" w:sz="4" w:space="0"/>
              <w:bottom w:val="single" w:color="auto" w:sz="4" w:space="0"/>
              <w:right w:val="single" w:color="auto" w:sz="4" w:space="0"/>
            </w:tcBorders>
            <w:noWrap/>
            <w:vAlign w:val="center"/>
          </w:tcPr>
          <w:p w14:paraId="1037B69C">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数量</w:t>
            </w:r>
          </w:p>
        </w:tc>
        <w:tc>
          <w:tcPr>
            <w:tcW w:w="1603" w:type="dxa"/>
            <w:tcBorders>
              <w:top w:val="single" w:color="auto" w:sz="4" w:space="0"/>
              <w:left w:val="single" w:color="auto" w:sz="4" w:space="0"/>
              <w:bottom w:val="single" w:color="auto" w:sz="4" w:space="0"/>
              <w:right w:val="single" w:color="auto" w:sz="4" w:space="0"/>
            </w:tcBorders>
            <w:noWrap/>
            <w:vAlign w:val="center"/>
          </w:tcPr>
          <w:p w14:paraId="3FB212E3">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单位</w:t>
            </w:r>
          </w:p>
        </w:tc>
        <w:tc>
          <w:tcPr>
            <w:tcW w:w="1578" w:type="dxa"/>
            <w:tcBorders>
              <w:top w:val="single" w:color="auto" w:sz="4" w:space="0"/>
              <w:left w:val="single" w:color="auto" w:sz="4" w:space="0"/>
              <w:bottom w:val="single" w:color="auto" w:sz="4" w:space="0"/>
              <w:right w:val="single" w:color="auto" w:sz="4" w:space="0"/>
            </w:tcBorders>
            <w:noWrap/>
            <w:vAlign w:val="center"/>
          </w:tcPr>
          <w:p w14:paraId="505C23AC">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单价</w:t>
            </w:r>
          </w:p>
        </w:tc>
        <w:tc>
          <w:tcPr>
            <w:tcW w:w="1561" w:type="dxa"/>
            <w:tcBorders>
              <w:top w:val="single" w:color="auto" w:sz="4" w:space="0"/>
              <w:left w:val="single" w:color="auto" w:sz="4" w:space="0"/>
              <w:bottom w:val="single" w:color="auto" w:sz="4" w:space="0"/>
              <w:right w:val="single" w:color="auto" w:sz="4" w:space="0"/>
            </w:tcBorders>
            <w:noWrap/>
            <w:vAlign w:val="center"/>
          </w:tcPr>
          <w:p w14:paraId="04349AA0">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合价</w:t>
            </w:r>
          </w:p>
        </w:tc>
      </w:tr>
      <w:tr w14:paraId="27AC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228216B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4F0551C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084C9B9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44A40C0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3609871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4B93F10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61E7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1EB41AA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50652FB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043470D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2726491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4D4379B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448C6DE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6A56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6A0A083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31911D0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2574C5D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56F90C5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75FF969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382B7CF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6C1B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207F2B6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48F8335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2AFE151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1D4E65D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3FD7E0C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383B33B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085C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3840D6F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7DE51C2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44E273F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36B2531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49E5D0B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60A594C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5CBD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6F98A14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00E1087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480AFD4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4E6AD81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47C15DA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521C107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465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743B069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2722BC0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5A2FC32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2FECB8D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0B1E237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1E3F55B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08F8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55DE684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69E80E4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2CC1B0E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205EC5D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15EC97B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643C961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512E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503E9D8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4F8C23C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0EBC119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5667BB6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76BEB4B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6AE62FE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6B22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67E65C3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64DDA7E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386F8A4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384E1C5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2A25796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719DBF8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0DE7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51597F9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432" w:type="dxa"/>
            <w:tcBorders>
              <w:top w:val="single" w:color="auto" w:sz="4" w:space="0"/>
              <w:left w:val="single" w:color="auto" w:sz="4" w:space="0"/>
              <w:bottom w:val="single" w:color="auto" w:sz="4" w:space="0"/>
              <w:right w:val="single" w:color="auto" w:sz="4" w:space="0"/>
            </w:tcBorders>
            <w:noWrap/>
            <w:vAlign w:val="center"/>
          </w:tcPr>
          <w:p w14:paraId="68D6D37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67D9751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03" w:type="dxa"/>
            <w:tcBorders>
              <w:top w:val="single" w:color="auto" w:sz="4" w:space="0"/>
              <w:left w:val="single" w:color="auto" w:sz="4" w:space="0"/>
              <w:bottom w:val="single" w:color="auto" w:sz="4" w:space="0"/>
              <w:right w:val="single" w:color="auto" w:sz="4" w:space="0"/>
            </w:tcBorders>
            <w:noWrap/>
          </w:tcPr>
          <w:p w14:paraId="3D80F82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2D5E8AA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561" w:type="dxa"/>
            <w:tcBorders>
              <w:top w:val="single" w:color="auto" w:sz="4" w:space="0"/>
              <w:left w:val="single" w:color="auto" w:sz="4" w:space="0"/>
              <w:bottom w:val="single" w:color="auto" w:sz="4" w:space="0"/>
              <w:right w:val="single" w:color="auto" w:sz="4" w:space="0"/>
            </w:tcBorders>
            <w:noWrap/>
            <w:vAlign w:val="center"/>
          </w:tcPr>
          <w:p w14:paraId="5415825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58E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78B1B55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7060" w:type="dxa"/>
            <w:gridSpan w:val="4"/>
            <w:tcBorders>
              <w:top w:val="single" w:color="auto" w:sz="4" w:space="0"/>
              <w:left w:val="single" w:color="auto" w:sz="4" w:space="0"/>
              <w:bottom w:val="single" w:color="auto" w:sz="4" w:space="0"/>
              <w:right w:val="single" w:color="auto" w:sz="4" w:space="0"/>
            </w:tcBorders>
            <w:noWrap/>
            <w:vAlign w:val="center"/>
          </w:tcPr>
          <w:p w14:paraId="426B5E15">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1年合计报价</w:t>
            </w:r>
          </w:p>
        </w:tc>
        <w:tc>
          <w:tcPr>
            <w:tcW w:w="1561" w:type="dxa"/>
            <w:tcBorders>
              <w:top w:val="single" w:color="auto" w:sz="4" w:space="0"/>
              <w:left w:val="single" w:color="auto" w:sz="4" w:space="0"/>
              <w:bottom w:val="single" w:color="auto" w:sz="4" w:space="0"/>
              <w:right w:val="single" w:color="auto" w:sz="4" w:space="0"/>
            </w:tcBorders>
            <w:noWrap/>
            <w:vAlign w:val="center"/>
          </w:tcPr>
          <w:p w14:paraId="5BC4FC3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40EC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2A2600C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7060" w:type="dxa"/>
            <w:gridSpan w:val="4"/>
            <w:tcBorders>
              <w:top w:val="single" w:color="auto" w:sz="4" w:space="0"/>
              <w:left w:val="single" w:color="auto" w:sz="4" w:space="0"/>
              <w:bottom w:val="single" w:color="auto" w:sz="4" w:space="0"/>
              <w:right w:val="single" w:color="auto" w:sz="4" w:space="0"/>
            </w:tcBorders>
            <w:noWrap/>
            <w:vAlign w:val="center"/>
          </w:tcPr>
          <w:p w14:paraId="168325E7">
            <w:pPr>
              <w:autoSpaceDE w:val="0"/>
              <w:autoSpaceDN w:val="0"/>
              <w:adjustRightInd w:val="0"/>
              <w:spacing w:line="460" w:lineRule="atLeast"/>
              <w:jc w:val="center"/>
              <w:rPr>
                <w:rFonts w:hint="eastAsia" w:ascii="宋体" w:hAnsi="宋体" w:eastAsia="宋体" w:cs="宋体"/>
                <w:color w:val="auto"/>
                <w:kern w:val="0"/>
                <w:sz w:val="22"/>
                <w:szCs w:val="22"/>
                <w:highlight w:val="none"/>
                <w:lang w:val="zh-CN"/>
              </w:rPr>
            </w:pPr>
            <w:r>
              <w:rPr>
                <w:rFonts w:hint="eastAsia" w:ascii="宋体" w:hAnsi="宋体" w:eastAsia="宋体" w:cs="宋体"/>
                <w:bCs/>
                <w:color w:val="auto"/>
                <w:kern w:val="0"/>
                <w:sz w:val="22"/>
                <w:szCs w:val="22"/>
                <w:highlight w:val="none"/>
              </w:rPr>
              <w:t>2年合计报价</w:t>
            </w:r>
          </w:p>
        </w:tc>
        <w:tc>
          <w:tcPr>
            <w:tcW w:w="1561" w:type="dxa"/>
            <w:tcBorders>
              <w:top w:val="single" w:color="auto" w:sz="4" w:space="0"/>
              <w:left w:val="single" w:color="auto" w:sz="4" w:space="0"/>
              <w:bottom w:val="single" w:color="auto" w:sz="4" w:space="0"/>
              <w:right w:val="single" w:color="auto" w:sz="4" w:space="0"/>
            </w:tcBorders>
            <w:noWrap/>
            <w:vAlign w:val="center"/>
          </w:tcPr>
          <w:p w14:paraId="0A8FCA4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bl>
    <w:p w14:paraId="1321B9F5">
      <w:pPr>
        <w:spacing w:afterLines="50" w:line="340" w:lineRule="exact"/>
        <w:ind w:left="10" w:right="273" w:rightChars="130" w:firstLine="409" w:firstLineChars="18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注：1、此表内“</w:t>
      </w:r>
      <w:r>
        <w:rPr>
          <w:rFonts w:hint="eastAsia" w:ascii="宋体" w:hAnsi="宋体" w:eastAsia="宋体" w:cs="宋体"/>
          <w:bCs/>
          <w:color w:val="auto"/>
          <w:kern w:val="0"/>
          <w:sz w:val="22"/>
          <w:szCs w:val="22"/>
          <w:highlight w:val="none"/>
        </w:rPr>
        <w:t>2年合计报价</w:t>
      </w:r>
      <w:r>
        <w:rPr>
          <w:rFonts w:hint="eastAsia" w:ascii="宋体" w:hAnsi="宋体" w:eastAsia="宋体" w:cs="宋体"/>
          <w:color w:val="auto"/>
          <w:sz w:val="22"/>
          <w:szCs w:val="22"/>
          <w:highlight w:val="none"/>
        </w:rPr>
        <w:t>”应与 “开标一览表”中的“报价总价”相一致。</w:t>
      </w:r>
    </w:p>
    <w:p w14:paraId="05A95423">
      <w:pPr>
        <w:spacing w:afterLines="50" w:line="340" w:lineRule="exact"/>
        <w:ind w:left="10" w:right="25" w:rightChars="12" w:firstLine="409" w:firstLineChars="18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2、此表为第一次报价，签订合同时各分项报价按最终报价/第一次报价，按此比例下浮。</w:t>
      </w:r>
    </w:p>
    <w:p w14:paraId="1F9D6B99">
      <w:pPr>
        <w:spacing w:afterLines="50" w:line="340" w:lineRule="exact"/>
        <w:ind w:left="10" w:right="273" w:rightChars="130" w:firstLine="409" w:firstLineChars="18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3、不提供此表格将被视为没有实质性响应</w:t>
      </w:r>
      <w:r>
        <w:rPr>
          <w:rFonts w:hint="eastAsia" w:ascii="宋体" w:hAnsi="宋体" w:cs="宋体"/>
          <w:color w:val="auto"/>
          <w:sz w:val="22"/>
          <w:szCs w:val="22"/>
          <w:highlight w:val="none"/>
          <w:lang w:eastAsia="zh-CN"/>
        </w:rPr>
        <w:t>磋商文件</w:t>
      </w:r>
      <w:r>
        <w:rPr>
          <w:rFonts w:hint="eastAsia" w:ascii="宋体" w:hAnsi="宋体" w:eastAsia="宋体" w:cs="宋体"/>
          <w:color w:val="auto"/>
          <w:sz w:val="22"/>
          <w:szCs w:val="22"/>
          <w:highlight w:val="none"/>
        </w:rPr>
        <w:t>。</w:t>
      </w:r>
    </w:p>
    <w:p w14:paraId="594627A1">
      <w:pPr>
        <w:spacing w:afterLines="50" w:line="340" w:lineRule="exact"/>
        <w:ind w:left="10" w:right="273" w:rightChars="130" w:firstLine="409" w:firstLineChars="186"/>
        <w:rPr>
          <w:rFonts w:hint="eastAsia" w:ascii="宋体" w:hAnsi="宋体" w:eastAsia="宋体" w:cs="宋体"/>
          <w:color w:val="auto"/>
          <w:sz w:val="22"/>
          <w:szCs w:val="22"/>
          <w:highlight w:val="none"/>
        </w:rPr>
      </w:pPr>
    </w:p>
    <w:p w14:paraId="100BF6E2">
      <w:pPr>
        <w:pStyle w:val="25"/>
        <w:spacing w:line="460" w:lineRule="atLeast"/>
        <w:ind w:left="10" w:firstLine="409" w:firstLineChars="186"/>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zh-CN"/>
        </w:rPr>
        <w:t>磋商</w:t>
      </w:r>
      <w:r>
        <w:rPr>
          <w:rFonts w:hint="eastAsia" w:ascii="宋体" w:hAnsi="宋体" w:eastAsia="宋体" w:cs="宋体"/>
          <w:color w:val="auto"/>
          <w:sz w:val="22"/>
          <w:szCs w:val="22"/>
          <w:highlight w:val="none"/>
        </w:rPr>
        <w:t>供应商（盖章）：</w:t>
      </w:r>
    </w:p>
    <w:p w14:paraId="581617CA">
      <w:pPr>
        <w:pStyle w:val="25"/>
        <w:spacing w:line="460" w:lineRule="atLeast"/>
        <w:ind w:left="10" w:firstLine="409" w:firstLineChars="186"/>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zh-CN"/>
        </w:rPr>
        <w:t>法定代表人或</w:t>
      </w:r>
      <w:r>
        <w:rPr>
          <w:rFonts w:hint="eastAsia" w:ascii="宋体" w:hAnsi="宋体" w:eastAsia="宋体" w:cs="宋体"/>
          <w:color w:val="auto"/>
          <w:sz w:val="22"/>
          <w:szCs w:val="22"/>
          <w:highlight w:val="none"/>
        </w:rPr>
        <w:t>其</w:t>
      </w:r>
      <w:r>
        <w:rPr>
          <w:rFonts w:hint="eastAsia" w:ascii="宋体" w:hAnsi="宋体" w:eastAsia="宋体" w:cs="宋体"/>
          <w:color w:val="auto"/>
          <w:sz w:val="22"/>
          <w:szCs w:val="22"/>
          <w:highlight w:val="none"/>
          <w:lang w:val="zh-CN"/>
        </w:rPr>
        <w:t>授权代表（签字或盖章）</w:t>
      </w:r>
      <w:r>
        <w:rPr>
          <w:rFonts w:hint="eastAsia" w:ascii="宋体" w:hAnsi="宋体" w:eastAsia="宋体" w:cs="宋体"/>
          <w:color w:val="auto"/>
          <w:sz w:val="22"/>
          <w:szCs w:val="22"/>
          <w:highlight w:val="none"/>
        </w:rPr>
        <w:t>：</w:t>
      </w:r>
    </w:p>
    <w:p w14:paraId="008C2FAD">
      <w:pPr>
        <w:pStyle w:val="25"/>
        <w:spacing w:line="460" w:lineRule="atLeast"/>
        <w:ind w:left="10" w:firstLine="409" w:firstLineChars="186"/>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p>
    <w:p w14:paraId="0868F906">
      <w:pPr>
        <w:pStyle w:val="25"/>
        <w:spacing w:line="460" w:lineRule="atLeast"/>
        <w:ind w:left="10" w:firstLine="409" w:firstLineChars="186"/>
        <w:rPr>
          <w:rFonts w:hint="eastAsia" w:ascii="宋体" w:hAnsi="宋体" w:eastAsia="宋体" w:cs="宋体"/>
          <w:color w:val="auto"/>
          <w:sz w:val="22"/>
          <w:szCs w:val="22"/>
          <w:highlight w:val="none"/>
        </w:rPr>
      </w:pPr>
    </w:p>
    <w:p w14:paraId="57F5E181">
      <w:pPr>
        <w:pStyle w:val="25"/>
        <w:spacing w:line="460" w:lineRule="atLeast"/>
        <w:ind w:left="10" w:firstLine="409" w:firstLineChars="186"/>
        <w:rPr>
          <w:rFonts w:hint="eastAsia" w:ascii="宋体" w:hAnsi="宋体" w:eastAsia="宋体" w:cs="宋体"/>
          <w:color w:val="auto"/>
          <w:sz w:val="22"/>
          <w:szCs w:val="22"/>
          <w:highlight w:val="none"/>
        </w:rPr>
      </w:pPr>
    </w:p>
    <w:p w14:paraId="6AECBB86">
      <w:pPr>
        <w:pStyle w:val="25"/>
        <w:spacing w:line="460" w:lineRule="atLeast"/>
        <w:ind w:left="10" w:firstLine="409" w:firstLineChars="186"/>
        <w:rPr>
          <w:rFonts w:hint="eastAsia" w:ascii="宋体" w:hAnsi="宋体" w:eastAsia="宋体" w:cs="宋体"/>
          <w:color w:val="auto"/>
          <w:sz w:val="22"/>
          <w:szCs w:val="22"/>
          <w:highlight w:val="none"/>
        </w:rPr>
      </w:pPr>
    </w:p>
    <w:p w14:paraId="48F0F45D">
      <w:pPr>
        <w:autoSpaceDE w:val="0"/>
        <w:autoSpaceDN w:val="0"/>
        <w:adjustRightInd w:val="0"/>
        <w:spacing w:line="46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附件三（二）</w:t>
      </w:r>
    </w:p>
    <w:p w14:paraId="6A82C5E6">
      <w:pPr>
        <w:autoSpaceDE w:val="0"/>
        <w:autoSpaceDN w:val="0"/>
        <w:adjustRightInd w:val="0"/>
        <w:spacing w:afterLines="50" w:line="460" w:lineRule="atLeast"/>
        <w:jc w:val="center"/>
        <w:rPr>
          <w:rFonts w:hint="eastAsia" w:ascii="宋体" w:hAnsi="宋体" w:eastAsia="宋体" w:cs="宋体"/>
          <w:color w:val="auto"/>
          <w:kern w:val="0"/>
          <w:sz w:val="36"/>
          <w:szCs w:val="20"/>
          <w:highlight w:val="none"/>
          <w:lang w:val="zh-CN"/>
        </w:rPr>
      </w:pPr>
      <w:r>
        <w:rPr>
          <w:rFonts w:hint="eastAsia" w:ascii="宋体" w:hAnsi="宋体" w:eastAsia="宋体" w:cs="宋体"/>
          <w:color w:val="auto"/>
          <w:kern w:val="0"/>
          <w:sz w:val="36"/>
          <w:szCs w:val="20"/>
          <w:highlight w:val="none"/>
          <w:lang w:val="zh-CN"/>
        </w:rPr>
        <w:t>200元内的耗材及配件清单</w:t>
      </w:r>
    </w:p>
    <w:p w14:paraId="54E378C8">
      <w:pPr>
        <w:autoSpaceDE w:val="0"/>
        <w:autoSpaceDN w:val="0"/>
        <w:adjustRightInd w:val="0"/>
        <w:spacing w:line="460" w:lineRule="atLeast"/>
        <w:jc w:val="left"/>
        <w:rPr>
          <w:rFonts w:hint="eastAsia" w:ascii="宋体" w:hAnsi="宋体" w:eastAsia="宋体" w:cs="宋体"/>
          <w:bCs/>
          <w:color w:val="auto"/>
          <w:kern w:val="0"/>
          <w:sz w:val="22"/>
          <w:szCs w:val="22"/>
          <w:highlight w:val="none"/>
          <w:u w:val="single"/>
        </w:rPr>
      </w:pPr>
      <w:r>
        <w:rPr>
          <w:rFonts w:hint="eastAsia" w:ascii="宋体" w:hAnsi="宋体" w:eastAsia="宋体" w:cs="宋体"/>
          <w:bCs/>
          <w:color w:val="auto"/>
          <w:kern w:val="0"/>
          <w:sz w:val="22"/>
          <w:szCs w:val="22"/>
          <w:highlight w:val="none"/>
        </w:rPr>
        <w:t xml:space="preserve">项目名称：                    </w:t>
      </w:r>
      <w:r>
        <w:rPr>
          <w:rFonts w:hint="eastAsia" w:ascii="宋体" w:hAnsi="宋体" w:cs="宋体"/>
          <w:bCs/>
          <w:color w:val="auto"/>
          <w:kern w:val="0"/>
          <w:sz w:val="22"/>
          <w:szCs w:val="22"/>
          <w:highlight w:val="none"/>
          <w:lang w:eastAsia="zh-CN"/>
        </w:rPr>
        <w:t>采购</w:t>
      </w:r>
      <w:r>
        <w:rPr>
          <w:rFonts w:hint="eastAsia" w:ascii="宋体" w:hAnsi="宋体" w:eastAsia="宋体" w:cs="宋体"/>
          <w:bCs/>
          <w:color w:val="auto"/>
          <w:kern w:val="0"/>
          <w:sz w:val="22"/>
          <w:szCs w:val="22"/>
          <w:highlight w:val="none"/>
        </w:rPr>
        <w:t xml:space="preserve">编号：                     </w:t>
      </w:r>
    </w:p>
    <w:tbl>
      <w:tblPr>
        <w:tblStyle w:val="47"/>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231"/>
        <w:gridCol w:w="1493"/>
        <w:gridCol w:w="1493"/>
        <w:gridCol w:w="1610"/>
      </w:tblGrid>
      <w:tr w14:paraId="0FC6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15" w:type="dxa"/>
            <w:tcBorders>
              <w:top w:val="single" w:color="auto" w:sz="4" w:space="0"/>
              <w:left w:val="single" w:color="auto" w:sz="4" w:space="0"/>
              <w:bottom w:val="single" w:color="auto" w:sz="4" w:space="0"/>
              <w:right w:val="single" w:color="auto" w:sz="4" w:space="0"/>
            </w:tcBorders>
            <w:noWrap/>
            <w:vAlign w:val="center"/>
          </w:tcPr>
          <w:p w14:paraId="7E4691EE">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3231" w:type="dxa"/>
            <w:tcBorders>
              <w:top w:val="single" w:color="auto" w:sz="4" w:space="0"/>
              <w:left w:val="single" w:color="auto" w:sz="4" w:space="0"/>
              <w:bottom w:val="single" w:color="auto" w:sz="4" w:space="0"/>
              <w:right w:val="single" w:color="auto" w:sz="4" w:space="0"/>
            </w:tcBorders>
            <w:noWrap/>
            <w:vAlign w:val="center"/>
          </w:tcPr>
          <w:p w14:paraId="5DFBA4A9">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耗材及配件名称</w:t>
            </w:r>
          </w:p>
        </w:tc>
        <w:tc>
          <w:tcPr>
            <w:tcW w:w="1493" w:type="dxa"/>
            <w:tcBorders>
              <w:top w:val="single" w:color="auto" w:sz="4" w:space="0"/>
              <w:left w:val="single" w:color="auto" w:sz="4" w:space="0"/>
              <w:bottom w:val="single" w:color="auto" w:sz="4" w:space="0"/>
              <w:right w:val="single" w:color="auto" w:sz="4" w:space="0"/>
            </w:tcBorders>
            <w:noWrap/>
            <w:vAlign w:val="center"/>
          </w:tcPr>
          <w:p w14:paraId="34F0B6D3">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品牌/产地</w:t>
            </w:r>
          </w:p>
        </w:tc>
        <w:tc>
          <w:tcPr>
            <w:tcW w:w="1493" w:type="dxa"/>
            <w:tcBorders>
              <w:top w:val="single" w:color="auto" w:sz="4" w:space="0"/>
              <w:left w:val="single" w:color="auto" w:sz="4" w:space="0"/>
              <w:bottom w:val="single" w:color="auto" w:sz="4" w:space="0"/>
              <w:right w:val="single" w:color="auto" w:sz="4" w:space="0"/>
            </w:tcBorders>
            <w:noWrap/>
            <w:vAlign w:val="center"/>
          </w:tcPr>
          <w:p w14:paraId="25062064">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规格型号</w:t>
            </w:r>
          </w:p>
        </w:tc>
        <w:tc>
          <w:tcPr>
            <w:tcW w:w="1610" w:type="dxa"/>
            <w:tcBorders>
              <w:top w:val="single" w:color="auto" w:sz="4" w:space="0"/>
              <w:left w:val="single" w:color="auto" w:sz="4" w:space="0"/>
              <w:bottom w:val="single" w:color="auto" w:sz="4" w:space="0"/>
              <w:right w:val="single" w:color="auto" w:sz="4" w:space="0"/>
            </w:tcBorders>
            <w:noWrap/>
            <w:vAlign w:val="center"/>
          </w:tcPr>
          <w:p w14:paraId="1103B903">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备注</w:t>
            </w:r>
          </w:p>
        </w:tc>
      </w:tr>
      <w:tr w14:paraId="36F1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1344E1F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6FCFC22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11BECA8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79752B7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111ABD9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0B8A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318E00D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5142E3B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7CF9F15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1B606A4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741176E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7349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7933F34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63BA464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62A44DB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44711DE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3369C8F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0956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3506FA3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66AA42F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108866A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64ADAD7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0DEC0C3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6F1B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78B2290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77B8C45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1CC4BF0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5CE4806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3FD9366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2BD9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61DB272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36F3E7D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0255CFC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4A39193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0194563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3B16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306B825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7A81ED7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4BA1239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155935F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4E31407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7C92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0AFEBD5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6537E4E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0008049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20D4052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50E1776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70F4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3AC51DF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4D0344E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43CC162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775D6E2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24AA2F6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6A76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055AECC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4406947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6543933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494E8ED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529026F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3E90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5" w:type="dxa"/>
            <w:tcBorders>
              <w:top w:val="single" w:color="auto" w:sz="4" w:space="0"/>
              <w:left w:val="single" w:color="auto" w:sz="4" w:space="0"/>
              <w:bottom w:val="single" w:color="auto" w:sz="4" w:space="0"/>
              <w:right w:val="single" w:color="auto" w:sz="4" w:space="0"/>
            </w:tcBorders>
            <w:noWrap/>
          </w:tcPr>
          <w:p w14:paraId="7FEB5DB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3231" w:type="dxa"/>
            <w:tcBorders>
              <w:top w:val="single" w:color="auto" w:sz="4" w:space="0"/>
              <w:left w:val="single" w:color="auto" w:sz="4" w:space="0"/>
              <w:bottom w:val="single" w:color="auto" w:sz="4" w:space="0"/>
              <w:right w:val="single" w:color="auto" w:sz="4" w:space="0"/>
            </w:tcBorders>
            <w:noWrap/>
            <w:vAlign w:val="center"/>
          </w:tcPr>
          <w:p w14:paraId="3B3C99E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tcPr>
          <w:p w14:paraId="74D07A9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93" w:type="dxa"/>
            <w:tcBorders>
              <w:top w:val="single" w:color="auto" w:sz="4" w:space="0"/>
              <w:left w:val="single" w:color="auto" w:sz="4" w:space="0"/>
              <w:bottom w:val="single" w:color="auto" w:sz="4" w:space="0"/>
              <w:right w:val="single" w:color="auto" w:sz="4" w:space="0"/>
            </w:tcBorders>
            <w:noWrap/>
            <w:vAlign w:val="center"/>
          </w:tcPr>
          <w:p w14:paraId="5843346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610" w:type="dxa"/>
            <w:tcBorders>
              <w:top w:val="single" w:color="auto" w:sz="4" w:space="0"/>
              <w:left w:val="single" w:color="auto" w:sz="4" w:space="0"/>
              <w:bottom w:val="single" w:color="auto" w:sz="4" w:space="0"/>
              <w:right w:val="single" w:color="auto" w:sz="4" w:space="0"/>
            </w:tcBorders>
            <w:noWrap/>
            <w:vAlign w:val="center"/>
          </w:tcPr>
          <w:p w14:paraId="3F48DBE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bl>
    <w:p w14:paraId="79610253">
      <w:pPr>
        <w:spacing w:line="460" w:lineRule="atLeast"/>
        <w:ind w:right="420" w:righ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w:t>
      </w:r>
      <w:r>
        <w:rPr>
          <w:rFonts w:hint="eastAsia" w:ascii="宋体" w:hAnsi="宋体" w:cs="宋体"/>
          <w:color w:val="auto"/>
          <w:sz w:val="22"/>
          <w:szCs w:val="22"/>
          <w:highlight w:val="none"/>
          <w:lang w:val="en-US" w:eastAsia="zh-CN"/>
        </w:rPr>
        <w:t>报价</w:t>
      </w:r>
      <w:r>
        <w:rPr>
          <w:rFonts w:hint="eastAsia" w:ascii="宋体" w:hAnsi="宋体" w:eastAsia="宋体" w:cs="宋体"/>
          <w:color w:val="auto"/>
          <w:sz w:val="22"/>
          <w:szCs w:val="22"/>
          <w:highlight w:val="none"/>
        </w:rPr>
        <w:t>总价已包含上述耗材及配件的费用。</w:t>
      </w:r>
    </w:p>
    <w:p w14:paraId="31E1CBFE">
      <w:pPr>
        <w:spacing w:line="460" w:lineRule="atLeast"/>
        <w:ind w:right="420" w:rightChars="200"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2：表格可以延续。</w:t>
      </w:r>
    </w:p>
    <w:p w14:paraId="2299800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p w14:paraId="664F7E5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p w14:paraId="4D3C7717">
      <w:pPr>
        <w:spacing w:line="460" w:lineRule="atLeast"/>
        <w:ind w:firstLine="4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磋商供应商（盖章）：</w:t>
      </w:r>
    </w:p>
    <w:p w14:paraId="546067B6">
      <w:pPr>
        <w:spacing w:line="460" w:lineRule="atLeast"/>
        <w:ind w:firstLine="4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法定代表人或</w:t>
      </w:r>
      <w:r>
        <w:rPr>
          <w:rFonts w:hint="eastAsia" w:ascii="宋体" w:hAnsi="宋体" w:eastAsia="宋体" w:cs="宋体"/>
          <w:color w:val="auto"/>
          <w:sz w:val="22"/>
          <w:szCs w:val="22"/>
          <w:highlight w:val="none"/>
        </w:rPr>
        <w:t>其</w:t>
      </w:r>
      <w:r>
        <w:rPr>
          <w:rFonts w:hint="eastAsia" w:ascii="宋体" w:hAnsi="宋体" w:eastAsia="宋体" w:cs="宋体"/>
          <w:color w:val="auto"/>
          <w:sz w:val="22"/>
          <w:szCs w:val="22"/>
          <w:highlight w:val="none"/>
          <w:lang w:val="zh-CN"/>
        </w:rPr>
        <w:t>授权代表（签字或盖章）</w:t>
      </w:r>
      <w:r>
        <w:rPr>
          <w:rFonts w:hint="eastAsia" w:ascii="宋体" w:hAnsi="宋体" w:eastAsia="宋体" w:cs="宋体"/>
          <w:color w:val="auto"/>
          <w:sz w:val="22"/>
          <w:szCs w:val="22"/>
          <w:highlight w:val="none"/>
        </w:rPr>
        <w:t>：</w:t>
      </w:r>
    </w:p>
    <w:p w14:paraId="2C51DB1A">
      <w:pPr>
        <w:spacing w:line="460" w:lineRule="atLeast"/>
        <w:ind w:firstLine="4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4EFB4AF7">
      <w:pPr>
        <w:pStyle w:val="25"/>
        <w:spacing w:line="460" w:lineRule="atLeast"/>
        <w:ind w:left="10" w:firstLine="669" w:firstLineChars="186"/>
        <w:rPr>
          <w:rFonts w:hint="eastAsia" w:ascii="宋体" w:hAnsi="宋体" w:eastAsia="宋体" w:cs="宋体"/>
          <w:color w:val="auto"/>
          <w:sz w:val="22"/>
          <w:szCs w:val="22"/>
          <w:highlight w:val="none"/>
        </w:rPr>
        <w:sectPr>
          <w:pgSz w:w="11907" w:h="16840"/>
          <w:pgMar w:top="1440" w:right="1440" w:bottom="1440" w:left="1440" w:header="720" w:footer="720" w:gutter="0"/>
          <w:cols w:space="720" w:num="1"/>
          <w:docGrid w:linePitch="286" w:charSpace="-3831"/>
        </w:sectPr>
      </w:pPr>
      <w:r>
        <w:rPr>
          <w:rFonts w:hint="eastAsia" w:ascii="宋体" w:hAnsi="宋体" w:eastAsia="宋体" w:cs="宋体"/>
          <w:color w:val="auto"/>
          <w:sz w:val="36"/>
          <w:szCs w:val="36"/>
          <w:highlight w:val="none"/>
          <w:lang w:val="zh-CN"/>
        </w:rPr>
        <w:br w:type="page"/>
      </w:r>
    </w:p>
    <w:p w14:paraId="5C74449D">
      <w:pPr>
        <w:snapToGrid w:val="0"/>
        <w:spacing w:line="50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三、商务技术文件格式</w:t>
      </w:r>
    </w:p>
    <w:p w14:paraId="7630F230">
      <w:pPr>
        <w:snapToGrid w:val="0"/>
        <w:spacing w:line="5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附件四</w:t>
      </w:r>
    </w:p>
    <w:p w14:paraId="04DEDAE4">
      <w:pPr>
        <w:autoSpaceDE w:val="0"/>
        <w:autoSpaceDN w:val="0"/>
        <w:adjustRightInd w:val="0"/>
        <w:spacing w:line="460" w:lineRule="atLeast"/>
        <w:jc w:val="center"/>
        <w:rPr>
          <w:rFonts w:hint="eastAsia" w:ascii="宋体" w:hAnsi="宋体" w:eastAsia="宋体" w:cs="宋体"/>
          <w:color w:val="auto"/>
          <w:sz w:val="36"/>
          <w:highlight w:val="none"/>
          <w:lang w:val="zh-CN"/>
        </w:rPr>
      </w:pPr>
      <w:r>
        <w:rPr>
          <w:rFonts w:hint="eastAsia" w:ascii="宋体" w:hAnsi="宋体" w:eastAsia="宋体" w:cs="宋体"/>
          <w:color w:val="auto"/>
          <w:sz w:val="36"/>
          <w:highlight w:val="none"/>
          <w:lang w:val="zh-CN"/>
        </w:rPr>
        <w:t>磋  商  函</w:t>
      </w:r>
    </w:p>
    <w:p w14:paraId="551C0C7C">
      <w:pPr>
        <w:autoSpaceDE w:val="0"/>
        <w:autoSpaceDN w:val="0"/>
        <w:adjustRightInd w:val="0"/>
        <w:spacing w:line="460" w:lineRule="atLeast"/>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u w:val="single"/>
        </w:rPr>
        <w:t>乐清市人民医院</w:t>
      </w:r>
    </w:p>
    <w:p w14:paraId="62A448B4">
      <w:pPr>
        <w:autoSpaceDE w:val="0"/>
        <w:autoSpaceDN w:val="0"/>
        <w:adjustRightInd w:val="0"/>
        <w:spacing w:line="460" w:lineRule="atLeast"/>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u w:val="single"/>
          <w:lang w:val="zh-CN"/>
        </w:rPr>
        <w:t>乐清市中源建设咨询有限公司：</w:t>
      </w:r>
    </w:p>
    <w:p w14:paraId="0D2CBCA2">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zh-CN"/>
        </w:rPr>
        <w:t>（磋商供应商）</w:t>
      </w:r>
      <w:r>
        <w:rPr>
          <w:rFonts w:hint="eastAsia" w:ascii="宋体" w:hAnsi="宋体" w:eastAsia="宋体" w:cs="宋体"/>
          <w:color w:val="auto"/>
          <w:sz w:val="22"/>
          <w:szCs w:val="22"/>
          <w:highlight w:val="none"/>
          <w:lang w:val="zh-CN"/>
        </w:rPr>
        <w:t>授权</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zh-CN"/>
        </w:rPr>
        <w:t>（授权代表名称）（职务、职称）</w:t>
      </w:r>
      <w:r>
        <w:rPr>
          <w:rFonts w:hint="eastAsia" w:ascii="宋体" w:hAnsi="宋体" w:eastAsia="宋体" w:cs="宋体"/>
          <w:color w:val="auto"/>
          <w:sz w:val="22"/>
          <w:szCs w:val="22"/>
          <w:highlight w:val="none"/>
          <w:lang w:val="zh-CN"/>
        </w:rPr>
        <w:t>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zh-CN"/>
        </w:rPr>
        <w:t xml:space="preserve"> （项目名称）（括号内填采购编号）</w:t>
      </w:r>
      <w:r>
        <w:rPr>
          <w:rFonts w:hint="eastAsia" w:ascii="宋体" w:hAnsi="宋体" w:eastAsia="宋体" w:cs="宋体"/>
          <w:color w:val="auto"/>
          <w:sz w:val="22"/>
          <w:szCs w:val="22"/>
          <w:highlight w:val="none"/>
          <w:lang w:val="zh-CN"/>
        </w:rPr>
        <w:t>招标的有关活动，并对此进行投标。为此：</w:t>
      </w:r>
    </w:p>
    <w:p w14:paraId="68E24D3F">
      <w:pPr>
        <w:tabs>
          <w:tab w:val="left" w:pos="803"/>
        </w:tabs>
        <w:autoSpaceDE w:val="0"/>
        <w:autoSpaceDN w:val="0"/>
        <w:adjustRightInd w:val="0"/>
        <w:spacing w:line="460" w:lineRule="exact"/>
        <w:ind w:left="210" w:leftChars="100" w:firstLine="220" w:firstLineChars="1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1、提供采购文件规定的全部响应文件。</w:t>
      </w:r>
    </w:p>
    <w:p w14:paraId="560FD121">
      <w:pPr>
        <w:autoSpaceDE w:val="0"/>
        <w:autoSpaceDN w:val="0"/>
        <w:adjustRightInd w:val="0"/>
        <w:spacing w:line="460" w:lineRule="exact"/>
        <w:ind w:firstLine="4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2、保证遵守响应文件中的有关规定和约定。</w:t>
      </w:r>
    </w:p>
    <w:p w14:paraId="27759505">
      <w:pPr>
        <w:autoSpaceDE w:val="0"/>
        <w:autoSpaceDN w:val="0"/>
        <w:adjustRightInd w:val="0"/>
        <w:spacing w:line="460" w:lineRule="exact"/>
        <w:ind w:firstLine="46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3、保证忠实地执行双方所签的合同，并承担合同规定的责任义务。</w:t>
      </w:r>
    </w:p>
    <w:p w14:paraId="6FA47B40">
      <w:pPr>
        <w:tabs>
          <w:tab w:val="left" w:pos="1440"/>
        </w:tabs>
        <w:snapToGrid w:val="0"/>
        <w:spacing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val="zh-CN"/>
        </w:rPr>
        <w:t>4、我方承诺按磋商文件规定提供服务。</w:t>
      </w:r>
    </w:p>
    <w:p w14:paraId="105344AF">
      <w:pPr>
        <w:autoSpaceDE w:val="0"/>
        <w:autoSpaceDN w:val="0"/>
        <w:adjustRightInd w:val="0"/>
        <w:spacing w:line="460" w:lineRule="exact"/>
        <w:ind w:firstLine="46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5、我方已详细审查全部采购文件，包括采购文件补充文件（如果有的话）。我方完全理解并同意放弃对这方面有不明及误解的权力。如果采购文件有相互矛盾之处，我方同意按采购人的理解处理。</w:t>
      </w:r>
    </w:p>
    <w:p w14:paraId="4270AAAF">
      <w:pPr>
        <w:autoSpaceDE w:val="0"/>
        <w:autoSpaceDN w:val="0"/>
        <w:adjustRightInd w:val="0"/>
        <w:spacing w:line="460" w:lineRule="exact"/>
        <w:ind w:firstLine="4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6、愿意向贵方提供任何与该项报价有关的数据、情况和技术资料。</w:t>
      </w:r>
    </w:p>
    <w:p w14:paraId="0514C31C">
      <w:pPr>
        <w:autoSpaceDE w:val="0"/>
        <w:autoSpaceDN w:val="0"/>
        <w:adjustRightInd w:val="0"/>
        <w:spacing w:line="460" w:lineRule="exact"/>
        <w:ind w:firstLine="46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7、利益冲突：近三年内直至目前，我公司与本项目的采购人、采购代理机构没有任何的隶属关系。</w:t>
      </w:r>
    </w:p>
    <w:p w14:paraId="2F791009">
      <w:pPr>
        <w:autoSpaceDE w:val="0"/>
        <w:autoSpaceDN w:val="0"/>
        <w:adjustRightInd w:val="0"/>
        <w:spacing w:line="460" w:lineRule="exact"/>
        <w:ind w:firstLine="46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8、我公司没有被各级、各地财政部门限制参加政府采购活动。</w:t>
      </w:r>
    </w:p>
    <w:p w14:paraId="7A8B1820">
      <w:pPr>
        <w:autoSpaceDE w:val="0"/>
        <w:autoSpaceDN w:val="0"/>
        <w:adjustRightInd w:val="0"/>
        <w:spacing w:line="460" w:lineRule="exact"/>
        <w:ind w:firstLine="46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9、响应文件自</w:t>
      </w:r>
      <w:r>
        <w:rPr>
          <w:rFonts w:hint="eastAsia" w:ascii="宋体" w:hAnsi="宋体" w:eastAsia="宋体" w:cs="宋体"/>
          <w:color w:val="auto"/>
          <w:sz w:val="22"/>
          <w:highlight w:val="none"/>
        </w:rPr>
        <w:t>提交响应文件截止时间起90天内有效</w:t>
      </w:r>
      <w:r>
        <w:rPr>
          <w:rFonts w:hint="eastAsia" w:ascii="宋体" w:hAnsi="宋体" w:eastAsia="宋体" w:cs="宋体"/>
          <w:color w:val="auto"/>
          <w:sz w:val="22"/>
          <w:szCs w:val="22"/>
          <w:highlight w:val="none"/>
          <w:lang w:val="zh-CN"/>
        </w:rPr>
        <w:t>。</w:t>
      </w:r>
    </w:p>
    <w:p w14:paraId="41E79140">
      <w:pPr>
        <w:autoSpaceDE w:val="0"/>
        <w:autoSpaceDN w:val="0"/>
        <w:adjustRightInd w:val="0"/>
        <w:spacing w:line="460" w:lineRule="exact"/>
        <w:ind w:firstLine="46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10、与本采购有关的一切往来通讯请寄：</w:t>
      </w:r>
    </w:p>
    <w:p w14:paraId="5E802E4D">
      <w:pPr>
        <w:tabs>
          <w:tab w:val="left" w:pos="284"/>
        </w:tabs>
        <w:autoSpaceDE w:val="0"/>
        <w:autoSpaceDN w:val="0"/>
        <w:adjustRightInd w:val="0"/>
        <w:spacing w:line="460" w:lineRule="atLeast"/>
        <w:ind w:firstLine="440" w:firstLineChars="200"/>
        <w:rPr>
          <w:rFonts w:ascii="宋体" w:hAnsi="宋体"/>
          <w:color w:val="auto"/>
          <w:sz w:val="22"/>
          <w:szCs w:val="22"/>
          <w:highlight w:val="none"/>
          <w:lang w:val="zh-CN"/>
        </w:rPr>
      </w:pPr>
      <w:r>
        <w:rPr>
          <w:rFonts w:hint="eastAsia" w:ascii="宋体" w:hAnsi="宋体"/>
          <w:color w:val="auto"/>
          <w:sz w:val="22"/>
          <w:szCs w:val="22"/>
          <w:highlight w:val="none"/>
          <w:lang w:val="zh-CN"/>
        </w:rPr>
        <w:t>地址：</w:t>
      </w:r>
      <w:r>
        <w:rPr>
          <w:rFonts w:ascii="宋体" w:hAnsi="宋体"/>
          <w:color w:val="auto"/>
          <w:sz w:val="22"/>
          <w:szCs w:val="22"/>
          <w:highlight w:val="none"/>
          <w:u w:val="single"/>
          <w:lang w:val="zh-CN"/>
        </w:rPr>
        <w:t xml:space="preserve">                                 </w:t>
      </w:r>
    </w:p>
    <w:p w14:paraId="655F5500">
      <w:pPr>
        <w:tabs>
          <w:tab w:val="left" w:pos="284"/>
        </w:tabs>
        <w:autoSpaceDE w:val="0"/>
        <w:autoSpaceDN w:val="0"/>
        <w:adjustRightInd w:val="0"/>
        <w:spacing w:line="460" w:lineRule="atLeast"/>
        <w:ind w:firstLine="440" w:firstLineChars="200"/>
        <w:rPr>
          <w:rFonts w:ascii="宋体" w:hAnsi="宋体"/>
          <w:color w:val="auto"/>
          <w:sz w:val="22"/>
          <w:szCs w:val="22"/>
          <w:highlight w:val="none"/>
          <w:lang w:val="zh-CN"/>
        </w:rPr>
      </w:pPr>
      <w:r>
        <w:rPr>
          <w:rFonts w:hint="eastAsia" w:ascii="宋体" w:hAnsi="宋体"/>
          <w:color w:val="auto"/>
          <w:sz w:val="22"/>
          <w:szCs w:val="22"/>
          <w:highlight w:val="none"/>
          <w:lang w:val="zh-CN"/>
        </w:rPr>
        <w:t>邮编：</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电话：</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传真：</w:t>
      </w:r>
      <w:r>
        <w:rPr>
          <w:rFonts w:ascii="宋体" w:hAnsi="宋体"/>
          <w:color w:val="auto"/>
          <w:sz w:val="22"/>
          <w:szCs w:val="22"/>
          <w:highlight w:val="none"/>
          <w:u w:val="single"/>
          <w:lang w:val="zh-CN"/>
        </w:rPr>
        <w:t xml:space="preserve">                 </w:t>
      </w:r>
    </w:p>
    <w:p w14:paraId="4F6803BF">
      <w:pPr>
        <w:autoSpaceDE w:val="0"/>
        <w:autoSpaceDN w:val="0"/>
        <w:adjustRightInd w:val="0"/>
        <w:spacing w:line="460" w:lineRule="atLeast"/>
        <w:rPr>
          <w:rFonts w:hint="eastAsia" w:ascii="宋体" w:hAnsi="宋体" w:eastAsia="宋体" w:cs="宋体"/>
          <w:color w:val="auto"/>
          <w:sz w:val="22"/>
          <w:szCs w:val="22"/>
          <w:highlight w:val="none"/>
          <w:lang w:val="zh-CN"/>
        </w:rPr>
      </w:pPr>
    </w:p>
    <w:p w14:paraId="46AB2D4A">
      <w:pPr>
        <w:autoSpaceDE w:val="0"/>
        <w:autoSpaceDN w:val="0"/>
        <w:adjustRightInd w:val="0"/>
        <w:spacing w:line="46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磋商供应商（盖章）：</w:t>
      </w:r>
    </w:p>
    <w:p w14:paraId="637CD5C5">
      <w:pPr>
        <w:autoSpaceDE w:val="0"/>
        <w:autoSpaceDN w:val="0"/>
        <w:adjustRightInd w:val="0"/>
        <w:spacing w:line="46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w:t>
      </w:r>
      <w:r>
        <w:rPr>
          <w:rFonts w:hint="eastAsia" w:ascii="宋体" w:hAnsi="宋体" w:eastAsia="宋体" w:cs="宋体"/>
          <w:color w:val="auto"/>
          <w:sz w:val="22"/>
          <w:szCs w:val="22"/>
          <w:highlight w:val="none"/>
        </w:rPr>
        <w:t>其</w:t>
      </w:r>
      <w:r>
        <w:rPr>
          <w:rFonts w:hint="eastAsia" w:ascii="宋体" w:hAnsi="宋体" w:eastAsia="宋体" w:cs="宋体"/>
          <w:color w:val="auto"/>
          <w:sz w:val="22"/>
          <w:szCs w:val="22"/>
          <w:highlight w:val="none"/>
          <w:lang w:val="zh-CN"/>
        </w:rPr>
        <w:t>授权代表（签字或盖章）：</w:t>
      </w:r>
    </w:p>
    <w:p w14:paraId="35E3D29A">
      <w:pPr>
        <w:autoSpaceDE w:val="0"/>
        <w:autoSpaceDN w:val="0"/>
        <w:adjustRightInd w:val="0"/>
        <w:spacing w:line="46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69EE1748">
      <w:pPr>
        <w:pStyle w:val="34"/>
        <w:rPr>
          <w:rFonts w:hint="eastAsia" w:ascii="宋体" w:hAnsi="宋体" w:eastAsia="宋体" w:cs="宋体"/>
          <w:color w:val="auto"/>
          <w:highlight w:val="none"/>
        </w:rPr>
      </w:pPr>
    </w:p>
    <w:p w14:paraId="0560DDEE">
      <w:pPr>
        <w:pStyle w:val="34"/>
        <w:rPr>
          <w:rFonts w:hint="eastAsia" w:ascii="宋体" w:hAnsi="宋体" w:eastAsia="宋体" w:cs="宋体"/>
          <w:color w:val="auto"/>
          <w:highlight w:val="none"/>
        </w:rPr>
      </w:pPr>
    </w:p>
    <w:p w14:paraId="7B167C99">
      <w:pPr>
        <w:pStyle w:val="34"/>
        <w:rPr>
          <w:rFonts w:hint="eastAsia" w:ascii="宋体" w:hAnsi="宋体" w:eastAsia="宋体" w:cs="宋体"/>
          <w:color w:val="auto"/>
          <w:highlight w:val="none"/>
        </w:rPr>
      </w:pPr>
    </w:p>
    <w:p w14:paraId="6195F2FF">
      <w:pPr>
        <w:pStyle w:val="34"/>
        <w:rPr>
          <w:rFonts w:hint="eastAsia" w:ascii="宋体" w:hAnsi="宋体" w:eastAsia="宋体" w:cs="宋体"/>
          <w:color w:val="auto"/>
          <w:highlight w:val="none"/>
        </w:rPr>
      </w:pPr>
    </w:p>
    <w:p w14:paraId="4060E518">
      <w:pPr>
        <w:pStyle w:val="34"/>
        <w:rPr>
          <w:rFonts w:hint="eastAsia" w:ascii="宋体" w:hAnsi="宋体" w:eastAsia="宋体" w:cs="宋体"/>
          <w:color w:val="auto"/>
          <w:highlight w:val="none"/>
        </w:rPr>
      </w:pPr>
    </w:p>
    <w:p w14:paraId="6FFCB5D4">
      <w:pPr>
        <w:pStyle w:val="34"/>
        <w:rPr>
          <w:rFonts w:hint="eastAsia" w:ascii="宋体" w:hAnsi="宋体" w:eastAsia="宋体" w:cs="宋体"/>
          <w:color w:val="auto"/>
          <w:highlight w:val="none"/>
        </w:rPr>
      </w:pPr>
    </w:p>
    <w:p w14:paraId="621FE9CB">
      <w:pPr>
        <w:pStyle w:val="34"/>
        <w:rPr>
          <w:rFonts w:hint="eastAsia" w:ascii="宋体" w:hAnsi="宋体" w:eastAsia="宋体" w:cs="宋体"/>
          <w:color w:val="auto"/>
          <w:highlight w:val="none"/>
        </w:rPr>
      </w:pPr>
    </w:p>
    <w:p w14:paraId="0A2C85A6">
      <w:pPr>
        <w:pStyle w:val="34"/>
        <w:rPr>
          <w:rFonts w:hint="eastAsia" w:ascii="宋体" w:hAnsi="宋体" w:eastAsia="宋体" w:cs="宋体"/>
          <w:color w:val="auto"/>
          <w:highlight w:val="none"/>
        </w:rPr>
      </w:pPr>
    </w:p>
    <w:p w14:paraId="57D078CE">
      <w:pPr>
        <w:autoSpaceDE w:val="0"/>
        <w:autoSpaceDN w:val="0"/>
        <w:adjustRightInd w:val="0"/>
        <w:spacing w:line="46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附件五</w:t>
      </w:r>
    </w:p>
    <w:p w14:paraId="05B66E5C">
      <w:pPr>
        <w:tabs>
          <w:tab w:val="left" w:pos="1080"/>
        </w:tabs>
        <w:autoSpaceDE w:val="0"/>
        <w:autoSpaceDN w:val="0"/>
        <w:adjustRightInd w:val="0"/>
        <w:spacing w:line="46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法定代表人授权书</w:t>
      </w:r>
    </w:p>
    <w:p w14:paraId="51949D35">
      <w:pPr>
        <w:autoSpaceDE w:val="0"/>
        <w:autoSpaceDN w:val="0"/>
        <w:adjustRightInd w:val="0"/>
        <w:spacing w:line="480" w:lineRule="exact"/>
        <w:contextualSpacing/>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u w:val="single"/>
        </w:rPr>
        <w:t>乐清市人民医院</w:t>
      </w:r>
    </w:p>
    <w:p w14:paraId="3B021BD8">
      <w:pPr>
        <w:autoSpaceDE w:val="0"/>
        <w:autoSpaceDN w:val="0"/>
        <w:adjustRightInd w:val="0"/>
        <w:spacing w:line="480" w:lineRule="exact"/>
        <w:contextualSpacing/>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u w:val="single"/>
          <w:lang w:val="zh-CN"/>
        </w:rPr>
        <w:t>乐清市中源建设咨询有限公司：</w:t>
      </w:r>
    </w:p>
    <w:p w14:paraId="6FC389FC">
      <w:pPr>
        <w:snapToGrid w:val="0"/>
        <w:spacing w:line="48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 应 商 名 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项目投标，全权处理本次采购活动中的一切事宜，我承认授权代表全权代表本项目的响应文件的内容。</w:t>
      </w:r>
    </w:p>
    <w:p w14:paraId="3CAF98D4">
      <w:pPr>
        <w:snapToGrid w:val="0"/>
        <w:spacing w:line="48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7020D692">
      <w:pPr>
        <w:snapToGrid w:val="0"/>
        <w:spacing w:line="480" w:lineRule="exact"/>
        <w:ind w:left="2092" w:leftChars="996" w:firstLine="330" w:firstLineChars="150"/>
        <w:contextualSpacing/>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 xml:space="preserve"> 授权代表：</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年龄：</w:t>
      </w:r>
      <w:r>
        <w:rPr>
          <w:rFonts w:hint="eastAsia" w:ascii="宋体" w:hAnsi="宋体" w:cs="宋体"/>
          <w:color w:val="auto"/>
          <w:sz w:val="22"/>
          <w:szCs w:val="22"/>
          <w:highlight w:val="none"/>
          <w:u w:val="single"/>
          <w:lang w:val="en-US" w:eastAsia="zh-CN"/>
        </w:rPr>
        <w:t xml:space="preserve">          </w:t>
      </w:r>
    </w:p>
    <w:p w14:paraId="187B84C7">
      <w:pPr>
        <w:snapToGrid w:val="0"/>
        <w:spacing w:line="480" w:lineRule="exact"/>
        <w:ind w:left="2100" w:leftChars="1000" w:firstLine="440" w:firstLineChars="200"/>
        <w:contextualSpacing/>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详细通讯地址：</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电子邮箱：</w:t>
      </w:r>
      <w:r>
        <w:rPr>
          <w:rFonts w:hint="eastAsia" w:ascii="宋体" w:hAnsi="宋体" w:cs="宋体"/>
          <w:color w:val="auto"/>
          <w:sz w:val="22"/>
          <w:szCs w:val="22"/>
          <w:highlight w:val="none"/>
          <w:u w:val="single"/>
          <w:lang w:val="en-US" w:eastAsia="zh-CN"/>
        </w:rPr>
        <w:t xml:space="preserve">            </w:t>
      </w:r>
    </w:p>
    <w:p w14:paraId="02E23F22">
      <w:pPr>
        <w:snapToGrid w:val="0"/>
        <w:spacing w:line="480" w:lineRule="exact"/>
        <w:ind w:left="1" w:firstLine="2510" w:firstLineChars="1141"/>
        <w:contextualSpacing/>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电话：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传真：</w:t>
      </w:r>
      <w:r>
        <w:rPr>
          <w:rFonts w:hint="eastAsia" w:ascii="宋体" w:hAnsi="宋体" w:cs="宋体"/>
          <w:color w:val="auto"/>
          <w:sz w:val="22"/>
          <w:szCs w:val="22"/>
          <w:highlight w:val="none"/>
          <w:u w:val="single"/>
          <w:lang w:val="en-US" w:eastAsia="zh-CN"/>
        </w:rPr>
        <w:t xml:space="preserve">                    </w:t>
      </w:r>
    </w:p>
    <w:p w14:paraId="29814D55">
      <w:pPr>
        <w:snapToGrid w:val="0"/>
        <w:spacing w:line="480" w:lineRule="exact"/>
        <w:ind w:left="1" w:firstLine="422" w:firstLineChars="192"/>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磋商供应商：</w:t>
      </w:r>
      <w:r>
        <w:rPr>
          <w:rFonts w:hint="eastAsia" w:ascii="宋体" w:hAnsi="宋体" w:eastAsia="宋体" w:cs="宋体"/>
          <w:color w:val="auto"/>
          <w:sz w:val="22"/>
          <w:szCs w:val="22"/>
          <w:highlight w:val="none"/>
          <w:u w:val="single"/>
        </w:rPr>
        <w:t xml:space="preserve">                                 （盖章）</w:t>
      </w:r>
    </w:p>
    <w:p w14:paraId="01D9F762">
      <w:pPr>
        <w:snapToGrid w:val="0"/>
        <w:spacing w:line="480" w:lineRule="exact"/>
        <w:ind w:left="2100" w:right="440" w:firstLine="418" w:firstLineChars="19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（签字或盖章）</w:t>
      </w:r>
    </w:p>
    <w:p w14:paraId="5866B3FC">
      <w:pPr>
        <w:pStyle w:val="25"/>
        <w:adjustRightInd w:val="0"/>
        <w:snapToGrid w:val="0"/>
        <w:spacing w:line="480" w:lineRule="exact"/>
        <w:ind w:firstLine="2530" w:firstLineChars="115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p>
    <w:p w14:paraId="765A3F8E">
      <w:pPr>
        <w:pStyle w:val="25"/>
        <w:adjustRightInd w:val="0"/>
        <w:snapToGrid w:val="0"/>
        <w:spacing w:line="480" w:lineRule="exact"/>
        <w:contextualSpacing/>
        <w:rPr>
          <w:rFonts w:hint="eastAsia" w:ascii="宋体" w:hAnsi="宋体" w:eastAsia="宋体" w:cs="宋体"/>
          <w:color w:val="auto"/>
          <w:sz w:val="22"/>
          <w:szCs w:val="22"/>
          <w:highlight w:val="none"/>
        </w:rPr>
      </w:pPr>
    </w:p>
    <w:tbl>
      <w:tblPr>
        <w:tblStyle w:val="47"/>
        <w:tblpPr w:leftFromText="180" w:rightFromText="180" w:vertAnchor="text" w:tblpXSpec="center" w:tblpY="1"/>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2778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4FF8F39C">
            <w:pPr>
              <w:pStyle w:val="25"/>
              <w:spacing w:line="480" w:lineRule="exact"/>
              <w:contextualSpacing/>
              <w:jc w:val="center"/>
              <w:rPr>
                <w:rFonts w:hint="eastAsia" w:ascii="宋体" w:hAnsi="宋体" w:eastAsia="宋体" w:cs="宋体"/>
                <w:color w:val="auto"/>
                <w:sz w:val="36"/>
                <w:szCs w:val="22"/>
                <w:highlight w:val="none"/>
              </w:rPr>
            </w:pPr>
            <w:r>
              <w:rPr>
                <w:rFonts w:hint="eastAsia" w:ascii="宋体" w:hAnsi="宋体" w:eastAsia="宋体" w:cs="宋体"/>
                <w:color w:val="auto"/>
                <w:sz w:val="36"/>
                <w:szCs w:val="22"/>
                <w:highlight w:val="none"/>
              </w:rPr>
              <w:t>粘贴授权代表身份证正反面复印件或影印件</w:t>
            </w:r>
          </w:p>
        </w:tc>
      </w:tr>
    </w:tbl>
    <w:p w14:paraId="0E91EF1A">
      <w:pPr>
        <w:pStyle w:val="25"/>
        <w:adjustRightInd w:val="0"/>
        <w:snapToGrid w:val="0"/>
        <w:spacing w:line="480" w:lineRule="exact"/>
        <w:contextualSpacing/>
        <w:jc w:val="center"/>
        <w:rPr>
          <w:rFonts w:hint="eastAsia" w:ascii="宋体" w:hAnsi="宋体" w:eastAsia="宋体" w:cs="宋体"/>
          <w:color w:val="auto"/>
          <w:sz w:val="22"/>
          <w:szCs w:val="22"/>
          <w:highlight w:val="none"/>
        </w:rPr>
      </w:pPr>
    </w:p>
    <w:p w14:paraId="4199A282">
      <w:pPr>
        <w:pStyle w:val="25"/>
        <w:snapToGrid w:val="0"/>
        <w:spacing w:line="480" w:lineRule="exact"/>
        <w:contextualSpacing/>
        <w:rPr>
          <w:rFonts w:hint="eastAsia" w:ascii="宋体" w:hAnsi="宋体" w:eastAsia="宋体" w:cs="宋体"/>
          <w:color w:val="auto"/>
          <w:sz w:val="22"/>
          <w:szCs w:val="22"/>
          <w:highlight w:val="none"/>
          <w:u w:val="thick"/>
        </w:rPr>
      </w:pPr>
    </w:p>
    <w:p w14:paraId="31007592">
      <w:pPr>
        <w:pStyle w:val="25"/>
        <w:snapToGrid w:val="0"/>
        <w:spacing w:line="480" w:lineRule="exact"/>
        <w:contextualSpacing/>
        <w:rPr>
          <w:rFonts w:hint="eastAsia" w:ascii="宋体" w:hAnsi="宋体" w:eastAsia="宋体" w:cs="宋体"/>
          <w:color w:val="auto"/>
          <w:sz w:val="22"/>
          <w:szCs w:val="22"/>
          <w:highlight w:val="none"/>
          <w:u w:val="thick"/>
        </w:rPr>
      </w:pPr>
    </w:p>
    <w:p w14:paraId="11DDBD9E">
      <w:pPr>
        <w:pStyle w:val="25"/>
        <w:adjustRightInd w:val="0"/>
        <w:snapToGrid w:val="0"/>
        <w:spacing w:line="480" w:lineRule="exact"/>
        <w:contextualSpacing/>
        <w:rPr>
          <w:rFonts w:hint="eastAsia" w:ascii="宋体" w:hAnsi="宋体" w:eastAsia="宋体" w:cs="宋体"/>
          <w:color w:val="auto"/>
          <w:sz w:val="22"/>
          <w:highlight w:val="none"/>
        </w:rPr>
      </w:pPr>
    </w:p>
    <w:p w14:paraId="780440E2">
      <w:pPr>
        <w:pStyle w:val="25"/>
        <w:adjustRightInd w:val="0"/>
        <w:snapToGrid w:val="0"/>
        <w:spacing w:line="480" w:lineRule="exact"/>
        <w:contextualSpacing/>
        <w:rPr>
          <w:rFonts w:hint="eastAsia" w:ascii="宋体" w:hAnsi="宋体" w:eastAsia="宋体" w:cs="宋体"/>
          <w:color w:val="auto"/>
          <w:sz w:val="22"/>
          <w:highlight w:val="none"/>
        </w:rPr>
      </w:pPr>
    </w:p>
    <w:tbl>
      <w:tblPr>
        <w:tblStyle w:val="47"/>
        <w:tblpPr w:leftFromText="180" w:rightFromText="180" w:vertAnchor="text" w:tblpXSpec="center" w:tblpY="1"/>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3A88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313EBFA9">
            <w:pPr>
              <w:pStyle w:val="25"/>
              <w:spacing w:line="480" w:lineRule="exact"/>
              <w:contextualSpacing/>
              <w:jc w:val="center"/>
              <w:rPr>
                <w:rFonts w:hint="eastAsia" w:ascii="宋体" w:hAnsi="宋体" w:eastAsia="宋体" w:cs="宋体"/>
                <w:color w:val="auto"/>
                <w:sz w:val="36"/>
                <w:szCs w:val="22"/>
                <w:highlight w:val="none"/>
              </w:rPr>
            </w:pPr>
            <w:r>
              <w:rPr>
                <w:rFonts w:hint="eastAsia" w:ascii="宋体" w:hAnsi="宋体" w:eastAsia="宋体" w:cs="宋体"/>
                <w:color w:val="auto"/>
                <w:sz w:val="36"/>
                <w:szCs w:val="22"/>
                <w:highlight w:val="none"/>
              </w:rPr>
              <w:t>粘贴法定代表人身份证正反面复印件或影印件</w:t>
            </w:r>
          </w:p>
        </w:tc>
      </w:tr>
    </w:tbl>
    <w:p w14:paraId="6D78639E">
      <w:pPr>
        <w:pStyle w:val="25"/>
        <w:snapToGrid w:val="0"/>
        <w:spacing w:line="480" w:lineRule="exact"/>
        <w:contextualSpacing/>
        <w:rPr>
          <w:rFonts w:hint="eastAsia" w:ascii="宋体" w:hAnsi="宋体" w:eastAsia="宋体" w:cs="宋体"/>
          <w:color w:val="auto"/>
          <w:sz w:val="22"/>
          <w:szCs w:val="22"/>
          <w:highlight w:val="none"/>
          <w:u w:val="thick"/>
        </w:rPr>
      </w:pPr>
    </w:p>
    <w:p w14:paraId="7F6365D9">
      <w:pPr>
        <w:pStyle w:val="25"/>
        <w:snapToGrid w:val="0"/>
        <w:spacing w:line="480" w:lineRule="exact"/>
        <w:contextualSpacing/>
        <w:rPr>
          <w:rFonts w:hint="eastAsia" w:ascii="宋体" w:hAnsi="宋体" w:eastAsia="宋体" w:cs="宋体"/>
          <w:color w:val="auto"/>
          <w:sz w:val="22"/>
          <w:szCs w:val="22"/>
          <w:highlight w:val="none"/>
          <w:u w:val="thick"/>
        </w:rPr>
      </w:pPr>
    </w:p>
    <w:p w14:paraId="7D94B18C">
      <w:pPr>
        <w:snapToGrid w:val="0"/>
        <w:spacing w:line="480" w:lineRule="exact"/>
        <w:contextualSpacing/>
        <w:rPr>
          <w:rFonts w:hint="eastAsia" w:ascii="宋体" w:hAnsi="宋体" w:eastAsia="宋体" w:cs="宋体"/>
          <w:color w:val="auto"/>
          <w:sz w:val="30"/>
          <w:szCs w:val="30"/>
          <w:highlight w:val="none"/>
        </w:rPr>
      </w:pPr>
    </w:p>
    <w:p w14:paraId="31818446">
      <w:pPr>
        <w:snapToGrid w:val="0"/>
        <w:spacing w:line="480" w:lineRule="exact"/>
        <w:contextualSpacing/>
        <w:rPr>
          <w:rFonts w:hint="eastAsia" w:ascii="宋体" w:hAnsi="宋体" w:eastAsia="宋体" w:cs="宋体"/>
          <w:color w:val="auto"/>
          <w:sz w:val="30"/>
          <w:szCs w:val="30"/>
          <w:highlight w:val="none"/>
        </w:rPr>
      </w:pPr>
    </w:p>
    <w:p w14:paraId="59F423C6">
      <w:pPr>
        <w:snapToGrid w:val="0"/>
        <w:spacing w:line="48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u w:val="single"/>
        </w:rPr>
        <w:t>法定代表人授权书中法定代表人必须签字或盖章，否则做无效响应处理。</w:t>
      </w:r>
    </w:p>
    <w:p w14:paraId="5C2F7D5D">
      <w:pPr>
        <w:snapToGrid w:val="0"/>
        <w:spacing w:line="500" w:lineRule="atLeast"/>
        <w:rPr>
          <w:rFonts w:hint="eastAsia" w:ascii="宋体" w:hAnsi="宋体" w:eastAsia="宋体" w:cs="宋体"/>
          <w:color w:val="auto"/>
          <w:sz w:val="18"/>
          <w:highlight w:val="none"/>
        </w:rPr>
      </w:pPr>
    </w:p>
    <w:p w14:paraId="6ED8DC3E">
      <w:pPr>
        <w:snapToGrid w:val="0"/>
        <w:spacing w:line="500" w:lineRule="atLeast"/>
        <w:rPr>
          <w:rFonts w:hint="eastAsia" w:ascii="宋体" w:hAnsi="宋体" w:eastAsia="宋体" w:cs="宋体"/>
          <w:color w:val="auto"/>
          <w:sz w:val="22"/>
          <w:szCs w:val="22"/>
          <w:highlight w:val="none"/>
        </w:rPr>
      </w:pPr>
    </w:p>
    <w:p w14:paraId="7E2E3631">
      <w:pPr>
        <w:snapToGrid w:val="0"/>
        <w:spacing w:line="5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附件六</w:t>
      </w:r>
    </w:p>
    <w:p w14:paraId="57E383B2">
      <w:pPr>
        <w:snapToGrid w:val="0"/>
        <w:spacing w:line="50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法定代表人诚信磋商承诺书</w:t>
      </w:r>
    </w:p>
    <w:p w14:paraId="7F5A6F09">
      <w:pPr>
        <w:spacing w:line="460" w:lineRule="atLeas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本人以企业法定代表人的身份郑重承诺：</w:t>
      </w:r>
    </w:p>
    <w:p w14:paraId="6312F92D">
      <w:pPr>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将遵循公开、公平、公正和诚信信用的原则参加</w:t>
      </w:r>
      <w:r>
        <w:rPr>
          <w:rFonts w:hint="eastAsia" w:ascii="宋体" w:hAnsi="宋体" w:eastAsia="宋体" w:cs="宋体"/>
          <w:color w:val="auto"/>
          <w:sz w:val="22"/>
          <w:highlight w:val="none"/>
          <w:u w:val="single"/>
        </w:rPr>
        <w:t xml:space="preserve">              项目（采购编号：   ）</w:t>
      </w:r>
      <w:r>
        <w:rPr>
          <w:rFonts w:hint="eastAsia" w:ascii="宋体" w:hAnsi="宋体" w:eastAsia="宋体" w:cs="宋体"/>
          <w:color w:val="auto"/>
          <w:sz w:val="22"/>
          <w:highlight w:val="none"/>
        </w:rPr>
        <w:t>的投标；</w:t>
      </w:r>
    </w:p>
    <w:p w14:paraId="0C746AF8">
      <w:pPr>
        <w:spacing w:line="460" w:lineRule="atLeas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一、杜绝以收取管理费等形式的一切挂靠、违法转包、分包行为；并选派有丰富经验、无不良行为记录的项目管理人员、技术人员，严格按竞争性磋商文件、响应文件及合同等要求保证拟派人员的到岗率。</w:t>
      </w:r>
    </w:p>
    <w:p w14:paraId="0BCAF765">
      <w:pPr>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二、响应文件所提供的一切材料都是真实、有效、合法的。</w:t>
      </w:r>
    </w:p>
    <w:p w14:paraId="7882A292">
      <w:pPr>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三、不与其他投标人相互串通投标报价，不排挤其他投标人的公平竞争，不损害招标人或其他投标人的合法权益。</w:t>
      </w:r>
    </w:p>
    <w:p w14:paraId="07A2782C">
      <w:pPr>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四、不与采购人或采购代理机构串通投标，不损害国家利益，社会公共利益或其他人的合法权益。</w:t>
      </w:r>
    </w:p>
    <w:p w14:paraId="749AEC79">
      <w:pPr>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五、不向采购人或者评标委员会成员行贿以牟取中标。</w:t>
      </w:r>
    </w:p>
    <w:p w14:paraId="6F85E02A">
      <w:pPr>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六、不以其他人名义投标或者以其他方式弄虚作假，骗取中标。</w:t>
      </w:r>
    </w:p>
    <w:p w14:paraId="63347D1E">
      <w:pPr>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七、不在开标后进行虚假恶意投诉。</w:t>
      </w:r>
    </w:p>
    <w:p w14:paraId="13E3F92B">
      <w:pPr>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八、我单位没有被政府机关列入失信被执行人名单、重大税收违法失信主体、政府采购严重违法失信行为记录名单及其他不符合《中华人民共和国政府采购法》第二十二条规定条件的情形。</w:t>
      </w:r>
    </w:p>
    <w:p w14:paraId="75435491">
      <w:pPr>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633F95DC">
      <w:pPr>
        <w:spacing w:line="460" w:lineRule="atLeast"/>
        <w:ind w:right="1120"/>
        <w:rPr>
          <w:rFonts w:hint="eastAsia" w:ascii="宋体" w:hAnsi="宋体" w:eastAsia="宋体" w:cs="宋体"/>
          <w:color w:val="auto"/>
          <w:sz w:val="22"/>
          <w:highlight w:val="none"/>
        </w:rPr>
      </w:pPr>
    </w:p>
    <w:p w14:paraId="0B2AE1C6">
      <w:pPr>
        <w:spacing w:line="460" w:lineRule="atLeast"/>
        <w:ind w:right="1120"/>
        <w:rPr>
          <w:rFonts w:hint="eastAsia" w:ascii="宋体" w:hAnsi="宋体" w:eastAsia="宋体" w:cs="宋体"/>
          <w:color w:val="auto"/>
          <w:sz w:val="22"/>
          <w:highlight w:val="none"/>
        </w:rPr>
      </w:pPr>
      <w:r>
        <w:rPr>
          <w:rFonts w:hint="eastAsia" w:ascii="宋体" w:hAnsi="宋体" w:eastAsia="宋体" w:cs="宋体"/>
          <w:color w:val="auto"/>
          <w:sz w:val="22"/>
          <w:highlight w:val="none"/>
        </w:rPr>
        <w:t>磋商供应商（盖章）：</w:t>
      </w:r>
    </w:p>
    <w:p w14:paraId="4B1B710A">
      <w:pPr>
        <w:spacing w:line="460" w:lineRule="atLeast"/>
        <w:ind w:right="1120"/>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法定代表人（签字或盖章）：</w:t>
      </w:r>
    </w:p>
    <w:p w14:paraId="1A5B5A52">
      <w:pPr>
        <w:snapToGrid w:val="0"/>
        <w:spacing w:line="500" w:lineRule="atLeast"/>
        <w:rPr>
          <w:rFonts w:hint="eastAsia" w:ascii="宋体" w:hAnsi="宋体" w:eastAsia="宋体" w:cs="宋体"/>
          <w:color w:val="auto"/>
          <w:sz w:val="30"/>
          <w:szCs w:val="30"/>
          <w:highlight w:val="none"/>
        </w:rPr>
      </w:pPr>
      <w:r>
        <w:rPr>
          <w:rFonts w:hint="eastAsia" w:ascii="宋体" w:hAnsi="宋体" w:eastAsia="宋体" w:cs="宋体"/>
          <w:color w:val="auto"/>
          <w:sz w:val="22"/>
          <w:highlight w:val="none"/>
        </w:rPr>
        <w:t xml:space="preserve">承诺书签署日期：  </w:t>
      </w:r>
    </w:p>
    <w:p w14:paraId="1E76A1BE">
      <w:pPr>
        <w:autoSpaceDE w:val="0"/>
        <w:autoSpaceDN w:val="0"/>
        <w:adjustRightInd w:val="0"/>
        <w:spacing w:line="460" w:lineRule="atLeast"/>
        <w:jc w:val="left"/>
        <w:rPr>
          <w:rFonts w:hint="eastAsia" w:ascii="宋体" w:hAnsi="宋体" w:eastAsia="宋体" w:cs="宋体"/>
          <w:color w:val="auto"/>
          <w:sz w:val="32"/>
          <w:highlight w:val="none"/>
        </w:rPr>
      </w:pPr>
    </w:p>
    <w:p w14:paraId="3359EBEF">
      <w:pPr>
        <w:autoSpaceDE w:val="0"/>
        <w:autoSpaceDN w:val="0"/>
        <w:adjustRightInd w:val="0"/>
        <w:spacing w:line="460" w:lineRule="atLeast"/>
        <w:rPr>
          <w:rFonts w:hint="eastAsia" w:ascii="宋体" w:hAnsi="宋体" w:eastAsia="宋体" w:cs="宋体"/>
          <w:color w:val="auto"/>
          <w:sz w:val="30"/>
          <w:highlight w:val="none"/>
          <w:lang w:val="zh-CN"/>
        </w:rPr>
      </w:pPr>
    </w:p>
    <w:p w14:paraId="47B64F77">
      <w:pPr>
        <w:pStyle w:val="34"/>
        <w:rPr>
          <w:rFonts w:hint="eastAsia" w:ascii="宋体" w:hAnsi="宋体" w:eastAsia="宋体" w:cs="宋体"/>
          <w:color w:val="auto"/>
          <w:highlight w:val="none"/>
          <w:lang w:val="zh-CN"/>
        </w:rPr>
      </w:pPr>
    </w:p>
    <w:p w14:paraId="2DA0299C">
      <w:pPr>
        <w:pStyle w:val="34"/>
        <w:rPr>
          <w:rFonts w:hint="eastAsia" w:ascii="宋体" w:hAnsi="宋体" w:eastAsia="宋体" w:cs="宋体"/>
          <w:color w:val="auto"/>
          <w:highlight w:val="none"/>
          <w:lang w:val="zh-CN"/>
        </w:rPr>
      </w:pPr>
    </w:p>
    <w:p w14:paraId="22D67488">
      <w:pPr>
        <w:keepLines/>
        <w:pageBreakBefore/>
        <w:autoSpaceDE w:val="0"/>
        <w:autoSpaceDN w:val="0"/>
        <w:adjustRightInd w:val="0"/>
        <w:spacing w:afterLines="50" w:line="460" w:lineRule="atLeast"/>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t>附件七</w:t>
      </w:r>
    </w:p>
    <w:p w14:paraId="79631AFD">
      <w:pPr>
        <w:adjustRightInd w:val="0"/>
        <w:snapToGrid w:val="0"/>
        <w:spacing w:line="460" w:lineRule="atLeas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项目业绩表</w:t>
      </w:r>
    </w:p>
    <w:p w14:paraId="12D3D082">
      <w:pPr>
        <w:pStyle w:val="25"/>
        <w:adjustRightInd w:val="0"/>
        <w:snapToGrid w:val="0"/>
        <w:spacing w:line="440" w:lineRule="atLeast"/>
        <w:jc w:val="center"/>
        <w:rPr>
          <w:rFonts w:hint="eastAsia" w:ascii="宋体" w:hAnsi="宋体" w:eastAsia="宋体" w:cs="宋体"/>
          <w:color w:val="auto"/>
          <w:sz w:val="22"/>
          <w:szCs w:val="22"/>
          <w:highlight w:val="none"/>
        </w:rPr>
      </w:pPr>
    </w:p>
    <w:tbl>
      <w:tblPr>
        <w:tblStyle w:val="47"/>
        <w:tblW w:w="9284"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952"/>
        <w:gridCol w:w="1953"/>
        <w:gridCol w:w="1953"/>
        <w:gridCol w:w="1613"/>
        <w:gridCol w:w="1062"/>
      </w:tblGrid>
      <w:tr w14:paraId="4D2A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3B1EC953">
            <w:pPr>
              <w:pStyle w:val="25"/>
              <w:adjustRightInd w:val="0"/>
              <w:snapToGrid w:val="0"/>
              <w:spacing w:line="44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952" w:type="dxa"/>
          </w:tcPr>
          <w:p w14:paraId="7F1C937A">
            <w:pPr>
              <w:pStyle w:val="25"/>
              <w:adjustRightInd w:val="0"/>
              <w:snapToGrid w:val="0"/>
              <w:spacing w:line="44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953" w:type="dxa"/>
          </w:tcPr>
          <w:p w14:paraId="537487A7">
            <w:pPr>
              <w:pStyle w:val="25"/>
              <w:adjustRightInd w:val="0"/>
              <w:snapToGrid w:val="0"/>
              <w:spacing w:line="44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用户名称</w:t>
            </w:r>
          </w:p>
        </w:tc>
        <w:tc>
          <w:tcPr>
            <w:tcW w:w="1953" w:type="dxa"/>
          </w:tcPr>
          <w:p w14:paraId="002E61C3">
            <w:pPr>
              <w:pStyle w:val="25"/>
              <w:adjustRightInd w:val="0"/>
              <w:snapToGrid w:val="0"/>
              <w:spacing w:line="44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1613" w:type="dxa"/>
          </w:tcPr>
          <w:p w14:paraId="16CB570E">
            <w:pPr>
              <w:pStyle w:val="25"/>
              <w:adjustRightInd w:val="0"/>
              <w:snapToGrid w:val="0"/>
              <w:spacing w:line="44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c>
          <w:tcPr>
            <w:tcW w:w="1062" w:type="dxa"/>
          </w:tcPr>
          <w:p w14:paraId="2572E502">
            <w:pPr>
              <w:pStyle w:val="25"/>
              <w:adjustRightInd w:val="0"/>
              <w:snapToGrid w:val="0"/>
              <w:spacing w:line="44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4106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3838FA8C">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33E43F6B">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583F6DC5">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0C1F84F9">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476E3995">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28D15963">
            <w:pPr>
              <w:pStyle w:val="25"/>
              <w:adjustRightInd w:val="0"/>
              <w:snapToGrid w:val="0"/>
              <w:spacing w:line="440" w:lineRule="atLeast"/>
              <w:rPr>
                <w:rFonts w:hint="eastAsia" w:ascii="宋体" w:hAnsi="宋体" w:eastAsia="宋体" w:cs="宋体"/>
                <w:color w:val="auto"/>
                <w:sz w:val="22"/>
                <w:szCs w:val="22"/>
                <w:highlight w:val="none"/>
              </w:rPr>
            </w:pPr>
          </w:p>
        </w:tc>
      </w:tr>
      <w:tr w14:paraId="718A7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2EFC41EF">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7160C5A7">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77ECC013">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281434C9">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356D7CBA">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4519D5CD">
            <w:pPr>
              <w:pStyle w:val="25"/>
              <w:adjustRightInd w:val="0"/>
              <w:snapToGrid w:val="0"/>
              <w:spacing w:line="440" w:lineRule="atLeast"/>
              <w:rPr>
                <w:rFonts w:hint="eastAsia" w:ascii="宋体" w:hAnsi="宋体" w:eastAsia="宋体" w:cs="宋体"/>
                <w:color w:val="auto"/>
                <w:sz w:val="22"/>
                <w:szCs w:val="22"/>
                <w:highlight w:val="none"/>
              </w:rPr>
            </w:pPr>
          </w:p>
        </w:tc>
      </w:tr>
      <w:tr w14:paraId="01D2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4722A4C6">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4EF9DC19">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38966DBE">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1C3A33E7">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34C2140D">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53EDC863">
            <w:pPr>
              <w:pStyle w:val="25"/>
              <w:adjustRightInd w:val="0"/>
              <w:snapToGrid w:val="0"/>
              <w:spacing w:line="440" w:lineRule="atLeast"/>
              <w:rPr>
                <w:rFonts w:hint="eastAsia" w:ascii="宋体" w:hAnsi="宋体" w:eastAsia="宋体" w:cs="宋体"/>
                <w:color w:val="auto"/>
                <w:sz w:val="22"/>
                <w:szCs w:val="22"/>
                <w:highlight w:val="none"/>
              </w:rPr>
            </w:pPr>
          </w:p>
        </w:tc>
      </w:tr>
      <w:tr w14:paraId="56DE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14A1CBC6">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5F9D5530">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2CE9F8C5">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73E57687">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5C90BD65">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29BB8C95">
            <w:pPr>
              <w:pStyle w:val="25"/>
              <w:adjustRightInd w:val="0"/>
              <w:snapToGrid w:val="0"/>
              <w:spacing w:line="440" w:lineRule="atLeast"/>
              <w:rPr>
                <w:rFonts w:hint="eastAsia" w:ascii="宋体" w:hAnsi="宋体" w:eastAsia="宋体" w:cs="宋体"/>
                <w:color w:val="auto"/>
                <w:sz w:val="22"/>
                <w:szCs w:val="22"/>
                <w:highlight w:val="none"/>
              </w:rPr>
            </w:pPr>
          </w:p>
        </w:tc>
      </w:tr>
      <w:tr w14:paraId="4EA70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78406594">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0AF7F99C">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2C24A218">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78FEB7CB">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401EC8DE">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26F4EA23">
            <w:pPr>
              <w:pStyle w:val="25"/>
              <w:adjustRightInd w:val="0"/>
              <w:snapToGrid w:val="0"/>
              <w:spacing w:line="440" w:lineRule="atLeast"/>
              <w:rPr>
                <w:rFonts w:hint="eastAsia" w:ascii="宋体" w:hAnsi="宋体" w:eastAsia="宋体" w:cs="宋体"/>
                <w:color w:val="auto"/>
                <w:sz w:val="22"/>
                <w:szCs w:val="22"/>
                <w:highlight w:val="none"/>
              </w:rPr>
            </w:pPr>
          </w:p>
        </w:tc>
      </w:tr>
      <w:tr w14:paraId="074F8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CF17440">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6843F8D2">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7A06DF7B">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6B8B1A16">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4703DACB">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6210F6F2">
            <w:pPr>
              <w:pStyle w:val="25"/>
              <w:adjustRightInd w:val="0"/>
              <w:snapToGrid w:val="0"/>
              <w:spacing w:line="440" w:lineRule="atLeast"/>
              <w:rPr>
                <w:rFonts w:hint="eastAsia" w:ascii="宋体" w:hAnsi="宋体" w:eastAsia="宋体" w:cs="宋体"/>
                <w:color w:val="auto"/>
                <w:sz w:val="22"/>
                <w:szCs w:val="22"/>
                <w:highlight w:val="none"/>
              </w:rPr>
            </w:pPr>
          </w:p>
        </w:tc>
      </w:tr>
      <w:tr w14:paraId="122CC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BD0B859">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267A077A">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02F3E416">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5027DC17">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408CF801">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18D0B7A4">
            <w:pPr>
              <w:pStyle w:val="25"/>
              <w:adjustRightInd w:val="0"/>
              <w:snapToGrid w:val="0"/>
              <w:spacing w:line="440" w:lineRule="atLeast"/>
              <w:rPr>
                <w:rFonts w:hint="eastAsia" w:ascii="宋体" w:hAnsi="宋体" w:eastAsia="宋体" w:cs="宋体"/>
                <w:color w:val="auto"/>
                <w:sz w:val="22"/>
                <w:szCs w:val="22"/>
                <w:highlight w:val="none"/>
              </w:rPr>
            </w:pPr>
          </w:p>
        </w:tc>
      </w:tr>
      <w:tr w14:paraId="6129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0587682A">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4FC22C8A">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79808E36">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7B64BCFC">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5D1FA048">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4F3960E8">
            <w:pPr>
              <w:pStyle w:val="25"/>
              <w:adjustRightInd w:val="0"/>
              <w:snapToGrid w:val="0"/>
              <w:spacing w:line="440" w:lineRule="atLeast"/>
              <w:rPr>
                <w:rFonts w:hint="eastAsia" w:ascii="宋体" w:hAnsi="宋体" w:eastAsia="宋体" w:cs="宋体"/>
                <w:color w:val="auto"/>
                <w:sz w:val="22"/>
                <w:szCs w:val="22"/>
                <w:highlight w:val="none"/>
              </w:rPr>
            </w:pPr>
          </w:p>
        </w:tc>
      </w:tr>
      <w:tr w14:paraId="17B2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2E14E65D">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49B993B2">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2F2D96DB">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4138BD7D">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778377EF">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10673B6B">
            <w:pPr>
              <w:pStyle w:val="25"/>
              <w:adjustRightInd w:val="0"/>
              <w:snapToGrid w:val="0"/>
              <w:spacing w:line="440" w:lineRule="atLeast"/>
              <w:rPr>
                <w:rFonts w:hint="eastAsia" w:ascii="宋体" w:hAnsi="宋体" w:eastAsia="宋体" w:cs="宋体"/>
                <w:color w:val="auto"/>
                <w:sz w:val="22"/>
                <w:szCs w:val="22"/>
                <w:highlight w:val="none"/>
              </w:rPr>
            </w:pPr>
          </w:p>
        </w:tc>
      </w:tr>
      <w:tr w14:paraId="4ABD5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6C02791A">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700FD543">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792597D3">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1F8821EF">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5A0FBEED">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477C961F">
            <w:pPr>
              <w:pStyle w:val="25"/>
              <w:adjustRightInd w:val="0"/>
              <w:snapToGrid w:val="0"/>
              <w:spacing w:line="440" w:lineRule="atLeast"/>
              <w:rPr>
                <w:rFonts w:hint="eastAsia" w:ascii="宋体" w:hAnsi="宋体" w:eastAsia="宋体" w:cs="宋体"/>
                <w:color w:val="auto"/>
                <w:sz w:val="22"/>
                <w:szCs w:val="22"/>
                <w:highlight w:val="none"/>
              </w:rPr>
            </w:pPr>
          </w:p>
        </w:tc>
      </w:tr>
      <w:tr w14:paraId="4FC81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3A4C3425">
            <w:pPr>
              <w:pStyle w:val="25"/>
              <w:adjustRightInd w:val="0"/>
              <w:snapToGrid w:val="0"/>
              <w:spacing w:line="440" w:lineRule="atLeast"/>
              <w:rPr>
                <w:rFonts w:hint="eastAsia" w:ascii="宋体" w:hAnsi="宋体" w:eastAsia="宋体" w:cs="宋体"/>
                <w:color w:val="auto"/>
                <w:sz w:val="22"/>
                <w:szCs w:val="22"/>
                <w:highlight w:val="none"/>
              </w:rPr>
            </w:pPr>
          </w:p>
        </w:tc>
        <w:tc>
          <w:tcPr>
            <w:tcW w:w="1952" w:type="dxa"/>
          </w:tcPr>
          <w:p w14:paraId="104D760F">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1F01BFF7">
            <w:pPr>
              <w:pStyle w:val="25"/>
              <w:adjustRightInd w:val="0"/>
              <w:snapToGrid w:val="0"/>
              <w:spacing w:line="440" w:lineRule="atLeast"/>
              <w:rPr>
                <w:rFonts w:hint="eastAsia" w:ascii="宋体" w:hAnsi="宋体" w:eastAsia="宋体" w:cs="宋体"/>
                <w:color w:val="auto"/>
                <w:sz w:val="22"/>
                <w:szCs w:val="22"/>
                <w:highlight w:val="none"/>
              </w:rPr>
            </w:pPr>
          </w:p>
        </w:tc>
        <w:tc>
          <w:tcPr>
            <w:tcW w:w="1953" w:type="dxa"/>
          </w:tcPr>
          <w:p w14:paraId="59E55265">
            <w:pPr>
              <w:pStyle w:val="25"/>
              <w:adjustRightInd w:val="0"/>
              <w:snapToGrid w:val="0"/>
              <w:spacing w:line="440" w:lineRule="atLeast"/>
              <w:rPr>
                <w:rFonts w:hint="eastAsia" w:ascii="宋体" w:hAnsi="宋体" w:eastAsia="宋体" w:cs="宋体"/>
                <w:color w:val="auto"/>
                <w:sz w:val="22"/>
                <w:szCs w:val="22"/>
                <w:highlight w:val="none"/>
              </w:rPr>
            </w:pPr>
          </w:p>
        </w:tc>
        <w:tc>
          <w:tcPr>
            <w:tcW w:w="1613" w:type="dxa"/>
          </w:tcPr>
          <w:p w14:paraId="3219ADD8">
            <w:pPr>
              <w:pStyle w:val="25"/>
              <w:adjustRightInd w:val="0"/>
              <w:snapToGrid w:val="0"/>
              <w:spacing w:line="440" w:lineRule="atLeast"/>
              <w:rPr>
                <w:rFonts w:hint="eastAsia" w:ascii="宋体" w:hAnsi="宋体" w:eastAsia="宋体" w:cs="宋体"/>
                <w:color w:val="auto"/>
                <w:sz w:val="22"/>
                <w:szCs w:val="22"/>
                <w:highlight w:val="none"/>
              </w:rPr>
            </w:pPr>
          </w:p>
        </w:tc>
        <w:tc>
          <w:tcPr>
            <w:tcW w:w="1062" w:type="dxa"/>
          </w:tcPr>
          <w:p w14:paraId="59C1212E">
            <w:pPr>
              <w:pStyle w:val="25"/>
              <w:adjustRightInd w:val="0"/>
              <w:snapToGrid w:val="0"/>
              <w:spacing w:line="440" w:lineRule="atLeast"/>
              <w:rPr>
                <w:rFonts w:hint="eastAsia" w:ascii="宋体" w:hAnsi="宋体" w:eastAsia="宋体" w:cs="宋体"/>
                <w:color w:val="auto"/>
                <w:sz w:val="22"/>
                <w:szCs w:val="22"/>
                <w:highlight w:val="none"/>
              </w:rPr>
            </w:pPr>
          </w:p>
        </w:tc>
      </w:tr>
    </w:tbl>
    <w:p w14:paraId="3324604F">
      <w:pPr>
        <w:pStyle w:val="25"/>
        <w:adjustRightInd w:val="0"/>
        <w:snapToGrid w:val="0"/>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说明：按评分细则要求提供。</w:t>
      </w:r>
    </w:p>
    <w:p w14:paraId="52313734">
      <w:pPr>
        <w:pStyle w:val="25"/>
        <w:spacing w:line="460" w:lineRule="atLeast"/>
        <w:rPr>
          <w:rFonts w:hint="eastAsia" w:ascii="宋体" w:hAnsi="宋体" w:eastAsia="宋体" w:cs="宋体"/>
          <w:color w:val="auto"/>
          <w:sz w:val="22"/>
          <w:szCs w:val="22"/>
          <w:highlight w:val="none"/>
        </w:rPr>
      </w:pPr>
    </w:p>
    <w:p w14:paraId="3CEF526E">
      <w:pPr>
        <w:pStyle w:val="25"/>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磋商供应商（盖章）：</w:t>
      </w:r>
    </w:p>
    <w:p w14:paraId="4F8A46E0">
      <w:pPr>
        <w:pStyle w:val="25"/>
        <w:spacing w:line="460" w:lineRule="atLeast"/>
        <w:rPr>
          <w:rFonts w:hint="eastAsia" w:ascii="宋体" w:hAnsi="宋体" w:eastAsia="宋体" w:cs="宋体"/>
          <w:color w:val="auto"/>
          <w:sz w:val="22"/>
          <w:szCs w:val="22"/>
          <w:highlight w:val="none"/>
        </w:rPr>
      </w:pPr>
    </w:p>
    <w:p w14:paraId="6F5A8BA6">
      <w:pPr>
        <w:pStyle w:val="25"/>
        <w:spacing w:line="460" w:lineRule="atLeast"/>
        <w:rPr>
          <w:rFonts w:hint="eastAsia" w:ascii="宋体" w:hAnsi="宋体" w:eastAsia="宋体" w:cs="宋体"/>
          <w:color w:val="auto"/>
          <w:sz w:val="22"/>
          <w:szCs w:val="22"/>
          <w:highlight w:val="none"/>
        </w:rPr>
      </w:pPr>
    </w:p>
    <w:p w14:paraId="17C907D3">
      <w:pPr>
        <w:pStyle w:val="25"/>
        <w:spacing w:line="460" w:lineRule="atLeast"/>
        <w:rPr>
          <w:rFonts w:hint="eastAsia" w:ascii="宋体" w:hAnsi="宋体" w:eastAsia="宋体" w:cs="宋体"/>
          <w:color w:val="auto"/>
          <w:sz w:val="22"/>
          <w:szCs w:val="22"/>
          <w:highlight w:val="none"/>
        </w:rPr>
      </w:pPr>
    </w:p>
    <w:p w14:paraId="594B05B4">
      <w:pPr>
        <w:pStyle w:val="25"/>
        <w:spacing w:line="460" w:lineRule="atLeast"/>
        <w:rPr>
          <w:rFonts w:hint="eastAsia" w:ascii="宋体" w:hAnsi="宋体" w:eastAsia="宋体" w:cs="宋体"/>
          <w:color w:val="auto"/>
          <w:sz w:val="22"/>
          <w:szCs w:val="22"/>
          <w:highlight w:val="none"/>
        </w:rPr>
      </w:pPr>
    </w:p>
    <w:p w14:paraId="6BA64759">
      <w:pPr>
        <w:pStyle w:val="25"/>
        <w:spacing w:line="460" w:lineRule="atLeast"/>
        <w:rPr>
          <w:rFonts w:hint="eastAsia" w:ascii="宋体" w:hAnsi="宋体" w:eastAsia="宋体" w:cs="宋体"/>
          <w:color w:val="auto"/>
          <w:sz w:val="22"/>
          <w:szCs w:val="22"/>
          <w:highlight w:val="none"/>
        </w:rPr>
      </w:pPr>
    </w:p>
    <w:p w14:paraId="29A9DAC1">
      <w:pPr>
        <w:pStyle w:val="25"/>
        <w:spacing w:line="460" w:lineRule="atLeast"/>
        <w:rPr>
          <w:rFonts w:hint="eastAsia" w:ascii="宋体" w:hAnsi="宋体" w:eastAsia="宋体" w:cs="宋体"/>
          <w:color w:val="auto"/>
          <w:sz w:val="22"/>
          <w:szCs w:val="22"/>
          <w:highlight w:val="none"/>
        </w:rPr>
      </w:pPr>
    </w:p>
    <w:p w14:paraId="456CAD0E">
      <w:pPr>
        <w:pStyle w:val="25"/>
        <w:spacing w:line="460" w:lineRule="atLeast"/>
        <w:rPr>
          <w:rFonts w:hint="eastAsia" w:ascii="宋体" w:hAnsi="宋体" w:eastAsia="宋体" w:cs="宋体"/>
          <w:color w:val="auto"/>
          <w:sz w:val="22"/>
          <w:szCs w:val="22"/>
          <w:highlight w:val="none"/>
        </w:rPr>
      </w:pPr>
    </w:p>
    <w:p w14:paraId="1A9B1F9F">
      <w:pPr>
        <w:pStyle w:val="25"/>
        <w:spacing w:line="460" w:lineRule="atLeast"/>
        <w:rPr>
          <w:rFonts w:hint="eastAsia" w:ascii="宋体" w:hAnsi="宋体" w:eastAsia="宋体" w:cs="宋体"/>
          <w:color w:val="auto"/>
          <w:sz w:val="22"/>
          <w:szCs w:val="22"/>
          <w:highlight w:val="none"/>
        </w:rPr>
      </w:pPr>
    </w:p>
    <w:p w14:paraId="7664117F">
      <w:pPr>
        <w:pStyle w:val="25"/>
        <w:spacing w:line="460" w:lineRule="atLeast"/>
        <w:rPr>
          <w:rFonts w:hint="eastAsia" w:ascii="宋体" w:hAnsi="宋体" w:eastAsia="宋体" w:cs="宋体"/>
          <w:color w:val="auto"/>
          <w:sz w:val="22"/>
          <w:szCs w:val="22"/>
          <w:highlight w:val="none"/>
        </w:rPr>
      </w:pPr>
    </w:p>
    <w:p w14:paraId="1521A315">
      <w:pPr>
        <w:pStyle w:val="25"/>
        <w:spacing w:line="460" w:lineRule="atLeast"/>
        <w:rPr>
          <w:rFonts w:hint="eastAsia" w:ascii="宋体" w:hAnsi="宋体" w:eastAsia="宋体" w:cs="宋体"/>
          <w:color w:val="auto"/>
          <w:sz w:val="22"/>
          <w:szCs w:val="22"/>
          <w:highlight w:val="none"/>
        </w:rPr>
      </w:pPr>
    </w:p>
    <w:p w14:paraId="4AC37704">
      <w:pPr>
        <w:pStyle w:val="25"/>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附件八</w:t>
      </w:r>
    </w:p>
    <w:p w14:paraId="3999F886">
      <w:pPr>
        <w:autoSpaceDE w:val="0"/>
        <w:autoSpaceDN w:val="0"/>
        <w:adjustRightInd w:val="0"/>
        <w:spacing w:line="460" w:lineRule="atLeast"/>
        <w:jc w:val="center"/>
        <w:rPr>
          <w:rFonts w:hint="eastAsia" w:ascii="宋体" w:hAnsi="宋体" w:eastAsia="宋体" w:cs="宋体"/>
          <w:color w:val="auto"/>
          <w:sz w:val="36"/>
          <w:highlight w:val="none"/>
          <w:lang w:val="zh-CN"/>
        </w:rPr>
      </w:pPr>
      <w:r>
        <w:rPr>
          <w:rFonts w:hint="eastAsia" w:ascii="宋体" w:hAnsi="宋体" w:eastAsia="宋体" w:cs="宋体"/>
          <w:color w:val="auto"/>
          <w:sz w:val="36"/>
          <w:highlight w:val="none"/>
          <w:lang w:val="zh-CN"/>
        </w:rPr>
        <w:t>偏离表</w:t>
      </w:r>
    </w:p>
    <w:p w14:paraId="04B9C055">
      <w:pPr>
        <w:pStyle w:val="25"/>
        <w:spacing w:line="440" w:lineRule="atLeast"/>
        <w:rPr>
          <w:rFonts w:hint="eastAsia" w:ascii="宋体" w:hAnsi="宋体" w:eastAsia="宋体" w:cs="宋体"/>
          <w:bCs/>
          <w:color w:val="auto"/>
          <w:sz w:val="36"/>
          <w:szCs w:val="36"/>
          <w:highlight w:val="none"/>
        </w:rPr>
      </w:pPr>
      <w:r>
        <w:rPr>
          <w:rFonts w:hint="eastAsia" w:ascii="宋体" w:hAnsi="宋体" w:eastAsia="宋体" w:cs="宋体"/>
          <w:bCs/>
          <w:color w:val="auto"/>
          <w:sz w:val="22"/>
          <w:szCs w:val="22"/>
          <w:highlight w:val="none"/>
        </w:rPr>
        <w:t>项目名称：                     采购编号：</w:t>
      </w:r>
    </w:p>
    <w:tbl>
      <w:tblPr>
        <w:tblStyle w:val="47"/>
        <w:tblW w:w="919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14:paraId="3D56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14:paraId="5E94133F">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商务偏离</w:t>
            </w:r>
          </w:p>
        </w:tc>
      </w:tr>
      <w:tr w14:paraId="6FA5B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14:paraId="5686F6BD">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序号</w:t>
            </w:r>
          </w:p>
        </w:tc>
        <w:tc>
          <w:tcPr>
            <w:tcW w:w="1710" w:type="dxa"/>
            <w:vAlign w:val="center"/>
          </w:tcPr>
          <w:p w14:paraId="57214481">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内容</w:t>
            </w:r>
          </w:p>
        </w:tc>
        <w:tc>
          <w:tcPr>
            <w:tcW w:w="2664" w:type="dxa"/>
            <w:vAlign w:val="center"/>
          </w:tcPr>
          <w:p w14:paraId="357FEA5D">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竞争性磋商文件要求</w:t>
            </w:r>
          </w:p>
        </w:tc>
        <w:tc>
          <w:tcPr>
            <w:tcW w:w="2110" w:type="dxa"/>
            <w:vAlign w:val="center"/>
          </w:tcPr>
          <w:p w14:paraId="6A87FCA1">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响应文件响应情况</w:t>
            </w:r>
          </w:p>
        </w:tc>
        <w:tc>
          <w:tcPr>
            <w:tcW w:w="1831" w:type="dxa"/>
            <w:vAlign w:val="center"/>
          </w:tcPr>
          <w:p w14:paraId="4D22A895">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备注</w:t>
            </w:r>
          </w:p>
        </w:tc>
      </w:tr>
      <w:tr w14:paraId="2DD06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01E2A0AB">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1C9DADEC">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7A982F30">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4C7C89A7">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1D63A878">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06352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3EFCE2AD">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3554BBA0">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3860E64A">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7714E3F7">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33AC2D36">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5353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39B9250C">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0D4695C8">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7A800225">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04323A99">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4A462119">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58AD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716064E">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36593E18">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3D5C5711">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04FA7044">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40AE5CC7">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576D4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2E389A08">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32068065">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686D0BDD">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6E8896CA">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718E303B">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52CD3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1D3821DB">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6932E260">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092BC2FF">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74EE7F0F">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0DB98FCF">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7E9AD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14:paraId="67936E2F">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技术偏离</w:t>
            </w:r>
          </w:p>
        </w:tc>
      </w:tr>
      <w:tr w14:paraId="3A1DB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14:paraId="75B06A8D">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序号</w:t>
            </w:r>
          </w:p>
        </w:tc>
        <w:tc>
          <w:tcPr>
            <w:tcW w:w="1710" w:type="dxa"/>
            <w:vAlign w:val="center"/>
          </w:tcPr>
          <w:p w14:paraId="75D97911">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内容</w:t>
            </w:r>
          </w:p>
        </w:tc>
        <w:tc>
          <w:tcPr>
            <w:tcW w:w="2664" w:type="dxa"/>
            <w:vAlign w:val="center"/>
          </w:tcPr>
          <w:p w14:paraId="38E6005C">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竞争性磋商文件要求</w:t>
            </w:r>
          </w:p>
        </w:tc>
        <w:tc>
          <w:tcPr>
            <w:tcW w:w="2110" w:type="dxa"/>
            <w:vAlign w:val="center"/>
          </w:tcPr>
          <w:p w14:paraId="5A9BD3AB">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响应文件响应情况</w:t>
            </w:r>
          </w:p>
        </w:tc>
        <w:tc>
          <w:tcPr>
            <w:tcW w:w="1831" w:type="dxa"/>
            <w:vAlign w:val="center"/>
          </w:tcPr>
          <w:p w14:paraId="6DBF298A">
            <w:pPr>
              <w:autoSpaceDE w:val="0"/>
              <w:autoSpaceDN w:val="0"/>
              <w:adjustRightInd w:val="0"/>
              <w:spacing w:line="46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备注</w:t>
            </w:r>
          </w:p>
        </w:tc>
      </w:tr>
      <w:tr w14:paraId="79E5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5178E7D2">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1828187C">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1F7CDCB1">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2A771FBF">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74DBAF06">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0F02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3122A2A">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51D564F6">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1B1D7C1F">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2213F500">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159E964B">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6B5A6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8683B85">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43AFC45B">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31533432">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218FC10D">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1A0DBF60">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1A6AF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00BC8AA0">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0F0134C6">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136E5F23">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0C34FB2B">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3793FA6B">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099CB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3F6BB908">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04908385">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6A9E8CED">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605E93FC">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304081A8">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r w14:paraId="70430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26FDF77D">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710" w:type="dxa"/>
          </w:tcPr>
          <w:p w14:paraId="1716CC11">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664" w:type="dxa"/>
          </w:tcPr>
          <w:p w14:paraId="40FE1BFA">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2110" w:type="dxa"/>
          </w:tcPr>
          <w:p w14:paraId="7BD69FFA">
            <w:pPr>
              <w:autoSpaceDE w:val="0"/>
              <w:autoSpaceDN w:val="0"/>
              <w:adjustRightInd w:val="0"/>
              <w:spacing w:line="460" w:lineRule="atLeast"/>
              <w:jc w:val="center"/>
              <w:rPr>
                <w:rFonts w:hint="eastAsia" w:ascii="宋体" w:hAnsi="宋体" w:eastAsia="宋体" w:cs="宋体"/>
                <w:color w:val="auto"/>
                <w:sz w:val="22"/>
                <w:highlight w:val="none"/>
                <w:lang w:val="zh-CN"/>
              </w:rPr>
            </w:pPr>
          </w:p>
        </w:tc>
        <w:tc>
          <w:tcPr>
            <w:tcW w:w="1831" w:type="dxa"/>
          </w:tcPr>
          <w:p w14:paraId="3278FACE">
            <w:pPr>
              <w:autoSpaceDE w:val="0"/>
              <w:autoSpaceDN w:val="0"/>
              <w:adjustRightInd w:val="0"/>
              <w:spacing w:line="460" w:lineRule="atLeast"/>
              <w:jc w:val="center"/>
              <w:rPr>
                <w:rFonts w:hint="eastAsia" w:ascii="宋体" w:hAnsi="宋体" w:eastAsia="宋体" w:cs="宋体"/>
                <w:color w:val="auto"/>
                <w:sz w:val="22"/>
                <w:highlight w:val="none"/>
                <w:lang w:val="zh-CN"/>
              </w:rPr>
            </w:pPr>
          </w:p>
        </w:tc>
      </w:tr>
    </w:tbl>
    <w:p w14:paraId="51BC2303">
      <w:pPr>
        <w:autoSpaceDE w:val="0"/>
        <w:autoSpaceDN w:val="0"/>
        <w:adjustRightInd w:val="0"/>
        <w:spacing w:line="460" w:lineRule="exact"/>
        <w:ind w:firstLine="550" w:firstLine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注：1、响应文件提供的技术参数对应采购文件如有偏离的均需在偏离表中列出，如没有列出的视为完全响应</w:t>
      </w:r>
      <w:r>
        <w:rPr>
          <w:rFonts w:hint="eastAsia" w:ascii="宋体" w:hAnsi="宋体" w:cs="宋体"/>
          <w:color w:val="auto"/>
          <w:sz w:val="22"/>
          <w:szCs w:val="22"/>
          <w:highlight w:val="none"/>
          <w:lang w:val="en-US" w:eastAsia="zh-CN"/>
        </w:rPr>
        <w:t>竞争性磋商文件</w:t>
      </w:r>
      <w:r>
        <w:rPr>
          <w:rFonts w:hint="eastAsia" w:ascii="宋体" w:hAnsi="宋体" w:eastAsia="宋体" w:cs="宋体"/>
          <w:color w:val="auto"/>
          <w:sz w:val="22"/>
          <w:szCs w:val="22"/>
          <w:highlight w:val="none"/>
          <w:lang w:val="zh-CN"/>
        </w:rPr>
        <w:t>的要求。</w:t>
      </w:r>
    </w:p>
    <w:p w14:paraId="2C0882F5">
      <w:pPr>
        <w:autoSpaceDE w:val="0"/>
        <w:autoSpaceDN w:val="0"/>
        <w:adjustRightIn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2、本表可以延续。</w:t>
      </w:r>
    </w:p>
    <w:p w14:paraId="0A2B3FBD">
      <w:pPr>
        <w:autoSpaceDE w:val="0"/>
        <w:autoSpaceDN w:val="0"/>
        <w:adjustRightInd w:val="0"/>
        <w:spacing w:line="460" w:lineRule="atLeast"/>
        <w:ind w:firstLine="330" w:firstLineChars="150"/>
        <w:rPr>
          <w:rFonts w:hint="eastAsia" w:ascii="宋体" w:hAnsi="宋体" w:eastAsia="宋体" w:cs="宋体"/>
          <w:color w:val="auto"/>
          <w:sz w:val="22"/>
          <w:szCs w:val="22"/>
          <w:highlight w:val="none"/>
          <w:lang w:val="zh-CN"/>
        </w:rPr>
      </w:pPr>
    </w:p>
    <w:p w14:paraId="607846BF">
      <w:pPr>
        <w:autoSpaceDE w:val="0"/>
        <w:autoSpaceDN w:val="0"/>
        <w:adjustRightInd w:val="0"/>
        <w:spacing w:line="460" w:lineRule="atLeast"/>
        <w:ind w:firstLine="330" w:firstLineChars="150"/>
        <w:rPr>
          <w:rFonts w:hint="eastAsia" w:ascii="宋体" w:hAnsi="宋体" w:eastAsia="宋体" w:cs="宋体"/>
          <w:color w:val="auto"/>
          <w:sz w:val="22"/>
          <w:szCs w:val="22"/>
          <w:highlight w:val="none"/>
          <w:lang w:val="zh-CN"/>
        </w:rPr>
      </w:pPr>
    </w:p>
    <w:p w14:paraId="21776BFF">
      <w:pPr>
        <w:autoSpaceDE w:val="0"/>
        <w:autoSpaceDN w:val="0"/>
        <w:adjustRightInd w:val="0"/>
        <w:spacing w:line="460" w:lineRule="atLeast"/>
        <w:ind w:firstLine="330" w:firstLineChars="1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磋商供应商（盖章）：</w:t>
      </w:r>
    </w:p>
    <w:p w14:paraId="0B81BB1F">
      <w:pPr>
        <w:autoSpaceDE w:val="0"/>
        <w:autoSpaceDN w:val="0"/>
        <w:adjustRightInd w:val="0"/>
        <w:spacing w:line="460" w:lineRule="atLeast"/>
        <w:rPr>
          <w:rFonts w:hint="eastAsia" w:ascii="宋体" w:hAnsi="宋体" w:eastAsia="宋体" w:cs="宋体"/>
          <w:color w:val="auto"/>
          <w:sz w:val="22"/>
          <w:szCs w:val="22"/>
          <w:highlight w:val="none"/>
          <w:lang w:val="zh-CN"/>
        </w:rPr>
      </w:pPr>
    </w:p>
    <w:p w14:paraId="7096BAA5">
      <w:pPr>
        <w:spacing w:beforeLines="50" w:afterLines="50" w:line="460" w:lineRule="atLeast"/>
        <w:ind w:right="-10"/>
        <w:jc w:val="center"/>
        <w:rPr>
          <w:rFonts w:hint="eastAsia" w:ascii="宋体" w:hAnsi="宋体" w:eastAsia="宋体" w:cs="宋体"/>
          <w:color w:val="auto"/>
          <w:sz w:val="22"/>
          <w:szCs w:val="22"/>
          <w:highlight w:val="none"/>
          <w:lang w:val="zh-CN"/>
        </w:rPr>
      </w:pPr>
    </w:p>
    <w:p w14:paraId="760D4B4D">
      <w:pPr>
        <w:pStyle w:val="34"/>
        <w:rPr>
          <w:rFonts w:hint="eastAsia" w:ascii="宋体" w:hAnsi="宋体" w:eastAsia="宋体" w:cs="宋体"/>
          <w:color w:val="auto"/>
          <w:highlight w:val="none"/>
          <w:lang w:val="zh-CN"/>
        </w:rPr>
      </w:pPr>
    </w:p>
    <w:p w14:paraId="47820C9A">
      <w:pPr>
        <w:pStyle w:val="34"/>
        <w:rPr>
          <w:rFonts w:hint="eastAsia" w:ascii="宋体" w:hAnsi="宋体" w:eastAsia="宋体" w:cs="宋体"/>
          <w:color w:val="auto"/>
          <w:highlight w:val="none"/>
          <w:lang w:val="zh-CN"/>
        </w:rPr>
      </w:pPr>
    </w:p>
    <w:p w14:paraId="06C3DB6B">
      <w:pPr>
        <w:keepLines/>
        <w:pageBreakBefore/>
        <w:autoSpaceDE w:val="0"/>
        <w:autoSpaceDN w:val="0"/>
        <w:adjustRightInd w:val="0"/>
        <w:spacing w:afterLines="50" w:line="460" w:lineRule="atLeast"/>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t>附件九</w:t>
      </w:r>
    </w:p>
    <w:p w14:paraId="29D965DB">
      <w:pPr>
        <w:pStyle w:val="25"/>
        <w:spacing w:afterLines="100" w:line="460" w:lineRule="atLeas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项目人员配置表</w:t>
      </w:r>
    </w:p>
    <w:p w14:paraId="36E9AC1E">
      <w:pPr>
        <w:spacing w:line="40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                            采购编号：</w:t>
      </w:r>
    </w:p>
    <w:tbl>
      <w:tblPr>
        <w:tblStyle w:val="47"/>
        <w:tblW w:w="949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40"/>
        <w:gridCol w:w="1412"/>
        <w:gridCol w:w="690"/>
        <w:gridCol w:w="690"/>
        <w:gridCol w:w="1313"/>
        <w:gridCol w:w="1273"/>
        <w:gridCol w:w="2265"/>
      </w:tblGrid>
      <w:tr w14:paraId="64BD0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09" w:type="dxa"/>
            <w:noWrap/>
            <w:vAlign w:val="center"/>
          </w:tcPr>
          <w:p w14:paraId="2205E125">
            <w:pPr>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1140" w:type="dxa"/>
            <w:noWrap/>
            <w:vAlign w:val="center"/>
          </w:tcPr>
          <w:p w14:paraId="567B803D">
            <w:pPr>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姓名</w:t>
            </w:r>
          </w:p>
        </w:tc>
        <w:tc>
          <w:tcPr>
            <w:tcW w:w="1412" w:type="dxa"/>
            <w:noWrap/>
            <w:vAlign w:val="center"/>
          </w:tcPr>
          <w:p w14:paraId="4A2C1C96">
            <w:pPr>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担任本项目主要工作</w:t>
            </w:r>
          </w:p>
        </w:tc>
        <w:tc>
          <w:tcPr>
            <w:tcW w:w="690" w:type="dxa"/>
            <w:noWrap/>
            <w:vAlign w:val="center"/>
          </w:tcPr>
          <w:p w14:paraId="0113156E">
            <w:pPr>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年龄</w:t>
            </w:r>
          </w:p>
        </w:tc>
        <w:tc>
          <w:tcPr>
            <w:tcW w:w="690" w:type="dxa"/>
            <w:noWrap/>
            <w:vAlign w:val="center"/>
          </w:tcPr>
          <w:p w14:paraId="32324921">
            <w:pPr>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性别</w:t>
            </w:r>
          </w:p>
        </w:tc>
        <w:tc>
          <w:tcPr>
            <w:tcW w:w="1313" w:type="dxa"/>
            <w:noWrap/>
            <w:vAlign w:val="center"/>
          </w:tcPr>
          <w:p w14:paraId="46EBDFCF">
            <w:pPr>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职称/</w:t>
            </w:r>
            <w:r>
              <w:rPr>
                <w:rFonts w:hint="eastAsia" w:ascii="宋体" w:hAnsi="宋体" w:eastAsia="宋体" w:cs="宋体"/>
                <w:color w:val="auto"/>
                <w:kern w:val="0"/>
                <w:sz w:val="22"/>
                <w:szCs w:val="22"/>
                <w:highlight w:val="none"/>
              </w:rPr>
              <w:t>资格</w:t>
            </w:r>
          </w:p>
        </w:tc>
        <w:tc>
          <w:tcPr>
            <w:tcW w:w="1273" w:type="dxa"/>
            <w:noWrap/>
            <w:vAlign w:val="center"/>
          </w:tcPr>
          <w:p w14:paraId="696C0268">
            <w:pPr>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专业/年限</w:t>
            </w:r>
          </w:p>
        </w:tc>
        <w:tc>
          <w:tcPr>
            <w:tcW w:w="2265" w:type="dxa"/>
            <w:noWrap/>
            <w:vAlign w:val="center"/>
          </w:tcPr>
          <w:p w14:paraId="3E232CF5">
            <w:pPr>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类似服务的经历、业绩、是否有相关证书等介绍（或另附简历）</w:t>
            </w:r>
          </w:p>
        </w:tc>
      </w:tr>
      <w:tr w14:paraId="6BF8D3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09" w:type="dxa"/>
            <w:noWrap/>
            <w:vAlign w:val="center"/>
          </w:tcPr>
          <w:p w14:paraId="563A854B">
            <w:pPr>
              <w:spacing w:line="40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1140" w:type="dxa"/>
            <w:noWrap/>
            <w:vAlign w:val="center"/>
          </w:tcPr>
          <w:p w14:paraId="6C82333F">
            <w:pPr>
              <w:spacing w:line="400" w:lineRule="exact"/>
              <w:jc w:val="center"/>
              <w:rPr>
                <w:rFonts w:hint="eastAsia" w:ascii="宋体" w:hAnsi="宋体" w:eastAsia="宋体" w:cs="宋体"/>
                <w:bCs/>
                <w:color w:val="auto"/>
                <w:kern w:val="0"/>
                <w:sz w:val="22"/>
                <w:szCs w:val="22"/>
                <w:highlight w:val="none"/>
              </w:rPr>
            </w:pPr>
          </w:p>
        </w:tc>
        <w:tc>
          <w:tcPr>
            <w:tcW w:w="1412" w:type="dxa"/>
            <w:noWrap/>
            <w:vAlign w:val="center"/>
          </w:tcPr>
          <w:p w14:paraId="6754DDA4">
            <w:pPr>
              <w:spacing w:line="40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项目负责人</w:t>
            </w:r>
          </w:p>
        </w:tc>
        <w:tc>
          <w:tcPr>
            <w:tcW w:w="690" w:type="dxa"/>
            <w:noWrap/>
            <w:vAlign w:val="center"/>
          </w:tcPr>
          <w:p w14:paraId="2921C786">
            <w:pPr>
              <w:jc w:val="center"/>
              <w:rPr>
                <w:rFonts w:hint="eastAsia" w:ascii="宋体" w:hAnsi="宋体" w:eastAsia="宋体" w:cs="宋体"/>
                <w:bCs/>
                <w:color w:val="auto"/>
                <w:kern w:val="0"/>
                <w:sz w:val="22"/>
                <w:szCs w:val="22"/>
                <w:highlight w:val="none"/>
              </w:rPr>
            </w:pPr>
          </w:p>
        </w:tc>
        <w:tc>
          <w:tcPr>
            <w:tcW w:w="690" w:type="dxa"/>
            <w:noWrap/>
            <w:vAlign w:val="center"/>
          </w:tcPr>
          <w:p w14:paraId="6C0311F0">
            <w:pPr>
              <w:jc w:val="center"/>
              <w:rPr>
                <w:rFonts w:hint="eastAsia" w:ascii="宋体" w:hAnsi="宋体" w:eastAsia="宋体" w:cs="宋体"/>
                <w:bCs/>
                <w:color w:val="auto"/>
                <w:kern w:val="0"/>
                <w:sz w:val="22"/>
                <w:szCs w:val="22"/>
                <w:highlight w:val="none"/>
              </w:rPr>
            </w:pPr>
          </w:p>
        </w:tc>
        <w:tc>
          <w:tcPr>
            <w:tcW w:w="1313" w:type="dxa"/>
            <w:noWrap/>
            <w:vAlign w:val="center"/>
          </w:tcPr>
          <w:p w14:paraId="140B51BA">
            <w:pPr>
              <w:jc w:val="center"/>
              <w:rPr>
                <w:rFonts w:hint="eastAsia" w:ascii="宋体" w:hAnsi="宋体" w:eastAsia="宋体" w:cs="宋体"/>
                <w:bCs/>
                <w:color w:val="auto"/>
                <w:kern w:val="0"/>
                <w:sz w:val="22"/>
                <w:szCs w:val="22"/>
                <w:highlight w:val="none"/>
              </w:rPr>
            </w:pPr>
          </w:p>
        </w:tc>
        <w:tc>
          <w:tcPr>
            <w:tcW w:w="1273" w:type="dxa"/>
            <w:noWrap/>
            <w:vAlign w:val="center"/>
          </w:tcPr>
          <w:p w14:paraId="516E57EA">
            <w:pPr>
              <w:jc w:val="center"/>
              <w:rPr>
                <w:rFonts w:hint="eastAsia" w:ascii="宋体" w:hAnsi="宋体" w:eastAsia="宋体" w:cs="宋体"/>
                <w:bCs/>
                <w:color w:val="auto"/>
                <w:kern w:val="0"/>
                <w:sz w:val="22"/>
                <w:szCs w:val="22"/>
                <w:highlight w:val="none"/>
              </w:rPr>
            </w:pPr>
          </w:p>
        </w:tc>
        <w:tc>
          <w:tcPr>
            <w:tcW w:w="2265" w:type="dxa"/>
            <w:noWrap/>
            <w:vAlign w:val="center"/>
          </w:tcPr>
          <w:p w14:paraId="1E3CE568">
            <w:pPr>
              <w:jc w:val="center"/>
              <w:rPr>
                <w:rFonts w:hint="eastAsia" w:ascii="宋体" w:hAnsi="宋体" w:eastAsia="宋体" w:cs="宋体"/>
                <w:bCs/>
                <w:color w:val="auto"/>
                <w:kern w:val="0"/>
                <w:sz w:val="22"/>
                <w:szCs w:val="22"/>
                <w:highlight w:val="none"/>
              </w:rPr>
            </w:pPr>
          </w:p>
        </w:tc>
      </w:tr>
      <w:tr w14:paraId="35697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vAlign w:val="center"/>
          </w:tcPr>
          <w:p w14:paraId="70B314AC">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140" w:type="dxa"/>
            <w:noWrap/>
            <w:vAlign w:val="center"/>
          </w:tcPr>
          <w:p w14:paraId="4B5211CE">
            <w:pPr>
              <w:spacing w:line="400" w:lineRule="exact"/>
              <w:rPr>
                <w:rFonts w:hint="eastAsia" w:ascii="宋体" w:hAnsi="宋体" w:eastAsia="宋体" w:cs="宋体"/>
                <w:color w:val="auto"/>
                <w:kern w:val="0"/>
                <w:sz w:val="22"/>
                <w:szCs w:val="22"/>
                <w:highlight w:val="none"/>
              </w:rPr>
            </w:pPr>
          </w:p>
        </w:tc>
        <w:tc>
          <w:tcPr>
            <w:tcW w:w="1412" w:type="dxa"/>
            <w:noWrap/>
            <w:vAlign w:val="center"/>
          </w:tcPr>
          <w:p w14:paraId="4C6C81AD">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常驻现场</w:t>
            </w:r>
          </w:p>
          <w:p w14:paraId="70B6D50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维保人员</w:t>
            </w:r>
          </w:p>
        </w:tc>
        <w:tc>
          <w:tcPr>
            <w:tcW w:w="690" w:type="dxa"/>
            <w:noWrap/>
            <w:vAlign w:val="center"/>
          </w:tcPr>
          <w:p w14:paraId="0BB19251">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2F28D0F5">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09B9372F">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1046EE8D">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1C200EE9">
            <w:pPr>
              <w:spacing w:line="360" w:lineRule="auto"/>
              <w:rPr>
                <w:rFonts w:hint="eastAsia" w:ascii="宋体" w:hAnsi="宋体" w:eastAsia="宋体" w:cs="宋体"/>
                <w:color w:val="auto"/>
                <w:kern w:val="0"/>
                <w:sz w:val="20"/>
                <w:szCs w:val="20"/>
                <w:highlight w:val="none"/>
              </w:rPr>
            </w:pPr>
          </w:p>
        </w:tc>
      </w:tr>
      <w:tr w14:paraId="44DF01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vAlign w:val="center"/>
          </w:tcPr>
          <w:p w14:paraId="4F15DF5A">
            <w:pPr>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140" w:type="dxa"/>
            <w:noWrap/>
            <w:vAlign w:val="center"/>
          </w:tcPr>
          <w:p w14:paraId="3EAB221F">
            <w:pPr>
              <w:spacing w:line="360" w:lineRule="auto"/>
              <w:rPr>
                <w:rFonts w:hint="eastAsia" w:ascii="宋体" w:hAnsi="宋体" w:eastAsia="宋体" w:cs="宋体"/>
                <w:color w:val="auto"/>
                <w:kern w:val="0"/>
                <w:sz w:val="22"/>
                <w:szCs w:val="22"/>
                <w:highlight w:val="none"/>
              </w:rPr>
            </w:pPr>
          </w:p>
        </w:tc>
        <w:tc>
          <w:tcPr>
            <w:tcW w:w="1412" w:type="dxa"/>
            <w:noWrap/>
            <w:vAlign w:val="center"/>
          </w:tcPr>
          <w:p w14:paraId="02DAEC50">
            <w:pPr>
              <w:spacing w:line="400" w:lineRule="exact"/>
              <w:jc w:val="center"/>
              <w:rPr>
                <w:rFonts w:hint="eastAsia" w:ascii="宋体" w:hAnsi="宋体" w:eastAsia="宋体" w:cs="宋体"/>
                <w:color w:val="auto"/>
                <w:kern w:val="0"/>
                <w:sz w:val="22"/>
                <w:szCs w:val="22"/>
                <w:highlight w:val="none"/>
              </w:rPr>
            </w:pPr>
          </w:p>
        </w:tc>
        <w:tc>
          <w:tcPr>
            <w:tcW w:w="690" w:type="dxa"/>
            <w:noWrap/>
            <w:vAlign w:val="center"/>
          </w:tcPr>
          <w:p w14:paraId="07A49360">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6113A559">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42CB1DA2">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6BB37BC6">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0C64597F">
            <w:pPr>
              <w:spacing w:line="360" w:lineRule="auto"/>
              <w:rPr>
                <w:rFonts w:hint="eastAsia" w:ascii="宋体" w:hAnsi="宋体" w:eastAsia="宋体" w:cs="宋体"/>
                <w:color w:val="auto"/>
                <w:kern w:val="0"/>
                <w:sz w:val="20"/>
                <w:szCs w:val="20"/>
                <w:highlight w:val="none"/>
              </w:rPr>
            </w:pPr>
          </w:p>
        </w:tc>
      </w:tr>
      <w:tr w14:paraId="61464B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vAlign w:val="center"/>
          </w:tcPr>
          <w:p w14:paraId="0BD335E6">
            <w:pPr>
              <w:spacing w:line="400" w:lineRule="exact"/>
              <w:jc w:val="center"/>
              <w:rPr>
                <w:rFonts w:hint="eastAsia" w:ascii="宋体" w:hAnsi="宋体" w:eastAsia="宋体" w:cs="宋体"/>
                <w:color w:val="auto"/>
                <w:kern w:val="0"/>
                <w:sz w:val="22"/>
                <w:szCs w:val="22"/>
                <w:highlight w:val="none"/>
              </w:rPr>
            </w:pPr>
          </w:p>
        </w:tc>
        <w:tc>
          <w:tcPr>
            <w:tcW w:w="1140" w:type="dxa"/>
            <w:noWrap/>
            <w:vAlign w:val="center"/>
          </w:tcPr>
          <w:p w14:paraId="4656C93E">
            <w:pPr>
              <w:spacing w:line="360" w:lineRule="auto"/>
              <w:rPr>
                <w:rFonts w:hint="eastAsia" w:ascii="宋体" w:hAnsi="宋体" w:eastAsia="宋体" w:cs="宋体"/>
                <w:color w:val="auto"/>
                <w:kern w:val="0"/>
                <w:sz w:val="22"/>
                <w:szCs w:val="22"/>
                <w:highlight w:val="none"/>
              </w:rPr>
            </w:pPr>
          </w:p>
        </w:tc>
        <w:tc>
          <w:tcPr>
            <w:tcW w:w="1412" w:type="dxa"/>
            <w:noWrap/>
            <w:vAlign w:val="center"/>
          </w:tcPr>
          <w:p w14:paraId="4956A70D">
            <w:pPr>
              <w:spacing w:line="360" w:lineRule="auto"/>
              <w:rPr>
                <w:rFonts w:hint="eastAsia" w:ascii="宋体" w:hAnsi="宋体" w:eastAsia="宋体" w:cs="宋体"/>
                <w:color w:val="auto"/>
                <w:kern w:val="0"/>
                <w:sz w:val="22"/>
                <w:szCs w:val="22"/>
                <w:highlight w:val="none"/>
              </w:rPr>
            </w:pPr>
          </w:p>
        </w:tc>
        <w:tc>
          <w:tcPr>
            <w:tcW w:w="690" w:type="dxa"/>
            <w:noWrap/>
            <w:vAlign w:val="center"/>
          </w:tcPr>
          <w:p w14:paraId="50E25E1E">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0D1D51D0">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75ECAF1A">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60CC5058">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5F4E4BE7">
            <w:pPr>
              <w:spacing w:line="360" w:lineRule="auto"/>
              <w:rPr>
                <w:rFonts w:hint="eastAsia" w:ascii="宋体" w:hAnsi="宋体" w:eastAsia="宋体" w:cs="宋体"/>
                <w:color w:val="auto"/>
                <w:kern w:val="0"/>
                <w:sz w:val="20"/>
                <w:szCs w:val="20"/>
                <w:highlight w:val="none"/>
              </w:rPr>
            </w:pPr>
          </w:p>
        </w:tc>
      </w:tr>
      <w:tr w14:paraId="73DECB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tcPr>
          <w:p w14:paraId="755A3804">
            <w:pPr>
              <w:spacing w:line="360" w:lineRule="auto"/>
              <w:rPr>
                <w:rFonts w:hint="eastAsia" w:ascii="宋体" w:hAnsi="宋体" w:eastAsia="宋体" w:cs="宋体"/>
                <w:color w:val="auto"/>
                <w:kern w:val="0"/>
                <w:sz w:val="20"/>
                <w:szCs w:val="20"/>
                <w:highlight w:val="none"/>
              </w:rPr>
            </w:pPr>
          </w:p>
        </w:tc>
        <w:tc>
          <w:tcPr>
            <w:tcW w:w="1140" w:type="dxa"/>
            <w:noWrap/>
            <w:vAlign w:val="center"/>
          </w:tcPr>
          <w:p w14:paraId="2A83BE76">
            <w:pPr>
              <w:spacing w:line="360" w:lineRule="auto"/>
              <w:rPr>
                <w:rFonts w:hint="eastAsia" w:ascii="宋体" w:hAnsi="宋体" w:eastAsia="宋体" w:cs="宋体"/>
                <w:color w:val="auto"/>
                <w:kern w:val="0"/>
                <w:sz w:val="20"/>
                <w:szCs w:val="20"/>
                <w:highlight w:val="none"/>
              </w:rPr>
            </w:pPr>
          </w:p>
        </w:tc>
        <w:tc>
          <w:tcPr>
            <w:tcW w:w="1412" w:type="dxa"/>
            <w:noWrap/>
            <w:vAlign w:val="center"/>
          </w:tcPr>
          <w:p w14:paraId="4DE72277">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141B3BF0">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67A78A89">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43657164">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59D1150E">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70389DE5">
            <w:pPr>
              <w:spacing w:line="360" w:lineRule="auto"/>
              <w:rPr>
                <w:rFonts w:hint="eastAsia" w:ascii="宋体" w:hAnsi="宋体" w:eastAsia="宋体" w:cs="宋体"/>
                <w:color w:val="auto"/>
                <w:kern w:val="0"/>
                <w:sz w:val="20"/>
                <w:szCs w:val="20"/>
                <w:highlight w:val="none"/>
              </w:rPr>
            </w:pPr>
          </w:p>
        </w:tc>
      </w:tr>
      <w:tr w14:paraId="56560C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tcPr>
          <w:p w14:paraId="6E2EDE52">
            <w:pPr>
              <w:spacing w:line="360" w:lineRule="auto"/>
              <w:rPr>
                <w:rFonts w:hint="eastAsia" w:ascii="宋体" w:hAnsi="宋体" w:eastAsia="宋体" w:cs="宋体"/>
                <w:color w:val="auto"/>
                <w:kern w:val="0"/>
                <w:sz w:val="20"/>
                <w:szCs w:val="20"/>
                <w:highlight w:val="none"/>
              </w:rPr>
            </w:pPr>
          </w:p>
        </w:tc>
        <w:tc>
          <w:tcPr>
            <w:tcW w:w="1140" w:type="dxa"/>
            <w:noWrap/>
            <w:vAlign w:val="center"/>
          </w:tcPr>
          <w:p w14:paraId="796AB1DB">
            <w:pPr>
              <w:spacing w:line="360" w:lineRule="auto"/>
              <w:rPr>
                <w:rFonts w:hint="eastAsia" w:ascii="宋体" w:hAnsi="宋体" w:eastAsia="宋体" w:cs="宋体"/>
                <w:color w:val="auto"/>
                <w:kern w:val="0"/>
                <w:sz w:val="20"/>
                <w:szCs w:val="20"/>
                <w:highlight w:val="none"/>
              </w:rPr>
            </w:pPr>
          </w:p>
        </w:tc>
        <w:tc>
          <w:tcPr>
            <w:tcW w:w="1412" w:type="dxa"/>
            <w:noWrap/>
            <w:vAlign w:val="center"/>
          </w:tcPr>
          <w:p w14:paraId="59E128C3">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57AE29B6">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431A0BA2">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55026C07">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77F86C9C">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3ABA69F2">
            <w:pPr>
              <w:spacing w:line="360" w:lineRule="auto"/>
              <w:rPr>
                <w:rFonts w:hint="eastAsia" w:ascii="宋体" w:hAnsi="宋体" w:eastAsia="宋体" w:cs="宋体"/>
                <w:color w:val="auto"/>
                <w:kern w:val="0"/>
                <w:sz w:val="20"/>
                <w:szCs w:val="20"/>
                <w:highlight w:val="none"/>
              </w:rPr>
            </w:pPr>
          </w:p>
        </w:tc>
      </w:tr>
      <w:tr w14:paraId="10FA2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tcPr>
          <w:p w14:paraId="6FD4BF6B">
            <w:pPr>
              <w:spacing w:line="360" w:lineRule="auto"/>
              <w:rPr>
                <w:rFonts w:hint="eastAsia" w:ascii="宋体" w:hAnsi="宋体" w:eastAsia="宋体" w:cs="宋体"/>
                <w:color w:val="auto"/>
                <w:kern w:val="0"/>
                <w:sz w:val="20"/>
                <w:szCs w:val="20"/>
                <w:highlight w:val="none"/>
              </w:rPr>
            </w:pPr>
          </w:p>
        </w:tc>
        <w:tc>
          <w:tcPr>
            <w:tcW w:w="1140" w:type="dxa"/>
            <w:noWrap/>
            <w:vAlign w:val="center"/>
          </w:tcPr>
          <w:p w14:paraId="0E3D6F01">
            <w:pPr>
              <w:spacing w:line="360" w:lineRule="auto"/>
              <w:rPr>
                <w:rFonts w:hint="eastAsia" w:ascii="宋体" w:hAnsi="宋体" w:eastAsia="宋体" w:cs="宋体"/>
                <w:color w:val="auto"/>
                <w:kern w:val="0"/>
                <w:sz w:val="20"/>
                <w:szCs w:val="20"/>
                <w:highlight w:val="none"/>
              </w:rPr>
            </w:pPr>
          </w:p>
        </w:tc>
        <w:tc>
          <w:tcPr>
            <w:tcW w:w="1412" w:type="dxa"/>
            <w:noWrap/>
            <w:vAlign w:val="center"/>
          </w:tcPr>
          <w:p w14:paraId="101680C5">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3775B704">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575FED19">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09F39937">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6BCB6405">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3A534301">
            <w:pPr>
              <w:spacing w:line="360" w:lineRule="auto"/>
              <w:rPr>
                <w:rFonts w:hint="eastAsia" w:ascii="宋体" w:hAnsi="宋体" w:eastAsia="宋体" w:cs="宋体"/>
                <w:color w:val="auto"/>
                <w:kern w:val="0"/>
                <w:sz w:val="20"/>
                <w:szCs w:val="20"/>
                <w:highlight w:val="none"/>
              </w:rPr>
            </w:pPr>
          </w:p>
        </w:tc>
      </w:tr>
      <w:tr w14:paraId="42349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tcPr>
          <w:p w14:paraId="1AD53C94">
            <w:pPr>
              <w:spacing w:line="360" w:lineRule="auto"/>
              <w:rPr>
                <w:rFonts w:hint="eastAsia" w:ascii="宋体" w:hAnsi="宋体" w:eastAsia="宋体" w:cs="宋体"/>
                <w:color w:val="auto"/>
                <w:kern w:val="0"/>
                <w:sz w:val="20"/>
                <w:szCs w:val="20"/>
                <w:highlight w:val="none"/>
              </w:rPr>
            </w:pPr>
          </w:p>
        </w:tc>
        <w:tc>
          <w:tcPr>
            <w:tcW w:w="1140" w:type="dxa"/>
            <w:noWrap/>
            <w:vAlign w:val="center"/>
          </w:tcPr>
          <w:p w14:paraId="7BCA8539">
            <w:pPr>
              <w:spacing w:line="360" w:lineRule="auto"/>
              <w:rPr>
                <w:rFonts w:hint="eastAsia" w:ascii="宋体" w:hAnsi="宋体" w:eastAsia="宋体" w:cs="宋体"/>
                <w:color w:val="auto"/>
                <w:kern w:val="0"/>
                <w:sz w:val="20"/>
                <w:szCs w:val="20"/>
                <w:highlight w:val="none"/>
              </w:rPr>
            </w:pPr>
          </w:p>
        </w:tc>
        <w:tc>
          <w:tcPr>
            <w:tcW w:w="1412" w:type="dxa"/>
            <w:noWrap/>
            <w:vAlign w:val="center"/>
          </w:tcPr>
          <w:p w14:paraId="58FEEC31">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20F849F8">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284F9528">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5CAD09AC">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74178395">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78ACAB9D">
            <w:pPr>
              <w:spacing w:line="360" w:lineRule="auto"/>
              <w:rPr>
                <w:rFonts w:hint="eastAsia" w:ascii="宋体" w:hAnsi="宋体" w:eastAsia="宋体" w:cs="宋体"/>
                <w:color w:val="auto"/>
                <w:kern w:val="0"/>
                <w:sz w:val="20"/>
                <w:szCs w:val="20"/>
                <w:highlight w:val="none"/>
              </w:rPr>
            </w:pPr>
          </w:p>
        </w:tc>
      </w:tr>
      <w:tr w14:paraId="1434D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tcPr>
          <w:p w14:paraId="78F1E703">
            <w:pPr>
              <w:spacing w:line="360" w:lineRule="auto"/>
              <w:rPr>
                <w:rFonts w:hint="eastAsia" w:ascii="宋体" w:hAnsi="宋体" w:eastAsia="宋体" w:cs="宋体"/>
                <w:color w:val="auto"/>
                <w:kern w:val="0"/>
                <w:sz w:val="20"/>
                <w:szCs w:val="20"/>
                <w:highlight w:val="none"/>
              </w:rPr>
            </w:pPr>
          </w:p>
        </w:tc>
        <w:tc>
          <w:tcPr>
            <w:tcW w:w="1140" w:type="dxa"/>
            <w:noWrap/>
            <w:vAlign w:val="center"/>
          </w:tcPr>
          <w:p w14:paraId="35E16559">
            <w:pPr>
              <w:spacing w:line="360" w:lineRule="auto"/>
              <w:rPr>
                <w:rFonts w:hint="eastAsia" w:ascii="宋体" w:hAnsi="宋体" w:eastAsia="宋体" w:cs="宋体"/>
                <w:color w:val="auto"/>
                <w:kern w:val="0"/>
                <w:sz w:val="20"/>
                <w:szCs w:val="20"/>
                <w:highlight w:val="none"/>
              </w:rPr>
            </w:pPr>
          </w:p>
        </w:tc>
        <w:tc>
          <w:tcPr>
            <w:tcW w:w="1412" w:type="dxa"/>
            <w:noWrap/>
            <w:vAlign w:val="center"/>
          </w:tcPr>
          <w:p w14:paraId="5D49FE60">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7825CB22">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1A09C7B6">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2DAF8063">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40BA8B0D">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6B4F81D0">
            <w:pPr>
              <w:spacing w:line="360" w:lineRule="auto"/>
              <w:rPr>
                <w:rFonts w:hint="eastAsia" w:ascii="宋体" w:hAnsi="宋体" w:eastAsia="宋体" w:cs="宋体"/>
                <w:color w:val="auto"/>
                <w:kern w:val="0"/>
                <w:sz w:val="20"/>
                <w:szCs w:val="20"/>
                <w:highlight w:val="none"/>
              </w:rPr>
            </w:pPr>
          </w:p>
        </w:tc>
      </w:tr>
      <w:tr w14:paraId="2922D5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tcPr>
          <w:p w14:paraId="249DA81D">
            <w:pPr>
              <w:spacing w:line="360" w:lineRule="auto"/>
              <w:rPr>
                <w:rFonts w:hint="eastAsia" w:ascii="宋体" w:hAnsi="宋体" w:eastAsia="宋体" w:cs="宋体"/>
                <w:color w:val="auto"/>
                <w:kern w:val="0"/>
                <w:sz w:val="20"/>
                <w:szCs w:val="20"/>
                <w:highlight w:val="none"/>
              </w:rPr>
            </w:pPr>
          </w:p>
        </w:tc>
        <w:tc>
          <w:tcPr>
            <w:tcW w:w="1140" w:type="dxa"/>
            <w:noWrap/>
            <w:vAlign w:val="center"/>
          </w:tcPr>
          <w:p w14:paraId="3C647810">
            <w:pPr>
              <w:spacing w:line="360" w:lineRule="auto"/>
              <w:rPr>
                <w:rFonts w:hint="eastAsia" w:ascii="宋体" w:hAnsi="宋体" w:eastAsia="宋体" w:cs="宋体"/>
                <w:color w:val="auto"/>
                <w:kern w:val="0"/>
                <w:sz w:val="20"/>
                <w:szCs w:val="20"/>
                <w:highlight w:val="none"/>
              </w:rPr>
            </w:pPr>
          </w:p>
        </w:tc>
        <w:tc>
          <w:tcPr>
            <w:tcW w:w="1412" w:type="dxa"/>
            <w:noWrap/>
            <w:vAlign w:val="center"/>
          </w:tcPr>
          <w:p w14:paraId="6CC418D1">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2802C7A0">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75C1A2B4">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61B38FA8">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4B361D0D">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37AB97C7">
            <w:pPr>
              <w:spacing w:line="360" w:lineRule="auto"/>
              <w:rPr>
                <w:rFonts w:hint="eastAsia" w:ascii="宋体" w:hAnsi="宋体" w:eastAsia="宋体" w:cs="宋体"/>
                <w:color w:val="auto"/>
                <w:kern w:val="0"/>
                <w:sz w:val="20"/>
                <w:szCs w:val="20"/>
                <w:highlight w:val="none"/>
              </w:rPr>
            </w:pPr>
          </w:p>
        </w:tc>
      </w:tr>
      <w:tr w14:paraId="4976D5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tcPr>
          <w:p w14:paraId="05067F42">
            <w:pPr>
              <w:spacing w:line="360" w:lineRule="auto"/>
              <w:rPr>
                <w:rFonts w:hint="eastAsia" w:ascii="宋体" w:hAnsi="宋体" w:eastAsia="宋体" w:cs="宋体"/>
                <w:color w:val="auto"/>
                <w:kern w:val="0"/>
                <w:sz w:val="20"/>
                <w:szCs w:val="20"/>
                <w:highlight w:val="none"/>
              </w:rPr>
            </w:pPr>
          </w:p>
        </w:tc>
        <w:tc>
          <w:tcPr>
            <w:tcW w:w="1140" w:type="dxa"/>
            <w:noWrap/>
            <w:vAlign w:val="center"/>
          </w:tcPr>
          <w:p w14:paraId="174D02D1">
            <w:pPr>
              <w:spacing w:line="360" w:lineRule="auto"/>
              <w:rPr>
                <w:rFonts w:hint="eastAsia" w:ascii="宋体" w:hAnsi="宋体" w:eastAsia="宋体" w:cs="宋体"/>
                <w:color w:val="auto"/>
                <w:kern w:val="0"/>
                <w:sz w:val="20"/>
                <w:szCs w:val="20"/>
                <w:highlight w:val="none"/>
              </w:rPr>
            </w:pPr>
          </w:p>
        </w:tc>
        <w:tc>
          <w:tcPr>
            <w:tcW w:w="1412" w:type="dxa"/>
            <w:noWrap/>
            <w:vAlign w:val="center"/>
          </w:tcPr>
          <w:p w14:paraId="10BCFC8E">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62CC66DB">
            <w:pPr>
              <w:spacing w:line="360" w:lineRule="auto"/>
              <w:rPr>
                <w:rFonts w:hint="eastAsia" w:ascii="宋体" w:hAnsi="宋体" w:eastAsia="宋体" w:cs="宋体"/>
                <w:color w:val="auto"/>
                <w:kern w:val="0"/>
                <w:sz w:val="20"/>
                <w:szCs w:val="20"/>
                <w:highlight w:val="none"/>
              </w:rPr>
            </w:pPr>
          </w:p>
        </w:tc>
        <w:tc>
          <w:tcPr>
            <w:tcW w:w="690" w:type="dxa"/>
            <w:noWrap/>
            <w:vAlign w:val="center"/>
          </w:tcPr>
          <w:p w14:paraId="78A0074D">
            <w:pPr>
              <w:spacing w:line="360" w:lineRule="auto"/>
              <w:rPr>
                <w:rFonts w:hint="eastAsia" w:ascii="宋体" w:hAnsi="宋体" w:eastAsia="宋体" w:cs="宋体"/>
                <w:color w:val="auto"/>
                <w:kern w:val="0"/>
                <w:sz w:val="20"/>
                <w:szCs w:val="20"/>
                <w:highlight w:val="none"/>
              </w:rPr>
            </w:pPr>
          </w:p>
        </w:tc>
        <w:tc>
          <w:tcPr>
            <w:tcW w:w="1313" w:type="dxa"/>
            <w:noWrap/>
            <w:vAlign w:val="center"/>
          </w:tcPr>
          <w:p w14:paraId="2C7ACC1B">
            <w:pPr>
              <w:spacing w:line="360" w:lineRule="auto"/>
              <w:rPr>
                <w:rFonts w:hint="eastAsia" w:ascii="宋体" w:hAnsi="宋体" w:eastAsia="宋体" w:cs="宋体"/>
                <w:color w:val="auto"/>
                <w:kern w:val="0"/>
                <w:sz w:val="20"/>
                <w:szCs w:val="20"/>
                <w:highlight w:val="none"/>
              </w:rPr>
            </w:pPr>
          </w:p>
        </w:tc>
        <w:tc>
          <w:tcPr>
            <w:tcW w:w="1273" w:type="dxa"/>
            <w:noWrap/>
            <w:vAlign w:val="center"/>
          </w:tcPr>
          <w:p w14:paraId="7C4F770D">
            <w:pPr>
              <w:spacing w:line="360" w:lineRule="auto"/>
              <w:rPr>
                <w:rFonts w:hint="eastAsia" w:ascii="宋体" w:hAnsi="宋体" w:eastAsia="宋体" w:cs="宋体"/>
                <w:color w:val="auto"/>
                <w:kern w:val="0"/>
                <w:sz w:val="20"/>
                <w:szCs w:val="20"/>
                <w:highlight w:val="none"/>
              </w:rPr>
            </w:pPr>
          </w:p>
        </w:tc>
        <w:tc>
          <w:tcPr>
            <w:tcW w:w="2265" w:type="dxa"/>
            <w:noWrap/>
            <w:vAlign w:val="center"/>
          </w:tcPr>
          <w:p w14:paraId="2C7A9CE3">
            <w:pPr>
              <w:spacing w:line="360" w:lineRule="auto"/>
              <w:rPr>
                <w:rFonts w:hint="eastAsia" w:ascii="宋体" w:hAnsi="宋体" w:eastAsia="宋体" w:cs="宋体"/>
                <w:color w:val="auto"/>
                <w:kern w:val="0"/>
                <w:sz w:val="20"/>
                <w:szCs w:val="20"/>
                <w:highlight w:val="none"/>
              </w:rPr>
            </w:pPr>
          </w:p>
        </w:tc>
      </w:tr>
      <w:tr w14:paraId="6132AA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492" w:type="dxa"/>
            <w:gridSpan w:val="8"/>
            <w:noWrap/>
            <w:vAlign w:val="center"/>
          </w:tcPr>
          <w:p w14:paraId="0EC3EC20">
            <w:pPr>
              <w:spacing w:line="40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2"/>
                <w:szCs w:val="22"/>
                <w:highlight w:val="none"/>
              </w:rPr>
              <w:t>一旦我单位中标，将实行项目负责人负责制，我方保证按</w:t>
            </w:r>
            <w:r>
              <w:rPr>
                <w:rFonts w:hint="eastAsia" w:ascii="宋体" w:hAnsi="宋体" w:cs="宋体"/>
                <w:color w:val="auto"/>
                <w:kern w:val="0"/>
                <w:sz w:val="22"/>
                <w:szCs w:val="22"/>
                <w:highlight w:val="none"/>
                <w:lang w:eastAsia="zh-CN"/>
              </w:rPr>
              <w:t>磋商文件</w:t>
            </w:r>
            <w:r>
              <w:rPr>
                <w:rFonts w:hint="eastAsia" w:ascii="宋体" w:hAnsi="宋体" w:eastAsia="宋体" w:cs="宋体"/>
                <w:color w:val="auto"/>
                <w:kern w:val="0"/>
                <w:sz w:val="22"/>
                <w:szCs w:val="22"/>
                <w:highlight w:val="none"/>
              </w:rPr>
              <w:t>要求配备齐全相关人员。上述填报内容真实，若不真实，愿按有关规定接受处理。</w:t>
            </w:r>
          </w:p>
        </w:tc>
      </w:tr>
    </w:tbl>
    <w:p w14:paraId="31BE216E">
      <w:pPr>
        <w:autoSpaceDE w:val="0"/>
        <w:autoSpaceDN w:val="0"/>
        <w:adjustRightIn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注：1、按评分细则要求提供。</w:t>
      </w:r>
    </w:p>
    <w:p w14:paraId="1C74B325">
      <w:pPr>
        <w:autoSpaceDE w:val="0"/>
        <w:autoSpaceDN w:val="0"/>
        <w:adjustRightIn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 2、列入本表人员如要更换，需经采购人同意；擅自更换或不到位属违约行为。</w:t>
      </w:r>
    </w:p>
    <w:p w14:paraId="5EFAA60C">
      <w:pPr>
        <w:autoSpaceDE w:val="0"/>
        <w:autoSpaceDN w:val="0"/>
        <w:adjustRightInd w:val="0"/>
        <w:spacing w:line="460" w:lineRule="exact"/>
        <w:ind w:firstLine="550" w:firstLine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3、表格可以延续。</w:t>
      </w:r>
    </w:p>
    <w:p w14:paraId="30847BA6">
      <w:pPr>
        <w:snapToGrid w:val="0"/>
        <w:spacing w:line="500" w:lineRule="atLeast"/>
        <w:ind w:firstLine="550" w:firstLineChars="250"/>
        <w:rPr>
          <w:rFonts w:hint="eastAsia" w:ascii="宋体" w:hAnsi="宋体" w:eastAsia="宋体" w:cs="宋体"/>
          <w:color w:val="auto"/>
          <w:sz w:val="22"/>
          <w:szCs w:val="22"/>
          <w:highlight w:val="none"/>
        </w:rPr>
      </w:pPr>
    </w:p>
    <w:p w14:paraId="1E8F40D1">
      <w:pPr>
        <w:snapToGrid w:val="0"/>
        <w:spacing w:line="500" w:lineRule="atLeast"/>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lang w:val="zh-CN"/>
        </w:rPr>
        <w:t>磋商供应商（盖章）：</w:t>
      </w:r>
    </w:p>
    <w:p w14:paraId="534A13D1">
      <w:pPr>
        <w:pStyle w:val="19"/>
        <w:rPr>
          <w:rFonts w:hint="eastAsia" w:ascii="宋体" w:hAnsi="宋体" w:eastAsia="宋体" w:cs="宋体"/>
          <w:color w:val="auto"/>
          <w:sz w:val="22"/>
          <w:szCs w:val="22"/>
          <w:highlight w:val="none"/>
          <w:u w:val="single"/>
          <w:lang w:val="zh-CN"/>
        </w:rPr>
      </w:pPr>
    </w:p>
    <w:p w14:paraId="16B0FA7D">
      <w:pPr>
        <w:autoSpaceDE w:val="0"/>
        <w:autoSpaceDN w:val="0"/>
        <w:adjustRightInd w:val="0"/>
        <w:spacing w:line="460" w:lineRule="atLeast"/>
        <w:jc w:val="left"/>
        <w:rPr>
          <w:rFonts w:hint="eastAsia" w:ascii="宋体" w:hAnsi="宋体" w:eastAsia="宋体" w:cs="宋体"/>
          <w:b/>
          <w:color w:val="auto"/>
          <w:sz w:val="32"/>
          <w:szCs w:val="32"/>
          <w:highlight w:val="none"/>
        </w:rPr>
      </w:pPr>
    </w:p>
    <w:p w14:paraId="6F66E454">
      <w:pPr>
        <w:autoSpaceDE w:val="0"/>
        <w:autoSpaceDN w:val="0"/>
        <w:adjustRightInd w:val="0"/>
        <w:spacing w:line="460" w:lineRule="atLeast"/>
        <w:jc w:val="left"/>
        <w:rPr>
          <w:rFonts w:hint="eastAsia" w:ascii="宋体" w:hAnsi="宋体" w:eastAsia="宋体" w:cs="宋体"/>
          <w:b/>
          <w:color w:val="auto"/>
          <w:sz w:val="32"/>
          <w:szCs w:val="32"/>
          <w:highlight w:val="none"/>
        </w:rPr>
      </w:pPr>
    </w:p>
    <w:p w14:paraId="7136A7C2">
      <w:pPr>
        <w:autoSpaceDE w:val="0"/>
        <w:autoSpaceDN w:val="0"/>
        <w:adjustRightInd w:val="0"/>
        <w:spacing w:line="460" w:lineRule="atLeast"/>
        <w:jc w:val="left"/>
        <w:rPr>
          <w:rFonts w:hint="eastAsia" w:ascii="宋体" w:hAnsi="宋体" w:eastAsia="宋体" w:cs="宋体"/>
          <w:b/>
          <w:color w:val="auto"/>
          <w:sz w:val="32"/>
          <w:szCs w:val="32"/>
          <w:highlight w:val="none"/>
        </w:rPr>
      </w:pPr>
    </w:p>
    <w:p w14:paraId="16CE466A">
      <w:pPr>
        <w:autoSpaceDE w:val="0"/>
        <w:autoSpaceDN w:val="0"/>
        <w:adjustRightInd w:val="0"/>
        <w:spacing w:afterLines="50" w:line="460" w:lineRule="atLeas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附件十</w:t>
      </w:r>
    </w:p>
    <w:p w14:paraId="5D030086">
      <w:pPr>
        <w:spacing w:line="400" w:lineRule="exact"/>
        <w:ind w:left="1440" w:hanging="1440" w:hangingChars="400"/>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投入项目的主要设备表</w:t>
      </w:r>
    </w:p>
    <w:p w14:paraId="08C8D004">
      <w:pPr>
        <w:spacing w:line="400" w:lineRule="exact"/>
        <w:ind w:left="1280" w:hanging="1280" w:hangingChars="400"/>
        <w:jc w:val="center"/>
        <w:rPr>
          <w:rFonts w:hint="eastAsia" w:ascii="宋体" w:hAnsi="宋体" w:eastAsia="宋体" w:cs="宋体"/>
          <w:bCs/>
          <w:color w:val="auto"/>
          <w:sz w:val="32"/>
          <w:highlight w:val="none"/>
        </w:rPr>
      </w:pPr>
    </w:p>
    <w:p w14:paraId="7D252CE2">
      <w:pPr>
        <w:spacing w:line="380" w:lineRule="exac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项目名称：                     采购编号：</w:t>
      </w:r>
    </w:p>
    <w:tbl>
      <w:tblPr>
        <w:tblStyle w:val="47"/>
        <w:tblW w:w="89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306"/>
        <w:gridCol w:w="1662"/>
        <w:gridCol w:w="1312"/>
      </w:tblGrid>
      <w:tr w14:paraId="675E7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vAlign w:val="center"/>
          </w:tcPr>
          <w:p w14:paraId="4AD3C55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99" w:type="dxa"/>
            <w:tcBorders>
              <w:top w:val="single" w:color="auto" w:sz="4" w:space="0"/>
              <w:left w:val="single" w:color="auto" w:sz="4" w:space="0"/>
              <w:bottom w:val="single" w:color="auto" w:sz="4" w:space="0"/>
              <w:right w:val="single" w:color="auto" w:sz="4" w:space="0"/>
            </w:tcBorders>
            <w:vAlign w:val="center"/>
          </w:tcPr>
          <w:p w14:paraId="3CFBADB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1666" w:type="dxa"/>
            <w:tcBorders>
              <w:top w:val="single" w:color="auto" w:sz="4" w:space="0"/>
              <w:left w:val="single" w:color="auto" w:sz="4" w:space="0"/>
              <w:bottom w:val="single" w:color="auto" w:sz="4" w:space="0"/>
              <w:right w:val="single" w:color="auto" w:sz="4" w:space="0"/>
            </w:tcBorders>
            <w:vAlign w:val="center"/>
          </w:tcPr>
          <w:p w14:paraId="4F317943">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规格型号</w:t>
            </w:r>
          </w:p>
        </w:tc>
        <w:tc>
          <w:tcPr>
            <w:tcW w:w="1306" w:type="dxa"/>
            <w:tcBorders>
              <w:top w:val="single" w:color="auto" w:sz="4" w:space="0"/>
              <w:left w:val="single" w:color="auto" w:sz="4" w:space="0"/>
              <w:right w:val="single" w:color="auto" w:sz="4" w:space="0"/>
            </w:tcBorders>
            <w:vAlign w:val="center"/>
          </w:tcPr>
          <w:p w14:paraId="7B0F12FE">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品牌/产地</w:t>
            </w:r>
          </w:p>
        </w:tc>
        <w:tc>
          <w:tcPr>
            <w:tcW w:w="1662" w:type="dxa"/>
            <w:tcBorders>
              <w:top w:val="single" w:color="auto" w:sz="4" w:space="0"/>
              <w:left w:val="single" w:color="auto" w:sz="4" w:space="0"/>
              <w:right w:val="single" w:color="auto" w:sz="4" w:space="0"/>
            </w:tcBorders>
            <w:vAlign w:val="center"/>
          </w:tcPr>
          <w:p w14:paraId="2245A48F">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312" w:type="dxa"/>
            <w:tcBorders>
              <w:top w:val="single" w:color="auto" w:sz="4" w:space="0"/>
              <w:left w:val="single" w:color="auto" w:sz="4" w:space="0"/>
              <w:right w:val="single" w:color="auto" w:sz="4" w:space="0"/>
            </w:tcBorders>
            <w:vAlign w:val="center"/>
          </w:tcPr>
          <w:p w14:paraId="5889DE6A">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r>
      <w:tr w14:paraId="2DFCC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14:paraId="327ECA13">
            <w:pPr>
              <w:spacing w:line="400" w:lineRule="exact"/>
              <w:rPr>
                <w:rFonts w:hint="eastAsia" w:ascii="宋体" w:hAnsi="宋体" w:eastAsia="宋体" w:cs="宋体"/>
                <w:color w:val="auto"/>
                <w:sz w:val="22"/>
                <w:szCs w:val="22"/>
                <w:highlight w:val="none"/>
              </w:rPr>
            </w:pPr>
          </w:p>
        </w:tc>
        <w:tc>
          <w:tcPr>
            <w:tcW w:w="2099" w:type="dxa"/>
            <w:tcBorders>
              <w:top w:val="single" w:color="auto" w:sz="4" w:space="0"/>
              <w:left w:val="single" w:color="auto" w:sz="4" w:space="0"/>
              <w:bottom w:val="single" w:color="auto" w:sz="4" w:space="0"/>
              <w:right w:val="single" w:color="auto" w:sz="4" w:space="0"/>
            </w:tcBorders>
          </w:tcPr>
          <w:p w14:paraId="4464E847">
            <w:pPr>
              <w:spacing w:line="400" w:lineRule="exact"/>
              <w:rPr>
                <w:rFonts w:hint="eastAsia" w:ascii="宋体" w:hAnsi="宋体" w:eastAsia="宋体" w:cs="宋体"/>
                <w:color w:val="auto"/>
                <w:sz w:val="22"/>
                <w:szCs w:val="22"/>
                <w:highlight w:val="none"/>
              </w:rPr>
            </w:pPr>
          </w:p>
        </w:tc>
        <w:tc>
          <w:tcPr>
            <w:tcW w:w="1666" w:type="dxa"/>
            <w:tcBorders>
              <w:top w:val="single" w:color="auto" w:sz="4" w:space="0"/>
              <w:left w:val="single" w:color="auto" w:sz="4" w:space="0"/>
              <w:bottom w:val="single" w:color="auto" w:sz="4" w:space="0"/>
              <w:right w:val="single" w:color="auto" w:sz="4" w:space="0"/>
            </w:tcBorders>
          </w:tcPr>
          <w:p w14:paraId="4EDA614A">
            <w:pPr>
              <w:spacing w:line="400" w:lineRule="exact"/>
              <w:rPr>
                <w:rFonts w:hint="eastAsia" w:ascii="宋体" w:hAnsi="宋体" w:eastAsia="宋体" w:cs="宋体"/>
                <w:color w:val="auto"/>
                <w:sz w:val="22"/>
                <w:szCs w:val="22"/>
                <w:highlight w:val="none"/>
              </w:rPr>
            </w:pPr>
          </w:p>
        </w:tc>
        <w:tc>
          <w:tcPr>
            <w:tcW w:w="1306" w:type="dxa"/>
            <w:tcBorders>
              <w:top w:val="single" w:color="auto" w:sz="4" w:space="0"/>
              <w:left w:val="single" w:color="auto" w:sz="4" w:space="0"/>
              <w:bottom w:val="single" w:color="auto" w:sz="4" w:space="0"/>
              <w:right w:val="single" w:color="auto" w:sz="4" w:space="0"/>
            </w:tcBorders>
          </w:tcPr>
          <w:p w14:paraId="3181D6CB">
            <w:pPr>
              <w:spacing w:line="400" w:lineRule="exact"/>
              <w:rPr>
                <w:rFonts w:hint="eastAsia" w:ascii="宋体" w:hAnsi="宋体" w:eastAsia="宋体" w:cs="宋体"/>
                <w:color w:val="auto"/>
                <w:sz w:val="22"/>
                <w:szCs w:val="22"/>
                <w:highlight w:val="none"/>
              </w:rPr>
            </w:pPr>
          </w:p>
        </w:tc>
        <w:tc>
          <w:tcPr>
            <w:tcW w:w="1662" w:type="dxa"/>
            <w:tcBorders>
              <w:top w:val="single" w:color="auto" w:sz="4" w:space="0"/>
              <w:left w:val="single" w:color="auto" w:sz="4" w:space="0"/>
              <w:bottom w:val="single" w:color="auto" w:sz="4" w:space="0"/>
              <w:right w:val="single" w:color="auto" w:sz="4" w:space="0"/>
            </w:tcBorders>
          </w:tcPr>
          <w:p w14:paraId="7846726A">
            <w:pPr>
              <w:spacing w:line="400" w:lineRule="exact"/>
              <w:rPr>
                <w:rFonts w:hint="eastAsia" w:ascii="宋体" w:hAnsi="宋体" w:eastAsia="宋体" w:cs="宋体"/>
                <w:color w:val="auto"/>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tcPr>
          <w:p w14:paraId="05E6099C">
            <w:pPr>
              <w:spacing w:line="400" w:lineRule="exact"/>
              <w:rPr>
                <w:rFonts w:hint="eastAsia" w:ascii="宋体" w:hAnsi="宋体" w:eastAsia="宋体" w:cs="宋体"/>
                <w:color w:val="auto"/>
                <w:sz w:val="22"/>
                <w:szCs w:val="22"/>
                <w:highlight w:val="none"/>
              </w:rPr>
            </w:pPr>
          </w:p>
        </w:tc>
      </w:tr>
      <w:tr w14:paraId="14615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14:paraId="3ACE5622">
            <w:pPr>
              <w:spacing w:line="400" w:lineRule="exact"/>
              <w:rPr>
                <w:rFonts w:hint="eastAsia" w:ascii="宋体" w:hAnsi="宋体" w:eastAsia="宋体" w:cs="宋体"/>
                <w:color w:val="auto"/>
                <w:sz w:val="22"/>
                <w:szCs w:val="22"/>
                <w:highlight w:val="none"/>
              </w:rPr>
            </w:pPr>
          </w:p>
        </w:tc>
        <w:tc>
          <w:tcPr>
            <w:tcW w:w="2099" w:type="dxa"/>
            <w:tcBorders>
              <w:top w:val="single" w:color="auto" w:sz="4" w:space="0"/>
              <w:left w:val="single" w:color="auto" w:sz="4" w:space="0"/>
              <w:bottom w:val="single" w:color="auto" w:sz="4" w:space="0"/>
              <w:right w:val="single" w:color="auto" w:sz="4" w:space="0"/>
            </w:tcBorders>
          </w:tcPr>
          <w:p w14:paraId="40F3A209">
            <w:pPr>
              <w:spacing w:line="400" w:lineRule="exact"/>
              <w:rPr>
                <w:rFonts w:hint="eastAsia" w:ascii="宋体" w:hAnsi="宋体" w:eastAsia="宋体" w:cs="宋体"/>
                <w:color w:val="auto"/>
                <w:sz w:val="22"/>
                <w:szCs w:val="22"/>
                <w:highlight w:val="none"/>
              </w:rPr>
            </w:pPr>
          </w:p>
        </w:tc>
        <w:tc>
          <w:tcPr>
            <w:tcW w:w="1666" w:type="dxa"/>
            <w:tcBorders>
              <w:top w:val="single" w:color="auto" w:sz="4" w:space="0"/>
              <w:left w:val="single" w:color="auto" w:sz="4" w:space="0"/>
              <w:bottom w:val="single" w:color="auto" w:sz="4" w:space="0"/>
              <w:right w:val="single" w:color="auto" w:sz="4" w:space="0"/>
            </w:tcBorders>
          </w:tcPr>
          <w:p w14:paraId="0A01D6DE">
            <w:pPr>
              <w:spacing w:line="400" w:lineRule="exact"/>
              <w:rPr>
                <w:rFonts w:hint="eastAsia" w:ascii="宋体" w:hAnsi="宋体" w:eastAsia="宋体" w:cs="宋体"/>
                <w:color w:val="auto"/>
                <w:sz w:val="22"/>
                <w:szCs w:val="22"/>
                <w:highlight w:val="none"/>
              </w:rPr>
            </w:pPr>
          </w:p>
        </w:tc>
        <w:tc>
          <w:tcPr>
            <w:tcW w:w="1306" w:type="dxa"/>
            <w:tcBorders>
              <w:top w:val="single" w:color="auto" w:sz="4" w:space="0"/>
              <w:left w:val="single" w:color="auto" w:sz="4" w:space="0"/>
              <w:bottom w:val="single" w:color="auto" w:sz="4" w:space="0"/>
              <w:right w:val="single" w:color="auto" w:sz="4" w:space="0"/>
            </w:tcBorders>
          </w:tcPr>
          <w:p w14:paraId="08DAD6F8">
            <w:pPr>
              <w:spacing w:line="400" w:lineRule="exact"/>
              <w:rPr>
                <w:rFonts w:hint="eastAsia" w:ascii="宋体" w:hAnsi="宋体" w:eastAsia="宋体" w:cs="宋体"/>
                <w:color w:val="auto"/>
                <w:sz w:val="22"/>
                <w:szCs w:val="22"/>
                <w:highlight w:val="none"/>
              </w:rPr>
            </w:pPr>
          </w:p>
        </w:tc>
        <w:tc>
          <w:tcPr>
            <w:tcW w:w="1662" w:type="dxa"/>
            <w:tcBorders>
              <w:top w:val="single" w:color="auto" w:sz="4" w:space="0"/>
              <w:left w:val="single" w:color="auto" w:sz="4" w:space="0"/>
              <w:bottom w:val="single" w:color="auto" w:sz="4" w:space="0"/>
              <w:right w:val="single" w:color="auto" w:sz="4" w:space="0"/>
            </w:tcBorders>
          </w:tcPr>
          <w:p w14:paraId="3C38AC52">
            <w:pPr>
              <w:spacing w:line="400" w:lineRule="exact"/>
              <w:rPr>
                <w:rFonts w:hint="eastAsia" w:ascii="宋体" w:hAnsi="宋体" w:eastAsia="宋体" w:cs="宋体"/>
                <w:color w:val="auto"/>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tcPr>
          <w:p w14:paraId="2B5036BB">
            <w:pPr>
              <w:spacing w:line="400" w:lineRule="exact"/>
              <w:rPr>
                <w:rFonts w:hint="eastAsia" w:ascii="宋体" w:hAnsi="宋体" w:eastAsia="宋体" w:cs="宋体"/>
                <w:color w:val="auto"/>
                <w:sz w:val="22"/>
                <w:szCs w:val="22"/>
                <w:highlight w:val="none"/>
              </w:rPr>
            </w:pPr>
          </w:p>
        </w:tc>
      </w:tr>
      <w:tr w14:paraId="15960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14:paraId="5B13318B">
            <w:pPr>
              <w:spacing w:line="400" w:lineRule="exact"/>
              <w:rPr>
                <w:rFonts w:hint="eastAsia" w:ascii="宋体" w:hAnsi="宋体" w:eastAsia="宋体" w:cs="宋体"/>
                <w:color w:val="auto"/>
                <w:sz w:val="22"/>
                <w:szCs w:val="22"/>
                <w:highlight w:val="none"/>
              </w:rPr>
            </w:pPr>
          </w:p>
          <w:p w14:paraId="651110A4">
            <w:pPr>
              <w:spacing w:line="400" w:lineRule="exact"/>
              <w:rPr>
                <w:rFonts w:hint="eastAsia" w:ascii="宋体" w:hAnsi="宋体" w:eastAsia="宋体" w:cs="宋体"/>
                <w:color w:val="auto"/>
                <w:sz w:val="22"/>
                <w:szCs w:val="22"/>
                <w:highlight w:val="none"/>
              </w:rPr>
            </w:pPr>
          </w:p>
        </w:tc>
        <w:tc>
          <w:tcPr>
            <w:tcW w:w="2099" w:type="dxa"/>
            <w:tcBorders>
              <w:top w:val="single" w:color="auto" w:sz="4" w:space="0"/>
              <w:left w:val="single" w:color="auto" w:sz="4" w:space="0"/>
              <w:bottom w:val="single" w:color="auto" w:sz="4" w:space="0"/>
              <w:right w:val="single" w:color="auto" w:sz="4" w:space="0"/>
            </w:tcBorders>
          </w:tcPr>
          <w:p w14:paraId="4BD53B40">
            <w:pPr>
              <w:spacing w:line="400" w:lineRule="exact"/>
              <w:rPr>
                <w:rFonts w:hint="eastAsia" w:ascii="宋体" w:hAnsi="宋体" w:eastAsia="宋体" w:cs="宋体"/>
                <w:color w:val="auto"/>
                <w:sz w:val="22"/>
                <w:szCs w:val="22"/>
                <w:highlight w:val="none"/>
              </w:rPr>
            </w:pPr>
          </w:p>
        </w:tc>
        <w:tc>
          <w:tcPr>
            <w:tcW w:w="1666" w:type="dxa"/>
            <w:tcBorders>
              <w:top w:val="single" w:color="auto" w:sz="4" w:space="0"/>
              <w:left w:val="single" w:color="auto" w:sz="4" w:space="0"/>
              <w:bottom w:val="single" w:color="auto" w:sz="4" w:space="0"/>
              <w:right w:val="single" w:color="auto" w:sz="4" w:space="0"/>
            </w:tcBorders>
          </w:tcPr>
          <w:p w14:paraId="44F0F7BD">
            <w:pPr>
              <w:spacing w:line="400" w:lineRule="exact"/>
              <w:rPr>
                <w:rFonts w:hint="eastAsia" w:ascii="宋体" w:hAnsi="宋体" w:eastAsia="宋体" w:cs="宋体"/>
                <w:color w:val="auto"/>
                <w:sz w:val="22"/>
                <w:szCs w:val="22"/>
                <w:highlight w:val="none"/>
              </w:rPr>
            </w:pPr>
          </w:p>
        </w:tc>
        <w:tc>
          <w:tcPr>
            <w:tcW w:w="1306" w:type="dxa"/>
            <w:tcBorders>
              <w:top w:val="single" w:color="auto" w:sz="4" w:space="0"/>
              <w:left w:val="single" w:color="auto" w:sz="4" w:space="0"/>
              <w:bottom w:val="single" w:color="auto" w:sz="4" w:space="0"/>
              <w:right w:val="single" w:color="auto" w:sz="4" w:space="0"/>
            </w:tcBorders>
          </w:tcPr>
          <w:p w14:paraId="568B2252">
            <w:pPr>
              <w:spacing w:line="400" w:lineRule="exact"/>
              <w:rPr>
                <w:rFonts w:hint="eastAsia" w:ascii="宋体" w:hAnsi="宋体" w:eastAsia="宋体" w:cs="宋体"/>
                <w:color w:val="auto"/>
                <w:sz w:val="22"/>
                <w:szCs w:val="22"/>
                <w:highlight w:val="none"/>
              </w:rPr>
            </w:pPr>
          </w:p>
        </w:tc>
        <w:tc>
          <w:tcPr>
            <w:tcW w:w="1662" w:type="dxa"/>
            <w:tcBorders>
              <w:top w:val="single" w:color="auto" w:sz="4" w:space="0"/>
              <w:left w:val="single" w:color="auto" w:sz="4" w:space="0"/>
              <w:bottom w:val="single" w:color="auto" w:sz="4" w:space="0"/>
              <w:right w:val="single" w:color="auto" w:sz="4" w:space="0"/>
            </w:tcBorders>
          </w:tcPr>
          <w:p w14:paraId="339AB43A">
            <w:pPr>
              <w:spacing w:line="400" w:lineRule="exact"/>
              <w:rPr>
                <w:rFonts w:hint="eastAsia" w:ascii="宋体" w:hAnsi="宋体" w:eastAsia="宋体" w:cs="宋体"/>
                <w:color w:val="auto"/>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tcPr>
          <w:p w14:paraId="0D9E8C44">
            <w:pPr>
              <w:spacing w:line="400" w:lineRule="exact"/>
              <w:rPr>
                <w:rFonts w:hint="eastAsia" w:ascii="宋体" w:hAnsi="宋体" w:eastAsia="宋体" w:cs="宋体"/>
                <w:color w:val="auto"/>
                <w:sz w:val="22"/>
                <w:szCs w:val="22"/>
                <w:highlight w:val="none"/>
              </w:rPr>
            </w:pPr>
          </w:p>
        </w:tc>
      </w:tr>
      <w:tr w14:paraId="49C66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14:paraId="0F0BF597">
            <w:pPr>
              <w:spacing w:line="400" w:lineRule="exact"/>
              <w:rPr>
                <w:rFonts w:hint="eastAsia" w:ascii="宋体" w:hAnsi="宋体" w:eastAsia="宋体" w:cs="宋体"/>
                <w:color w:val="auto"/>
                <w:sz w:val="22"/>
                <w:szCs w:val="22"/>
                <w:highlight w:val="none"/>
              </w:rPr>
            </w:pPr>
          </w:p>
        </w:tc>
        <w:tc>
          <w:tcPr>
            <w:tcW w:w="2099" w:type="dxa"/>
            <w:tcBorders>
              <w:top w:val="single" w:color="auto" w:sz="4" w:space="0"/>
              <w:left w:val="single" w:color="auto" w:sz="4" w:space="0"/>
              <w:bottom w:val="single" w:color="auto" w:sz="4" w:space="0"/>
              <w:right w:val="single" w:color="auto" w:sz="4" w:space="0"/>
            </w:tcBorders>
          </w:tcPr>
          <w:p w14:paraId="0BD001D0">
            <w:pPr>
              <w:spacing w:line="400" w:lineRule="exact"/>
              <w:rPr>
                <w:rFonts w:hint="eastAsia" w:ascii="宋体" w:hAnsi="宋体" w:eastAsia="宋体" w:cs="宋体"/>
                <w:color w:val="auto"/>
                <w:sz w:val="22"/>
                <w:szCs w:val="22"/>
                <w:highlight w:val="none"/>
              </w:rPr>
            </w:pPr>
          </w:p>
        </w:tc>
        <w:tc>
          <w:tcPr>
            <w:tcW w:w="1666" w:type="dxa"/>
            <w:tcBorders>
              <w:top w:val="single" w:color="auto" w:sz="4" w:space="0"/>
              <w:left w:val="single" w:color="auto" w:sz="4" w:space="0"/>
              <w:bottom w:val="single" w:color="auto" w:sz="4" w:space="0"/>
              <w:right w:val="single" w:color="auto" w:sz="4" w:space="0"/>
            </w:tcBorders>
          </w:tcPr>
          <w:p w14:paraId="5A6C42E0">
            <w:pPr>
              <w:spacing w:line="400" w:lineRule="exact"/>
              <w:rPr>
                <w:rFonts w:hint="eastAsia" w:ascii="宋体" w:hAnsi="宋体" w:eastAsia="宋体" w:cs="宋体"/>
                <w:color w:val="auto"/>
                <w:sz w:val="22"/>
                <w:szCs w:val="22"/>
                <w:highlight w:val="none"/>
              </w:rPr>
            </w:pPr>
          </w:p>
        </w:tc>
        <w:tc>
          <w:tcPr>
            <w:tcW w:w="1306" w:type="dxa"/>
            <w:tcBorders>
              <w:top w:val="single" w:color="auto" w:sz="4" w:space="0"/>
              <w:left w:val="single" w:color="auto" w:sz="4" w:space="0"/>
              <w:bottom w:val="single" w:color="auto" w:sz="4" w:space="0"/>
              <w:right w:val="single" w:color="auto" w:sz="4" w:space="0"/>
            </w:tcBorders>
          </w:tcPr>
          <w:p w14:paraId="1711F0F6">
            <w:pPr>
              <w:spacing w:line="400" w:lineRule="exact"/>
              <w:rPr>
                <w:rFonts w:hint="eastAsia" w:ascii="宋体" w:hAnsi="宋体" w:eastAsia="宋体" w:cs="宋体"/>
                <w:color w:val="auto"/>
                <w:sz w:val="22"/>
                <w:szCs w:val="22"/>
                <w:highlight w:val="none"/>
              </w:rPr>
            </w:pPr>
          </w:p>
        </w:tc>
        <w:tc>
          <w:tcPr>
            <w:tcW w:w="1662" w:type="dxa"/>
            <w:tcBorders>
              <w:top w:val="single" w:color="auto" w:sz="4" w:space="0"/>
              <w:left w:val="single" w:color="auto" w:sz="4" w:space="0"/>
              <w:bottom w:val="single" w:color="auto" w:sz="4" w:space="0"/>
              <w:right w:val="single" w:color="auto" w:sz="4" w:space="0"/>
            </w:tcBorders>
          </w:tcPr>
          <w:p w14:paraId="187D6495">
            <w:pPr>
              <w:spacing w:line="400" w:lineRule="exact"/>
              <w:rPr>
                <w:rFonts w:hint="eastAsia" w:ascii="宋体" w:hAnsi="宋体" w:eastAsia="宋体" w:cs="宋体"/>
                <w:color w:val="auto"/>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tcPr>
          <w:p w14:paraId="2BA99199">
            <w:pPr>
              <w:spacing w:line="400" w:lineRule="exact"/>
              <w:rPr>
                <w:rFonts w:hint="eastAsia" w:ascii="宋体" w:hAnsi="宋体" w:eastAsia="宋体" w:cs="宋体"/>
                <w:color w:val="auto"/>
                <w:sz w:val="22"/>
                <w:szCs w:val="22"/>
                <w:highlight w:val="none"/>
              </w:rPr>
            </w:pPr>
          </w:p>
        </w:tc>
      </w:tr>
      <w:tr w14:paraId="3634D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14:paraId="2C68DA10">
            <w:pPr>
              <w:spacing w:line="400" w:lineRule="exact"/>
              <w:rPr>
                <w:rFonts w:hint="eastAsia" w:ascii="宋体" w:hAnsi="宋体" w:eastAsia="宋体" w:cs="宋体"/>
                <w:color w:val="auto"/>
                <w:sz w:val="22"/>
                <w:szCs w:val="22"/>
                <w:highlight w:val="none"/>
              </w:rPr>
            </w:pPr>
          </w:p>
        </w:tc>
        <w:tc>
          <w:tcPr>
            <w:tcW w:w="2099" w:type="dxa"/>
            <w:tcBorders>
              <w:top w:val="single" w:color="auto" w:sz="4" w:space="0"/>
              <w:left w:val="single" w:color="auto" w:sz="4" w:space="0"/>
              <w:bottom w:val="single" w:color="auto" w:sz="4" w:space="0"/>
              <w:right w:val="single" w:color="auto" w:sz="4" w:space="0"/>
            </w:tcBorders>
          </w:tcPr>
          <w:p w14:paraId="6403AFF5">
            <w:pPr>
              <w:spacing w:line="400" w:lineRule="exact"/>
              <w:rPr>
                <w:rFonts w:hint="eastAsia" w:ascii="宋体" w:hAnsi="宋体" w:eastAsia="宋体" w:cs="宋体"/>
                <w:color w:val="auto"/>
                <w:sz w:val="22"/>
                <w:szCs w:val="22"/>
                <w:highlight w:val="none"/>
              </w:rPr>
            </w:pPr>
          </w:p>
        </w:tc>
        <w:tc>
          <w:tcPr>
            <w:tcW w:w="1666" w:type="dxa"/>
            <w:tcBorders>
              <w:top w:val="single" w:color="auto" w:sz="4" w:space="0"/>
              <w:left w:val="single" w:color="auto" w:sz="4" w:space="0"/>
              <w:bottom w:val="single" w:color="auto" w:sz="4" w:space="0"/>
              <w:right w:val="single" w:color="auto" w:sz="4" w:space="0"/>
            </w:tcBorders>
          </w:tcPr>
          <w:p w14:paraId="221F0C96">
            <w:pPr>
              <w:spacing w:line="400" w:lineRule="exact"/>
              <w:rPr>
                <w:rFonts w:hint="eastAsia" w:ascii="宋体" w:hAnsi="宋体" w:eastAsia="宋体" w:cs="宋体"/>
                <w:color w:val="auto"/>
                <w:sz w:val="22"/>
                <w:szCs w:val="22"/>
                <w:highlight w:val="none"/>
              </w:rPr>
            </w:pPr>
          </w:p>
        </w:tc>
        <w:tc>
          <w:tcPr>
            <w:tcW w:w="1306" w:type="dxa"/>
            <w:tcBorders>
              <w:top w:val="single" w:color="auto" w:sz="4" w:space="0"/>
              <w:left w:val="single" w:color="auto" w:sz="4" w:space="0"/>
              <w:bottom w:val="single" w:color="auto" w:sz="4" w:space="0"/>
              <w:right w:val="single" w:color="auto" w:sz="4" w:space="0"/>
            </w:tcBorders>
          </w:tcPr>
          <w:p w14:paraId="6CBB5445">
            <w:pPr>
              <w:spacing w:line="400" w:lineRule="exact"/>
              <w:rPr>
                <w:rFonts w:hint="eastAsia" w:ascii="宋体" w:hAnsi="宋体" w:eastAsia="宋体" w:cs="宋体"/>
                <w:color w:val="auto"/>
                <w:sz w:val="22"/>
                <w:szCs w:val="22"/>
                <w:highlight w:val="none"/>
              </w:rPr>
            </w:pPr>
          </w:p>
        </w:tc>
        <w:tc>
          <w:tcPr>
            <w:tcW w:w="1662" w:type="dxa"/>
            <w:tcBorders>
              <w:top w:val="single" w:color="auto" w:sz="4" w:space="0"/>
              <w:left w:val="single" w:color="auto" w:sz="4" w:space="0"/>
              <w:bottom w:val="single" w:color="auto" w:sz="4" w:space="0"/>
              <w:right w:val="single" w:color="auto" w:sz="4" w:space="0"/>
            </w:tcBorders>
          </w:tcPr>
          <w:p w14:paraId="0CE3B59C">
            <w:pPr>
              <w:spacing w:line="400" w:lineRule="exact"/>
              <w:rPr>
                <w:rFonts w:hint="eastAsia" w:ascii="宋体" w:hAnsi="宋体" w:eastAsia="宋体" w:cs="宋体"/>
                <w:color w:val="auto"/>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tcPr>
          <w:p w14:paraId="7777C2C3">
            <w:pPr>
              <w:spacing w:line="400" w:lineRule="exact"/>
              <w:rPr>
                <w:rFonts w:hint="eastAsia" w:ascii="宋体" w:hAnsi="宋体" w:eastAsia="宋体" w:cs="宋体"/>
                <w:color w:val="auto"/>
                <w:sz w:val="22"/>
                <w:szCs w:val="22"/>
                <w:highlight w:val="none"/>
              </w:rPr>
            </w:pPr>
          </w:p>
        </w:tc>
      </w:tr>
      <w:tr w14:paraId="2A2DE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14:paraId="4DAB27A7">
            <w:pPr>
              <w:spacing w:line="400" w:lineRule="exact"/>
              <w:rPr>
                <w:rFonts w:hint="eastAsia" w:ascii="宋体" w:hAnsi="宋体" w:eastAsia="宋体" w:cs="宋体"/>
                <w:color w:val="auto"/>
                <w:sz w:val="22"/>
                <w:szCs w:val="22"/>
                <w:highlight w:val="none"/>
              </w:rPr>
            </w:pPr>
          </w:p>
        </w:tc>
        <w:tc>
          <w:tcPr>
            <w:tcW w:w="2099" w:type="dxa"/>
            <w:tcBorders>
              <w:top w:val="single" w:color="auto" w:sz="4" w:space="0"/>
              <w:left w:val="single" w:color="auto" w:sz="4" w:space="0"/>
              <w:bottom w:val="single" w:color="auto" w:sz="4" w:space="0"/>
              <w:right w:val="single" w:color="auto" w:sz="4" w:space="0"/>
            </w:tcBorders>
          </w:tcPr>
          <w:p w14:paraId="6D550A78">
            <w:pPr>
              <w:spacing w:line="400" w:lineRule="exact"/>
              <w:rPr>
                <w:rFonts w:hint="eastAsia" w:ascii="宋体" w:hAnsi="宋体" w:eastAsia="宋体" w:cs="宋体"/>
                <w:color w:val="auto"/>
                <w:sz w:val="22"/>
                <w:szCs w:val="22"/>
                <w:highlight w:val="none"/>
              </w:rPr>
            </w:pPr>
          </w:p>
        </w:tc>
        <w:tc>
          <w:tcPr>
            <w:tcW w:w="1666" w:type="dxa"/>
            <w:tcBorders>
              <w:top w:val="single" w:color="auto" w:sz="4" w:space="0"/>
              <w:left w:val="single" w:color="auto" w:sz="4" w:space="0"/>
              <w:bottom w:val="single" w:color="auto" w:sz="4" w:space="0"/>
              <w:right w:val="single" w:color="auto" w:sz="4" w:space="0"/>
            </w:tcBorders>
          </w:tcPr>
          <w:p w14:paraId="7AAF6DE2">
            <w:pPr>
              <w:spacing w:line="400" w:lineRule="exact"/>
              <w:rPr>
                <w:rFonts w:hint="eastAsia" w:ascii="宋体" w:hAnsi="宋体" w:eastAsia="宋体" w:cs="宋体"/>
                <w:color w:val="auto"/>
                <w:sz w:val="22"/>
                <w:szCs w:val="22"/>
                <w:highlight w:val="none"/>
              </w:rPr>
            </w:pPr>
          </w:p>
        </w:tc>
        <w:tc>
          <w:tcPr>
            <w:tcW w:w="1306" w:type="dxa"/>
            <w:tcBorders>
              <w:top w:val="single" w:color="auto" w:sz="4" w:space="0"/>
              <w:left w:val="single" w:color="auto" w:sz="4" w:space="0"/>
              <w:bottom w:val="single" w:color="auto" w:sz="4" w:space="0"/>
              <w:right w:val="single" w:color="auto" w:sz="4" w:space="0"/>
            </w:tcBorders>
          </w:tcPr>
          <w:p w14:paraId="212F43B4">
            <w:pPr>
              <w:spacing w:line="400" w:lineRule="exact"/>
              <w:rPr>
                <w:rFonts w:hint="eastAsia" w:ascii="宋体" w:hAnsi="宋体" w:eastAsia="宋体" w:cs="宋体"/>
                <w:color w:val="auto"/>
                <w:sz w:val="22"/>
                <w:szCs w:val="22"/>
                <w:highlight w:val="none"/>
              </w:rPr>
            </w:pPr>
          </w:p>
        </w:tc>
        <w:tc>
          <w:tcPr>
            <w:tcW w:w="1662" w:type="dxa"/>
            <w:tcBorders>
              <w:top w:val="single" w:color="auto" w:sz="4" w:space="0"/>
              <w:left w:val="single" w:color="auto" w:sz="4" w:space="0"/>
              <w:bottom w:val="single" w:color="auto" w:sz="4" w:space="0"/>
              <w:right w:val="single" w:color="auto" w:sz="4" w:space="0"/>
            </w:tcBorders>
          </w:tcPr>
          <w:p w14:paraId="7338269D">
            <w:pPr>
              <w:spacing w:line="400" w:lineRule="exact"/>
              <w:rPr>
                <w:rFonts w:hint="eastAsia" w:ascii="宋体" w:hAnsi="宋体" w:eastAsia="宋体" w:cs="宋体"/>
                <w:color w:val="auto"/>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tcPr>
          <w:p w14:paraId="59620CBF">
            <w:pPr>
              <w:spacing w:line="400" w:lineRule="exact"/>
              <w:rPr>
                <w:rFonts w:hint="eastAsia" w:ascii="宋体" w:hAnsi="宋体" w:eastAsia="宋体" w:cs="宋体"/>
                <w:color w:val="auto"/>
                <w:sz w:val="22"/>
                <w:szCs w:val="22"/>
                <w:highlight w:val="none"/>
              </w:rPr>
            </w:pPr>
          </w:p>
        </w:tc>
      </w:tr>
      <w:tr w14:paraId="51918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14:paraId="0B8CB070">
            <w:pPr>
              <w:spacing w:line="400" w:lineRule="exact"/>
              <w:rPr>
                <w:rFonts w:hint="eastAsia" w:ascii="宋体" w:hAnsi="宋体" w:eastAsia="宋体" w:cs="宋体"/>
                <w:color w:val="auto"/>
                <w:sz w:val="22"/>
                <w:szCs w:val="22"/>
                <w:highlight w:val="none"/>
              </w:rPr>
            </w:pPr>
          </w:p>
        </w:tc>
        <w:tc>
          <w:tcPr>
            <w:tcW w:w="2099" w:type="dxa"/>
            <w:tcBorders>
              <w:top w:val="single" w:color="auto" w:sz="4" w:space="0"/>
              <w:left w:val="single" w:color="auto" w:sz="4" w:space="0"/>
              <w:bottom w:val="single" w:color="auto" w:sz="4" w:space="0"/>
              <w:right w:val="single" w:color="auto" w:sz="4" w:space="0"/>
            </w:tcBorders>
          </w:tcPr>
          <w:p w14:paraId="568169DC">
            <w:pPr>
              <w:spacing w:line="400" w:lineRule="exact"/>
              <w:rPr>
                <w:rFonts w:hint="eastAsia" w:ascii="宋体" w:hAnsi="宋体" w:eastAsia="宋体" w:cs="宋体"/>
                <w:color w:val="auto"/>
                <w:sz w:val="22"/>
                <w:szCs w:val="22"/>
                <w:highlight w:val="none"/>
              </w:rPr>
            </w:pPr>
          </w:p>
        </w:tc>
        <w:tc>
          <w:tcPr>
            <w:tcW w:w="1666" w:type="dxa"/>
            <w:tcBorders>
              <w:top w:val="single" w:color="auto" w:sz="4" w:space="0"/>
              <w:left w:val="single" w:color="auto" w:sz="4" w:space="0"/>
              <w:bottom w:val="single" w:color="auto" w:sz="4" w:space="0"/>
              <w:right w:val="single" w:color="auto" w:sz="4" w:space="0"/>
            </w:tcBorders>
          </w:tcPr>
          <w:p w14:paraId="49F69322">
            <w:pPr>
              <w:spacing w:line="400" w:lineRule="exact"/>
              <w:rPr>
                <w:rFonts w:hint="eastAsia" w:ascii="宋体" w:hAnsi="宋体" w:eastAsia="宋体" w:cs="宋体"/>
                <w:color w:val="auto"/>
                <w:sz w:val="22"/>
                <w:szCs w:val="22"/>
                <w:highlight w:val="none"/>
              </w:rPr>
            </w:pPr>
          </w:p>
        </w:tc>
        <w:tc>
          <w:tcPr>
            <w:tcW w:w="1306" w:type="dxa"/>
            <w:tcBorders>
              <w:top w:val="single" w:color="auto" w:sz="4" w:space="0"/>
              <w:left w:val="single" w:color="auto" w:sz="4" w:space="0"/>
              <w:bottom w:val="single" w:color="auto" w:sz="4" w:space="0"/>
              <w:right w:val="single" w:color="auto" w:sz="4" w:space="0"/>
            </w:tcBorders>
          </w:tcPr>
          <w:p w14:paraId="1D58623E">
            <w:pPr>
              <w:spacing w:line="400" w:lineRule="exact"/>
              <w:rPr>
                <w:rFonts w:hint="eastAsia" w:ascii="宋体" w:hAnsi="宋体" w:eastAsia="宋体" w:cs="宋体"/>
                <w:color w:val="auto"/>
                <w:sz w:val="22"/>
                <w:szCs w:val="22"/>
                <w:highlight w:val="none"/>
              </w:rPr>
            </w:pPr>
          </w:p>
        </w:tc>
        <w:tc>
          <w:tcPr>
            <w:tcW w:w="1662" w:type="dxa"/>
            <w:tcBorders>
              <w:top w:val="single" w:color="auto" w:sz="4" w:space="0"/>
              <w:left w:val="single" w:color="auto" w:sz="4" w:space="0"/>
              <w:bottom w:val="single" w:color="auto" w:sz="4" w:space="0"/>
              <w:right w:val="single" w:color="auto" w:sz="4" w:space="0"/>
            </w:tcBorders>
          </w:tcPr>
          <w:p w14:paraId="1A20D3CD">
            <w:pPr>
              <w:spacing w:line="400" w:lineRule="exact"/>
              <w:rPr>
                <w:rFonts w:hint="eastAsia" w:ascii="宋体" w:hAnsi="宋体" w:eastAsia="宋体" w:cs="宋体"/>
                <w:color w:val="auto"/>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tcPr>
          <w:p w14:paraId="0DD6CC16">
            <w:pPr>
              <w:spacing w:line="400" w:lineRule="exact"/>
              <w:rPr>
                <w:rFonts w:hint="eastAsia" w:ascii="宋体" w:hAnsi="宋体" w:eastAsia="宋体" w:cs="宋体"/>
                <w:color w:val="auto"/>
                <w:sz w:val="22"/>
                <w:szCs w:val="22"/>
                <w:highlight w:val="none"/>
              </w:rPr>
            </w:pPr>
          </w:p>
        </w:tc>
      </w:tr>
    </w:tbl>
    <w:p w14:paraId="06725C2E">
      <w:pPr>
        <w:autoSpaceDE w:val="0"/>
        <w:autoSpaceDN w:val="0"/>
        <w:adjustRightIn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按评分细则要求提供。</w:t>
      </w:r>
    </w:p>
    <w:p w14:paraId="7A0C076D">
      <w:pPr>
        <w:autoSpaceDE w:val="0"/>
        <w:autoSpaceDN w:val="0"/>
        <w:adjustRightIn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表格可以延续。</w:t>
      </w:r>
    </w:p>
    <w:p w14:paraId="7B343B6B">
      <w:pPr>
        <w:pStyle w:val="25"/>
        <w:spacing w:line="400" w:lineRule="atLeast"/>
        <w:ind w:left="660" w:hanging="660" w:hangingChars="300"/>
        <w:rPr>
          <w:rFonts w:hint="eastAsia" w:ascii="宋体" w:hAnsi="宋体" w:eastAsia="宋体" w:cs="宋体"/>
          <w:color w:val="auto"/>
          <w:sz w:val="22"/>
          <w:highlight w:val="none"/>
        </w:rPr>
      </w:pPr>
    </w:p>
    <w:p w14:paraId="6EEDFC76">
      <w:pPr>
        <w:pStyle w:val="25"/>
        <w:spacing w:line="400" w:lineRule="atLeast"/>
        <w:ind w:left="660" w:hanging="660" w:hangingChars="300"/>
        <w:rPr>
          <w:rFonts w:hint="eastAsia" w:ascii="宋体" w:hAnsi="宋体" w:eastAsia="宋体" w:cs="宋体"/>
          <w:color w:val="auto"/>
          <w:sz w:val="22"/>
          <w:highlight w:val="none"/>
        </w:rPr>
      </w:pPr>
    </w:p>
    <w:p w14:paraId="3D05E680">
      <w:pPr>
        <w:snapToGrid w:val="0"/>
        <w:spacing w:line="500" w:lineRule="atLeast"/>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lang w:val="zh-CN"/>
        </w:rPr>
        <w:t>磋商供应商（盖章）：</w:t>
      </w:r>
    </w:p>
    <w:p w14:paraId="66D91AD8">
      <w:pPr>
        <w:snapToGrid w:val="0"/>
        <w:spacing w:line="500" w:lineRule="atLeast"/>
        <w:ind w:firstLine="550" w:firstLineChars="250"/>
        <w:rPr>
          <w:rFonts w:hint="eastAsia" w:ascii="宋体" w:hAnsi="宋体" w:eastAsia="宋体" w:cs="宋体"/>
          <w:color w:val="auto"/>
          <w:sz w:val="22"/>
          <w:szCs w:val="22"/>
          <w:highlight w:val="none"/>
          <w:u w:val="single"/>
          <w:lang w:val="zh-CN"/>
        </w:rPr>
      </w:pPr>
    </w:p>
    <w:p w14:paraId="7631FF9C">
      <w:pPr>
        <w:rPr>
          <w:rFonts w:hint="eastAsia" w:ascii="宋体" w:hAnsi="宋体" w:eastAsia="宋体" w:cs="宋体"/>
          <w:color w:val="auto"/>
          <w:highlight w:val="none"/>
        </w:rPr>
      </w:pPr>
    </w:p>
    <w:p w14:paraId="541F4423">
      <w:pPr>
        <w:rPr>
          <w:rFonts w:hint="eastAsia" w:ascii="宋体" w:hAnsi="宋体" w:eastAsia="宋体" w:cs="宋体"/>
          <w:color w:val="auto"/>
          <w:highlight w:val="none"/>
        </w:rPr>
      </w:pPr>
    </w:p>
    <w:p w14:paraId="08D609CE">
      <w:pPr>
        <w:rPr>
          <w:rFonts w:hint="eastAsia" w:ascii="宋体" w:hAnsi="宋体" w:eastAsia="宋体" w:cs="宋体"/>
          <w:color w:val="auto"/>
          <w:highlight w:val="none"/>
        </w:rPr>
      </w:pPr>
    </w:p>
    <w:p w14:paraId="473DD374">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 w:val="0"/>
          <w:bCs w:val="0"/>
          <w:color w:val="auto"/>
          <w:sz w:val="22"/>
          <w:szCs w:val="22"/>
          <w:highlight w:val="none"/>
          <w:lang w:val="zh-CN"/>
        </w:rPr>
      </w:pPr>
    </w:p>
    <w:p w14:paraId="5FD2DC18">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 w:val="0"/>
          <w:bCs w:val="0"/>
          <w:color w:val="auto"/>
          <w:sz w:val="22"/>
          <w:szCs w:val="22"/>
          <w:highlight w:val="none"/>
          <w:lang w:val="zh-CN"/>
        </w:rPr>
      </w:pPr>
    </w:p>
    <w:p w14:paraId="0A2BCE64">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 w:val="0"/>
          <w:bCs w:val="0"/>
          <w:color w:val="auto"/>
          <w:sz w:val="22"/>
          <w:szCs w:val="22"/>
          <w:highlight w:val="none"/>
          <w:lang w:val="zh-CN"/>
        </w:rPr>
      </w:pPr>
    </w:p>
    <w:p w14:paraId="0A408605">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 w:val="0"/>
          <w:bCs w:val="0"/>
          <w:color w:val="auto"/>
          <w:sz w:val="22"/>
          <w:szCs w:val="22"/>
          <w:highlight w:val="none"/>
          <w:lang w:val="zh-CN"/>
        </w:rPr>
      </w:pPr>
    </w:p>
    <w:p w14:paraId="58E92EF0">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 w:val="0"/>
          <w:bCs w:val="0"/>
          <w:color w:val="auto"/>
          <w:sz w:val="22"/>
          <w:szCs w:val="22"/>
          <w:highlight w:val="none"/>
          <w:lang w:val="zh-CN"/>
        </w:rPr>
      </w:pPr>
    </w:p>
    <w:p w14:paraId="25464969">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 w:val="0"/>
          <w:bCs w:val="0"/>
          <w:color w:val="auto"/>
          <w:sz w:val="22"/>
          <w:szCs w:val="22"/>
          <w:highlight w:val="none"/>
          <w:lang w:val="zh-CN"/>
        </w:rPr>
      </w:pPr>
    </w:p>
    <w:p w14:paraId="78DD8436">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Cs w:val="0"/>
          <w:color w:val="auto"/>
          <w:sz w:val="28"/>
          <w:szCs w:val="28"/>
          <w:highlight w:val="none"/>
        </w:rPr>
      </w:pPr>
      <w:r>
        <w:rPr>
          <w:rFonts w:hint="eastAsia" w:ascii="宋体" w:hAnsi="宋体" w:eastAsia="宋体" w:cs="宋体"/>
          <w:b w:val="0"/>
          <w:bCs w:val="0"/>
          <w:color w:val="auto"/>
          <w:sz w:val="22"/>
          <w:szCs w:val="22"/>
          <w:highlight w:val="none"/>
          <w:lang w:val="zh-CN"/>
        </w:rPr>
        <w:t>附件十一</w:t>
      </w:r>
    </w:p>
    <w:p w14:paraId="0CB932D9">
      <w:pPr>
        <w:autoSpaceDE w:val="0"/>
        <w:autoSpaceDN w:val="0"/>
        <w:adjustRightInd w:val="0"/>
        <w:spacing w:afterLines="50" w:line="460" w:lineRule="atLeast"/>
        <w:jc w:val="center"/>
        <w:rPr>
          <w:rFonts w:hint="eastAsia" w:ascii="宋体" w:hAnsi="宋体" w:eastAsia="宋体" w:cs="宋体"/>
          <w:color w:val="auto"/>
          <w:kern w:val="0"/>
          <w:sz w:val="36"/>
          <w:szCs w:val="20"/>
          <w:highlight w:val="none"/>
          <w:lang w:val="zh-CN"/>
        </w:rPr>
      </w:pPr>
      <w:r>
        <w:rPr>
          <w:rFonts w:hint="eastAsia" w:ascii="宋体" w:hAnsi="宋体" w:eastAsia="宋体" w:cs="宋体"/>
          <w:color w:val="auto"/>
          <w:kern w:val="0"/>
          <w:sz w:val="36"/>
          <w:szCs w:val="20"/>
          <w:highlight w:val="none"/>
          <w:lang w:val="zh-CN"/>
        </w:rPr>
        <w:t>备品备件报价表</w:t>
      </w:r>
    </w:p>
    <w:p w14:paraId="2F722191">
      <w:pPr>
        <w:autoSpaceDE w:val="0"/>
        <w:autoSpaceDN w:val="0"/>
        <w:adjustRightInd w:val="0"/>
        <w:spacing w:line="460" w:lineRule="atLeast"/>
        <w:ind w:firstLine="220" w:firstLineChars="100"/>
        <w:jc w:val="left"/>
        <w:rPr>
          <w:rFonts w:hint="eastAsia" w:ascii="宋体" w:hAnsi="宋体" w:eastAsia="宋体" w:cs="宋体"/>
          <w:bCs/>
          <w:color w:val="auto"/>
          <w:kern w:val="0"/>
          <w:sz w:val="22"/>
          <w:szCs w:val="22"/>
          <w:highlight w:val="none"/>
          <w:u w:val="single"/>
        </w:rPr>
      </w:pPr>
      <w:r>
        <w:rPr>
          <w:rFonts w:hint="eastAsia" w:ascii="宋体" w:hAnsi="宋体" w:eastAsia="宋体" w:cs="宋体"/>
          <w:bCs/>
          <w:color w:val="auto"/>
          <w:kern w:val="0"/>
          <w:sz w:val="22"/>
          <w:szCs w:val="22"/>
          <w:highlight w:val="none"/>
        </w:rPr>
        <w:t xml:space="preserve">项目名称：                    </w:t>
      </w:r>
      <w:r>
        <w:rPr>
          <w:rFonts w:hint="eastAsia" w:ascii="宋体" w:hAnsi="宋体" w:cs="宋体"/>
          <w:bCs/>
          <w:color w:val="auto"/>
          <w:kern w:val="0"/>
          <w:sz w:val="22"/>
          <w:szCs w:val="22"/>
          <w:highlight w:val="none"/>
          <w:lang w:eastAsia="zh-CN"/>
        </w:rPr>
        <w:t>采购</w:t>
      </w:r>
      <w:r>
        <w:rPr>
          <w:rFonts w:hint="eastAsia" w:ascii="宋体" w:hAnsi="宋体" w:eastAsia="宋体" w:cs="宋体"/>
          <w:bCs/>
          <w:color w:val="auto"/>
          <w:kern w:val="0"/>
          <w:sz w:val="22"/>
          <w:szCs w:val="22"/>
          <w:highlight w:val="none"/>
        </w:rPr>
        <w:t>编号：                    报价单位：</w:t>
      </w:r>
      <w:r>
        <w:rPr>
          <w:rFonts w:hint="eastAsia" w:ascii="宋体" w:hAnsi="宋体" w:eastAsia="宋体" w:cs="宋体"/>
          <w:bCs/>
          <w:color w:val="auto"/>
          <w:kern w:val="0"/>
          <w:sz w:val="22"/>
          <w:szCs w:val="22"/>
          <w:highlight w:val="none"/>
          <w:u w:val="single"/>
        </w:rPr>
        <w:t>人民币元</w:t>
      </w:r>
    </w:p>
    <w:tbl>
      <w:tblPr>
        <w:tblStyle w:val="47"/>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203"/>
        <w:gridCol w:w="1312"/>
        <w:gridCol w:w="1312"/>
        <w:gridCol w:w="1430"/>
        <w:gridCol w:w="1415"/>
      </w:tblGrid>
      <w:tr w14:paraId="7081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6" w:type="dxa"/>
            <w:tcBorders>
              <w:top w:val="single" w:color="auto" w:sz="4" w:space="0"/>
              <w:left w:val="single" w:color="auto" w:sz="4" w:space="0"/>
              <w:bottom w:val="single" w:color="auto" w:sz="4" w:space="0"/>
              <w:right w:val="single" w:color="auto" w:sz="4" w:space="0"/>
            </w:tcBorders>
            <w:noWrap/>
            <w:vAlign w:val="center"/>
          </w:tcPr>
          <w:p w14:paraId="0778EFA2">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2203" w:type="dxa"/>
            <w:tcBorders>
              <w:top w:val="single" w:color="auto" w:sz="4" w:space="0"/>
              <w:left w:val="single" w:color="auto" w:sz="4" w:space="0"/>
              <w:bottom w:val="single" w:color="auto" w:sz="4" w:space="0"/>
              <w:right w:val="single" w:color="auto" w:sz="4" w:space="0"/>
            </w:tcBorders>
            <w:noWrap/>
            <w:vAlign w:val="center"/>
          </w:tcPr>
          <w:p w14:paraId="514C449C">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备品备件名称</w:t>
            </w:r>
          </w:p>
        </w:tc>
        <w:tc>
          <w:tcPr>
            <w:tcW w:w="1312" w:type="dxa"/>
            <w:tcBorders>
              <w:top w:val="single" w:color="auto" w:sz="4" w:space="0"/>
              <w:left w:val="single" w:color="auto" w:sz="4" w:space="0"/>
              <w:bottom w:val="single" w:color="auto" w:sz="4" w:space="0"/>
              <w:right w:val="single" w:color="auto" w:sz="4" w:space="0"/>
            </w:tcBorders>
            <w:noWrap/>
            <w:vAlign w:val="center"/>
          </w:tcPr>
          <w:p w14:paraId="180E8AD3">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品牌/产地</w:t>
            </w:r>
          </w:p>
        </w:tc>
        <w:tc>
          <w:tcPr>
            <w:tcW w:w="1312" w:type="dxa"/>
            <w:tcBorders>
              <w:top w:val="single" w:color="auto" w:sz="4" w:space="0"/>
              <w:left w:val="single" w:color="auto" w:sz="4" w:space="0"/>
              <w:bottom w:val="single" w:color="auto" w:sz="4" w:space="0"/>
              <w:right w:val="single" w:color="auto" w:sz="4" w:space="0"/>
            </w:tcBorders>
            <w:noWrap/>
            <w:vAlign w:val="center"/>
          </w:tcPr>
          <w:p w14:paraId="2EB1A08C">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规格型号</w:t>
            </w:r>
          </w:p>
        </w:tc>
        <w:tc>
          <w:tcPr>
            <w:tcW w:w="1430" w:type="dxa"/>
            <w:tcBorders>
              <w:top w:val="single" w:color="auto" w:sz="4" w:space="0"/>
              <w:left w:val="single" w:color="auto" w:sz="4" w:space="0"/>
              <w:bottom w:val="single" w:color="auto" w:sz="4" w:space="0"/>
              <w:right w:val="single" w:color="auto" w:sz="4" w:space="0"/>
            </w:tcBorders>
            <w:noWrap/>
            <w:vAlign w:val="center"/>
          </w:tcPr>
          <w:p w14:paraId="5DB3C527">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单价</w:t>
            </w:r>
          </w:p>
        </w:tc>
        <w:tc>
          <w:tcPr>
            <w:tcW w:w="1415" w:type="dxa"/>
            <w:tcBorders>
              <w:top w:val="single" w:color="auto" w:sz="4" w:space="0"/>
              <w:left w:val="single" w:color="auto" w:sz="4" w:space="0"/>
              <w:bottom w:val="single" w:color="auto" w:sz="4" w:space="0"/>
              <w:right w:val="single" w:color="auto" w:sz="4" w:space="0"/>
            </w:tcBorders>
            <w:noWrap/>
            <w:vAlign w:val="center"/>
          </w:tcPr>
          <w:p w14:paraId="318395E6">
            <w:pPr>
              <w:autoSpaceDE w:val="0"/>
              <w:autoSpaceDN w:val="0"/>
              <w:adjustRightInd w:val="0"/>
              <w:spacing w:line="460" w:lineRule="atLeas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备注</w:t>
            </w:r>
          </w:p>
        </w:tc>
      </w:tr>
      <w:tr w14:paraId="32F0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1499C18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742EE76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546411D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14D09C1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689CC42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771F2F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05DA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51AD573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1B2FC53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0D2D1B8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133D9AA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6FC8B3D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DE7ECE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75C9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7226D54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6EFFAA3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1D10F88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2F14B90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5DAA9B3A">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40E4B4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1F03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73D94E3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23CDAFF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348F56E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72FBAA7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6F54F49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F56696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4640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28D4E0D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4DBC1FF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631C7E6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0E5D4D4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03214D8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B7025E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0E78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031EAA9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7683796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6DB8517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0CCD65C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5C82D77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D490F3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01B7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12B7C3E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1258A45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3480F20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1F7FC9A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25D7B20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843C3CF">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50A4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4F17AB8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5982C24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381036E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361F85E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20A74F97">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14AA679">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5C20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2F9C261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468A17B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1521D93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1374667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3AAEDAA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B6131E1">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5CD2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1DF9CD4E">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734083F4">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4F6A1116">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711B0AE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5D16DD2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2F4CA2C">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r w14:paraId="7636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tcBorders>
              <w:top w:val="single" w:color="auto" w:sz="4" w:space="0"/>
              <w:left w:val="single" w:color="auto" w:sz="4" w:space="0"/>
              <w:bottom w:val="single" w:color="auto" w:sz="4" w:space="0"/>
              <w:right w:val="single" w:color="auto" w:sz="4" w:space="0"/>
            </w:tcBorders>
            <w:noWrap/>
          </w:tcPr>
          <w:p w14:paraId="3ADD7675">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2203" w:type="dxa"/>
            <w:tcBorders>
              <w:top w:val="single" w:color="auto" w:sz="4" w:space="0"/>
              <w:left w:val="single" w:color="auto" w:sz="4" w:space="0"/>
              <w:bottom w:val="single" w:color="auto" w:sz="4" w:space="0"/>
              <w:right w:val="single" w:color="auto" w:sz="4" w:space="0"/>
            </w:tcBorders>
            <w:noWrap/>
            <w:vAlign w:val="center"/>
          </w:tcPr>
          <w:p w14:paraId="782602F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tcPr>
          <w:p w14:paraId="52A6536D">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233B4A63">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30" w:type="dxa"/>
            <w:tcBorders>
              <w:top w:val="single" w:color="auto" w:sz="4" w:space="0"/>
              <w:left w:val="single" w:color="auto" w:sz="4" w:space="0"/>
              <w:bottom w:val="single" w:color="auto" w:sz="4" w:space="0"/>
              <w:right w:val="single" w:color="auto" w:sz="4" w:space="0"/>
            </w:tcBorders>
            <w:noWrap/>
            <w:vAlign w:val="center"/>
          </w:tcPr>
          <w:p w14:paraId="4DA07CEB">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39D3FE8">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tc>
      </w:tr>
    </w:tbl>
    <w:p w14:paraId="432ABC49">
      <w:pPr>
        <w:spacing w:line="460" w:lineRule="atLeast"/>
        <w:ind w:right="420" w:righ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注：表格可以延续。</w:t>
      </w:r>
    </w:p>
    <w:p w14:paraId="1F5BCFA2">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p w14:paraId="74AF8F30">
      <w:pPr>
        <w:autoSpaceDE w:val="0"/>
        <w:autoSpaceDN w:val="0"/>
        <w:adjustRightInd w:val="0"/>
        <w:spacing w:line="460" w:lineRule="atLeast"/>
        <w:rPr>
          <w:rFonts w:hint="eastAsia" w:ascii="宋体" w:hAnsi="宋体" w:eastAsia="宋体" w:cs="宋体"/>
          <w:color w:val="auto"/>
          <w:kern w:val="0"/>
          <w:sz w:val="22"/>
          <w:szCs w:val="22"/>
          <w:highlight w:val="none"/>
          <w:lang w:val="zh-CN"/>
        </w:rPr>
      </w:pPr>
    </w:p>
    <w:p w14:paraId="64AC3837">
      <w:pPr>
        <w:spacing w:line="460" w:lineRule="atLeast"/>
        <w:ind w:firstLine="4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磋商供应商（盖章）：</w:t>
      </w:r>
    </w:p>
    <w:p w14:paraId="2022FFED">
      <w:pPr>
        <w:spacing w:line="460" w:lineRule="atLeast"/>
        <w:ind w:firstLine="4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法定代表人或</w:t>
      </w:r>
      <w:r>
        <w:rPr>
          <w:rFonts w:hint="eastAsia" w:ascii="宋体" w:hAnsi="宋体" w:eastAsia="宋体" w:cs="宋体"/>
          <w:color w:val="auto"/>
          <w:sz w:val="22"/>
          <w:szCs w:val="22"/>
          <w:highlight w:val="none"/>
        </w:rPr>
        <w:t>其</w:t>
      </w:r>
      <w:r>
        <w:rPr>
          <w:rFonts w:hint="eastAsia" w:ascii="宋体" w:hAnsi="宋体" w:eastAsia="宋体" w:cs="宋体"/>
          <w:color w:val="auto"/>
          <w:sz w:val="22"/>
          <w:szCs w:val="22"/>
          <w:highlight w:val="none"/>
          <w:lang w:val="zh-CN"/>
        </w:rPr>
        <w:t>授权代表（签字或盖章）</w:t>
      </w:r>
      <w:r>
        <w:rPr>
          <w:rFonts w:hint="eastAsia" w:ascii="宋体" w:hAnsi="宋体" w:eastAsia="宋体" w:cs="宋体"/>
          <w:color w:val="auto"/>
          <w:sz w:val="22"/>
          <w:szCs w:val="22"/>
          <w:highlight w:val="none"/>
        </w:rPr>
        <w:t>：</w:t>
      </w:r>
    </w:p>
    <w:p w14:paraId="03492666">
      <w:pPr>
        <w:spacing w:line="460" w:lineRule="atLeast"/>
        <w:ind w:firstLine="4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496BAEE5">
      <w:pPr>
        <w:spacing w:beforeLines="50" w:afterLines="50" w:line="460" w:lineRule="atLeast"/>
        <w:ind w:right="-10"/>
        <w:jc w:val="center"/>
        <w:rPr>
          <w:rFonts w:hint="eastAsia" w:ascii="宋体" w:hAnsi="宋体" w:eastAsia="宋体" w:cs="宋体"/>
          <w:color w:val="auto"/>
          <w:sz w:val="36"/>
          <w:szCs w:val="36"/>
          <w:highlight w:val="none"/>
        </w:rPr>
      </w:pPr>
    </w:p>
    <w:p w14:paraId="51D6E38C">
      <w:pPr>
        <w:spacing w:beforeLines="50" w:afterLines="50" w:line="460" w:lineRule="atLeast"/>
        <w:ind w:right="-10"/>
        <w:jc w:val="center"/>
        <w:rPr>
          <w:rFonts w:hint="eastAsia" w:ascii="宋体" w:hAnsi="宋体" w:eastAsia="宋体" w:cs="宋体"/>
          <w:color w:val="auto"/>
          <w:sz w:val="36"/>
          <w:szCs w:val="36"/>
          <w:highlight w:val="none"/>
        </w:rPr>
      </w:pPr>
    </w:p>
    <w:p w14:paraId="18DC31C9">
      <w:pPr>
        <w:spacing w:beforeLines="50" w:afterLines="50" w:line="460" w:lineRule="atLeast"/>
        <w:ind w:right="-10"/>
        <w:jc w:val="center"/>
        <w:rPr>
          <w:rFonts w:hint="eastAsia" w:ascii="宋体" w:hAnsi="宋体" w:eastAsia="宋体" w:cs="宋体"/>
          <w:color w:val="auto"/>
          <w:sz w:val="36"/>
          <w:szCs w:val="36"/>
          <w:highlight w:val="none"/>
        </w:rPr>
      </w:pPr>
    </w:p>
    <w:p w14:paraId="6F74784A">
      <w:pPr>
        <w:spacing w:beforeLines="50" w:afterLines="50" w:line="460" w:lineRule="atLeast"/>
        <w:ind w:right="-10"/>
        <w:jc w:val="center"/>
        <w:rPr>
          <w:rFonts w:hint="eastAsia" w:ascii="宋体" w:hAnsi="宋体" w:eastAsia="宋体" w:cs="宋体"/>
          <w:color w:val="auto"/>
          <w:sz w:val="36"/>
          <w:szCs w:val="36"/>
          <w:highlight w:val="none"/>
        </w:rPr>
      </w:pPr>
    </w:p>
    <w:p w14:paraId="2E444CBD">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 w:val="0"/>
          <w:bCs w:val="0"/>
          <w:color w:val="auto"/>
          <w:sz w:val="22"/>
          <w:szCs w:val="22"/>
          <w:highlight w:val="none"/>
        </w:rPr>
        <w:sectPr>
          <w:footerReference r:id="rId12" w:type="first"/>
          <w:headerReference r:id="rId9" w:type="default"/>
          <w:footerReference r:id="rId10" w:type="default"/>
          <w:footerReference r:id="rId11" w:type="even"/>
          <w:pgSz w:w="11907" w:h="16840"/>
          <w:pgMar w:top="1440" w:right="1440" w:bottom="1440" w:left="1440" w:header="851" w:footer="992" w:gutter="0"/>
          <w:cols w:space="720" w:num="1"/>
          <w:docGrid w:linePitch="312" w:charSpace="0"/>
        </w:sectPr>
      </w:pPr>
    </w:p>
    <w:p w14:paraId="3D940BD5">
      <w:pPr>
        <w:pStyle w:val="3"/>
        <w:keepNext w:val="0"/>
        <w:keepLines w:val="0"/>
        <w:tabs>
          <w:tab w:val="left" w:pos="840"/>
        </w:tabs>
        <w:adjustRightInd w:val="0"/>
        <w:snapToGrid w:val="0"/>
        <w:spacing w:beforeLines="100" w:afterLines="100" w:line="240" w:lineRule="auto"/>
        <w:jc w:val="left"/>
        <w:rPr>
          <w:rFonts w:hint="eastAsia" w:ascii="宋体" w:hAnsi="宋体" w:eastAsia="宋体" w:cs="宋体"/>
          <w:bCs w:val="0"/>
          <w:color w:val="auto"/>
          <w:sz w:val="28"/>
          <w:szCs w:val="28"/>
          <w:highlight w:val="none"/>
        </w:rPr>
      </w:pPr>
      <w:r>
        <w:rPr>
          <w:rFonts w:hint="eastAsia" w:ascii="宋体" w:hAnsi="宋体" w:eastAsia="宋体" w:cs="宋体"/>
          <w:b w:val="0"/>
          <w:bCs w:val="0"/>
          <w:color w:val="auto"/>
          <w:sz w:val="22"/>
          <w:szCs w:val="22"/>
          <w:highlight w:val="none"/>
          <w:lang w:val="zh-CN"/>
        </w:rPr>
        <w:t>附件十</w:t>
      </w:r>
      <w:r>
        <w:rPr>
          <w:rFonts w:hint="eastAsia" w:ascii="宋体" w:hAnsi="宋体" w:eastAsia="宋体" w:cs="宋体"/>
          <w:b w:val="0"/>
          <w:bCs w:val="0"/>
          <w:color w:val="auto"/>
          <w:sz w:val="22"/>
          <w:szCs w:val="22"/>
          <w:highlight w:val="none"/>
        </w:rPr>
        <w:t>二</w:t>
      </w:r>
    </w:p>
    <w:p w14:paraId="51D89AB0">
      <w:pPr>
        <w:jc w:val="center"/>
        <w:rPr>
          <w:rFonts w:hint="eastAsia" w:ascii="宋体" w:hAnsi="宋体" w:eastAsia="宋体" w:cs="宋体"/>
          <w:color w:val="auto"/>
          <w:kern w:val="0"/>
          <w:sz w:val="36"/>
          <w:szCs w:val="20"/>
          <w:highlight w:val="none"/>
        </w:rPr>
      </w:pPr>
      <w:r>
        <w:rPr>
          <w:rFonts w:hint="eastAsia" w:ascii="宋体" w:hAnsi="宋体" w:eastAsia="宋体" w:cs="宋体"/>
          <w:color w:val="auto"/>
          <w:kern w:val="0"/>
          <w:sz w:val="36"/>
          <w:szCs w:val="20"/>
          <w:highlight w:val="none"/>
        </w:rPr>
        <w:t>考核方法</w:t>
      </w:r>
    </w:p>
    <w:tbl>
      <w:tblPr>
        <w:tblStyle w:val="47"/>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6509"/>
        <w:gridCol w:w="878"/>
      </w:tblGrid>
      <w:tr w14:paraId="0923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11" w:type="dxa"/>
            <w:noWrap/>
            <w:vAlign w:val="center"/>
          </w:tcPr>
          <w:p w14:paraId="67945B9D">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项目</w:t>
            </w:r>
          </w:p>
        </w:tc>
        <w:tc>
          <w:tcPr>
            <w:tcW w:w="6509" w:type="dxa"/>
            <w:noWrap/>
            <w:vAlign w:val="center"/>
          </w:tcPr>
          <w:p w14:paraId="45C013F6">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考核内容</w:t>
            </w:r>
          </w:p>
        </w:tc>
        <w:tc>
          <w:tcPr>
            <w:tcW w:w="878" w:type="dxa"/>
            <w:noWrap/>
            <w:vAlign w:val="center"/>
          </w:tcPr>
          <w:p w14:paraId="1A58AC75">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分值</w:t>
            </w:r>
          </w:p>
        </w:tc>
      </w:tr>
      <w:tr w14:paraId="072B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211" w:type="dxa"/>
            <w:noWrap/>
            <w:vAlign w:val="center"/>
          </w:tcPr>
          <w:p w14:paraId="213DF77E">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文明施工</w:t>
            </w:r>
          </w:p>
        </w:tc>
        <w:tc>
          <w:tcPr>
            <w:tcW w:w="6509" w:type="dxa"/>
            <w:noWrap/>
            <w:vAlign w:val="center"/>
          </w:tcPr>
          <w:p w14:paraId="65075407">
            <w:pP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1、工作时间内穿着制服并穿着规范，每违反一次扣2分。</w:t>
            </w:r>
          </w:p>
          <w:p w14:paraId="33EDCD2B">
            <w:pP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2、工作过程中遇到客人要避让，工作时间内要文明举止不得与病人、医院工作人员、外来人员争吵，每违反一次扣2分。</w:t>
            </w:r>
          </w:p>
        </w:tc>
        <w:tc>
          <w:tcPr>
            <w:tcW w:w="878" w:type="dxa"/>
            <w:noWrap/>
            <w:vAlign w:val="center"/>
          </w:tcPr>
          <w:p w14:paraId="5E2AAF56">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10</w:t>
            </w:r>
          </w:p>
        </w:tc>
      </w:tr>
      <w:tr w14:paraId="691B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211" w:type="dxa"/>
            <w:noWrap/>
            <w:vAlign w:val="center"/>
          </w:tcPr>
          <w:p w14:paraId="72C27ED3">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困人报警及时率</w:t>
            </w:r>
          </w:p>
        </w:tc>
        <w:tc>
          <w:tcPr>
            <w:tcW w:w="6509" w:type="dxa"/>
            <w:noWrap/>
            <w:vAlign w:val="center"/>
          </w:tcPr>
          <w:p w14:paraId="7CF0EC3F">
            <w:pP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接到困人报警电话，未在规定时间15分钟内到场处理，出现一次扣20分。</w:t>
            </w:r>
          </w:p>
        </w:tc>
        <w:tc>
          <w:tcPr>
            <w:tcW w:w="878" w:type="dxa"/>
            <w:noWrap/>
            <w:vAlign w:val="center"/>
          </w:tcPr>
          <w:p w14:paraId="3A3BC43B">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20</w:t>
            </w:r>
          </w:p>
        </w:tc>
      </w:tr>
      <w:tr w14:paraId="2371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11" w:type="dxa"/>
            <w:noWrap/>
            <w:vAlign w:val="center"/>
          </w:tcPr>
          <w:p w14:paraId="0BCA89DF">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故障处理情况</w:t>
            </w:r>
          </w:p>
        </w:tc>
        <w:tc>
          <w:tcPr>
            <w:tcW w:w="6509" w:type="dxa"/>
            <w:noWrap/>
            <w:vAlign w:val="center"/>
          </w:tcPr>
          <w:p w14:paraId="70ECB485">
            <w:pP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对一般故障未在规定时间</w:t>
            </w:r>
            <w:r>
              <w:rPr>
                <w:rFonts w:hint="eastAsia" w:ascii="宋体" w:hAnsi="宋体" w:eastAsia="宋体" w:cs="宋体"/>
                <w:bCs/>
                <w:color w:val="auto"/>
                <w:kern w:val="0"/>
                <w:sz w:val="22"/>
                <w:szCs w:val="20"/>
                <w:highlight w:val="none"/>
              </w:rPr>
              <w:t>60分钟内解决</w:t>
            </w:r>
            <w:r>
              <w:rPr>
                <w:rFonts w:hint="eastAsia" w:ascii="宋体" w:hAnsi="宋体" w:eastAsia="宋体" w:cs="宋体"/>
                <w:color w:val="auto"/>
                <w:kern w:val="0"/>
                <w:sz w:val="22"/>
                <w:szCs w:val="20"/>
                <w:highlight w:val="none"/>
              </w:rPr>
              <w:t>，出现一次扣2分。</w:t>
            </w:r>
          </w:p>
        </w:tc>
        <w:tc>
          <w:tcPr>
            <w:tcW w:w="878" w:type="dxa"/>
            <w:noWrap/>
            <w:vAlign w:val="center"/>
          </w:tcPr>
          <w:p w14:paraId="13E6F161">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10</w:t>
            </w:r>
          </w:p>
        </w:tc>
      </w:tr>
      <w:tr w14:paraId="58B4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9" w:hRule="atLeast"/>
          <w:jc w:val="center"/>
        </w:trPr>
        <w:tc>
          <w:tcPr>
            <w:tcW w:w="1211" w:type="dxa"/>
            <w:noWrap/>
            <w:vAlign w:val="center"/>
          </w:tcPr>
          <w:p w14:paraId="5158AC04">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维护保养</w:t>
            </w:r>
          </w:p>
        </w:tc>
        <w:tc>
          <w:tcPr>
            <w:tcW w:w="6509" w:type="dxa"/>
            <w:noWrap/>
            <w:vAlign w:val="center"/>
          </w:tcPr>
          <w:p w14:paraId="34D109C2">
            <w:pPr>
              <w:spacing w:after="80"/>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1、每十五天进行一次例行保养，不按要求进行保养扣4分；</w:t>
            </w:r>
          </w:p>
          <w:p w14:paraId="0FC1026F">
            <w:pPr>
              <w:spacing w:after="80"/>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2、进行保养不填写相关记录，每出现一次扣2分；</w:t>
            </w:r>
          </w:p>
          <w:p w14:paraId="69B74854">
            <w:pPr>
              <w:spacing w:after="80"/>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3、按合同约定的维保项目达不到标准，每发现1处扣2分；</w:t>
            </w:r>
          </w:p>
          <w:p w14:paraId="4F3B90AC">
            <w:pPr>
              <w:spacing w:after="80"/>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4、每次维保检测工作完成后，不及时清理工作现场，每发生一次扣2分；</w:t>
            </w:r>
          </w:p>
          <w:p w14:paraId="67D46D23">
            <w:pPr>
              <w:spacing w:after="80"/>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5、中标单位维保人员不服从采购单位人员管理，每人/次扣2分。</w:t>
            </w:r>
          </w:p>
        </w:tc>
        <w:tc>
          <w:tcPr>
            <w:tcW w:w="878" w:type="dxa"/>
            <w:noWrap/>
            <w:vAlign w:val="center"/>
          </w:tcPr>
          <w:p w14:paraId="144DB60B">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20</w:t>
            </w:r>
          </w:p>
        </w:tc>
      </w:tr>
      <w:tr w14:paraId="4334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211" w:type="dxa"/>
            <w:noWrap/>
            <w:vAlign w:val="center"/>
          </w:tcPr>
          <w:p w14:paraId="4D52D607">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安全措施</w:t>
            </w:r>
          </w:p>
        </w:tc>
        <w:tc>
          <w:tcPr>
            <w:tcW w:w="6509" w:type="dxa"/>
            <w:noWrap/>
            <w:vAlign w:val="center"/>
          </w:tcPr>
          <w:p w14:paraId="6C94D56D">
            <w:pP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工作过程中必须在首层、维修层、轿厢内设置标示牌，每违反一次扣2分。</w:t>
            </w:r>
          </w:p>
        </w:tc>
        <w:tc>
          <w:tcPr>
            <w:tcW w:w="878" w:type="dxa"/>
            <w:noWrap/>
            <w:vAlign w:val="center"/>
          </w:tcPr>
          <w:p w14:paraId="66A87F9C">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10</w:t>
            </w:r>
          </w:p>
        </w:tc>
      </w:tr>
      <w:tr w14:paraId="25ED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211" w:type="dxa"/>
            <w:noWrap/>
            <w:vAlign w:val="center"/>
          </w:tcPr>
          <w:p w14:paraId="4B731B91">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设备清洁</w:t>
            </w:r>
          </w:p>
        </w:tc>
        <w:tc>
          <w:tcPr>
            <w:tcW w:w="6509" w:type="dxa"/>
            <w:noWrap/>
            <w:vAlign w:val="center"/>
          </w:tcPr>
          <w:p w14:paraId="2CF5A140">
            <w:pPr>
              <w:spacing w:after="80"/>
              <w:jc w:val="lef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机房部件，轿内顶棚，轿顶，底坑每发现一处不清洁扣1分。</w:t>
            </w:r>
          </w:p>
        </w:tc>
        <w:tc>
          <w:tcPr>
            <w:tcW w:w="878" w:type="dxa"/>
            <w:noWrap/>
            <w:vAlign w:val="center"/>
          </w:tcPr>
          <w:p w14:paraId="1E9BF524">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10</w:t>
            </w:r>
          </w:p>
        </w:tc>
      </w:tr>
      <w:tr w14:paraId="76ED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211" w:type="dxa"/>
            <w:noWrap/>
            <w:vAlign w:val="center"/>
          </w:tcPr>
          <w:p w14:paraId="5D811AB2">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整改项目</w:t>
            </w:r>
          </w:p>
        </w:tc>
        <w:tc>
          <w:tcPr>
            <w:tcW w:w="6509" w:type="dxa"/>
            <w:noWrap/>
            <w:vAlign w:val="center"/>
          </w:tcPr>
          <w:p w14:paraId="10AD882C">
            <w:pP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对电梯安全管理员巡视提出的整改项目的维修通知，不能及时完成一项扣2分。</w:t>
            </w:r>
          </w:p>
        </w:tc>
        <w:tc>
          <w:tcPr>
            <w:tcW w:w="878" w:type="dxa"/>
            <w:noWrap/>
            <w:vAlign w:val="center"/>
          </w:tcPr>
          <w:p w14:paraId="02C0ACF9">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10</w:t>
            </w:r>
          </w:p>
        </w:tc>
      </w:tr>
      <w:tr w14:paraId="3118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211" w:type="dxa"/>
            <w:noWrap/>
            <w:vAlign w:val="center"/>
          </w:tcPr>
          <w:p w14:paraId="0FD81C3F">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服务质量</w:t>
            </w:r>
          </w:p>
        </w:tc>
        <w:tc>
          <w:tcPr>
            <w:tcW w:w="6509" w:type="dxa"/>
            <w:noWrap/>
            <w:vAlign w:val="center"/>
          </w:tcPr>
          <w:p w14:paraId="0344DE00">
            <w:pP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同台电梯月故障不能超过二次，每超过一次1台扣5分。（是指电梯自身机械、电气故障，不包含由于使用不当或人为损坏、配件自然损坏、不可抗力造成的故障）</w:t>
            </w:r>
          </w:p>
        </w:tc>
        <w:tc>
          <w:tcPr>
            <w:tcW w:w="878" w:type="dxa"/>
            <w:noWrap/>
            <w:vAlign w:val="center"/>
          </w:tcPr>
          <w:p w14:paraId="229B3AD1">
            <w:pPr>
              <w:jc w:val="center"/>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10</w:t>
            </w:r>
          </w:p>
        </w:tc>
      </w:tr>
    </w:tbl>
    <w:p w14:paraId="52DDEB24">
      <w:pPr>
        <w:snapToGrid w:val="0"/>
        <w:spacing w:line="400" w:lineRule="exact"/>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说明：</w:t>
      </w:r>
    </w:p>
    <w:p w14:paraId="5E708D28">
      <w:pPr>
        <w:spacing w:line="460" w:lineRule="exact"/>
        <w:ind w:firstLine="426"/>
        <w:rPr>
          <w:rFonts w:hint="eastAsia" w:ascii="宋体" w:hAnsi="宋体" w:eastAsia="宋体" w:cs="宋体"/>
          <w:bCs/>
          <w:color w:val="auto"/>
          <w:kern w:val="0"/>
          <w:sz w:val="22"/>
          <w:szCs w:val="20"/>
          <w:highlight w:val="none"/>
        </w:rPr>
      </w:pPr>
      <w:r>
        <w:rPr>
          <w:rFonts w:hint="eastAsia" w:ascii="宋体" w:hAnsi="宋体" w:eastAsia="宋体" w:cs="宋体"/>
          <w:bCs/>
          <w:color w:val="auto"/>
          <w:kern w:val="0"/>
          <w:sz w:val="22"/>
          <w:szCs w:val="20"/>
          <w:highlight w:val="none"/>
        </w:rPr>
        <w:t>（1）</w:t>
      </w:r>
      <w:r>
        <w:rPr>
          <w:rFonts w:hint="eastAsia" w:ascii="宋体" w:hAnsi="宋体" w:eastAsia="宋体" w:cs="宋体"/>
          <w:color w:val="auto"/>
          <w:kern w:val="0"/>
          <w:sz w:val="22"/>
          <w:szCs w:val="20"/>
          <w:highlight w:val="none"/>
        </w:rPr>
        <w:t>采购人每月对</w:t>
      </w:r>
      <w:r>
        <w:rPr>
          <w:rFonts w:hint="eastAsia" w:ascii="宋体" w:hAnsi="宋体" w:cs="宋体"/>
          <w:color w:val="auto"/>
          <w:kern w:val="0"/>
          <w:sz w:val="22"/>
          <w:szCs w:val="20"/>
          <w:highlight w:val="none"/>
          <w:lang w:eastAsia="zh-CN"/>
        </w:rPr>
        <w:t>成交供应商</w:t>
      </w:r>
      <w:r>
        <w:rPr>
          <w:rFonts w:hint="eastAsia" w:ascii="宋体" w:hAnsi="宋体" w:eastAsia="宋体" w:cs="宋体"/>
          <w:color w:val="auto"/>
          <w:kern w:val="0"/>
          <w:sz w:val="22"/>
          <w:szCs w:val="20"/>
          <w:highlight w:val="none"/>
        </w:rPr>
        <w:t>进行考核，当月多次考核的按平均分计算当月得分，</w:t>
      </w:r>
      <w:r>
        <w:rPr>
          <w:rFonts w:hint="eastAsia" w:ascii="宋体" w:hAnsi="宋体" w:eastAsia="宋体" w:cs="宋体"/>
          <w:bCs/>
          <w:color w:val="auto"/>
          <w:kern w:val="0"/>
          <w:sz w:val="22"/>
          <w:szCs w:val="20"/>
          <w:highlight w:val="none"/>
        </w:rPr>
        <w:t>采购人可根据实际情况对考核方法进行调整。</w:t>
      </w:r>
    </w:p>
    <w:p w14:paraId="48C752B5">
      <w:pPr>
        <w:spacing w:line="460" w:lineRule="exact"/>
        <w:ind w:firstLine="426"/>
        <w:rPr>
          <w:rFonts w:hint="eastAsia" w:ascii="宋体" w:hAnsi="宋体" w:eastAsia="宋体" w:cs="宋体"/>
          <w:bCs/>
          <w:color w:val="auto"/>
          <w:kern w:val="0"/>
          <w:sz w:val="22"/>
          <w:szCs w:val="20"/>
          <w:highlight w:val="none"/>
        </w:rPr>
      </w:pPr>
      <w:r>
        <w:rPr>
          <w:rFonts w:hint="eastAsia" w:ascii="宋体" w:hAnsi="宋体" w:eastAsia="宋体" w:cs="宋体"/>
          <w:bCs/>
          <w:color w:val="auto"/>
          <w:kern w:val="0"/>
          <w:sz w:val="22"/>
          <w:szCs w:val="20"/>
          <w:highlight w:val="none"/>
        </w:rPr>
        <w:t>（2）考核评分满分为100分，得分为90分（含）以上，按正常支付，80分（含）－90分扣除当月维保费5%，60分（含）－80分以下扣除当月维保费10%，60分以下扣除当月维保费50%。</w:t>
      </w:r>
    </w:p>
    <w:p w14:paraId="02E1B0C2">
      <w:pPr>
        <w:spacing w:line="460" w:lineRule="exact"/>
        <w:ind w:firstLine="426"/>
        <w:rPr>
          <w:rFonts w:hint="eastAsia" w:ascii="宋体" w:hAnsi="宋体" w:eastAsia="宋体" w:cs="宋体"/>
          <w:bCs/>
          <w:color w:val="auto"/>
          <w:kern w:val="0"/>
          <w:sz w:val="22"/>
          <w:szCs w:val="20"/>
          <w:highlight w:val="none"/>
        </w:rPr>
      </w:pPr>
      <w:r>
        <w:rPr>
          <w:rFonts w:hint="eastAsia" w:ascii="宋体" w:hAnsi="宋体" w:eastAsia="宋体" w:cs="宋体"/>
          <w:bCs/>
          <w:color w:val="auto"/>
          <w:kern w:val="0"/>
          <w:sz w:val="22"/>
          <w:szCs w:val="20"/>
          <w:highlight w:val="none"/>
        </w:rPr>
        <w:t>（3）</w:t>
      </w:r>
      <w:r>
        <w:rPr>
          <w:rFonts w:hint="eastAsia" w:ascii="宋体" w:hAnsi="宋体" w:cs="宋体"/>
          <w:bCs/>
          <w:color w:val="auto"/>
          <w:kern w:val="0"/>
          <w:sz w:val="22"/>
          <w:szCs w:val="20"/>
          <w:highlight w:val="none"/>
          <w:lang w:eastAsia="zh-CN"/>
        </w:rPr>
        <w:t>累计三个月</w:t>
      </w:r>
      <w:r>
        <w:rPr>
          <w:rFonts w:hint="eastAsia" w:ascii="宋体" w:hAnsi="宋体" w:eastAsia="宋体" w:cs="宋体"/>
          <w:bCs/>
          <w:color w:val="auto"/>
          <w:kern w:val="0"/>
          <w:sz w:val="22"/>
          <w:szCs w:val="20"/>
          <w:highlight w:val="none"/>
        </w:rPr>
        <w:t>考核评分80分以下采购人有权单方解除合同，单月考核评分60分以下采购人有权单方解除合同。</w:t>
      </w:r>
    </w:p>
    <w:p w14:paraId="11E17FA5">
      <w:pPr>
        <w:spacing w:beforeLines="50" w:afterLines="50" w:line="460" w:lineRule="atLeast"/>
        <w:ind w:right="-10"/>
        <w:jc w:val="center"/>
        <w:rPr>
          <w:rFonts w:hint="eastAsia" w:ascii="宋体" w:hAnsi="宋体" w:eastAsia="宋体" w:cs="宋体"/>
          <w:b/>
          <w:color w:val="auto"/>
          <w:sz w:val="36"/>
          <w:highlight w:val="none"/>
        </w:rPr>
      </w:pPr>
      <w:r>
        <w:rPr>
          <w:rFonts w:hint="eastAsia" w:ascii="宋体" w:hAnsi="宋体" w:eastAsia="宋体" w:cs="宋体"/>
          <w:color w:val="auto"/>
          <w:sz w:val="36"/>
          <w:szCs w:val="36"/>
          <w:highlight w:val="none"/>
        </w:rPr>
        <w:t>第七部分   评审办法</w:t>
      </w:r>
    </w:p>
    <w:p w14:paraId="5A1E924B">
      <w:pPr>
        <w:snapToGrid w:val="0"/>
        <w:spacing w:line="460" w:lineRule="exact"/>
        <w:ind w:firstLine="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根据《中华人民共和国政府采购法》等有关政府采购法规，结合本次所要采购服务的实际，按照公平、公正、科学、择优的原则选择成交单位，特制定本评审办法。</w:t>
      </w:r>
    </w:p>
    <w:p w14:paraId="33DFAEAE">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一、总则</w:t>
      </w:r>
    </w:p>
    <w:p w14:paraId="18C22DC9">
      <w:pPr>
        <w:snapToGrid w:val="0"/>
        <w:spacing w:line="460" w:lineRule="exact"/>
        <w:ind w:firstLine="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0C8200DB">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二、评审组织</w:t>
      </w:r>
    </w:p>
    <w:p w14:paraId="1F18B866">
      <w:pPr>
        <w:snapToGrid w:val="0"/>
        <w:spacing w:line="460" w:lineRule="exact"/>
        <w:ind w:firstLine="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评审工作由采购人依法组建的磋商小组负责，磋商小组由采购人代表以及评审专家库中随机抽取的有关技术、经济专家共同组成。</w:t>
      </w:r>
    </w:p>
    <w:p w14:paraId="55E42E04">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三、响应文件递交截止、磋商程序、磋商原则和方式</w:t>
      </w:r>
    </w:p>
    <w:p w14:paraId="13A4C153">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磋商供应商发出电子加密响应文件【开始解密】通知，由供应商按竞争性磋商文件规定的时间内自行进行响应文件解密。通过“政府采购云平台”上传递交的“电子加密响应文件”无法按时解密，供应商递交了备份响应文件的，以备份响应文件为依据（由采购组织机构按“政府采购云平台”操作规范将“备份响应文件”上传至“政府采购云平台”，上传成功后，“电子加密响应文件”自动失效），否则视为响应文件撤回。</w:t>
      </w:r>
    </w:p>
    <w:p w14:paraId="36BD277C">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响应文件解密结束，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34FB6E">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磋商小组所有成员应当集中与单一供应商分别进行磋商。在磋商过程中，磋商小组可以根据竞争性磋商文件和磋商情况实质性变动采购需求中的技术、服务要求以及合同草案条款，但不得变动竞争性磋商文件中的其他内容。如有实质性变动的内容，须经采购人代表确认。对竞争性磋商文件作出的实质性变动是竞争性磋商文件的有效组成部分，磋商小组通知所有参加磋商的供应商。供应商应当按照竞争性磋商文件的变动情况和磋商小组的要求重新提交响应文件，并由其法定代表人或授权代表签字（或盖章）并加盖公章。如竞争性磋商文件所列采购内容明确不需要修改的或供应商响应文件清楚明确不需要澄清的，可以不进行磋商，直接要求供应商进行最后报价。</w:t>
      </w:r>
    </w:p>
    <w:p w14:paraId="0363B4B5">
      <w:pPr>
        <w:pStyle w:val="25"/>
        <w:adjustRightInd w:val="0"/>
        <w:snapToGrid w:val="0"/>
        <w:spacing w:line="460" w:lineRule="exact"/>
        <w:ind w:firstLine="431" w:firstLineChars="196"/>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（4）</w:t>
      </w:r>
      <w:r>
        <w:rPr>
          <w:rFonts w:hint="eastAsia" w:ascii="宋体" w:hAnsi="宋体" w:eastAsia="宋体" w:cs="宋体"/>
          <w:b/>
          <w:color w:val="auto"/>
          <w:sz w:val="22"/>
          <w:szCs w:val="22"/>
          <w:highlight w:val="none"/>
          <w:u w:val="single"/>
        </w:rPr>
        <w:t>磋商结束后，磋商小组应当要求所有实质性响应的磋商供应商在规定时间内提交最后报价。未在规定时间提交的最后报价的供应商按无效响应处理。</w:t>
      </w:r>
    </w:p>
    <w:p w14:paraId="200A53BA">
      <w:pPr>
        <w:pStyle w:val="25"/>
        <w:adjustRightInd w:val="0"/>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（5）开启所有实质性响应的磋商供应商的最后报价。对报价进行得分计算。</w:t>
      </w:r>
    </w:p>
    <w:p w14:paraId="50C6C7EC">
      <w:pPr>
        <w:pStyle w:val="25"/>
        <w:adjustRightInd w:val="0"/>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（6）根据各磋商供应商综合得分从高到低进行排序，推荐候选供应商，将综合得分第一的供应商向采购人推荐其为成交供应商。</w:t>
      </w:r>
    </w:p>
    <w:p w14:paraId="6727FD8B">
      <w:pPr>
        <w:pStyle w:val="25"/>
        <w:adjustRightInd w:val="0"/>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（7）由磋商小组向采购人推荐综合得分第一名的供应商为成交供应商，并提交评审报告。</w:t>
      </w:r>
    </w:p>
    <w:p w14:paraId="521653D7">
      <w:pPr>
        <w:pStyle w:val="25"/>
        <w:adjustRightInd w:val="0"/>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（8）评审结束后，公布采购结果。</w:t>
      </w:r>
    </w:p>
    <w:p w14:paraId="220A1FA7">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四、评分细则</w:t>
      </w:r>
    </w:p>
    <w:p w14:paraId="70A27366">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一）、报价评分 </w:t>
      </w:r>
      <w:r>
        <w:rPr>
          <w:rFonts w:hint="eastAsia"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p w14:paraId="639B9355">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以满足竞争性磋商文件要求且最后报价最低的供应商的价格为磋商基准价，其价格分为满分。其他供应商的报价评分统一按照下列公式计算：</w:t>
      </w:r>
    </w:p>
    <w:p w14:paraId="04CA8B3E">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报价得分</w:t>
      </w:r>
      <w:r>
        <w:rPr>
          <w:rFonts w:hint="eastAsia" w:hAnsi="宋体" w:cs="宋体"/>
          <w:color w:val="auto"/>
          <w:sz w:val="22"/>
          <w:szCs w:val="22"/>
          <w:highlight w:val="none"/>
          <w:lang w:val="en-US" w:eastAsia="zh-CN"/>
        </w:rPr>
        <w:t>=</w:t>
      </w:r>
      <w:r>
        <w:rPr>
          <w:rFonts w:hint="eastAsia" w:ascii="宋体" w:hAnsi="宋体" w:eastAsia="宋体" w:cs="宋体"/>
          <w:color w:val="auto"/>
          <w:sz w:val="22"/>
          <w:szCs w:val="22"/>
          <w:highlight w:val="none"/>
        </w:rPr>
        <w:t>（磋商基准价/最后报价）×</w:t>
      </w:r>
      <w:r>
        <w:rPr>
          <w:rFonts w:hint="eastAsia" w:hAnsi="宋体" w:cs="宋体"/>
          <w:color w:val="auto"/>
          <w:sz w:val="22"/>
          <w:szCs w:val="22"/>
          <w:highlight w:val="none"/>
          <w:lang w:val="en-US" w:eastAsia="zh-CN"/>
        </w:rPr>
        <w:t>10</w:t>
      </w:r>
      <w:r>
        <w:rPr>
          <w:rFonts w:hint="eastAsia" w:ascii="宋体" w:hAnsi="宋体" w:eastAsia="宋体" w:cs="宋体"/>
          <w:color w:val="auto"/>
          <w:sz w:val="22"/>
          <w:szCs w:val="22"/>
          <w:highlight w:val="none"/>
        </w:rPr>
        <w:t>%×100。</w:t>
      </w:r>
    </w:p>
    <w:p w14:paraId="3500E99E">
      <w:pPr>
        <w:pStyle w:val="25"/>
        <w:adjustRightInd w:val="0"/>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val="0"/>
          <w:color w:val="auto"/>
          <w:sz w:val="22"/>
          <w:szCs w:val="22"/>
          <w:highlight w:val="none"/>
        </w:rPr>
        <w:t>本项目对符合</w:t>
      </w:r>
      <w:r>
        <w:rPr>
          <w:rFonts w:hint="eastAsia" w:hAnsi="宋体" w:eastAsia="宋体" w:cs="宋体"/>
          <w:b/>
          <w:bCs w:val="0"/>
          <w:color w:val="auto"/>
          <w:sz w:val="22"/>
          <w:szCs w:val="22"/>
          <w:highlight w:val="none"/>
          <w:lang w:eastAsia="zh-CN"/>
        </w:rPr>
        <w:t>竞争性磋商文件</w:t>
      </w:r>
      <w:r>
        <w:rPr>
          <w:rFonts w:hint="eastAsia" w:ascii="宋体" w:hAnsi="宋体" w:eastAsia="宋体" w:cs="宋体"/>
          <w:b/>
          <w:bCs w:val="0"/>
          <w:color w:val="auto"/>
          <w:sz w:val="22"/>
          <w:szCs w:val="22"/>
          <w:highlight w:val="none"/>
        </w:rPr>
        <w:t>规定条件的小、微企业（或监狱企业或残疾人福利性单位）所投的</w:t>
      </w:r>
      <w:r>
        <w:rPr>
          <w:rFonts w:hint="eastAsia" w:ascii="宋体" w:hAnsi="宋体" w:eastAsia="宋体" w:cs="宋体"/>
          <w:b/>
          <w:bCs w:val="0"/>
          <w:color w:val="auto"/>
          <w:sz w:val="22"/>
          <w:szCs w:val="22"/>
          <w:highlight w:val="none"/>
          <w:lang w:val="en-US" w:eastAsia="zh-CN"/>
        </w:rPr>
        <w:t>最后报价</w:t>
      </w:r>
      <w:r>
        <w:rPr>
          <w:rFonts w:hint="eastAsia" w:ascii="宋体" w:hAnsi="宋体" w:eastAsia="宋体" w:cs="宋体"/>
          <w:b/>
          <w:bCs w:val="0"/>
          <w:color w:val="auto"/>
          <w:sz w:val="22"/>
          <w:szCs w:val="22"/>
          <w:highlight w:val="none"/>
        </w:rPr>
        <w:t>给予10%的扣除，用扣除后的</w:t>
      </w:r>
      <w:r>
        <w:rPr>
          <w:rFonts w:hint="eastAsia" w:ascii="宋体" w:hAnsi="宋体" w:eastAsia="宋体" w:cs="宋体"/>
          <w:b/>
          <w:bCs w:val="0"/>
          <w:color w:val="auto"/>
          <w:sz w:val="22"/>
          <w:szCs w:val="22"/>
          <w:highlight w:val="none"/>
          <w:lang w:val="en-US" w:eastAsia="zh-CN"/>
        </w:rPr>
        <w:t>最后报价</w:t>
      </w:r>
      <w:r>
        <w:rPr>
          <w:rFonts w:hint="eastAsia" w:ascii="宋体" w:hAnsi="宋体" w:eastAsia="宋体" w:cs="宋体"/>
          <w:b/>
          <w:bCs w:val="0"/>
          <w:color w:val="auto"/>
          <w:sz w:val="22"/>
          <w:szCs w:val="22"/>
          <w:highlight w:val="none"/>
        </w:rPr>
        <w:t>参与评审，如</w:t>
      </w:r>
      <w:r>
        <w:rPr>
          <w:rFonts w:hint="eastAsia" w:hAnsi="宋体" w:eastAsia="宋体" w:cs="宋体"/>
          <w:b/>
          <w:bCs w:val="0"/>
          <w:color w:val="auto"/>
          <w:sz w:val="22"/>
          <w:szCs w:val="22"/>
          <w:highlight w:val="none"/>
          <w:lang w:val="en-US" w:eastAsia="zh-CN"/>
        </w:rPr>
        <w:t>成交</w:t>
      </w:r>
      <w:r>
        <w:rPr>
          <w:rFonts w:hint="eastAsia" w:ascii="宋体" w:hAnsi="宋体" w:eastAsia="宋体" w:cs="宋体"/>
          <w:b/>
          <w:bCs w:val="0"/>
          <w:color w:val="auto"/>
          <w:sz w:val="22"/>
          <w:szCs w:val="22"/>
          <w:highlight w:val="none"/>
        </w:rPr>
        <w:t>签订合同时以其最后报价作为签订合同价。</w:t>
      </w:r>
      <w:r>
        <w:rPr>
          <w:rFonts w:hint="eastAsia" w:ascii="宋体" w:hAnsi="宋体" w:cs="宋体"/>
          <w:b/>
          <w:color w:val="auto"/>
          <w:sz w:val="22"/>
          <w:highlight w:val="none"/>
        </w:rPr>
        <w:t>因落实政府采购政策进行价格调整的，以调整后的价格计算</w:t>
      </w:r>
      <w:r>
        <w:rPr>
          <w:rFonts w:hint="eastAsia" w:ascii="宋体" w:hAnsi="宋体" w:cs="宋体"/>
          <w:b/>
          <w:color w:val="auto"/>
          <w:sz w:val="22"/>
          <w:highlight w:val="none"/>
          <w:lang w:val="en-US" w:eastAsia="zh-CN"/>
        </w:rPr>
        <w:t>磋商</w:t>
      </w:r>
      <w:r>
        <w:rPr>
          <w:rFonts w:hint="eastAsia" w:ascii="宋体" w:hAnsi="宋体" w:cs="宋体"/>
          <w:b/>
          <w:color w:val="auto"/>
          <w:sz w:val="22"/>
          <w:highlight w:val="none"/>
        </w:rPr>
        <w:t>基准价和</w:t>
      </w:r>
      <w:r>
        <w:rPr>
          <w:rFonts w:hint="eastAsia" w:ascii="宋体" w:hAnsi="宋体" w:cs="宋体"/>
          <w:b/>
          <w:color w:val="auto"/>
          <w:sz w:val="22"/>
          <w:highlight w:val="none"/>
          <w:lang w:val="en-US" w:eastAsia="zh-CN"/>
        </w:rPr>
        <w:t>最后</w:t>
      </w:r>
      <w:r>
        <w:rPr>
          <w:rFonts w:hint="eastAsia" w:ascii="宋体" w:hAnsi="宋体" w:cs="宋体"/>
          <w:b/>
          <w:color w:val="auto"/>
          <w:sz w:val="22"/>
          <w:highlight w:val="none"/>
        </w:rPr>
        <w:t>报价。</w:t>
      </w:r>
    </w:p>
    <w:p w14:paraId="4D48C4F2">
      <w:pPr>
        <w:pStyle w:val="25"/>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二）、商务技术评分</w:t>
      </w:r>
      <w:r>
        <w:rPr>
          <w:rFonts w:hint="eastAsia" w:hAnsi="宋体" w:cs="宋体"/>
          <w:color w:val="auto"/>
          <w:sz w:val="22"/>
          <w:szCs w:val="22"/>
          <w:highlight w:val="none"/>
          <w:lang w:val="en-US" w:eastAsia="zh-CN"/>
        </w:rPr>
        <w:t xml:space="preserve"> 90</w:t>
      </w:r>
      <w:r>
        <w:rPr>
          <w:rFonts w:hint="eastAsia" w:ascii="宋体" w:hAnsi="宋体" w:eastAsia="宋体" w:cs="宋体"/>
          <w:color w:val="auto"/>
          <w:sz w:val="22"/>
          <w:szCs w:val="22"/>
          <w:highlight w:val="none"/>
        </w:rPr>
        <w:t>分</w:t>
      </w:r>
    </w:p>
    <w:tbl>
      <w:tblPr>
        <w:tblStyle w:val="47"/>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17"/>
        <w:gridCol w:w="1139"/>
        <w:gridCol w:w="6380"/>
      </w:tblGrid>
      <w:tr w14:paraId="26FA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90" w:type="dxa"/>
            <w:noWrap/>
            <w:vAlign w:val="center"/>
          </w:tcPr>
          <w:p w14:paraId="2F0B150B">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1317" w:type="dxa"/>
            <w:noWrap/>
            <w:vAlign w:val="center"/>
          </w:tcPr>
          <w:p w14:paraId="4F138BE8">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评标内容</w:t>
            </w:r>
          </w:p>
        </w:tc>
        <w:tc>
          <w:tcPr>
            <w:tcW w:w="1139" w:type="dxa"/>
            <w:noWrap/>
            <w:vAlign w:val="center"/>
          </w:tcPr>
          <w:p w14:paraId="41712003">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分值</w:t>
            </w:r>
          </w:p>
        </w:tc>
        <w:tc>
          <w:tcPr>
            <w:tcW w:w="6380" w:type="dxa"/>
            <w:noWrap/>
            <w:vAlign w:val="center"/>
          </w:tcPr>
          <w:p w14:paraId="24B4A857">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评分标准</w:t>
            </w:r>
          </w:p>
        </w:tc>
      </w:tr>
      <w:tr w14:paraId="6636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0" w:type="dxa"/>
            <w:noWrap/>
            <w:vAlign w:val="center"/>
          </w:tcPr>
          <w:p w14:paraId="7DE34CCC">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1317" w:type="dxa"/>
            <w:vMerge w:val="restart"/>
            <w:noWrap/>
            <w:vAlign w:val="center"/>
          </w:tcPr>
          <w:p w14:paraId="036C62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供应商</w:t>
            </w:r>
            <w:r>
              <w:rPr>
                <w:rFonts w:hint="eastAsia" w:ascii="宋体" w:hAnsi="宋体" w:cs="宋体"/>
                <w:bCs/>
                <w:color w:val="auto"/>
                <w:sz w:val="22"/>
                <w:szCs w:val="22"/>
                <w:highlight w:val="none"/>
                <w:lang w:val="en-US" w:eastAsia="zh-CN"/>
              </w:rPr>
              <w:t>情况</w:t>
            </w:r>
          </w:p>
        </w:tc>
        <w:tc>
          <w:tcPr>
            <w:tcW w:w="1139" w:type="dxa"/>
            <w:noWrap/>
            <w:vAlign w:val="center"/>
          </w:tcPr>
          <w:p w14:paraId="2492DF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w:t>
            </w: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tc>
        <w:tc>
          <w:tcPr>
            <w:tcW w:w="6380" w:type="dxa"/>
            <w:noWrap/>
            <w:vAlign w:val="center"/>
          </w:tcPr>
          <w:p w14:paraId="6B5231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供应商2022年</w:t>
            </w:r>
            <w:r>
              <w:rPr>
                <w:rFonts w:hint="eastAsia" w:ascii="宋体" w:hAnsi="宋体" w:cs="宋体"/>
                <w:color w:val="auto"/>
                <w:sz w:val="22"/>
                <w:szCs w:val="22"/>
                <w:highlight w:val="none"/>
                <w:lang w:val="en-US" w:eastAsia="zh-CN"/>
              </w:rPr>
              <w:t>1月</w:t>
            </w:r>
            <w:r>
              <w:rPr>
                <w:rFonts w:hint="eastAsia" w:ascii="宋体" w:hAnsi="宋体" w:eastAsia="宋体" w:cs="宋体"/>
                <w:color w:val="auto"/>
                <w:sz w:val="22"/>
                <w:szCs w:val="22"/>
                <w:highlight w:val="none"/>
              </w:rPr>
              <w:t>至今（以合同签订时间为准）承担过的同类项目业绩,每提供一个得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分。（同时提供</w:t>
            </w:r>
            <w:r>
              <w:rPr>
                <w:rFonts w:hint="eastAsia" w:ascii="宋体" w:hAnsi="宋体" w:cs="宋体"/>
                <w:color w:val="auto"/>
                <w:sz w:val="22"/>
                <w:szCs w:val="22"/>
                <w:highlight w:val="none"/>
                <w:lang w:val="en-US" w:eastAsia="zh-CN"/>
              </w:rPr>
              <w:t>中标通知书、</w:t>
            </w:r>
            <w:r>
              <w:rPr>
                <w:rFonts w:hint="eastAsia" w:ascii="宋体" w:hAnsi="宋体" w:eastAsia="宋体" w:cs="宋体"/>
                <w:color w:val="auto"/>
                <w:sz w:val="22"/>
                <w:szCs w:val="22"/>
                <w:highlight w:val="none"/>
              </w:rPr>
              <w:t>合同</w:t>
            </w:r>
            <w:r>
              <w:rPr>
                <w:rFonts w:hint="eastAsia" w:ascii="宋体" w:hAnsi="宋体" w:cs="宋体"/>
                <w:color w:val="auto"/>
                <w:sz w:val="22"/>
                <w:szCs w:val="22"/>
                <w:highlight w:val="none"/>
                <w:lang w:val="en-US" w:eastAsia="zh-CN"/>
              </w:rPr>
              <w:t>及</w:t>
            </w:r>
            <w:r>
              <w:rPr>
                <w:rFonts w:hint="eastAsia" w:ascii="宋体" w:hAnsi="宋体" w:eastAsia="宋体" w:cs="宋体"/>
                <w:color w:val="auto"/>
                <w:sz w:val="22"/>
                <w:szCs w:val="22"/>
                <w:highlight w:val="none"/>
              </w:rPr>
              <w:t>发票，扫描件加盖公章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rPr>
              <w:t>）</w:t>
            </w:r>
          </w:p>
        </w:tc>
      </w:tr>
      <w:tr w14:paraId="0433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0" w:type="dxa"/>
            <w:noWrap/>
            <w:vAlign w:val="center"/>
          </w:tcPr>
          <w:p w14:paraId="43513A64">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p>
        </w:tc>
        <w:tc>
          <w:tcPr>
            <w:tcW w:w="1317" w:type="dxa"/>
            <w:vMerge w:val="continue"/>
            <w:noWrap/>
            <w:vAlign w:val="center"/>
          </w:tcPr>
          <w:p w14:paraId="777803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sz w:val="22"/>
                <w:szCs w:val="22"/>
                <w:highlight w:val="none"/>
              </w:rPr>
            </w:pPr>
          </w:p>
        </w:tc>
        <w:tc>
          <w:tcPr>
            <w:tcW w:w="1139" w:type="dxa"/>
            <w:noWrap/>
            <w:vAlign w:val="center"/>
          </w:tcPr>
          <w:p w14:paraId="6B35B5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6380" w:type="dxa"/>
            <w:noWrap/>
            <w:vAlign w:val="center"/>
          </w:tcPr>
          <w:p w14:paraId="5C7F1C6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供应商2021年1月至今连续三年获得</w:t>
            </w:r>
            <w:r>
              <w:rPr>
                <w:rFonts w:ascii="Arial" w:hAnsi="Arial" w:eastAsia="Arial" w:cs="Arial"/>
                <w:i w:val="0"/>
                <w:iCs w:val="0"/>
                <w:caps w:val="0"/>
                <w:color w:val="auto"/>
                <w:spacing w:val="0"/>
                <w:sz w:val="22"/>
                <w:szCs w:val="22"/>
                <w:highlight w:val="none"/>
                <w:shd w:val="clear" w:fill="FFFFFF"/>
              </w:rPr>
              <w:t>市场监督管</w:t>
            </w:r>
            <w:r>
              <w:rPr>
                <w:rFonts w:hint="eastAsia" w:ascii="宋体" w:hAnsi="宋体" w:cs="宋体"/>
                <w:color w:val="auto"/>
                <w:sz w:val="22"/>
                <w:szCs w:val="22"/>
                <w:highlight w:val="none"/>
                <w:lang w:val="en-US" w:eastAsia="zh-CN"/>
              </w:rPr>
              <w:t>理局出具的信用等级评价A级得5分，连续两年获得</w:t>
            </w:r>
            <w:r>
              <w:rPr>
                <w:rFonts w:ascii="Arial" w:hAnsi="Arial" w:eastAsia="Arial" w:cs="Arial"/>
                <w:i w:val="0"/>
                <w:iCs w:val="0"/>
                <w:caps w:val="0"/>
                <w:color w:val="auto"/>
                <w:spacing w:val="0"/>
                <w:sz w:val="22"/>
                <w:szCs w:val="22"/>
                <w:highlight w:val="none"/>
                <w:shd w:val="clear" w:fill="FFFFFF"/>
              </w:rPr>
              <w:t>市场监督管</w:t>
            </w:r>
            <w:r>
              <w:rPr>
                <w:rFonts w:hint="eastAsia" w:ascii="宋体" w:hAnsi="宋体" w:cs="宋体"/>
                <w:color w:val="auto"/>
                <w:sz w:val="22"/>
                <w:szCs w:val="22"/>
                <w:highlight w:val="none"/>
                <w:lang w:val="en-US" w:eastAsia="zh-CN"/>
              </w:rPr>
              <w:t>理局出具的信用等级评价A级得2分，其他不得分。</w:t>
            </w:r>
            <w:r>
              <w:rPr>
                <w:rFonts w:hint="eastAsia" w:ascii="Arial" w:hAnsi="Arial" w:cs="Arial"/>
                <w:i w:val="0"/>
                <w:iCs w:val="0"/>
                <w:caps w:val="0"/>
                <w:color w:val="auto"/>
                <w:spacing w:val="0"/>
                <w:sz w:val="22"/>
                <w:szCs w:val="22"/>
                <w:highlight w:val="none"/>
                <w:shd w:val="clear" w:fill="FFFFFF"/>
                <w:lang w:val="en-US" w:eastAsia="zh-CN"/>
              </w:rPr>
              <w:t>（提供相关证明材料扫描件加盖公章）</w:t>
            </w:r>
          </w:p>
        </w:tc>
      </w:tr>
      <w:tr w14:paraId="65D8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90" w:type="dxa"/>
            <w:shd w:val="clear" w:color="auto" w:fill="auto"/>
            <w:noWrap/>
            <w:vAlign w:val="center"/>
          </w:tcPr>
          <w:p w14:paraId="5B39C702">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3</w:t>
            </w:r>
          </w:p>
        </w:tc>
        <w:tc>
          <w:tcPr>
            <w:tcW w:w="1317" w:type="dxa"/>
            <w:noWrap/>
            <w:vAlign w:val="center"/>
          </w:tcPr>
          <w:p w14:paraId="766E26FE">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项目现状</w:t>
            </w:r>
          </w:p>
        </w:tc>
        <w:tc>
          <w:tcPr>
            <w:tcW w:w="1139" w:type="dxa"/>
            <w:noWrap/>
            <w:vAlign w:val="center"/>
          </w:tcPr>
          <w:p w14:paraId="3D77E873">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0-6分</w:t>
            </w:r>
          </w:p>
        </w:tc>
        <w:tc>
          <w:tcPr>
            <w:tcW w:w="6380" w:type="dxa"/>
            <w:noWrap/>
            <w:vAlign w:val="center"/>
          </w:tcPr>
          <w:p w14:paraId="2B55A5F7">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bCs/>
                <w:color w:val="auto"/>
                <w:sz w:val="22"/>
                <w:highlight w:val="none"/>
                <w:lang w:val="en-US" w:eastAsia="zh-CN"/>
              </w:rPr>
            </w:pPr>
            <w:r>
              <w:rPr>
                <w:rFonts w:hint="eastAsia" w:ascii="宋体" w:hAnsi="宋体" w:eastAsia="宋体" w:cs="宋体"/>
                <w:color w:val="auto"/>
                <w:sz w:val="22"/>
                <w:highlight w:val="none"/>
              </w:rPr>
              <w:t>根据供应商对项目现状的了解分析，完成项目的难点分析进行打分。对项目现状和难点分析合理、科学得6分，基本合理、科学得</w:t>
            </w: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分，合理性、科学性较差得</w:t>
            </w: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未提供不得分。</w:t>
            </w:r>
          </w:p>
        </w:tc>
      </w:tr>
      <w:tr w14:paraId="4FDF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90" w:type="dxa"/>
            <w:shd w:val="clear" w:color="auto" w:fill="auto"/>
            <w:noWrap/>
            <w:vAlign w:val="center"/>
          </w:tcPr>
          <w:p w14:paraId="1FEADF8B">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4</w:t>
            </w:r>
          </w:p>
        </w:tc>
        <w:tc>
          <w:tcPr>
            <w:tcW w:w="1317" w:type="dxa"/>
            <w:noWrap/>
            <w:vAlign w:val="center"/>
          </w:tcPr>
          <w:p w14:paraId="7BD72A74">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人员配置</w:t>
            </w:r>
          </w:p>
        </w:tc>
        <w:tc>
          <w:tcPr>
            <w:tcW w:w="1139" w:type="dxa"/>
            <w:noWrap/>
            <w:vAlign w:val="center"/>
          </w:tcPr>
          <w:p w14:paraId="26FC20C4">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0-1</w:t>
            </w: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分</w:t>
            </w:r>
          </w:p>
        </w:tc>
        <w:tc>
          <w:tcPr>
            <w:tcW w:w="6380" w:type="dxa"/>
            <w:noWrap/>
            <w:vAlign w:val="center"/>
          </w:tcPr>
          <w:p w14:paraId="0EE59202">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根据供应商针对本项目配置的管理人员、作业人员概况、数量和特种设备作业人员证书等进行打分。人员配置情况符合或优于</w:t>
            </w:r>
            <w:r>
              <w:rPr>
                <w:rFonts w:hint="eastAsia" w:ascii="宋体" w:hAnsi="宋体" w:cs="宋体"/>
                <w:color w:val="auto"/>
                <w:sz w:val="22"/>
                <w:highlight w:val="none"/>
                <w:lang w:eastAsia="zh-CN"/>
              </w:rPr>
              <w:t>采购</w:t>
            </w:r>
            <w:r>
              <w:rPr>
                <w:rFonts w:hint="eastAsia" w:ascii="宋体" w:hAnsi="宋体" w:eastAsia="宋体" w:cs="宋体"/>
                <w:color w:val="auto"/>
                <w:sz w:val="22"/>
                <w:highlight w:val="none"/>
              </w:rPr>
              <w:t>需求、合理性较强得</w:t>
            </w:r>
            <w:r>
              <w:rPr>
                <w:rFonts w:hint="eastAsia" w:ascii="宋体" w:hAnsi="宋体" w:cs="宋体"/>
                <w:color w:val="auto"/>
                <w:sz w:val="22"/>
                <w:highlight w:val="none"/>
                <w:lang w:val="en-US" w:eastAsia="zh-CN"/>
              </w:rPr>
              <w:t>12</w:t>
            </w:r>
            <w:r>
              <w:rPr>
                <w:rFonts w:hint="eastAsia" w:ascii="宋体" w:hAnsi="宋体" w:eastAsia="宋体" w:cs="宋体"/>
                <w:color w:val="auto"/>
                <w:sz w:val="22"/>
                <w:highlight w:val="none"/>
              </w:rPr>
              <w:t>分；基本符合、合理得</w:t>
            </w:r>
            <w:r>
              <w:rPr>
                <w:rFonts w:hint="eastAsia" w:ascii="宋体" w:hAnsi="宋体" w:cs="宋体"/>
                <w:color w:val="auto"/>
                <w:sz w:val="22"/>
                <w:highlight w:val="none"/>
                <w:lang w:val="en-US" w:eastAsia="zh-CN"/>
              </w:rPr>
              <w:t>8</w:t>
            </w:r>
            <w:r>
              <w:rPr>
                <w:rFonts w:hint="eastAsia" w:ascii="宋体" w:hAnsi="宋体" w:eastAsia="宋体" w:cs="宋体"/>
                <w:color w:val="auto"/>
                <w:sz w:val="22"/>
                <w:highlight w:val="none"/>
              </w:rPr>
              <w:t>分；符合性、合理性较差得</w:t>
            </w: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分</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（需提供证书</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在本次投标单位缴纳社保的证</w:t>
            </w:r>
            <w:r>
              <w:rPr>
                <w:rFonts w:hint="eastAsia" w:ascii="宋体" w:hAnsi="宋体" w:cs="宋体"/>
                <w:color w:val="auto"/>
                <w:sz w:val="22"/>
                <w:highlight w:val="none"/>
                <w:lang w:val="en-US" w:eastAsia="zh-CN"/>
              </w:rPr>
              <w:t>明材料</w:t>
            </w:r>
            <w:r>
              <w:rPr>
                <w:rFonts w:hint="eastAsia" w:ascii="宋体" w:hAnsi="宋体" w:eastAsia="宋体" w:cs="宋体"/>
                <w:color w:val="auto"/>
                <w:sz w:val="22"/>
                <w:highlight w:val="none"/>
              </w:rPr>
              <w:t>（社保缴纳时间为投标截止时间近3个月</w:t>
            </w:r>
            <w:r>
              <w:rPr>
                <w:rFonts w:hint="eastAsia" w:ascii="宋体" w:hAnsi="宋体" w:cs="宋体"/>
                <w:color w:val="auto"/>
                <w:sz w:val="22"/>
                <w:highlight w:val="none"/>
                <w:lang w:val="en-US" w:eastAsia="zh-CN"/>
              </w:rPr>
              <w:t>内</w:t>
            </w:r>
            <w:r>
              <w:rPr>
                <w:rFonts w:hint="eastAsia" w:ascii="宋体" w:hAnsi="宋体" w:eastAsia="宋体" w:cs="宋体"/>
                <w:color w:val="auto"/>
                <w:sz w:val="22"/>
                <w:highlight w:val="none"/>
              </w:rPr>
              <w:t>任意一个月）</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扫描件加盖公章</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未提供证书不得分</w:t>
            </w:r>
            <w:r>
              <w:rPr>
                <w:rFonts w:hint="eastAsia" w:ascii="宋体" w:hAnsi="宋体" w:eastAsia="宋体" w:cs="宋体"/>
                <w:color w:val="auto"/>
                <w:sz w:val="22"/>
                <w:highlight w:val="none"/>
              </w:rPr>
              <w:t>）</w:t>
            </w:r>
          </w:p>
        </w:tc>
      </w:tr>
      <w:tr w14:paraId="70B9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0" w:type="dxa"/>
            <w:shd w:val="clear" w:color="auto" w:fill="auto"/>
            <w:noWrap/>
            <w:vAlign w:val="center"/>
          </w:tcPr>
          <w:p w14:paraId="3D843F8E">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1317" w:type="dxa"/>
            <w:noWrap/>
            <w:vAlign w:val="center"/>
          </w:tcPr>
          <w:p w14:paraId="67EE8029">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投入本项目设备</w:t>
            </w:r>
          </w:p>
        </w:tc>
        <w:tc>
          <w:tcPr>
            <w:tcW w:w="1139" w:type="dxa"/>
            <w:noWrap/>
            <w:vAlign w:val="center"/>
          </w:tcPr>
          <w:p w14:paraId="2F2C892F">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0-10分</w:t>
            </w:r>
          </w:p>
        </w:tc>
        <w:tc>
          <w:tcPr>
            <w:tcW w:w="6380" w:type="dxa"/>
            <w:noWrap/>
            <w:vAlign w:val="center"/>
          </w:tcPr>
          <w:p w14:paraId="39792CF2">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napToGrid w:val="0"/>
                <w:color w:val="auto"/>
                <w:kern w:val="0"/>
                <w:sz w:val="22"/>
                <w:highlight w:val="none"/>
              </w:rPr>
            </w:pPr>
            <w:r>
              <w:rPr>
                <w:rFonts w:hint="eastAsia" w:ascii="宋体" w:hAnsi="宋体" w:eastAsia="宋体" w:cs="宋体"/>
                <w:color w:val="auto"/>
                <w:sz w:val="22"/>
                <w:highlight w:val="none"/>
              </w:rPr>
              <w:t>根据拟投入本项目的主要设备情况进行打分。设备的种类齐全、性能先进能满足本次</w:t>
            </w:r>
            <w:r>
              <w:rPr>
                <w:rFonts w:hint="eastAsia" w:ascii="宋体" w:hAnsi="宋体" w:cs="宋体"/>
                <w:color w:val="auto"/>
                <w:sz w:val="22"/>
                <w:highlight w:val="none"/>
                <w:lang w:eastAsia="zh-CN"/>
              </w:rPr>
              <w:t>采购</w:t>
            </w:r>
            <w:r>
              <w:rPr>
                <w:rFonts w:hint="eastAsia" w:ascii="宋体" w:hAnsi="宋体" w:eastAsia="宋体" w:cs="宋体"/>
                <w:color w:val="auto"/>
                <w:sz w:val="22"/>
                <w:highlight w:val="none"/>
              </w:rPr>
              <w:t>要求得10分，设备基本能满足本次</w:t>
            </w:r>
            <w:r>
              <w:rPr>
                <w:rFonts w:hint="eastAsia" w:ascii="宋体" w:hAnsi="宋体" w:cs="宋体"/>
                <w:color w:val="auto"/>
                <w:sz w:val="22"/>
                <w:highlight w:val="none"/>
                <w:lang w:eastAsia="zh-CN"/>
              </w:rPr>
              <w:t>采购</w:t>
            </w:r>
            <w:r>
              <w:rPr>
                <w:rFonts w:hint="eastAsia" w:ascii="宋体" w:hAnsi="宋体" w:eastAsia="宋体" w:cs="宋体"/>
                <w:color w:val="auto"/>
                <w:sz w:val="22"/>
                <w:highlight w:val="none"/>
              </w:rPr>
              <w:t>要求得7分，设备配置较差得3分。（提供相关证明材料扫描件加盖公章</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未提供不得分</w:t>
            </w:r>
            <w:r>
              <w:rPr>
                <w:rFonts w:hint="eastAsia" w:ascii="宋体" w:hAnsi="宋体" w:eastAsia="宋体" w:cs="宋体"/>
                <w:color w:val="auto"/>
                <w:sz w:val="22"/>
                <w:highlight w:val="none"/>
              </w:rPr>
              <w:t>）</w:t>
            </w:r>
          </w:p>
        </w:tc>
      </w:tr>
      <w:tr w14:paraId="5538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0" w:type="dxa"/>
            <w:shd w:val="clear" w:color="auto" w:fill="auto"/>
            <w:noWrap/>
            <w:vAlign w:val="center"/>
          </w:tcPr>
          <w:p w14:paraId="17B3497F">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6</w:t>
            </w:r>
          </w:p>
        </w:tc>
        <w:tc>
          <w:tcPr>
            <w:tcW w:w="1317" w:type="dxa"/>
            <w:noWrap/>
            <w:vAlign w:val="center"/>
          </w:tcPr>
          <w:p w14:paraId="1E5BF138">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实施计划</w:t>
            </w:r>
          </w:p>
        </w:tc>
        <w:tc>
          <w:tcPr>
            <w:tcW w:w="1139" w:type="dxa"/>
            <w:noWrap/>
            <w:vAlign w:val="center"/>
          </w:tcPr>
          <w:p w14:paraId="5EF6B876">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0-12分</w:t>
            </w:r>
          </w:p>
        </w:tc>
        <w:tc>
          <w:tcPr>
            <w:tcW w:w="6380" w:type="dxa"/>
            <w:noWrap/>
            <w:vAlign w:val="center"/>
          </w:tcPr>
          <w:p w14:paraId="4C608817">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根据供应商的详细设备维保组织实施计划进行打分。</w:t>
            </w:r>
          </w:p>
          <w:p w14:paraId="7AEC4BF4">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1、维修保养和操作规程的内容完整、可操作性，0-6分；</w:t>
            </w:r>
          </w:p>
          <w:p w14:paraId="28E1D346">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2、定期巡检及巡检报告的内容完整、可操作性，0-3分；</w:t>
            </w:r>
          </w:p>
          <w:p w14:paraId="48742973">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napToGrid w:val="0"/>
                <w:color w:val="auto"/>
                <w:kern w:val="0"/>
                <w:sz w:val="22"/>
                <w:highlight w:val="none"/>
                <w:lang w:val="zh-CN"/>
              </w:rPr>
            </w:pPr>
            <w:r>
              <w:rPr>
                <w:rFonts w:hint="eastAsia" w:ascii="宋体" w:hAnsi="宋体" w:eastAsia="宋体" w:cs="宋体"/>
                <w:color w:val="auto"/>
                <w:sz w:val="22"/>
                <w:highlight w:val="none"/>
              </w:rPr>
              <w:t>3、故障处理分析及预防的内容完整、可操作性，0-3分。</w:t>
            </w:r>
          </w:p>
        </w:tc>
      </w:tr>
      <w:tr w14:paraId="2CC5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0" w:type="dxa"/>
            <w:shd w:val="clear" w:color="auto" w:fill="auto"/>
            <w:noWrap/>
            <w:vAlign w:val="center"/>
          </w:tcPr>
          <w:p w14:paraId="4573D3A8">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7</w:t>
            </w:r>
          </w:p>
        </w:tc>
        <w:tc>
          <w:tcPr>
            <w:tcW w:w="1317" w:type="dxa"/>
            <w:noWrap/>
            <w:vAlign w:val="center"/>
          </w:tcPr>
          <w:p w14:paraId="3433F661">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质量保证</w:t>
            </w:r>
          </w:p>
        </w:tc>
        <w:tc>
          <w:tcPr>
            <w:tcW w:w="1139" w:type="dxa"/>
            <w:noWrap/>
            <w:vAlign w:val="center"/>
          </w:tcPr>
          <w:p w14:paraId="2DE5A290">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0-</w:t>
            </w:r>
            <w:r>
              <w:rPr>
                <w:rFonts w:hint="eastAsia" w:ascii="宋体" w:hAnsi="宋体" w:cs="宋体"/>
                <w:color w:val="auto"/>
                <w:sz w:val="22"/>
                <w:highlight w:val="none"/>
                <w:lang w:val="en-US" w:eastAsia="zh-CN"/>
              </w:rPr>
              <w:t>12</w:t>
            </w:r>
            <w:r>
              <w:rPr>
                <w:rFonts w:hint="eastAsia" w:ascii="宋体" w:hAnsi="宋体" w:eastAsia="宋体" w:cs="宋体"/>
                <w:color w:val="auto"/>
                <w:sz w:val="22"/>
                <w:highlight w:val="none"/>
              </w:rPr>
              <w:t>分</w:t>
            </w:r>
          </w:p>
        </w:tc>
        <w:tc>
          <w:tcPr>
            <w:tcW w:w="6380" w:type="dxa"/>
            <w:noWrap/>
            <w:vAlign w:val="center"/>
          </w:tcPr>
          <w:p w14:paraId="7ACC7F18">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highlight w:val="none"/>
              </w:rPr>
            </w:pPr>
            <w:r>
              <w:rPr>
                <w:rFonts w:hint="eastAsia" w:ascii="宋体" w:hAnsi="宋体"/>
                <w:color w:val="auto"/>
                <w:sz w:val="22"/>
                <w:szCs w:val="22"/>
                <w:highlight w:val="none"/>
              </w:rPr>
              <w:t>根据供应商是否具有本项目维保</w:t>
            </w:r>
            <w:r>
              <w:rPr>
                <w:rFonts w:hint="eastAsia" w:ascii="宋体" w:hAnsi="宋体"/>
                <w:color w:val="auto"/>
                <w:sz w:val="22"/>
                <w:szCs w:val="22"/>
                <w:highlight w:val="none"/>
                <w:lang w:val="en-US" w:eastAsia="zh-CN"/>
              </w:rPr>
              <w:t>电梯制造商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杭州西子奥的斯电梯有限公司、通力电梯有限公司、奥的斯电梯（中国）有限公司</w:t>
            </w:r>
            <w:r>
              <w:rPr>
                <w:rFonts w:hint="eastAsia" w:ascii="宋体" w:hAnsi="宋体"/>
                <w:color w:val="auto"/>
                <w:sz w:val="22"/>
                <w:szCs w:val="22"/>
                <w:highlight w:val="none"/>
              </w:rPr>
              <w:t>）特约维修认定证书或授权的情况进行打分，每具有一个</w:t>
            </w:r>
            <w:r>
              <w:rPr>
                <w:rFonts w:hint="eastAsia" w:ascii="宋体" w:hAnsi="宋体"/>
                <w:color w:val="auto"/>
                <w:sz w:val="22"/>
                <w:szCs w:val="22"/>
                <w:highlight w:val="none"/>
                <w:lang w:val="en-US" w:eastAsia="zh-CN"/>
              </w:rPr>
              <w:t>制造商</w:t>
            </w:r>
            <w:r>
              <w:rPr>
                <w:rFonts w:hint="eastAsia" w:ascii="宋体" w:hAnsi="宋体"/>
                <w:color w:val="auto"/>
                <w:sz w:val="22"/>
                <w:szCs w:val="22"/>
                <w:highlight w:val="none"/>
              </w:rPr>
              <w:t>特约维修认定证书或授权的得</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分，最多得</w:t>
            </w:r>
            <w:r>
              <w:rPr>
                <w:rFonts w:hint="eastAsia" w:ascii="宋体" w:hAnsi="宋体"/>
                <w:color w:val="auto"/>
                <w:sz w:val="22"/>
                <w:szCs w:val="22"/>
                <w:highlight w:val="none"/>
                <w:lang w:val="en-US" w:eastAsia="zh-CN"/>
              </w:rPr>
              <w:t>12</w:t>
            </w:r>
            <w:r>
              <w:rPr>
                <w:rFonts w:hint="eastAsia" w:ascii="宋体" w:hAnsi="宋体"/>
                <w:color w:val="auto"/>
                <w:sz w:val="22"/>
                <w:szCs w:val="22"/>
                <w:highlight w:val="none"/>
              </w:rPr>
              <w:t>分。（提供证明材料</w:t>
            </w:r>
            <w:r>
              <w:rPr>
                <w:rFonts w:hint="eastAsia" w:ascii="宋体" w:hAnsi="宋体"/>
                <w:color w:val="auto"/>
                <w:sz w:val="22"/>
                <w:szCs w:val="22"/>
                <w:highlight w:val="none"/>
                <w:lang w:val="en-US" w:eastAsia="zh-CN"/>
              </w:rPr>
              <w:t>扫描件</w:t>
            </w:r>
            <w:r>
              <w:rPr>
                <w:rFonts w:hint="eastAsia" w:ascii="宋体" w:hAnsi="宋体"/>
                <w:color w:val="auto"/>
                <w:sz w:val="22"/>
                <w:szCs w:val="22"/>
                <w:highlight w:val="none"/>
              </w:rPr>
              <w:t>加盖公章</w:t>
            </w:r>
            <w:r>
              <w:rPr>
                <w:rFonts w:hint="eastAsia" w:ascii="宋体" w:hAnsi="宋体"/>
                <w:color w:val="auto"/>
                <w:sz w:val="22"/>
                <w:szCs w:val="22"/>
                <w:highlight w:val="none"/>
                <w:lang w:val="en-US" w:eastAsia="zh-CN"/>
              </w:rPr>
              <w:t>；如供应商为本项目</w:t>
            </w:r>
            <w:r>
              <w:rPr>
                <w:rFonts w:hint="eastAsia" w:ascii="宋体" w:hAnsi="宋体"/>
                <w:color w:val="auto"/>
                <w:sz w:val="22"/>
                <w:szCs w:val="22"/>
                <w:highlight w:val="none"/>
              </w:rPr>
              <w:t>维保</w:t>
            </w:r>
            <w:r>
              <w:rPr>
                <w:rFonts w:hint="eastAsia" w:ascii="宋体" w:hAnsi="宋体"/>
                <w:color w:val="auto"/>
                <w:sz w:val="22"/>
                <w:szCs w:val="22"/>
                <w:highlight w:val="none"/>
                <w:lang w:val="en-US" w:eastAsia="zh-CN"/>
              </w:rPr>
              <w:t>电梯制造商，视为具有一个制造商</w:t>
            </w:r>
            <w:r>
              <w:rPr>
                <w:rFonts w:hint="eastAsia" w:ascii="宋体" w:hAnsi="宋体"/>
                <w:color w:val="auto"/>
                <w:sz w:val="22"/>
                <w:szCs w:val="22"/>
                <w:highlight w:val="none"/>
              </w:rPr>
              <w:t>特约维修认定证书或授权）</w:t>
            </w:r>
          </w:p>
        </w:tc>
      </w:tr>
      <w:tr w14:paraId="5600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0" w:type="dxa"/>
            <w:shd w:val="clear" w:color="auto" w:fill="auto"/>
            <w:noWrap/>
            <w:vAlign w:val="center"/>
          </w:tcPr>
          <w:p w14:paraId="30F93CF5">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p>
        </w:tc>
        <w:tc>
          <w:tcPr>
            <w:tcW w:w="1317" w:type="dxa"/>
            <w:noWrap/>
            <w:vAlign w:val="center"/>
          </w:tcPr>
          <w:p w14:paraId="5B50AB66">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应急措施</w:t>
            </w:r>
          </w:p>
        </w:tc>
        <w:tc>
          <w:tcPr>
            <w:tcW w:w="1139" w:type="dxa"/>
            <w:noWrap/>
            <w:vAlign w:val="center"/>
          </w:tcPr>
          <w:p w14:paraId="3C05325A">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0-</w:t>
            </w:r>
            <w:r>
              <w:rPr>
                <w:rFonts w:hint="eastAsia" w:ascii="宋体" w:hAnsi="宋体" w:cs="宋体"/>
                <w:color w:val="auto"/>
                <w:sz w:val="22"/>
                <w:highlight w:val="none"/>
                <w:lang w:val="en-US" w:eastAsia="zh-CN"/>
              </w:rPr>
              <w:t>10</w:t>
            </w:r>
            <w:r>
              <w:rPr>
                <w:rFonts w:hint="eastAsia" w:ascii="宋体" w:hAnsi="宋体" w:eastAsia="宋体" w:cs="宋体"/>
                <w:color w:val="auto"/>
                <w:sz w:val="22"/>
                <w:highlight w:val="none"/>
              </w:rPr>
              <w:t>分</w:t>
            </w:r>
          </w:p>
        </w:tc>
        <w:tc>
          <w:tcPr>
            <w:tcW w:w="6380" w:type="dxa"/>
            <w:noWrap/>
            <w:vAlign w:val="center"/>
          </w:tcPr>
          <w:p w14:paraId="10607233">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napToGrid w:val="0"/>
                <w:color w:val="auto"/>
                <w:kern w:val="0"/>
                <w:sz w:val="22"/>
                <w:highlight w:val="none"/>
              </w:rPr>
            </w:pPr>
            <w:r>
              <w:rPr>
                <w:rFonts w:hint="eastAsia" w:ascii="宋体" w:hAnsi="宋体" w:eastAsia="宋体" w:cs="宋体"/>
                <w:color w:val="auto"/>
                <w:sz w:val="22"/>
                <w:highlight w:val="none"/>
              </w:rPr>
              <w:t>供应商针对防汛抗台、重大检查、突发事件等分别制定保障方案，并有各项应急保障承诺等进行打分。应急保障方案科学合理、可操作性强得</w:t>
            </w:r>
            <w:r>
              <w:rPr>
                <w:rFonts w:hint="eastAsia" w:ascii="宋体" w:hAnsi="宋体" w:cs="宋体"/>
                <w:color w:val="auto"/>
                <w:sz w:val="22"/>
                <w:highlight w:val="none"/>
                <w:lang w:val="en-US" w:eastAsia="zh-CN"/>
              </w:rPr>
              <w:t>10</w:t>
            </w:r>
            <w:r>
              <w:rPr>
                <w:rFonts w:hint="eastAsia" w:ascii="宋体" w:hAnsi="宋体" w:eastAsia="宋体" w:cs="宋体"/>
                <w:color w:val="auto"/>
                <w:sz w:val="22"/>
                <w:highlight w:val="none"/>
              </w:rPr>
              <w:t>分，基本合理得</w:t>
            </w:r>
            <w:r>
              <w:rPr>
                <w:rFonts w:hint="eastAsia" w:ascii="宋体" w:hAnsi="宋体" w:cs="宋体"/>
                <w:color w:val="auto"/>
                <w:sz w:val="22"/>
                <w:highlight w:val="none"/>
                <w:lang w:val="en-US" w:eastAsia="zh-CN"/>
              </w:rPr>
              <w:t>7</w:t>
            </w:r>
            <w:r>
              <w:rPr>
                <w:rFonts w:hint="eastAsia" w:ascii="宋体" w:hAnsi="宋体" w:eastAsia="宋体" w:cs="宋体"/>
                <w:color w:val="auto"/>
                <w:sz w:val="22"/>
                <w:highlight w:val="none"/>
              </w:rPr>
              <w:t>分，合理性较差得3分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未提供不得分。</w:t>
            </w:r>
          </w:p>
        </w:tc>
      </w:tr>
      <w:tr w14:paraId="0024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90" w:type="dxa"/>
            <w:shd w:val="clear" w:color="auto" w:fill="auto"/>
            <w:noWrap/>
            <w:vAlign w:val="center"/>
          </w:tcPr>
          <w:p w14:paraId="69A8A05F">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9</w:t>
            </w:r>
          </w:p>
        </w:tc>
        <w:tc>
          <w:tcPr>
            <w:tcW w:w="1317" w:type="dxa"/>
            <w:shd w:val="clear" w:color="auto" w:fill="FFFFFF"/>
            <w:noWrap/>
            <w:vAlign w:val="center"/>
          </w:tcPr>
          <w:p w14:paraId="3D358473">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服务响应</w:t>
            </w:r>
          </w:p>
        </w:tc>
        <w:tc>
          <w:tcPr>
            <w:tcW w:w="1139" w:type="dxa"/>
            <w:shd w:val="clear" w:color="auto" w:fill="FFFFFF"/>
            <w:noWrap/>
            <w:vAlign w:val="center"/>
          </w:tcPr>
          <w:p w14:paraId="6037CE42">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0-</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分</w:t>
            </w:r>
          </w:p>
        </w:tc>
        <w:tc>
          <w:tcPr>
            <w:tcW w:w="6380" w:type="dxa"/>
            <w:shd w:val="clear" w:color="auto" w:fill="FFFFFF"/>
            <w:noWrap/>
            <w:vAlign w:val="center"/>
          </w:tcPr>
          <w:p w14:paraId="186FA28A">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22"/>
                <w:highlight w:val="none"/>
                <w:lang w:eastAsia="zh-CN"/>
              </w:rPr>
            </w:pPr>
            <w:r>
              <w:rPr>
                <w:rFonts w:hint="eastAsia" w:ascii="宋体" w:hAnsi="宋体" w:eastAsia="宋体" w:cs="宋体"/>
                <w:color w:val="auto"/>
                <w:sz w:val="22"/>
                <w:highlight w:val="none"/>
              </w:rPr>
              <w:t>根据供应商针对本项目的服务响应时间、设备故障解决时间及保障措施进行打分。服务响应合理科学得</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分，基本合理得</w:t>
            </w:r>
            <w:r>
              <w:rPr>
                <w:rFonts w:hint="eastAsia" w:ascii="宋体" w:hAnsi="宋体" w:cs="宋体"/>
                <w:color w:val="auto"/>
                <w:sz w:val="22"/>
                <w:highlight w:val="none"/>
                <w:lang w:val="en-US" w:eastAsia="zh-CN"/>
              </w:rPr>
              <w:t>3</w:t>
            </w:r>
            <w:r>
              <w:rPr>
                <w:rFonts w:hint="eastAsia" w:ascii="宋体" w:hAnsi="宋体" w:eastAsia="宋体" w:cs="宋体"/>
                <w:color w:val="auto"/>
                <w:sz w:val="22"/>
                <w:highlight w:val="none"/>
              </w:rPr>
              <w:t>分，合理性较差得</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rPr>
              <w:t>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未提供不得分。</w:t>
            </w:r>
          </w:p>
        </w:tc>
      </w:tr>
      <w:tr w14:paraId="4625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0" w:type="dxa"/>
            <w:shd w:val="clear" w:color="auto" w:fill="FFFFFF"/>
            <w:noWrap/>
            <w:vAlign w:val="center"/>
          </w:tcPr>
          <w:p w14:paraId="44ED87FD">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auto"/>
                <w:sz w:val="22"/>
                <w:szCs w:val="22"/>
                <w:highlight w:val="none"/>
                <w:shd w:val="pct10" w:color="auto" w:fill="FFFFFF"/>
                <w:lang w:val="en-US" w:eastAsia="zh-CN"/>
              </w:rPr>
            </w:pPr>
            <w:r>
              <w:rPr>
                <w:rFonts w:hint="eastAsia" w:ascii="宋体" w:hAnsi="宋体" w:cs="宋体"/>
                <w:bCs/>
                <w:color w:val="auto"/>
                <w:sz w:val="22"/>
                <w:szCs w:val="22"/>
                <w:highlight w:val="none"/>
                <w:lang w:val="en-US" w:eastAsia="zh-CN"/>
              </w:rPr>
              <w:t>10</w:t>
            </w:r>
          </w:p>
        </w:tc>
        <w:tc>
          <w:tcPr>
            <w:tcW w:w="1317" w:type="dxa"/>
            <w:noWrap/>
            <w:vAlign w:val="center"/>
          </w:tcPr>
          <w:p w14:paraId="6442A036">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安全管理</w:t>
            </w:r>
          </w:p>
        </w:tc>
        <w:tc>
          <w:tcPr>
            <w:tcW w:w="1139" w:type="dxa"/>
            <w:noWrap/>
            <w:vAlign w:val="center"/>
          </w:tcPr>
          <w:p w14:paraId="0A2D7D4E">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0-</w:t>
            </w:r>
            <w:r>
              <w:rPr>
                <w:rFonts w:hint="eastAsia" w:ascii="宋体" w:hAnsi="宋体" w:cs="宋体"/>
                <w:color w:val="auto"/>
                <w:sz w:val="22"/>
                <w:highlight w:val="none"/>
                <w:lang w:val="en-US" w:eastAsia="zh-CN"/>
              </w:rPr>
              <w:t>7</w:t>
            </w:r>
            <w:r>
              <w:rPr>
                <w:rFonts w:hint="eastAsia" w:ascii="宋体" w:hAnsi="宋体" w:eastAsia="宋体" w:cs="宋体"/>
                <w:color w:val="auto"/>
                <w:sz w:val="22"/>
                <w:highlight w:val="none"/>
              </w:rPr>
              <w:t>分</w:t>
            </w:r>
          </w:p>
        </w:tc>
        <w:tc>
          <w:tcPr>
            <w:tcW w:w="6380" w:type="dxa"/>
            <w:noWrap/>
            <w:vAlign w:val="center"/>
          </w:tcPr>
          <w:p w14:paraId="2FC5E880">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22"/>
                <w:highlight w:val="none"/>
                <w:lang w:eastAsia="zh-CN"/>
              </w:rPr>
            </w:pPr>
            <w:r>
              <w:rPr>
                <w:rFonts w:hint="eastAsia" w:ascii="宋体" w:hAnsi="宋体" w:eastAsia="宋体" w:cs="宋体"/>
                <w:color w:val="auto"/>
                <w:sz w:val="22"/>
                <w:highlight w:val="none"/>
              </w:rPr>
              <w:t>根据供应商制定的安全管理保障措施进行打分。安全管理保障措施合理科学得</w:t>
            </w:r>
            <w:r>
              <w:rPr>
                <w:rFonts w:hint="eastAsia" w:ascii="宋体" w:hAnsi="宋体" w:cs="宋体"/>
                <w:color w:val="auto"/>
                <w:sz w:val="22"/>
                <w:highlight w:val="none"/>
                <w:lang w:val="en-US" w:eastAsia="zh-CN"/>
              </w:rPr>
              <w:t>7</w:t>
            </w:r>
            <w:r>
              <w:rPr>
                <w:rFonts w:hint="eastAsia" w:ascii="宋体" w:hAnsi="宋体" w:eastAsia="宋体" w:cs="宋体"/>
                <w:color w:val="auto"/>
                <w:sz w:val="22"/>
                <w:highlight w:val="none"/>
              </w:rPr>
              <w:t>分，基本合理得</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分，合理性较差得2分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未提供不得分。</w:t>
            </w:r>
          </w:p>
        </w:tc>
      </w:tr>
      <w:tr w14:paraId="034A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0" w:type="dxa"/>
            <w:shd w:val="clear" w:color="auto" w:fill="auto"/>
            <w:noWrap/>
            <w:vAlign w:val="center"/>
          </w:tcPr>
          <w:p w14:paraId="0C7AD3F4">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lang w:eastAsia="zh-CN"/>
              </w:rPr>
            </w:pPr>
            <w:r>
              <w:rPr>
                <w:rFonts w:hint="eastAsia" w:ascii="宋体" w:hAnsi="宋体" w:eastAsia="宋体" w:cs="宋体"/>
                <w:color w:val="auto"/>
                <w:sz w:val="22"/>
                <w:highlight w:val="none"/>
              </w:rPr>
              <w:t>1</w:t>
            </w:r>
            <w:r>
              <w:rPr>
                <w:rFonts w:hint="eastAsia" w:ascii="宋体" w:hAnsi="宋体" w:cs="宋体"/>
                <w:color w:val="auto"/>
                <w:sz w:val="22"/>
                <w:highlight w:val="none"/>
                <w:lang w:val="en-US" w:eastAsia="zh-CN"/>
              </w:rPr>
              <w:t>1</w:t>
            </w:r>
          </w:p>
        </w:tc>
        <w:tc>
          <w:tcPr>
            <w:tcW w:w="1317" w:type="dxa"/>
            <w:noWrap/>
            <w:vAlign w:val="center"/>
          </w:tcPr>
          <w:p w14:paraId="62686373">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备品备件</w:t>
            </w:r>
          </w:p>
          <w:p w14:paraId="6841C02F">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配置</w:t>
            </w:r>
          </w:p>
        </w:tc>
        <w:tc>
          <w:tcPr>
            <w:tcW w:w="1139" w:type="dxa"/>
            <w:noWrap/>
            <w:vAlign w:val="center"/>
          </w:tcPr>
          <w:p w14:paraId="0905418A">
            <w:pPr>
              <w:pStyle w:val="12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0-10分</w:t>
            </w:r>
          </w:p>
        </w:tc>
        <w:tc>
          <w:tcPr>
            <w:tcW w:w="6380" w:type="dxa"/>
            <w:noWrap/>
            <w:vAlign w:val="center"/>
          </w:tcPr>
          <w:p w14:paraId="07D45311">
            <w:pPr>
              <w:pStyle w:val="122"/>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备品备件价格合理性（0-5分）。</w:t>
            </w:r>
          </w:p>
          <w:p w14:paraId="6F929E5A">
            <w:pPr>
              <w:pStyle w:val="122"/>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bCs/>
                <w:color w:val="auto"/>
                <w:sz w:val="22"/>
                <w:highlight w:val="none"/>
                <w:lang w:val="zh-CN"/>
              </w:rPr>
            </w:pPr>
            <w:r>
              <w:rPr>
                <w:rFonts w:hint="eastAsia" w:ascii="宋体" w:hAnsi="宋体" w:eastAsia="宋体" w:cs="宋体"/>
                <w:color w:val="auto"/>
                <w:sz w:val="22"/>
                <w:highlight w:val="none"/>
              </w:rPr>
              <w:t>根据供应商针对本项目备品备件提供方案、储备情况进行打分（0-5分）。</w:t>
            </w:r>
          </w:p>
        </w:tc>
      </w:tr>
    </w:tbl>
    <w:p w14:paraId="6465BAC1">
      <w:pPr>
        <w:adjustRightInd w:val="0"/>
        <w:snapToGrid w:val="0"/>
        <w:spacing w:before="100" w:after="50"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p>
    <w:p w14:paraId="4304CD4E">
      <w:pPr>
        <w:keepNext w:val="0"/>
        <w:keepLines w:val="0"/>
        <w:pageBreakBefore w:val="0"/>
        <w:widowControl w:val="0"/>
        <w:kinsoku/>
        <w:wordWrap/>
        <w:overflowPunct/>
        <w:topLinePunct w:val="0"/>
        <w:autoSpaceDE/>
        <w:autoSpaceDN/>
        <w:bidi w:val="0"/>
        <w:adjustRightInd w:val="0"/>
        <w:snapToGrid w:val="0"/>
        <w:spacing w:line="440" w:lineRule="atLeast"/>
        <w:ind w:firstLine="431" w:firstLineChars="19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1、每个供应商的综合得分=商务技术得分（所有磋商小组成员打分的算术平均值）＋报价得分。</w:t>
      </w:r>
    </w:p>
    <w:p w14:paraId="315CB63E">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磋商小组推荐综合得分最高的供应商为成交供应商（如果得分相同则按最后报价从低到高顺序依次推荐为成交候选供应商；如果综合得分相同最后报价也相同，则按照技术指标优劣顺序推荐），并编写评审报告。</w:t>
      </w:r>
    </w:p>
    <w:p w14:paraId="64EB952F">
      <w:pPr>
        <w:keepNext w:val="0"/>
        <w:keepLines w:val="0"/>
        <w:pageBreakBefore w:val="0"/>
        <w:widowControl w:val="0"/>
        <w:kinsoku/>
        <w:wordWrap/>
        <w:overflowPunct/>
        <w:topLinePunct w:val="0"/>
        <w:autoSpaceDE/>
        <w:autoSpaceDN/>
        <w:bidi w:val="0"/>
        <w:adjustRightInd w:val="0"/>
        <w:snapToGrid w:val="0"/>
        <w:spacing w:line="440" w:lineRule="atLeast"/>
        <w:ind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3、所有分值计算保留小数点后二位，小数点后第三位起四舍五入。</w:t>
      </w:r>
    </w:p>
    <w:p w14:paraId="37E7B00B">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其它参见本竞争性磋商文件第三部分：“供应商须知”中的相关内容，未尽事宜按有关法律规定处理。 </w:t>
      </w:r>
    </w:p>
    <w:sectPr>
      <w:pgSz w:w="11907" w:h="16840"/>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5C86">
    <w:pPr>
      <w:pStyle w:val="30"/>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5</w:t>
    </w:r>
    <w:r>
      <w:rPr>
        <w:rFonts w:ascii="宋体" w:hAnsi="宋体"/>
      </w:rPr>
      <w:fldChar w:fldCharType="end"/>
    </w:r>
  </w:p>
  <w:p w14:paraId="3A241E61">
    <w:pPr>
      <w:pStyle w:val="30"/>
      <w:jc w:val="both"/>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B873">
    <w:pPr>
      <w:pStyle w:val="30"/>
      <w:framePr w:wrap="around" w:vAnchor="text" w:hAnchor="margin" w:xAlign="center" w:y="1"/>
      <w:rPr>
        <w:rStyle w:val="51"/>
      </w:rPr>
    </w:pPr>
    <w:r>
      <w:fldChar w:fldCharType="begin"/>
    </w:r>
    <w:r>
      <w:rPr>
        <w:rStyle w:val="51"/>
      </w:rPr>
      <w:instrText xml:space="preserve">PAGE  </w:instrText>
    </w:r>
    <w:r>
      <w:fldChar w:fldCharType="end"/>
    </w:r>
  </w:p>
  <w:p w14:paraId="307D5E87">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C342">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3B9F">
    <w:pPr>
      <w:pStyle w:val="30"/>
      <w:tabs>
        <w:tab w:val="right" w:pos="9072"/>
        <w:tab w:val="clear" w:pos="8306"/>
      </w:tabs>
      <w:ind w:right="-8"/>
      <w:jc w:val="center"/>
      <w:rPr>
        <w:rFonts w:ascii="宋体"/>
        <w:sz w:val="20"/>
        <w:szCs w:val="20"/>
      </w:rPr>
    </w:pPr>
    <w:r>
      <w:rPr>
        <w:rFonts w:ascii="宋体"/>
        <w:sz w:val="20"/>
        <w:szCs w:val="20"/>
      </w:rPr>
      <w:fldChar w:fldCharType="begin"/>
    </w:r>
    <w:r>
      <w:rPr>
        <w:rStyle w:val="51"/>
        <w:rFonts w:ascii="宋体"/>
        <w:sz w:val="20"/>
        <w:szCs w:val="20"/>
      </w:rPr>
      <w:instrText xml:space="preserve"> PAGE </w:instrText>
    </w:r>
    <w:r>
      <w:rPr>
        <w:rFonts w:ascii="宋体"/>
        <w:sz w:val="20"/>
        <w:szCs w:val="20"/>
      </w:rPr>
      <w:fldChar w:fldCharType="separate"/>
    </w:r>
    <w:r>
      <w:rPr>
        <w:rStyle w:val="51"/>
        <w:rFonts w:ascii="宋体"/>
        <w:sz w:val="20"/>
        <w:szCs w:val="20"/>
      </w:rPr>
      <w:t>32</w:t>
    </w:r>
    <w:r>
      <w:rPr>
        <w:rFonts w:ascii="宋体"/>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D803">
    <w:pPr>
      <w:pStyle w:val="30"/>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44</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5769">
    <w:pPr>
      <w:pStyle w:val="30"/>
      <w:framePr w:wrap="around" w:vAnchor="text" w:hAnchor="margin" w:xAlign="center" w:y="1"/>
      <w:rPr>
        <w:rStyle w:val="51"/>
      </w:rPr>
    </w:pPr>
    <w:r>
      <w:fldChar w:fldCharType="begin"/>
    </w:r>
    <w:r>
      <w:rPr>
        <w:rStyle w:val="51"/>
      </w:rPr>
      <w:instrText xml:space="preserve">PAGE  </w:instrText>
    </w:r>
    <w:r>
      <w:fldChar w:fldCharType="end"/>
    </w:r>
  </w:p>
  <w:p w14:paraId="5DDD635B">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C6F98">
    <w:pPr>
      <w:pStyle w:val="3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BFE7">
    <w:pPr>
      <w:pStyle w:val="31"/>
      <w:jc w:val="both"/>
      <w:rPr>
        <w:bCs/>
      </w:rPr>
    </w:pPr>
    <w:r>
      <w:rPr>
        <w:rFonts w:hint="eastAsia"/>
        <w:b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E57D">
    <w:pPr>
      <w:pStyle w:val="31"/>
      <w:jc w:val="both"/>
      <w:rPr>
        <w:rFonts w:ascii="宋体"/>
      </w:rPr>
    </w:pPr>
    <w:r>
      <w:rPr>
        <w:rFonts w:hint="eastAsia" w:ascii="宋体"/>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DC98">
    <w:pPr>
      <w:pStyle w:val="31"/>
      <w:jc w:val="both"/>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9176B"/>
    <w:multiLevelType w:val="multilevel"/>
    <w:tmpl w:val="32B917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C44DD"/>
    <w:rsid w:val="00000170"/>
    <w:rsid w:val="000002D7"/>
    <w:rsid w:val="000003B1"/>
    <w:rsid w:val="000005AE"/>
    <w:rsid w:val="0000083D"/>
    <w:rsid w:val="0000134D"/>
    <w:rsid w:val="00001A9F"/>
    <w:rsid w:val="00001D6E"/>
    <w:rsid w:val="00002200"/>
    <w:rsid w:val="00002FE4"/>
    <w:rsid w:val="00003A05"/>
    <w:rsid w:val="00003DF6"/>
    <w:rsid w:val="00003E64"/>
    <w:rsid w:val="0000441B"/>
    <w:rsid w:val="00004B15"/>
    <w:rsid w:val="000051FA"/>
    <w:rsid w:val="000052DB"/>
    <w:rsid w:val="0000754C"/>
    <w:rsid w:val="0000778B"/>
    <w:rsid w:val="00010A6E"/>
    <w:rsid w:val="00010D50"/>
    <w:rsid w:val="000120E5"/>
    <w:rsid w:val="0001273A"/>
    <w:rsid w:val="00012E11"/>
    <w:rsid w:val="000136A1"/>
    <w:rsid w:val="00013CA4"/>
    <w:rsid w:val="00013D4A"/>
    <w:rsid w:val="00014003"/>
    <w:rsid w:val="000142CB"/>
    <w:rsid w:val="00014AC9"/>
    <w:rsid w:val="000157E5"/>
    <w:rsid w:val="00015BAC"/>
    <w:rsid w:val="000161B6"/>
    <w:rsid w:val="000162DC"/>
    <w:rsid w:val="00016639"/>
    <w:rsid w:val="00016FCC"/>
    <w:rsid w:val="00017446"/>
    <w:rsid w:val="00017D2F"/>
    <w:rsid w:val="000209C5"/>
    <w:rsid w:val="0002168F"/>
    <w:rsid w:val="000221C8"/>
    <w:rsid w:val="0002368B"/>
    <w:rsid w:val="00023758"/>
    <w:rsid w:val="000242C5"/>
    <w:rsid w:val="00024D2C"/>
    <w:rsid w:val="00025300"/>
    <w:rsid w:val="000257F8"/>
    <w:rsid w:val="00025C73"/>
    <w:rsid w:val="00026129"/>
    <w:rsid w:val="000262A0"/>
    <w:rsid w:val="00026D7D"/>
    <w:rsid w:val="00026E26"/>
    <w:rsid w:val="00027834"/>
    <w:rsid w:val="00027CD3"/>
    <w:rsid w:val="0003010B"/>
    <w:rsid w:val="0003082A"/>
    <w:rsid w:val="0003094F"/>
    <w:rsid w:val="00031282"/>
    <w:rsid w:val="000313EA"/>
    <w:rsid w:val="0003200E"/>
    <w:rsid w:val="00033E77"/>
    <w:rsid w:val="00034241"/>
    <w:rsid w:val="000345CC"/>
    <w:rsid w:val="00034E79"/>
    <w:rsid w:val="00034EA7"/>
    <w:rsid w:val="00035082"/>
    <w:rsid w:val="00035F1A"/>
    <w:rsid w:val="000362E9"/>
    <w:rsid w:val="0003663D"/>
    <w:rsid w:val="000367D8"/>
    <w:rsid w:val="000374D7"/>
    <w:rsid w:val="00037BB6"/>
    <w:rsid w:val="00037EDE"/>
    <w:rsid w:val="0004025F"/>
    <w:rsid w:val="00040C69"/>
    <w:rsid w:val="00040CC1"/>
    <w:rsid w:val="00041FA0"/>
    <w:rsid w:val="0004254A"/>
    <w:rsid w:val="000429C8"/>
    <w:rsid w:val="00042EF3"/>
    <w:rsid w:val="000434A9"/>
    <w:rsid w:val="00043777"/>
    <w:rsid w:val="00043801"/>
    <w:rsid w:val="00043B8E"/>
    <w:rsid w:val="00043B8F"/>
    <w:rsid w:val="00043D37"/>
    <w:rsid w:val="00043EC9"/>
    <w:rsid w:val="00043F7F"/>
    <w:rsid w:val="000442AE"/>
    <w:rsid w:val="0004433F"/>
    <w:rsid w:val="000455C9"/>
    <w:rsid w:val="0004595C"/>
    <w:rsid w:val="00045CF1"/>
    <w:rsid w:val="00046344"/>
    <w:rsid w:val="00046F00"/>
    <w:rsid w:val="000475C2"/>
    <w:rsid w:val="00051E33"/>
    <w:rsid w:val="00051FBE"/>
    <w:rsid w:val="000521ED"/>
    <w:rsid w:val="000526E2"/>
    <w:rsid w:val="00052F6C"/>
    <w:rsid w:val="00053166"/>
    <w:rsid w:val="00053961"/>
    <w:rsid w:val="000541CD"/>
    <w:rsid w:val="000542BF"/>
    <w:rsid w:val="000556D4"/>
    <w:rsid w:val="00055FF7"/>
    <w:rsid w:val="0005680C"/>
    <w:rsid w:val="000575C8"/>
    <w:rsid w:val="000579AE"/>
    <w:rsid w:val="00057E3E"/>
    <w:rsid w:val="00060786"/>
    <w:rsid w:val="00060B32"/>
    <w:rsid w:val="0006121B"/>
    <w:rsid w:val="00061393"/>
    <w:rsid w:val="00061E81"/>
    <w:rsid w:val="00061FD8"/>
    <w:rsid w:val="00061FEA"/>
    <w:rsid w:val="0006205B"/>
    <w:rsid w:val="000623A3"/>
    <w:rsid w:val="00062415"/>
    <w:rsid w:val="0006285A"/>
    <w:rsid w:val="00062E44"/>
    <w:rsid w:val="00064CAA"/>
    <w:rsid w:val="00064EB5"/>
    <w:rsid w:val="00064F1E"/>
    <w:rsid w:val="00065338"/>
    <w:rsid w:val="00065DBA"/>
    <w:rsid w:val="0006675C"/>
    <w:rsid w:val="00067869"/>
    <w:rsid w:val="00067CA8"/>
    <w:rsid w:val="00071460"/>
    <w:rsid w:val="00071702"/>
    <w:rsid w:val="000718C0"/>
    <w:rsid w:val="00071C1E"/>
    <w:rsid w:val="00072255"/>
    <w:rsid w:val="0007286B"/>
    <w:rsid w:val="0007340C"/>
    <w:rsid w:val="000735C8"/>
    <w:rsid w:val="0007392E"/>
    <w:rsid w:val="0007449C"/>
    <w:rsid w:val="000746ED"/>
    <w:rsid w:val="00075916"/>
    <w:rsid w:val="00075DDA"/>
    <w:rsid w:val="00076505"/>
    <w:rsid w:val="000769E1"/>
    <w:rsid w:val="00076EA1"/>
    <w:rsid w:val="0007707C"/>
    <w:rsid w:val="00077C79"/>
    <w:rsid w:val="00080110"/>
    <w:rsid w:val="000807BC"/>
    <w:rsid w:val="0008142C"/>
    <w:rsid w:val="000814AE"/>
    <w:rsid w:val="00081B79"/>
    <w:rsid w:val="00081EC9"/>
    <w:rsid w:val="00082031"/>
    <w:rsid w:val="0008382C"/>
    <w:rsid w:val="00084EAB"/>
    <w:rsid w:val="000859B3"/>
    <w:rsid w:val="00085A74"/>
    <w:rsid w:val="00086A41"/>
    <w:rsid w:val="00087174"/>
    <w:rsid w:val="00087385"/>
    <w:rsid w:val="000877E6"/>
    <w:rsid w:val="0009013E"/>
    <w:rsid w:val="00090952"/>
    <w:rsid w:val="00090E20"/>
    <w:rsid w:val="000913F0"/>
    <w:rsid w:val="00091AC1"/>
    <w:rsid w:val="000929BB"/>
    <w:rsid w:val="00092A83"/>
    <w:rsid w:val="00092DA2"/>
    <w:rsid w:val="000944EA"/>
    <w:rsid w:val="0009482B"/>
    <w:rsid w:val="00095843"/>
    <w:rsid w:val="00095F29"/>
    <w:rsid w:val="00096269"/>
    <w:rsid w:val="0009639C"/>
    <w:rsid w:val="000963A7"/>
    <w:rsid w:val="0009658E"/>
    <w:rsid w:val="0009682D"/>
    <w:rsid w:val="00096CA9"/>
    <w:rsid w:val="000972AF"/>
    <w:rsid w:val="00097800"/>
    <w:rsid w:val="000A01F0"/>
    <w:rsid w:val="000A03CB"/>
    <w:rsid w:val="000A0894"/>
    <w:rsid w:val="000A0BA4"/>
    <w:rsid w:val="000A13CF"/>
    <w:rsid w:val="000A1D6D"/>
    <w:rsid w:val="000A25D9"/>
    <w:rsid w:val="000A2AE8"/>
    <w:rsid w:val="000A2C58"/>
    <w:rsid w:val="000A354B"/>
    <w:rsid w:val="000A472B"/>
    <w:rsid w:val="000A4821"/>
    <w:rsid w:val="000A5C1D"/>
    <w:rsid w:val="000A69DC"/>
    <w:rsid w:val="000A6D17"/>
    <w:rsid w:val="000A7286"/>
    <w:rsid w:val="000A7524"/>
    <w:rsid w:val="000A7C29"/>
    <w:rsid w:val="000A7FA8"/>
    <w:rsid w:val="000B0AFB"/>
    <w:rsid w:val="000B0DDF"/>
    <w:rsid w:val="000B1920"/>
    <w:rsid w:val="000B3199"/>
    <w:rsid w:val="000B3FB5"/>
    <w:rsid w:val="000B4027"/>
    <w:rsid w:val="000B48D1"/>
    <w:rsid w:val="000B524E"/>
    <w:rsid w:val="000B55C0"/>
    <w:rsid w:val="000C0419"/>
    <w:rsid w:val="000C08A2"/>
    <w:rsid w:val="000C13A8"/>
    <w:rsid w:val="000C1CBF"/>
    <w:rsid w:val="000C21B7"/>
    <w:rsid w:val="000C230E"/>
    <w:rsid w:val="000C299B"/>
    <w:rsid w:val="000C2E04"/>
    <w:rsid w:val="000C37EA"/>
    <w:rsid w:val="000C3F56"/>
    <w:rsid w:val="000C42A7"/>
    <w:rsid w:val="000C44DD"/>
    <w:rsid w:val="000C4764"/>
    <w:rsid w:val="000C47F7"/>
    <w:rsid w:val="000C483D"/>
    <w:rsid w:val="000C4F21"/>
    <w:rsid w:val="000C55A9"/>
    <w:rsid w:val="000C628C"/>
    <w:rsid w:val="000C66E4"/>
    <w:rsid w:val="000D04A8"/>
    <w:rsid w:val="000D04BF"/>
    <w:rsid w:val="000D09D3"/>
    <w:rsid w:val="000D0CAF"/>
    <w:rsid w:val="000D0E0D"/>
    <w:rsid w:val="000D27D9"/>
    <w:rsid w:val="000D316E"/>
    <w:rsid w:val="000D45D8"/>
    <w:rsid w:val="000D4DDB"/>
    <w:rsid w:val="000D5A02"/>
    <w:rsid w:val="000D5BAF"/>
    <w:rsid w:val="000D5CA5"/>
    <w:rsid w:val="000D5DB7"/>
    <w:rsid w:val="000D5F2A"/>
    <w:rsid w:val="000D6164"/>
    <w:rsid w:val="000D7339"/>
    <w:rsid w:val="000D7460"/>
    <w:rsid w:val="000D74D0"/>
    <w:rsid w:val="000D7759"/>
    <w:rsid w:val="000D7DF8"/>
    <w:rsid w:val="000E045E"/>
    <w:rsid w:val="000E0920"/>
    <w:rsid w:val="000E1594"/>
    <w:rsid w:val="000E1A36"/>
    <w:rsid w:val="000E1ABD"/>
    <w:rsid w:val="000E22C0"/>
    <w:rsid w:val="000E2E1E"/>
    <w:rsid w:val="000E3285"/>
    <w:rsid w:val="000E3480"/>
    <w:rsid w:val="000E399C"/>
    <w:rsid w:val="000E3C2A"/>
    <w:rsid w:val="000E484B"/>
    <w:rsid w:val="000E4F51"/>
    <w:rsid w:val="000E5135"/>
    <w:rsid w:val="000E519A"/>
    <w:rsid w:val="000E542C"/>
    <w:rsid w:val="000E5E6B"/>
    <w:rsid w:val="000E610D"/>
    <w:rsid w:val="000E64D2"/>
    <w:rsid w:val="000E67B3"/>
    <w:rsid w:val="000F0020"/>
    <w:rsid w:val="000F02D9"/>
    <w:rsid w:val="000F0779"/>
    <w:rsid w:val="000F1230"/>
    <w:rsid w:val="000F15E3"/>
    <w:rsid w:val="000F187E"/>
    <w:rsid w:val="000F23CD"/>
    <w:rsid w:val="000F249B"/>
    <w:rsid w:val="000F2546"/>
    <w:rsid w:val="000F2787"/>
    <w:rsid w:val="000F2B51"/>
    <w:rsid w:val="000F439A"/>
    <w:rsid w:val="000F443B"/>
    <w:rsid w:val="000F5111"/>
    <w:rsid w:val="000F567D"/>
    <w:rsid w:val="000F5CEA"/>
    <w:rsid w:val="000F6485"/>
    <w:rsid w:val="000F6DD0"/>
    <w:rsid w:val="000F780A"/>
    <w:rsid w:val="00100337"/>
    <w:rsid w:val="00100B91"/>
    <w:rsid w:val="00100E85"/>
    <w:rsid w:val="001010B5"/>
    <w:rsid w:val="001012F2"/>
    <w:rsid w:val="0010138A"/>
    <w:rsid w:val="00101C9A"/>
    <w:rsid w:val="00101EF5"/>
    <w:rsid w:val="00101F79"/>
    <w:rsid w:val="00102E51"/>
    <w:rsid w:val="001036E2"/>
    <w:rsid w:val="0010380C"/>
    <w:rsid w:val="001040E7"/>
    <w:rsid w:val="001042ED"/>
    <w:rsid w:val="00104514"/>
    <w:rsid w:val="001051EF"/>
    <w:rsid w:val="00106CED"/>
    <w:rsid w:val="00106E47"/>
    <w:rsid w:val="00107291"/>
    <w:rsid w:val="00107651"/>
    <w:rsid w:val="00110131"/>
    <w:rsid w:val="001110A3"/>
    <w:rsid w:val="00111648"/>
    <w:rsid w:val="001116E6"/>
    <w:rsid w:val="00111891"/>
    <w:rsid w:val="0011190E"/>
    <w:rsid w:val="00112739"/>
    <w:rsid w:val="00112798"/>
    <w:rsid w:val="00112908"/>
    <w:rsid w:val="00112BE1"/>
    <w:rsid w:val="00112FC4"/>
    <w:rsid w:val="001131D3"/>
    <w:rsid w:val="001134E6"/>
    <w:rsid w:val="00113C49"/>
    <w:rsid w:val="00114001"/>
    <w:rsid w:val="001145AF"/>
    <w:rsid w:val="001145D2"/>
    <w:rsid w:val="00115CA9"/>
    <w:rsid w:val="00117088"/>
    <w:rsid w:val="001175E4"/>
    <w:rsid w:val="001177CB"/>
    <w:rsid w:val="0011797D"/>
    <w:rsid w:val="00121809"/>
    <w:rsid w:val="00121931"/>
    <w:rsid w:val="001219CE"/>
    <w:rsid w:val="00121AA9"/>
    <w:rsid w:val="00123396"/>
    <w:rsid w:val="00124086"/>
    <w:rsid w:val="001244BB"/>
    <w:rsid w:val="00124A3D"/>
    <w:rsid w:val="00124B5B"/>
    <w:rsid w:val="00125270"/>
    <w:rsid w:val="001258E8"/>
    <w:rsid w:val="00126074"/>
    <w:rsid w:val="001262E7"/>
    <w:rsid w:val="0012693B"/>
    <w:rsid w:val="00126ACF"/>
    <w:rsid w:val="00126D87"/>
    <w:rsid w:val="00126DB2"/>
    <w:rsid w:val="001273D6"/>
    <w:rsid w:val="001277EA"/>
    <w:rsid w:val="00130BDA"/>
    <w:rsid w:val="001313B2"/>
    <w:rsid w:val="001315BE"/>
    <w:rsid w:val="00132BD7"/>
    <w:rsid w:val="00133155"/>
    <w:rsid w:val="00133761"/>
    <w:rsid w:val="001351C5"/>
    <w:rsid w:val="001365B8"/>
    <w:rsid w:val="0013662E"/>
    <w:rsid w:val="00136762"/>
    <w:rsid w:val="00137782"/>
    <w:rsid w:val="00137CEA"/>
    <w:rsid w:val="00140BBC"/>
    <w:rsid w:val="0014117C"/>
    <w:rsid w:val="001412C6"/>
    <w:rsid w:val="00141579"/>
    <w:rsid w:val="001421D0"/>
    <w:rsid w:val="0014294B"/>
    <w:rsid w:val="00143A56"/>
    <w:rsid w:val="00143B1B"/>
    <w:rsid w:val="00143B51"/>
    <w:rsid w:val="0014459C"/>
    <w:rsid w:val="00144760"/>
    <w:rsid w:val="001448DC"/>
    <w:rsid w:val="001448F7"/>
    <w:rsid w:val="00145848"/>
    <w:rsid w:val="00145C6F"/>
    <w:rsid w:val="0014628D"/>
    <w:rsid w:val="001463BC"/>
    <w:rsid w:val="00146584"/>
    <w:rsid w:val="0014752A"/>
    <w:rsid w:val="00147BEB"/>
    <w:rsid w:val="001500A6"/>
    <w:rsid w:val="001516E7"/>
    <w:rsid w:val="00152C33"/>
    <w:rsid w:val="001540BE"/>
    <w:rsid w:val="0015449D"/>
    <w:rsid w:val="00154982"/>
    <w:rsid w:val="00154F23"/>
    <w:rsid w:val="00155EE9"/>
    <w:rsid w:val="001563E7"/>
    <w:rsid w:val="0015683D"/>
    <w:rsid w:val="00157CD1"/>
    <w:rsid w:val="00157E3D"/>
    <w:rsid w:val="00160B08"/>
    <w:rsid w:val="001612DA"/>
    <w:rsid w:val="001614AF"/>
    <w:rsid w:val="00162903"/>
    <w:rsid w:val="00162A54"/>
    <w:rsid w:val="001638EE"/>
    <w:rsid w:val="00164F49"/>
    <w:rsid w:val="001652BF"/>
    <w:rsid w:val="00165836"/>
    <w:rsid w:val="00165855"/>
    <w:rsid w:val="00165D54"/>
    <w:rsid w:val="0016711D"/>
    <w:rsid w:val="00167217"/>
    <w:rsid w:val="001678BE"/>
    <w:rsid w:val="00167D8D"/>
    <w:rsid w:val="00170D89"/>
    <w:rsid w:val="001713F6"/>
    <w:rsid w:val="00172049"/>
    <w:rsid w:val="00172CC6"/>
    <w:rsid w:val="00172E65"/>
    <w:rsid w:val="0017397B"/>
    <w:rsid w:val="00174A98"/>
    <w:rsid w:val="00174B6F"/>
    <w:rsid w:val="00175836"/>
    <w:rsid w:val="0017590D"/>
    <w:rsid w:val="00175E8B"/>
    <w:rsid w:val="001764D0"/>
    <w:rsid w:val="00176A10"/>
    <w:rsid w:val="00176B7F"/>
    <w:rsid w:val="00176C15"/>
    <w:rsid w:val="00176E0E"/>
    <w:rsid w:val="001776D3"/>
    <w:rsid w:val="00177CB0"/>
    <w:rsid w:val="0018010F"/>
    <w:rsid w:val="001808C8"/>
    <w:rsid w:val="00180F93"/>
    <w:rsid w:val="001812B2"/>
    <w:rsid w:val="001814E7"/>
    <w:rsid w:val="00181816"/>
    <w:rsid w:val="00181E12"/>
    <w:rsid w:val="00182002"/>
    <w:rsid w:val="00182A7B"/>
    <w:rsid w:val="00182AF0"/>
    <w:rsid w:val="00183026"/>
    <w:rsid w:val="00183575"/>
    <w:rsid w:val="00183A06"/>
    <w:rsid w:val="00183BCA"/>
    <w:rsid w:val="00183E52"/>
    <w:rsid w:val="0018415F"/>
    <w:rsid w:val="001843BC"/>
    <w:rsid w:val="00184CCD"/>
    <w:rsid w:val="001855F4"/>
    <w:rsid w:val="00185DEA"/>
    <w:rsid w:val="00186BAA"/>
    <w:rsid w:val="00186DD9"/>
    <w:rsid w:val="0018710F"/>
    <w:rsid w:val="00190A4A"/>
    <w:rsid w:val="00190B56"/>
    <w:rsid w:val="00190C7B"/>
    <w:rsid w:val="00190DB4"/>
    <w:rsid w:val="00190E31"/>
    <w:rsid w:val="00190F5D"/>
    <w:rsid w:val="0019279E"/>
    <w:rsid w:val="00192BFB"/>
    <w:rsid w:val="0019366E"/>
    <w:rsid w:val="00193934"/>
    <w:rsid w:val="00193C48"/>
    <w:rsid w:val="00193F6E"/>
    <w:rsid w:val="001941D8"/>
    <w:rsid w:val="001944B8"/>
    <w:rsid w:val="001945A9"/>
    <w:rsid w:val="001947D2"/>
    <w:rsid w:val="001971C5"/>
    <w:rsid w:val="00197868"/>
    <w:rsid w:val="001979C1"/>
    <w:rsid w:val="00197D68"/>
    <w:rsid w:val="001A0309"/>
    <w:rsid w:val="001A16A0"/>
    <w:rsid w:val="001A22D9"/>
    <w:rsid w:val="001A249D"/>
    <w:rsid w:val="001A28E9"/>
    <w:rsid w:val="001A3EC5"/>
    <w:rsid w:val="001A479C"/>
    <w:rsid w:val="001A488C"/>
    <w:rsid w:val="001A4ADD"/>
    <w:rsid w:val="001A4DE0"/>
    <w:rsid w:val="001A4F02"/>
    <w:rsid w:val="001A5A7D"/>
    <w:rsid w:val="001A657D"/>
    <w:rsid w:val="001A685F"/>
    <w:rsid w:val="001A72D4"/>
    <w:rsid w:val="001A73A5"/>
    <w:rsid w:val="001A7766"/>
    <w:rsid w:val="001B08C1"/>
    <w:rsid w:val="001B0BEF"/>
    <w:rsid w:val="001B0D29"/>
    <w:rsid w:val="001B0D34"/>
    <w:rsid w:val="001B0ECE"/>
    <w:rsid w:val="001B15C0"/>
    <w:rsid w:val="001B16D1"/>
    <w:rsid w:val="001B1B22"/>
    <w:rsid w:val="001B1BA1"/>
    <w:rsid w:val="001B1ECF"/>
    <w:rsid w:val="001B28A6"/>
    <w:rsid w:val="001B29F0"/>
    <w:rsid w:val="001B2C14"/>
    <w:rsid w:val="001B2C3D"/>
    <w:rsid w:val="001B4DF6"/>
    <w:rsid w:val="001B4E56"/>
    <w:rsid w:val="001B57C8"/>
    <w:rsid w:val="001B5AFF"/>
    <w:rsid w:val="001B6683"/>
    <w:rsid w:val="001B67DD"/>
    <w:rsid w:val="001B6854"/>
    <w:rsid w:val="001B6C98"/>
    <w:rsid w:val="001B78A4"/>
    <w:rsid w:val="001C06A6"/>
    <w:rsid w:val="001C0914"/>
    <w:rsid w:val="001C0BCE"/>
    <w:rsid w:val="001C2481"/>
    <w:rsid w:val="001C26F6"/>
    <w:rsid w:val="001C2952"/>
    <w:rsid w:val="001C2F14"/>
    <w:rsid w:val="001C3A4A"/>
    <w:rsid w:val="001C3B22"/>
    <w:rsid w:val="001C3CDB"/>
    <w:rsid w:val="001C4E22"/>
    <w:rsid w:val="001C4F15"/>
    <w:rsid w:val="001C518B"/>
    <w:rsid w:val="001C5AFC"/>
    <w:rsid w:val="001C5E8A"/>
    <w:rsid w:val="001C6138"/>
    <w:rsid w:val="001C6BDE"/>
    <w:rsid w:val="001C7219"/>
    <w:rsid w:val="001D0981"/>
    <w:rsid w:val="001D0C9B"/>
    <w:rsid w:val="001D1933"/>
    <w:rsid w:val="001D2B81"/>
    <w:rsid w:val="001D32A7"/>
    <w:rsid w:val="001D3A9C"/>
    <w:rsid w:val="001D3D15"/>
    <w:rsid w:val="001D4670"/>
    <w:rsid w:val="001D4855"/>
    <w:rsid w:val="001D4A57"/>
    <w:rsid w:val="001D4D54"/>
    <w:rsid w:val="001D5065"/>
    <w:rsid w:val="001D525D"/>
    <w:rsid w:val="001D5ABA"/>
    <w:rsid w:val="001D7587"/>
    <w:rsid w:val="001D7933"/>
    <w:rsid w:val="001E0717"/>
    <w:rsid w:val="001E0748"/>
    <w:rsid w:val="001E0D7E"/>
    <w:rsid w:val="001E0DDE"/>
    <w:rsid w:val="001E1705"/>
    <w:rsid w:val="001E19F2"/>
    <w:rsid w:val="001E1CE1"/>
    <w:rsid w:val="001E3272"/>
    <w:rsid w:val="001E476E"/>
    <w:rsid w:val="001E4986"/>
    <w:rsid w:val="001E50BF"/>
    <w:rsid w:val="001E63C7"/>
    <w:rsid w:val="001E65BA"/>
    <w:rsid w:val="001E6702"/>
    <w:rsid w:val="001E6838"/>
    <w:rsid w:val="001E683F"/>
    <w:rsid w:val="001E6941"/>
    <w:rsid w:val="001E72F6"/>
    <w:rsid w:val="001E75C7"/>
    <w:rsid w:val="001E7E03"/>
    <w:rsid w:val="001E7FCB"/>
    <w:rsid w:val="001F01BE"/>
    <w:rsid w:val="001F0CF8"/>
    <w:rsid w:val="001F0DE0"/>
    <w:rsid w:val="001F1042"/>
    <w:rsid w:val="001F2178"/>
    <w:rsid w:val="001F26E5"/>
    <w:rsid w:val="001F2DE3"/>
    <w:rsid w:val="001F314A"/>
    <w:rsid w:val="001F4FE1"/>
    <w:rsid w:val="001F4FE8"/>
    <w:rsid w:val="001F525E"/>
    <w:rsid w:val="001F5369"/>
    <w:rsid w:val="001F5456"/>
    <w:rsid w:val="001F686D"/>
    <w:rsid w:val="001F712D"/>
    <w:rsid w:val="001F7898"/>
    <w:rsid w:val="00200DC5"/>
    <w:rsid w:val="00201434"/>
    <w:rsid w:val="00201A0C"/>
    <w:rsid w:val="00203DFB"/>
    <w:rsid w:val="00205683"/>
    <w:rsid w:val="0020619D"/>
    <w:rsid w:val="00206DAE"/>
    <w:rsid w:val="002078C9"/>
    <w:rsid w:val="00207DF8"/>
    <w:rsid w:val="002103A9"/>
    <w:rsid w:val="00210828"/>
    <w:rsid w:val="002110CC"/>
    <w:rsid w:val="002110E1"/>
    <w:rsid w:val="00211727"/>
    <w:rsid w:val="0021186E"/>
    <w:rsid w:val="00211EE4"/>
    <w:rsid w:val="002121B9"/>
    <w:rsid w:val="00212823"/>
    <w:rsid w:val="00212EFF"/>
    <w:rsid w:val="00213047"/>
    <w:rsid w:val="002136EF"/>
    <w:rsid w:val="0021386E"/>
    <w:rsid w:val="00214488"/>
    <w:rsid w:val="00214B83"/>
    <w:rsid w:val="00214FFB"/>
    <w:rsid w:val="00215657"/>
    <w:rsid w:val="00215D3F"/>
    <w:rsid w:val="00215E76"/>
    <w:rsid w:val="00215EF8"/>
    <w:rsid w:val="00216239"/>
    <w:rsid w:val="002162C1"/>
    <w:rsid w:val="00216837"/>
    <w:rsid w:val="002169E0"/>
    <w:rsid w:val="00216F04"/>
    <w:rsid w:val="00217BF2"/>
    <w:rsid w:val="00220671"/>
    <w:rsid w:val="00220791"/>
    <w:rsid w:val="002208C4"/>
    <w:rsid w:val="0022101E"/>
    <w:rsid w:val="002211BC"/>
    <w:rsid w:val="002218AE"/>
    <w:rsid w:val="002218C1"/>
    <w:rsid w:val="002229CF"/>
    <w:rsid w:val="002234B4"/>
    <w:rsid w:val="00223CA2"/>
    <w:rsid w:val="00224174"/>
    <w:rsid w:val="00224612"/>
    <w:rsid w:val="00225294"/>
    <w:rsid w:val="00225490"/>
    <w:rsid w:val="00225B44"/>
    <w:rsid w:val="002260A0"/>
    <w:rsid w:val="002260CA"/>
    <w:rsid w:val="00226592"/>
    <w:rsid w:val="0022691E"/>
    <w:rsid w:val="002269C2"/>
    <w:rsid w:val="0022783B"/>
    <w:rsid w:val="0022789E"/>
    <w:rsid w:val="00231B8A"/>
    <w:rsid w:val="00231F97"/>
    <w:rsid w:val="002320CF"/>
    <w:rsid w:val="00232C1D"/>
    <w:rsid w:val="002335E0"/>
    <w:rsid w:val="0023374B"/>
    <w:rsid w:val="0023444B"/>
    <w:rsid w:val="00234F46"/>
    <w:rsid w:val="00235EF7"/>
    <w:rsid w:val="00236F96"/>
    <w:rsid w:val="00237B9B"/>
    <w:rsid w:val="00237DF2"/>
    <w:rsid w:val="002405ED"/>
    <w:rsid w:val="00240D52"/>
    <w:rsid w:val="00240EC9"/>
    <w:rsid w:val="00241EE2"/>
    <w:rsid w:val="002422CA"/>
    <w:rsid w:val="0024313D"/>
    <w:rsid w:val="00243EF9"/>
    <w:rsid w:val="00244B2C"/>
    <w:rsid w:val="002459C2"/>
    <w:rsid w:val="00246653"/>
    <w:rsid w:val="00246832"/>
    <w:rsid w:val="00246E77"/>
    <w:rsid w:val="00247308"/>
    <w:rsid w:val="00250615"/>
    <w:rsid w:val="002515EE"/>
    <w:rsid w:val="0025247F"/>
    <w:rsid w:val="002526D4"/>
    <w:rsid w:val="00252BE4"/>
    <w:rsid w:val="00252C9B"/>
    <w:rsid w:val="00252E5E"/>
    <w:rsid w:val="002547DB"/>
    <w:rsid w:val="00255450"/>
    <w:rsid w:val="002554F9"/>
    <w:rsid w:val="00256FBE"/>
    <w:rsid w:val="002575E4"/>
    <w:rsid w:val="0026015D"/>
    <w:rsid w:val="00261134"/>
    <w:rsid w:val="00261174"/>
    <w:rsid w:val="002616DA"/>
    <w:rsid w:val="002617F6"/>
    <w:rsid w:val="00263907"/>
    <w:rsid w:val="00263958"/>
    <w:rsid w:val="0026499D"/>
    <w:rsid w:val="00264CAD"/>
    <w:rsid w:val="0026572D"/>
    <w:rsid w:val="002670F1"/>
    <w:rsid w:val="002671AF"/>
    <w:rsid w:val="0026787D"/>
    <w:rsid w:val="0026788E"/>
    <w:rsid w:val="00272799"/>
    <w:rsid w:val="00272C37"/>
    <w:rsid w:val="00273857"/>
    <w:rsid w:val="002741A1"/>
    <w:rsid w:val="0027478E"/>
    <w:rsid w:val="00274870"/>
    <w:rsid w:val="00274A1D"/>
    <w:rsid w:val="00275071"/>
    <w:rsid w:val="002751B8"/>
    <w:rsid w:val="00275848"/>
    <w:rsid w:val="002764E1"/>
    <w:rsid w:val="00276D72"/>
    <w:rsid w:val="002773CA"/>
    <w:rsid w:val="0028025C"/>
    <w:rsid w:val="00280322"/>
    <w:rsid w:val="0028067B"/>
    <w:rsid w:val="00280B77"/>
    <w:rsid w:val="00280C0B"/>
    <w:rsid w:val="00281576"/>
    <w:rsid w:val="0028163F"/>
    <w:rsid w:val="00281A64"/>
    <w:rsid w:val="00281AF4"/>
    <w:rsid w:val="00281CA3"/>
    <w:rsid w:val="00282788"/>
    <w:rsid w:val="00282976"/>
    <w:rsid w:val="00282F1C"/>
    <w:rsid w:val="00283FD8"/>
    <w:rsid w:val="002851AD"/>
    <w:rsid w:val="002903A6"/>
    <w:rsid w:val="00290572"/>
    <w:rsid w:val="002908F4"/>
    <w:rsid w:val="00291230"/>
    <w:rsid w:val="0029255A"/>
    <w:rsid w:val="00292FCD"/>
    <w:rsid w:val="002930B9"/>
    <w:rsid w:val="002931ED"/>
    <w:rsid w:val="00293CC6"/>
    <w:rsid w:val="00293F0C"/>
    <w:rsid w:val="002940AA"/>
    <w:rsid w:val="00295BA6"/>
    <w:rsid w:val="00297680"/>
    <w:rsid w:val="00297DF4"/>
    <w:rsid w:val="002A0B03"/>
    <w:rsid w:val="002A0BDA"/>
    <w:rsid w:val="002A1E20"/>
    <w:rsid w:val="002A1F2A"/>
    <w:rsid w:val="002A210E"/>
    <w:rsid w:val="002A229B"/>
    <w:rsid w:val="002A2EC1"/>
    <w:rsid w:val="002A3966"/>
    <w:rsid w:val="002A4A95"/>
    <w:rsid w:val="002A5BDB"/>
    <w:rsid w:val="002A627A"/>
    <w:rsid w:val="002A6645"/>
    <w:rsid w:val="002A6850"/>
    <w:rsid w:val="002A6BEA"/>
    <w:rsid w:val="002A746E"/>
    <w:rsid w:val="002A76CD"/>
    <w:rsid w:val="002A7862"/>
    <w:rsid w:val="002A7AED"/>
    <w:rsid w:val="002B00A9"/>
    <w:rsid w:val="002B03EC"/>
    <w:rsid w:val="002B171F"/>
    <w:rsid w:val="002B1C28"/>
    <w:rsid w:val="002B1CB3"/>
    <w:rsid w:val="002B2776"/>
    <w:rsid w:val="002B3659"/>
    <w:rsid w:val="002B39C3"/>
    <w:rsid w:val="002B3DB8"/>
    <w:rsid w:val="002B4D7B"/>
    <w:rsid w:val="002B50C9"/>
    <w:rsid w:val="002B5105"/>
    <w:rsid w:val="002B5D36"/>
    <w:rsid w:val="002B5D84"/>
    <w:rsid w:val="002B61F1"/>
    <w:rsid w:val="002B6C5C"/>
    <w:rsid w:val="002B796C"/>
    <w:rsid w:val="002C0025"/>
    <w:rsid w:val="002C0ED2"/>
    <w:rsid w:val="002C12C8"/>
    <w:rsid w:val="002C21EC"/>
    <w:rsid w:val="002C3551"/>
    <w:rsid w:val="002C5439"/>
    <w:rsid w:val="002C5466"/>
    <w:rsid w:val="002C5A66"/>
    <w:rsid w:val="002C5C6D"/>
    <w:rsid w:val="002C670F"/>
    <w:rsid w:val="002C6761"/>
    <w:rsid w:val="002C68D2"/>
    <w:rsid w:val="002C779F"/>
    <w:rsid w:val="002D0DE6"/>
    <w:rsid w:val="002D0DF6"/>
    <w:rsid w:val="002D2131"/>
    <w:rsid w:val="002D21E0"/>
    <w:rsid w:val="002D23F4"/>
    <w:rsid w:val="002D2403"/>
    <w:rsid w:val="002D2479"/>
    <w:rsid w:val="002D24D4"/>
    <w:rsid w:val="002D2876"/>
    <w:rsid w:val="002D28A8"/>
    <w:rsid w:val="002D28D1"/>
    <w:rsid w:val="002D2EA7"/>
    <w:rsid w:val="002D2EE3"/>
    <w:rsid w:val="002D3143"/>
    <w:rsid w:val="002D3A69"/>
    <w:rsid w:val="002D423B"/>
    <w:rsid w:val="002D4A95"/>
    <w:rsid w:val="002D4B54"/>
    <w:rsid w:val="002D4FDB"/>
    <w:rsid w:val="002D5216"/>
    <w:rsid w:val="002D5327"/>
    <w:rsid w:val="002D58B3"/>
    <w:rsid w:val="002D670D"/>
    <w:rsid w:val="002D6AFC"/>
    <w:rsid w:val="002D6D34"/>
    <w:rsid w:val="002D7E2E"/>
    <w:rsid w:val="002E03CD"/>
    <w:rsid w:val="002E05D1"/>
    <w:rsid w:val="002E0E30"/>
    <w:rsid w:val="002E13A0"/>
    <w:rsid w:val="002E1CF4"/>
    <w:rsid w:val="002E32C5"/>
    <w:rsid w:val="002E3394"/>
    <w:rsid w:val="002E4486"/>
    <w:rsid w:val="002E46AC"/>
    <w:rsid w:val="002E47AB"/>
    <w:rsid w:val="002E4A94"/>
    <w:rsid w:val="002E4D3E"/>
    <w:rsid w:val="002E6143"/>
    <w:rsid w:val="002E6AEB"/>
    <w:rsid w:val="002E734C"/>
    <w:rsid w:val="002E7B86"/>
    <w:rsid w:val="002E7BD2"/>
    <w:rsid w:val="002F08B5"/>
    <w:rsid w:val="002F1809"/>
    <w:rsid w:val="002F1942"/>
    <w:rsid w:val="002F1D4E"/>
    <w:rsid w:val="002F2352"/>
    <w:rsid w:val="002F2946"/>
    <w:rsid w:val="002F2953"/>
    <w:rsid w:val="002F3952"/>
    <w:rsid w:val="002F432C"/>
    <w:rsid w:val="002F4A66"/>
    <w:rsid w:val="002F4E34"/>
    <w:rsid w:val="002F4EBE"/>
    <w:rsid w:val="002F5F29"/>
    <w:rsid w:val="002F619C"/>
    <w:rsid w:val="002F6453"/>
    <w:rsid w:val="002F68ED"/>
    <w:rsid w:val="002F6D1E"/>
    <w:rsid w:val="002F7222"/>
    <w:rsid w:val="002F7CF4"/>
    <w:rsid w:val="002F7EC0"/>
    <w:rsid w:val="0030030D"/>
    <w:rsid w:val="0030094F"/>
    <w:rsid w:val="00301981"/>
    <w:rsid w:val="00303D46"/>
    <w:rsid w:val="0030423B"/>
    <w:rsid w:val="00304261"/>
    <w:rsid w:val="00304FD7"/>
    <w:rsid w:val="003053C8"/>
    <w:rsid w:val="00305D51"/>
    <w:rsid w:val="00305DC5"/>
    <w:rsid w:val="00305E41"/>
    <w:rsid w:val="00306AFB"/>
    <w:rsid w:val="00306FDF"/>
    <w:rsid w:val="003072D5"/>
    <w:rsid w:val="00307606"/>
    <w:rsid w:val="00307BB7"/>
    <w:rsid w:val="00310096"/>
    <w:rsid w:val="00310BC6"/>
    <w:rsid w:val="003114FE"/>
    <w:rsid w:val="00311676"/>
    <w:rsid w:val="00311ACA"/>
    <w:rsid w:val="00311E9A"/>
    <w:rsid w:val="00312093"/>
    <w:rsid w:val="003128E9"/>
    <w:rsid w:val="00312B25"/>
    <w:rsid w:val="0031311A"/>
    <w:rsid w:val="00313D6E"/>
    <w:rsid w:val="00314129"/>
    <w:rsid w:val="00314F04"/>
    <w:rsid w:val="003154EA"/>
    <w:rsid w:val="003157C3"/>
    <w:rsid w:val="00315D2D"/>
    <w:rsid w:val="0031625B"/>
    <w:rsid w:val="0031629E"/>
    <w:rsid w:val="00316B8F"/>
    <w:rsid w:val="0031714B"/>
    <w:rsid w:val="00317D66"/>
    <w:rsid w:val="00317E0A"/>
    <w:rsid w:val="00320139"/>
    <w:rsid w:val="003208F7"/>
    <w:rsid w:val="00320BF3"/>
    <w:rsid w:val="00321E5C"/>
    <w:rsid w:val="00322228"/>
    <w:rsid w:val="0032271F"/>
    <w:rsid w:val="00322A26"/>
    <w:rsid w:val="00322D14"/>
    <w:rsid w:val="00323489"/>
    <w:rsid w:val="003235BD"/>
    <w:rsid w:val="00323755"/>
    <w:rsid w:val="00323D3A"/>
    <w:rsid w:val="00324025"/>
    <w:rsid w:val="0032462C"/>
    <w:rsid w:val="00324BE7"/>
    <w:rsid w:val="00325745"/>
    <w:rsid w:val="00326583"/>
    <w:rsid w:val="00326A4F"/>
    <w:rsid w:val="00326C02"/>
    <w:rsid w:val="00327721"/>
    <w:rsid w:val="00327E99"/>
    <w:rsid w:val="00330813"/>
    <w:rsid w:val="00331320"/>
    <w:rsid w:val="0033145E"/>
    <w:rsid w:val="003314A9"/>
    <w:rsid w:val="00331D7A"/>
    <w:rsid w:val="0033258C"/>
    <w:rsid w:val="0033297A"/>
    <w:rsid w:val="003329B9"/>
    <w:rsid w:val="00332EEC"/>
    <w:rsid w:val="003333D5"/>
    <w:rsid w:val="00333424"/>
    <w:rsid w:val="003339CC"/>
    <w:rsid w:val="00333C9A"/>
    <w:rsid w:val="0033483F"/>
    <w:rsid w:val="00335620"/>
    <w:rsid w:val="00335C83"/>
    <w:rsid w:val="003362B8"/>
    <w:rsid w:val="00336A04"/>
    <w:rsid w:val="0033736F"/>
    <w:rsid w:val="003373AD"/>
    <w:rsid w:val="00337560"/>
    <w:rsid w:val="00337AC7"/>
    <w:rsid w:val="00337CEA"/>
    <w:rsid w:val="0034103C"/>
    <w:rsid w:val="00341F0C"/>
    <w:rsid w:val="00342174"/>
    <w:rsid w:val="003428A3"/>
    <w:rsid w:val="0034321F"/>
    <w:rsid w:val="003435A2"/>
    <w:rsid w:val="00343789"/>
    <w:rsid w:val="00343869"/>
    <w:rsid w:val="00343930"/>
    <w:rsid w:val="0034519A"/>
    <w:rsid w:val="00345E06"/>
    <w:rsid w:val="00345E85"/>
    <w:rsid w:val="0034672C"/>
    <w:rsid w:val="00346C04"/>
    <w:rsid w:val="00347637"/>
    <w:rsid w:val="00347D4B"/>
    <w:rsid w:val="00350900"/>
    <w:rsid w:val="003525D9"/>
    <w:rsid w:val="00353E0A"/>
    <w:rsid w:val="0035419D"/>
    <w:rsid w:val="0035440A"/>
    <w:rsid w:val="00355270"/>
    <w:rsid w:val="00356118"/>
    <w:rsid w:val="0035626F"/>
    <w:rsid w:val="00356FE6"/>
    <w:rsid w:val="00357D2A"/>
    <w:rsid w:val="00360A77"/>
    <w:rsid w:val="00361918"/>
    <w:rsid w:val="00361D92"/>
    <w:rsid w:val="00361E24"/>
    <w:rsid w:val="003629F2"/>
    <w:rsid w:val="00363E10"/>
    <w:rsid w:val="003640CB"/>
    <w:rsid w:val="00364A10"/>
    <w:rsid w:val="00364EA7"/>
    <w:rsid w:val="003657B3"/>
    <w:rsid w:val="003658F6"/>
    <w:rsid w:val="00366EA8"/>
    <w:rsid w:val="00367344"/>
    <w:rsid w:val="00367407"/>
    <w:rsid w:val="00367858"/>
    <w:rsid w:val="00367A0A"/>
    <w:rsid w:val="00372493"/>
    <w:rsid w:val="003726A0"/>
    <w:rsid w:val="00372CC0"/>
    <w:rsid w:val="00372E49"/>
    <w:rsid w:val="0037476E"/>
    <w:rsid w:val="003748BB"/>
    <w:rsid w:val="00374B55"/>
    <w:rsid w:val="0037517C"/>
    <w:rsid w:val="003752AF"/>
    <w:rsid w:val="003753A6"/>
    <w:rsid w:val="003759EB"/>
    <w:rsid w:val="00375FFA"/>
    <w:rsid w:val="003763FE"/>
    <w:rsid w:val="0037650B"/>
    <w:rsid w:val="00376C89"/>
    <w:rsid w:val="00376DF7"/>
    <w:rsid w:val="0037727E"/>
    <w:rsid w:val="0038002A"/>
    <w:rsid w:val="00380060"/>
    <w:rsid w:val="0038007F"/>
    <w:rsid w:val="0038009E"/>
    <w:rsid w:val="00380340"/>
    <w:rsid w:val="00381618"/>
    <w:rsid w:val="003817D5"/>
    <w:rsid w:val="00381F79"/>
    <w:rsid w:val="003821DF"/>
    <w:rsid w:val="00383703"/>
    <w:rsid w:val="00383A37"/>
    <w:rsid w:val="003848AB"/>
    <w:rsid w:val="003855EE"/>
    <w:rsid w:val="003856A4"/>
    <w:rsid w:val="003856A9"/>
    <w:rsid w:val="00385BF0"/>
    <w:rsid w:val="00385DE6"/>
    <w:rsid w:val="003865F6"/>
    <w:rsid w:val="00387BF4"/>
    <w:rsid w:val="00387E47"/>
    <w:rsid w:val="00390090"/>
    <w:rsid w:val="0039061D"/>
    <w:rsid w:val="003907D1"/>
    <w:rsid w:val="0039089C"/>
    <w:rsid w:val="0039093A"/>
    <w:rsid w:val="0039409A"/>
    <w:rsid w:val="00394289"/>
    <w:rsid w:val="00394CD6"/>
    <w:rsid w:val="00395BCD"/>
    <w:rsid w:val="00396096"/>
    <w:rsid w:val="00396759"/>
    <w:rsid w:val="00396BE3"/>
    <w:rsid w:val="0039743E"/>
    <w:rsid w:val="00397D1C"/>
    <w:rsid w:val="00397FAD"/>
    <w:rsid w:val="003A0090"/>
    <w:rsid w:val="003A0A0C"/>
    <w:rsid w:val="003A0A95"/>
    <w:rsid w:val="003A0F1C"/>
    <w:rsid w:val="003A1813"/>
    <w:rsid w:val="003A1FF4"/>
    <w:rsid w:val="003A2318"/>
    <w:rsid w:val="003A2445"/>
    <w:rsid w:val="003A253D"/>
    <w:rsid w:val="003A29B0"/>
    <w:rsid w:val="003A434A"/>
    <w:rsid w:val="003A5734"/>
    <w:rsid w:val="003A5B88"/>
    <w:rsid w:val="003A6387"/>
    <w:rsid w:val="003A6DE7"/>
    <w:rsid w:val="003A7830"/>
    <w:rsid w:val="003A7E02"/>
    <w:rsid w:val="003B0A61"/>
    <w:rsid w:val="003B10F1"/>
    <w:rsid w:val="003B1C0C"/>
    <w:rsid w:val="003B1FDC"/>
    <w:rsid w:val="003B2DA8"/>
    <w:rsid w:val="003B349B"/>
    <w:rsid w:val="003B3955"/>
    <w:rsid w:val="003B40C7"/>
    <w:rsid w:val="003B4165"/>
    <w:rsid w:val="003B432D"/>
    <w:rsid w:val="003B487D"/>
    <w:rsid w:val="003B4FC2"/>
    <w:rsid w:val="003B55BA"/>
    <w:rsid w:val="003B5CB5"/>
    <w:rsid w:val="003B67CB"/>
    <w:rsid w:val="003B6EDD"/>
    <w:rsid w:val="003B7197"/>
    <w:rsid w:val="003B7871"/>
    <w:rsid w:val="003C043A"/>
    <w:rsid w:val="003C04ED"/>
    <w:rsid w:val="003C15CE"/>
    <w:rsid w:val="003C1916"/>
    <w:rsid w:val="003C197D"/>
    <w:rsid w:val="003C1B36"/>
    <w:rsid w:val="003C222F"/>
    <w:rsid w:val="003C244E"/>
    <w:rsid w:val="003C2B48"/>
    <w:rsid w:val="003C3390"/>
    <w:rsid w:val="003C3A90"/>
    <w:rsid w:val="003C4A15"/>
    <w:rsid w:val="003C4F66"/>
    <w:rsid w:val="003C521C"/>
    <w:rsid w:val="003C5A70"/>
    <w:rsid w:val="003C680E"/>
    <w:rsid w:val="003C68B7"/>
    <w:rsid w:val="003C6E8A"/>
    <w:rsid w:val="003C765E"/>
    <w:rsid w:val="003C7677"/>
    <w:rsid w:val="003C7B6A"/>
    <w:rsid w:val="003C7E90"/>
    <w:rsid w:val="003D02BC"/>
    <w:rsid w:val="003D0E6E"/>
    <w:rsid w:val="003D0F33"/>
    <w:rsid w:val="003D1A7A"/>
    <w:rsid w:val="003D2490"/>
    <w:rsid w:val="003D249E"/>
    <w:rsid w:val="003D2AD6"/>
    <w:rsid w:val="003D2B43"/>
    <w:rsid w:val="003D3A11"/>
    <w:rsid w:val="003D3E0A"/>
    <w:rsid w:val="003D520C"/>
    <w:rsid w:val="003D5351"/>
    <w:rsid w:val="003D5610"/>
    <w:rsid w:val="003D5714"/>
    <w:rsid w:val="003D58A5"/>
    <w:rsid w:val="003D5AC5"/>
    <w:rsid w:val="003D5E37"/>
    <w:rsid w:val="003D6133"/>
    <w:rsid w:val="003D64B3"/>
    <w:rsid w:val="003D65F0"/>
    <w:rsid w:val="003D665C"/>
    <w:rsid w:val="003D6C22"/>
    <w:rsid w:val="003D6FA3"/>
    <w:rsid w:val="003D72AF"/>
    <w:rsid w:val="003E0002"/>
    <w:rsid w:val="003E0778"/>
    <w:rsid w:val="003E0998"/>
    <w:rsid w:val="003E0C17"/>
    <w:rsid w:val="003E1CB8"/>
    <w:rsid w:val="003E21E5"/>
    <w:rsid w:val="003E259E"/>
    <w:rsid w:val="003E28DB"/>
    <w:rsid w:val="003E2AC9"/>
    <w:rsid w:val="003E2BA7"/>
    <w:rsid w:val="003E30F3"/>
    <w:rsid w:val="003E382B"/>
    <w:rsid w:val="003E3B66"/>
    <w:rsid w:val="003E3C60"/>
    <w:rsid w:val="003E3CC0"/>
    <w:rsid w:val="003E43BC"/>
    <w:rsid w:val="003E4F66"/>
    <w:rsid w:val="003E5EC4"/>
    <w:rsid w:val="003E5F80"/>
    <w:rsid w:val="003E60C6"/>
    <w:rsid w:val="003E61B3"/>
    <w:rsid w:val="003E65C4"/>
    <w:rsid w:val="003E7996"/>
    <w:rsid w:val="003E7BD0"/>
    <w:rsid w:val="003E7C4C"/>
    <w:rsid w:val="003F03DB"/>
    <w:rsid w:val="003F1370"/>
    <w:rsid w:val="003F1FAD"/>
    <w:rsid w:val="003F207B"/>
    <w:rsid w:val="003F365C"/>
    <w:rsid w:val="003F3FEE"/>
    <w:rsid w:val="003F3FF3"/>
    <w:rsid w:val="003F4B02"/>
    <w:rsid w:val="003F4EF2"/>
    <w:rsid w:val="003F58D9"/>
    <w:rsid w:val="003F59AF"/>
    <w:rsid w:val="003F5F41"/>
    <w:rsid w:val="003F707D"/>
    <w:rsid w:val="003F7212"/>
    <w:rsid w:val="003F727B"/>
    <w:rsid w:val="003F7380"/>
    <w:rsid w:val="003F7723"/>
    <w:rsid w:val="003F7983"/>
    <w:rsid w:val="003F7A59"/>
    <w:rsid w:val="0040184D"/>
    <w:rsid w:val="00401D34"/>
    <w:rsid w:val="00402623"/>
    <w:rsid w:val="00402B1F"/>
    <w:rsid w:val="004035BB"/>
    <w:rsid w:val="00403EA6"/>
    <w:rsid w:val="00404036"/>
    <w:rsid w:val="00404676"/>
    <w:rsid w:val="0040470D"/>
    <w:rsid w:val="00404B94"/>
    <w:rsid w:val="0040527B"/>
    <w:rsid w:val="0040582E"/>
    <w:rsid w:val="00406759"/>
    <w:rsid w:val="0040697A"/>
    <w:rsid w:val="00406D11"/>
    <w:rsid w:val="00407070"/>
    <w:rsid w:val="00407D2C"/>
    <w:rsid w:val="0041076A"/>
    <w:rsid w:val="00410960"/>
    <w:rsid w:val="00410B3B"/>
    <w:rsid w:val="0041143B"/>
    <w:rsid w:val="00411C8E"/>
    <w:rsid w:val="00411E46"/>
    <w:rsid w:val="00411EDC"/>
    <w:rsid w:val="0041257F"/>
    <w:rsid w:val="00412AAE"/>
    <w:rsid w:val="00412E00"/>
    <w:rsid w:val="004130AC"/>
    <w:rsid w:val="004135E4"/>
    <w:rsid w:val="00413F29"/>
    <w:rsid w:val="004157B2"/>
    <w:rsid w:val="00415B5F"/>
    <w:rsid w:val="00416288"/>
    <w:rsid w:val="00417413"/>
    <w:rsid w:val="00417521"/>
    <w:rsid w:val="004177B1"/>
    <w:rsid w:val="00417A73"/>
    <w:rsid w:val="00417E6E"/>
    <w:rsid w:val="00417EFF"/>
    <w:rsid w:val="00420AB6"/>
    <w:rsid w:val="00420D39"/>
    <w:rsid w:val="00420F81"/>
    <w:rsid w:val="0042124F"/>
    <w:rsid w:val="00422357"/>
    <w:rsid w:val="004251DC"/>
    <w:rsid w:val="00425217"/>
    <w:rsid w:val="00425C5E"/>
    <w:rsid w:val="00425E69"/>
    <w:rsid w:val="004263B6"/>
    <w:rsid w:val="00426936"/>
    <w:rsid w:val="00426D0B"/>
    <w:rsid w:val="00426E45"/>
    <w:rsid w:val="004271E0"/>
    <w:rsid w:val="004304CC"/>
    <w:rsid w:val="00430932"/>
    <w:rsid w:val="0043113C"/>
    <w:rsid w:val="004311AA"/>
    <w:rsid w:val="00432E81"/>
    <w:rsid w:val="00433ED4"/>
    <w:rsid w:val="00433F53"/>
    <w:rsid w:val="004340C1"/>
    <w:rsid w:val="00434147"/>
    <w:rsid w:val="0043534D"/>
    <w:rsid w:val="0043656C"/>
    <w:rsid w:val="0043656D"/>
    <w:rsid w:val="00437569"/>
    <w:rsid w:val="004401FB"/>
    <w:rsid w:val="00440D82"/>
    <w:rsid w:val="00440FB1"/>
    <w:rsid w:val="00441796"/>
    <w:rsid w:val="00441C77"/>
    <w:rsid w:val="00442FB2"/>
    <w:rsid w:val="00444676"/>
    <w:rsid w:val="00445145"/>
    <w:rsid w:val="00445219"/>
    <w:rsid w:val="00445ACF"/>
    <w:rsid w:val="00445BF9"/>
    <w:rsid w:val="00445F9C"/>
    <w:rsid w:val="00446309"/>
    <w:rsid w:val="00446651"/>
    <w:rsid w:val="004469EC"/>
    <w:rsid w:val="00446BE2"/>
    <w:rsid w:val="0044726F"/>
    <w:rsid w:val="004476A9"/>
    <w:rsid w:val="004479CF"/>
    <w:rsid w:val="00450964"/>
    <w:rsid w:val="00451098"/>
    <w:rsid w:val="004518DC"/>
    <w:rsid w:val="00451A25"/>
    <w:rsid w:val="00451B56"/>
    <w:rsid w:val="00452650"/>
    <w:rsid w:val="004534F5"/>
    <w:rsid w:val="00454365"/>
    <w:rsid w:val="0045456E"/>
    <w:rsid w:val="004549AC"/>
    <w:rsid w:val="00454A4D"/>
    <w:rsid w:val="00454B83"/>
    <w:rsid w:val="0045616B"/>
    <w:rsid w:val="004562DD"/>
    <w:rsid w:val="004567C5"/>
    <w:rsid w:val="00456954"/>
    <w:rsid w:val="0045769C"/>
    <w:rsid w:val="0046005D"/>
    <w:rsid w:val="00460147"/>
    <w:rsid w:val="00461070"/>
    <w:rsid w:val="00461530"/>
    <w:rsid w:val="00461720"/>
    <w:rsid w:val="00461772"/>
    <w:rsid w:val="004626FC"/>
    <w:rsid w:val="00462FC8"/>
    <w:rsid w:val="0046338C"/>
    <w:rsid w:val="00463B9A"/>
    <w:rsid w:val="004655D2"/>
    <w:rsid w:val="0046645C"/>
    <w:rsid w:val="00466718"/>
    <w:rsid w:val="00466BFB"/>
    <w:rsid w:val="00467EC3"/>
    <w:rsid w:val="00470556"/>
    <w:rsid w:val="00470AC8"/>
    <w:rsid w:val="00471D19"/>
    <w:rsid w:val="00471E47"/>
    <w:rsid w:val="00472D8A"/>
    <w:rsid w:val="004732CF"/>
    <w:rsid w:val="0047358B"/>
    <w:rsid w:val="00473A0B"/>
    <w:rsid w:val="00473E35"/>
    <w:rsid w:val="0047417A"/>
    <w:rsid w:val="00474C8F"/>
    <w:rsid w:val="00476472"/>
    <w:rsid w:val="0047686B"/>
    <w:rsid w:val="00476AFF"/>
    <w:rsid w:val="0048061D"/>
    <w:rsid w:val="00481080"/>
    <w:rsid w:val="004813CA"/>
    <w:rsid w:val="0048202A"/>
    <w:rsid w:val="00482267"/>
    <w:rsid w:val="004829F0"/>
    <w:rsid w:val="00483883"/>
    <w:rsid w:val="00483907"/>
    <w:rsid w:val="004852C2"/>
    <w:rsid w:val="00485415"/>
    <w:rsid w:val="004858F2"/>
    <w:rsid w:val="0048609C"/>
    <w:rsid w:val="0048634B"/>
    <w:rsid w:val="00486E0A"/>
    <w:rsid w:val="0048735C"/>
    <w:rsid w:val="004875C3"/>
    <w:rsid w:val="00487F7C"/>
    <w:rsid w:val="00490475"/>
    <w:rsid w:val="00490553"/>
    <w:rsid w:val="00491513"/>
    <w:rsid w:val="00491933"/>
    <w:rsid w:val="00491C60"/>
    <w:rsid w:val="00492BF4"/>
    <w:rsid w:val="0049308C"/>
    <w:rsid w:val="004930C1"/>
    <w:rsid w:val="004931E0"/>
    <w:rsid w:val="00493419"/>
    <w:rsid w:val="0049370C"/>
    <w:rsid w:val="004942A5"/>
    <w:rsid w:val="0049568D"/>
    <w:rsid w:val="004957EF"/>
    <w:rsid w:val="004958A3"/>
    <w:rsid w:val="00495B02"/>
    <w:rsid w:val="00496B1B"/>
    <w:rsid w:val="00496F33"/>
    <w:rsid w:val="004970ED"/>
    <w:rsid w:val="004978A3"/>
    <w:rsid w:val="004A0C83"/>
    <w:rsid w:val="004A1142"/>
    <w:rsid w:val="004A1432"/>
    <w:rsid w:val="004A17FA"/>
    <w:rsid w:val="004A1870"/>
    <w:rsid w:val="004A1ACD"/>
    <w:rsid w:val="004A1FA3"/>
    <w:rsid w:val="004A42FA"/>
    <w:rsid w:val="004A4D97"/>
    <w:rsid w:val="004A53E9"/>
    <w:rsid w:val="004A6023"/>
    <w:rsid w:val="004A60D4"/>
    <w:rsid w:val="004A63E7"/>
    <w:rsid w:val="004A7920"/>
    <w:rsid w:val="004A7C29"/>
    <w:rsid w:val="004B0202"/>
    <w:rsid w:val="004B15A2"/>
    <w:rsid w:val="004B1D35"/>
    <w:rsid w:val="004B22DE"/>
    <w:rsid w:val="004B2B5F"/>
    <w:rsid w:val="004B3452"/>
    <w:rsid w:val="004B5C5B"/>
    <w:rsid w:val="004B5F76"/>
    <w:rsid w:val="004B607C"/>
    <w:rsid w:val="004B69E3"/>
    <w:rsid w:val="004C0036"/>
    <w:rsid w:val="004C0986"/>
    <w:rsid w:val="004C0A33"/>
    <w:rsid w:val="004C0E95"/>
    <w:rsid w:val="004C0F44"/>
    <w:rsid w:val="004C0FD5"/>
    <w:rsid w:val="004C1B61"/>
    <w:rsid w:val="004C208D"/>
    <w:rsid w:val="004C24EB"/>
    <w:rsid w:val="004C28CE"/>
    <w:rsid w:val="004C3659"/>
    <w:rsid w:val="004C3AF0"/>
    <w:rsid w:val="004C3FBC"/>
    <w:rsid w:val="004C514B"/>
    <w:rsid w:val="004C54AF"/>
    <w:rsid w:val="004C5CD4"/>
    <w:rsid w:val="004C5EE3"/>
    <w:rsid w:val="004C5FF3"/>
    <w:rsid w:val="004C69F2"/>
    <w:rsid w:val="004C7A34"/>
    <w:rsid w:val="004D02F5"/>
    <w:rsid w:val="004D17EC"/>
    <w:rsid w:val="004D2F68"/>
    <w:rsid w:val="004D3084"/>
    <w:rsid w:val="004D3982"/>
    <w:rsid w:val="004D3F22"/>
    <w:rsid w:val="004D455D"/>
    <w:rsid w:val="004D4899"/>
    <w:rsid w:val="004D49EA"/>
    <w:rsid w:val="004D57EA"/>
    <w:rsid w:val="004D57F1"/>
    <w:rsid w:val="004D6476"/>
    <w:rsid w:val="004D6AB5"/>
    <w:rsid w:val="004E006F"/>
    <w:rsid w:val="004E0175"/>
    <w:rsid w:val="004E089D"/>
    <w:rsid w:val="004E0C32"/>
    <w:rsid w:val="004E0E04"/>
    <w:rsid w:val="004E13F6"/>
    <w:rsid w:val="004E1843"/>
    <w:rsid w:val="004E1C3F"/>
    <w:rsid w:val="004E28AA"/>
    <w:rsid w:val="004E30E2"/>
    <w:rsid w:val="004E3658"/>
    <w:rsid w:val="004E3B0B"/>
    <w:rsid w:val="004E3BBD"/>
    <w:rsid w:val="004E3D35"/>
    <w:rsid w:val="004E4C60"/>
    <w:rsid w:val="004E4D1F"/>
    <w:rsid w:val="004E548F"/>
    <w:rsid w:val="004E54EE"/>
    <w:rsid w:val="004E5970"/>
    <w:rsid w:val="004E5B24"/>
    <w:rsid w:val="004E679F"/>
    <w:rsid w:val="004E6C77"/>
    <w:rsid w:val="004E70FB"/>
    <w:rsid w:val="004E7F42"/>
    <w:rsid w:val="004F08F7"/>
    <w:rsid w:val="004F09BE"/>
    <w:rsid w:val="004F1178"/>
    <w:rsid w:val="004F11A4"/>
    <w:rsid w:val="004F167E"/>
    <w:rsid w:val="004F1FD4"/>
    <w:rsid w:val="004F20FF"/>
    <w:rsid w:val="004F26DF"/>
    <w:rsid w:val="004F28C5"/>
    <w:rsid w:val="004F28E2"/>
    <w:rsid w:val="004F2ECA"/>
    <w:rsid w:val="004F3457"/>
    <w:rsid w:val="004F512D"/>
    <w:rsid w:val="004F5502"/>
    <w:rsid w:val="004F6106"/>
    <w:rsid w:val="004F64E5"/>
    <w:rsid w:val="004F6B0F"/>
    <w:rsid w:val="004F6C90"/>
    <w:rsid w:val="004F6DFB"/>
    <w:rsid w:val="004F7424"/>
    <w:rsid w:val="004F76BB"/>
    <w:rsid w:val="00500267"/>
    <w:rsid w:val="00500316"/>
    <w:rsid w:val="00500376"/>
    <w:rsid w:val="00502038"/>
    <w:rsid w:val="0050215D"/>
    <w:rsid w:val="00502AC0"/>
    <w:rsid w:val="00503030"/>
    <w:rsid w:val="00503F2D"/>
    <w:rsid w:val="00504470"/>
    <w:rsid w:val="00504FD6"/>
    <w:rsid w:val="005050EF"/>
    <w:rsid w:val="00505472"/>
    <w:rsid w:val="00505620"/>
    <w:rsid w:val="00506EDD"/>
    <w:rsid w:val="00507A96"/>
    <w:rsid w:val="00507B4E"/>
    <w:rsid w:val="00510776"/>
    <w:rsid w:val="005132A3"/>
    <w:rsid w:val="00513F34"/>
    <w:rsid w:val="00513F62"/>
    <w:rsid w:val="00514E46"/>
    <w:rsid w:val="00514E66"/>
    <w:rsid w:val="005158E8"/>
    <w:rsid w:val="00515E77"/>
    <w:rsid w:val="0051614E"/>
    <w:rsid w:val="0051622B"/>
    <w:rsid w:val="00516453"/>
    <w:rsid w:val="005167E4"/>
    <w:rsid w:val="00516808"/>
    <w:rsid w:val="00516832"/>
    <w:rsid w:val="00516AB2"/>
    <w:rsid w:val="00516FFC"/>
    <w:rsid w:val="00517013"/>
    <w:rsid w:val="0051741F"/>
    <w:rsid w:val="005176E2"/>
    <w:rsid w:val="00517B8E"/>
    <w:rsid w:val="00520232"/>
    <w:rsid w:val="00520AEB"/>
    <w:rsid w:val="00520B86"/>
    <w:rsid w:val="00520E32"/>
    <w:rsid w:val="005211D9"/>
    <w:rsid w:val="00521221"/>
    <w:rsid w:val="0052266C"/>
    <w:rsid w:val="00522901"/>
    <w:rsid w:val="00522C59"/>
    <w:rsid w:val="00523D25"/>
    <w:rsid w:val="005240CC"/>
    <w:rsid w:val="00524337"/>
    <w:rsid w:val="005246A5"/>
    <w:rsid w:val="00525B40"/>
    <w:rsid w:val="00525DEE"/>
    <w:rsid w:val="00526B56"/>
    <w:rsid w:val="00526C22"/>
    <w:rsid w:val="005273A8"/>
    <w:rsid w:val="00527E91"/>
    <w:rsid w:val="00527FD2"/>
    <w:rsid w:val="0053032A"/>
    <w:rsid w:val="005307A9"/>
    <w:rsid w:val="00532D1D"/>
    <w:rsid w:val="00533429"/>
    <w:rsid w:val="00533638"/>
    <w:rsid w:val="005337FD"/>
    <w:rsid w:val="00533903"/>
    <w:rsid w:val="005349CD"/>
    <w:rsid w:val="00535EAA"/>
    <w:rsid w:val="00535EE8"/>
    <w:rsid w:val="00536499"/>
    <w:rsid w:val="00537381"/>
    <w:rsid w:val="00541CCA"/>
    <w:rsid w:val="00541D32"/>
    <w:rsid w:val="00543148"/>
    <w:rsid w:val="00543CC4"/>
    <w:rsid w:val="005444D8"/>
    <w:rsid w:val="00544D16"/>
    <w:rsid w:val="005454B5"/>
    <w:rsid w:val="005454D2"/>
    <w:rsid w:val="00545687"/>
    <w:rsid w:val="00545A8F"/>
    <w:rsid w:val="005475A9"/>
    <w:rsid w:val="00547647"/>
    <w:rsid w:val="00547BA0"/>
    <w:rsid w:val="005502D7"/>
    <w:rsid w:val="00550C82"/>
    <w:rsid w:val="00551023"/>
    <w:rsid w:val="005512FC"/>
    <w:rsid w:val="005518AB"/>
    <w:rsid w:val="00552220"/>
    <w:rsid w:val="00552FC2"/>
    <w:rsid w:val="00553080"/>
    <w:rsid w:val="005535A8"/>
    <w:rsid w:val="005540DD"/>
    <w:rsid w:val="005545FE"/>
    <w:rsid w:val="00554A87"/>
    <w:rsid w:val="00554EE3"/>
    <w:rsid w:val="00554F20"/>
    <w:rsid w:val="00555024"/>
    <w:rsid w:val="00556E09"/>
    <w:rsid w:val="00557556"/>
    <w:rsid w:val="005577B3"/>
    <w:rsid w:val="00560142"/>
    <w:rsid w:val="00560A71"/>
    <w:rsid w:val="00560C50"/>
    <w:rsid w:val="00561073"/>
    <w:rsid w:val="0056131E"/>
    <w:rsid w:val="005614E2"/>
    <w:rsid w:val="0056177F"/>
    <w:rsid w:val="00562A0F"/>
    <w:rsid w:val="00562E20"/>
    <w:rsid w:val="00563020"/>
    <w:rsid w:val="005632AC"/>
    <w:rsid w:val="00563D3E"/>
    <w:rsid w:val="005652D9"/>
    <w:rsid w:val="00565F8C"/>
    <w:rsid w:val="005662B3"/>
    <w:rsid w:val="005674A4"/>
    <w:rsid w:val="00567689"/>
    <w:rsid w:val="005676C3"/>
    <w:rsid w:val="00567A9B"/>
    <w:rsid w:val="00570705"/>
    <w:rsid w:val="005707FC"/>
    <w:rsid w:val="00570B77"/>
    <w:rsid w:val="00571272"/>
    <w:rsid w:val="0057141A"/>
    <w:rsid w:val="00571572"/>
    <w:rsid w:val="00571F3A"/>
    <w:rsid w:val="00572049"/>
    <w:rsid w:val="00573821"/>
    <w:rsid w:val="00573B3F"/>
    <w:rsid w:val="00573D31"/>
    <w:rsid w:val="00573F17"/>
    <w:rsid w:val="00574325"/>
    <w:rsid w:val="005745D3"/>
    <w:rsid w:val="00574EE4"/>
    <w:rsid w:val="005756DA"/>
    <w:rsid w:val="005766BE"/>
    <w:rsid w:val="00576D1C"/>
    <w:rsid w:val="00576E9B"/>
    <w:rsid w:val="005776B9"/>
    <w:rsid w:val="00577F44"/>
    <w:rsid w:val="0058077B"/>
    <w:rsid w:val="00580919"/>
    <w:rsid w:val="00580E2F"/>
    <w:rsid w:val="00581380"/>
    <w:rsid w:val="00581EB4"/>
    <w:rsid w:val="00581EEF"/>
    <w:rsid w:val="00582628"/>
    <w:rsid w:val="00582DDF"/>
    <w:rsid w:val="0058344B"/>
    <w:rsid w:val="005838F0"/>
    <w:rsid w:val="00583D98"/>
    <w:rsid w:val="00583EBA"/>
    <w:rsid w:val="00584005"/>
    <w:rsid w:val="00584E2F"/>
    <w:rsid w:val="00585488"/>
    <w:rsid w:val="005855A0"/>
    <w:rsid w:val="00585FFC"/>
    <w:rsid w:val="005861B6"/>
    <w:rsid w:val="0058670C"/>
    <w:rsid w:val="0058681D"/>
    <w:rsid w:val="0058688C"/>
    <w:rsid w:val="00586B8C"/>
    <w:rsid w:val="00586FBA"/>
    <w:rsid w:val="0059047C"/>
    <w:rsid w:val="005917BA"/>
    <w:rsid w:val="005924A7"/>
    <w:rsid w:val="0059286F"/>
    <w:rsid w:val="00592C99"/>
    <w:rsid w:val="005930FD"/>
    <w:rsid w:val="005934C9"/>
    <w:rsid w:val="0059354D"/>
    <w:rsid w:val="005935F5"/>
    <w:rsid w:val="00593F63"/>
    <w:rsid w:val="00594A39"/>
    <w:rsid w:val="00594BD6"/>
    <w:rsid w:val="00594C31"/>
    <w:rsid w:val="00595154"/>
    <w:rsid w:val="00595B08"/>
    <w:rsid w:val="0059652D"/>
    <w:rsid w:val="00596880"/>
    <w:rsid w:val="00596AF2"/>
    <w:rsid w:val="00596B0B"/>
    <w:rsid w:val="00596D3B"/>
    <w:rsid w:val="00596D40"/>
    <w:rsid w:val="00596E33"/>
    <w:rsid w:val="00597028"/>
    <w:rsid w:val="005A0F57"/>
    <w:rsid w:val="005A1EB3"/>
    <w:rsid w:val="005A1F42"/>
    <w:rsid w:val="005A21E6"/>
    <w:rsid w:val="005A2BBE"/>
    <w:rsid w:val="005A39EA"/>
    <w:rsid w:val="005A3F8C"/>
    <w:rsid w:val="005A43D0"/>
    <w:rsid w:val="005A4467"/>
    <w:rsid w:val="005A5D5A"/>
    <w:rsid w:val="005A5E14"/>
    <w:rsid w:val="005A6067"/>
    <w:rsid w:val="005A62E9"/>
    <w:rsid w:val="005A6A70"/>
    <w:rsid w:val="005A6CB8"/>
    <w:rsid w:val="005A6CE1"/>
    <w:rsid w:val="005A7E14"/>
    <w:rsid w:val="005B030F"/>
    <w:rsid w:val="005B0498"/>
    <w:rsid w:val="005B0583"/>
    <w:rsid w:val="005B1323"/>
    <w:rsid w:val="005B32CF"/>
    <w:rsid w:val="005B4C74"/>
    <w:rsid w:val="005B4CFB"/>
    <w:rsid w:val="005B535E"/>
    <w:rsid w:val="005B5925"/>
    <w:rsid w:val="005B6C7F"/>
    <w:rsid w:val="005B7C99"/>
    <w:rsid w:val="005C016E"/>
    <w:rsid w:val="005C07F4"/>
    <w:rsid w:val="005C08FA"/>
    <w:rsid w:val="005C13D0"/>
    <w:rsid w:val="005C22A6"/>
    <w:rsid w:val="005C2EDD"/>
    <w:rsid w:val="005C3908"/>
    <w:rsid w:val="005C40AB"/>
    <w:rsid w:val="005C4C07"/>
    <w:rsid w:val="005C5309"/>
    <w:rsid w:val="005C6A29"/>
    <w:rsid w:val="005C6A78"/>
    <w:rsid w:val="005C6E00"/>
    <w:rsid w:val="005D0003"/>
    <w:rsid w:val="005D0406"/>
    <w:rsid w:val="005D17B3"/>
    <w:rsid w:val="005D19A0"/>
    <w:rsid w:val="005D1F33"/>
    <w:rsid w:val="005D1F56"/>
    <w:rsid w:val="005D1F8A"/>
    <w:rsid w:val="005D206C"/>
    <w:rsid w:val="005D2909"/>
    <w:rsid w:val="005D2941"/>
    <w:rsid w:val="005D30C8"/>
    <w:rsid w:val="005D3D0B"/>
    <w:rsid w:val="005D4624"/>
    <w:rsid w:val="005D4CE2"/>
    <w:rsid w:val="005D5751"/>
    <w:rsid w:val="005D5784"/>
    <w:rsid w:val="005D5E92"/>
    <w:rsid w:val="005D60BF"/>
    <w:rsid w:val="005D724A"/>
    <w:rsid w:val="005D727E"/>
    <w:rsid w:val="005D7315"/>
    <w:rsid w:val="005D76A7"/>
    <w:rsid w:val="005E11DB"/>
    <w:rsid w:val="005E1946"/>
    <w:rsid w:val="005E19D8"/>
    <w:rsid w:val="005E1E78"/>
    <w:rsid w:val="005E2011"/>
    <w:rsid w:val="005E20CB"/>
    <w:rsid w:val="005E2BAB"/>
    <w:rsid w:val="005E2C0B"/>
    <w:rsid w:val="005E3032"/>
    <w:rsid w:val="005E3C43"/>
    <w:rsid w:val="005E4483"/>
    <w:rsid w:val="005E4627"/>
    <w:rsid w:val="005E56AD"/>
    <w:rsid w:val="005E5BD1"/>
    <w:rsid w:val="005E5F7B"/>
    <w:rsid w:val="005E622D"/>
    <w:rsid w:val="005E62C1"/>
    <w:rsid w:val="005E65E3"/>
    <w:rsid w:val="005E6BBE"/>
    <w:rsid w:val="005E6BD3"/>
    <w:rsid w:val="005E6EE0"/>
    <w:rsid w:val="005E730F"/>
    <w:rsid w:val="005F0522"/>
    <w:rsid w:val="005F1252"/>
    <w:rsid w:val="005F15FC"/>
    <w:rsid w:val="005F1B3C"/>
    <w:rsid w:val="005F2E98"/>
    <w:rsid w:val="005F2F94"/>
    <w:rsid w:val="005F2FE5"/>
    <w:rsid w:val="005F4164"/>
    <w:rsid w:val="005F4169"/>
    <w:rsid w:val="005F4224"/>
    <w:rsid w:val="005F542A"/>
    <w:rsid w:val="005F5920"/>
    <w:rsid w:val="005F5C5F"/>
    <w:rsid w:val="005F64FD"/>
    <w:rsid w:val="00600162"/>
    <w:rsid w:val="0060041A"/>
    <w:rsid w:val="00600BF7"/>
    <w:rsid w:val="0060161E"/>
    <w:rsid w:val="00601E0D"/>
    <w:rsid w:val="00602631"/>
    <w:rsid w:val="00602BB5"/>
    <w:rsid w:val="0060334B"/>
    <w:rsid w:val="00603508"/>
    <w:rsid w:val="00603948"/>
    <w:rsid w:val="006043C9"/>
    <w:rsid w:val="006047BF"/>
    <w:rsid w:val="00604B34"/>
    <w:rsid w:val="00604CCC"/>
    <w:rsid w:val="00604E3B"/>
    <w:rsid w:val="006057D1"/>
    <w:rsid w:val="0060639A"/>
    <w:rsid w:val="006071BB"/>
    <w:rsid w:val="006074A6"/>
    <w:rsid w:val="006075E0"/>
    <w:rsid w:val="006108E8"/>
    <w:rsid w:val="00610B2C"/>
    <w:rsid w:val="00610F39"/>
    <w:rsid w:val="00611275"/>
    <w:rsid w:val="006116D3"/>
    <w:rsid w:val="006119C2"/>
    <w:rsid w:val="006123DE"/>
    <w:rsid w:val="00612479"/>
    <w:rsid w:val="00613E05"/>
    <w:rsid w:val="006144A7"/>
    <w:rsid w:val="00615048"/>
    <w:rsid w:val="00616862"/>
    <w:rsid w:val="00616FCC"/>
    <w:rsid w:val="00617194"/>
    <w:rsid w:val="006174BB"/>
    <w:rsid w:val="006176B0"/>
    <w:rsid w:val="00620202"/>
    <w:rsid w:val="006202E3"/>
    <w:rsid w:val="0062070E"/>
    <w:rsid w:val="00620ED4"/>
    <w:rsid w:val="00621B9A"/>
    <w:rsid w:val="0062224A"/>
    <w:rsid w:val="0062229B"/>
    <w:rsid w:val="00622CEC"/>
    <w:rsid w:val="00622D59"/>
    <w:rsid w:val="006238D6"/>
    <w:rsid w:val="006244BE"/>
    <w:rsid w:val="00624944"/>
    <w:rsid w:val="00626100"/>
    <w:rsid w:val="0062633A"/>
    <w:rsid w:val="006269CD"/>
    <w:rsid w:val="00626DB0"/>
    <w:rsid w:val="00626E6C"/>
    <w:rsid w:val="00627684"/>
    <w:rsid w:val="00627AB1"/>
    <w:rsid w:val="00627D0E"/>
    <w:rsid w:val="0063112D"/>
    <w:rsid w:val="00632DED"/>
    <w:rsid w:val="00633B64"/>
    <w:rsid w:val="00633DD9"/>
    <w:rsid w:val="006341D1"/>
    <w:rsid w:val="00634214"/>
    <w:rsid w:val="0063437F"/>
    <w:rsid w:val="006344AB"/>
    <w:rsid w:val="0063497C"/>
    <w:rsid w:val="0063594C"/>
    <w:rsid w:val="00635D70"/>
    <w:rsid w:val="0063644E"/>
    <w:rsid w:val="006377EE"/>
    <w:rsid w:val="006378B0"/>
    <w:rsid w:val="00640097"/>
    <w:rsid w:val="00640116"/>
    <w:rsid w:val="0064064C"/>
    <w:rsid w:val="006406BD"/>
    <w:rsid w:val="0064108B"/>
    <w:rsid w:val="006417AB"/>
    <w:rsid w:val="00642073"/>
    <w:rsid w:val="00642182"/>
    <w:rsid w:val="006423E7"/>
    <w:rsid w:val="00642C52"/>
    <w:rsid w:val="00642D26"/>
    <w:rsid w:val="00643106"/>
    <w:rsid w:val="006444FE"/>
    <w:rsid w:val="00645842"/>
    <w:rsid w:val="0064585D"/>
    <w:rsid w:val="00645A6E"/>
    <w:rsid w:val="00645ED0"/>
    <w:rsid w:val="00645EFE"/>
    <w:rsid w:val="00645F21"/>
    <w:rsid w:val="00646108"/>
    <w:rsid w:val="006462EF"/>
    <w:rsid w:val="0064679F"/>
    <w:rsid w:val="00646B86"/>
    <w:rsid w:val="006475A1"/>
    <w:rsid w:val="00647642"/>
    <w:rsid w:val="00647AD7"/>
    <w:rsid w:val="00647B48"/>
    <w:rsid w:val="0065067B"/>
    <w:rsid w:val="0065079F"/>
    <w:rsid w:val="00651AFF"/>
    <w:rsid w:val="00651C5E"/>
    <w:rsid w:val="00652AB6"/>
    <w:rsid w:val="00653CFE"/>
    <w:rsid w:val="0065511D"/>
    <w:rsid w:val="006559D7"/>
    <w:rsid w:val="00655A0E"/>
    <w:rsid w:val="00656080"/>
    <w:rsid w:val="006560C5"/>
    <w:rsid w:val="00656C9F"/>
    <w:rsid w:val="00656FAF"/>
    <w:rsid w:val="00657CC7"/>
    <w:rsid w:val="00657D18"/>
    <w:rsid w:val="006605B0"/>
    <w:rsid w:val="0066074B"/>
    <w:rsid w:val="006609CC"/>
    <w:rsid w:val="00660A70"/>
    <w:rsid w:val="00660D25"/>
    <w:rsid w:val="00661695"/>
    <w:rsid w:val="006616BC"/>
    <w:rsid w:val="006617A5"/>
    <w:rsid w:val="00661C28"/>
    <w:rsid w:val="006620F1"/>
    <w:rsid w:val="00662995"/>
    <w:rsid w:val="00664749"/>
    <w:rsid w:val="00664968"/>
    <w:rsid w:val="006649C8"/>
    <w:rsid w:val="00665CE0"/>
    <w:rsid w:val="00666614"/>
    <w:rsid w:val="00666890"/>
    <w:rsid w:val="006668C7"/>
    <w:rsid w:val="006668EA"/>
    <w:rsid w:val="00666DEA"/>
    <w:rsid w:val="00666F6B"/>
    <w:rsid w:val="0066704B"/>
    <w:rsid w:val="0066711A"/>
    <w:rsid w:val="00670DE7"/>
    <w:rsid w:val="006712D9"/>
    <w:rsid w:val="00671AE4"/>
    <w:rsid w:val="00671EA6"/>
    <w:rsid w:val="00672670"/>
    <w:rsid w:val="00673275"/>
    <w:rsid w:val="00673484"/>
    <w:rsid w:val="00673855"/>
    <w:rsid w:val="0067389E"/>
    <w:rsid w:val="00673F2D"/>
    <w:rsid w:val="0067429D"/>
    <w:rsid w:val="006744AD"/>
    <w:rsid w:val="006747B0"/>
    <w:rsid w:val="00674DA0"/>
    <w:rsid w:val="006754E2"/>
    <w:rsid w:val="00676F0A"/>
    <w:rsid w:val="0068061D"/>
    <w:rsid w:val="00680814"/>
    <w:rsid w:val="00681027"/>
    <w:rsid w:val="00681715"/>
    <w:rsid w:val="0068177C"/>
    <w:rsid w:val="00681EB1"/>
    <w:rsid w:val="006821DB"/>
    <w:rsid w:val="00682E9A"/>
    <w:rsid w:val="006830C5"/>
    <w:rsid w:val="006843F5"/>
    <w:rsid w:val="0068444D"/>
    <w:rsid w:val="006845B8"/>
    <w:rsid w:val="00684877"/>
    <w:rsid w:val="00684B3F"/>
    <w:rsid w:val="006851E3"/>
    <w:rsid w:val="006856E7"/>
    <w:rsid w:val="00685707"/>
    <w:rsid w:val="00686A17"/>
    <w:rsid w:val="00686CF9"/>
    <w:rsid w:val="00686CFB"/>
    <w:rsid w:val="00687074"/>
    <w:rsid w:val="006871EE"/>
    <w:rsid w:val="00690776"/>
    <w:rsid w:val="006909AC"/>
    <w:rsid w:val="00692073"/>
    <w:rsid w:val="006920D6"/>
    <w:rsid w:val="00692165"/>
    <w:rsid w:val="00692F48"/>
    <w:rsid w:val="00693A85"/>
    <w:rsid w:val="0069418E"/>
    <w:rsid w:val="0069486C"/>
    <w:rsid w:val="00696EBB"/>
    <w:rsid w:val="006971F5"/>
    <w:rsid w:val="0069737A"/>
    <w:rsid w:val="006975B4"/>
    <w:rsid w:val="0069772A"/>
    <w:rsid w:val="00697D77"/>
    <w:rsid w:val="00697E17"/>
    <w:rsid w:val="00697E52"/>
    <w:rsid w:val="006A0164"/>
    <w:rsid w:val="006A0684"/>
    <w:rsid w:val="006A10D7"/>
    <w:rsid w:val="006A166E"/>
    <w:rsid w:val="006A1B52"/>
    <w:rsid w:val="006A2D82"/>
    <w:rsid w:val="006A3218"/>
    <w:rsid w:val="006A34FB"/>
    <w:rsid w:val="006A36C1"/>
    <w:rsid w:val="006A442B"/>
    <w:rsid w:val="006A4881"/>
    <w:rsid w:val="006A4EE9"/>
    <w:rsid w:val="006A6A4B"/>
    <w:rsid w:val="006A6E29"/>
    <w:rsid w:val="006A6FE5"/>
    <w:rsid w:val="006A7255"/>
    <w:rsid w:val="006A72AB"/>
    <w:rsid w:val="006A772E"/>
    <w:rsid w:val="006B0119"/>
    <w:rsid w:val="006B081A"/>
    <w:rsid w:val="006B08C2"/>
    <w:rsid w:val="006B092F"/>
    <w:rsid w:val="006B0F34"/>
    <w:rsid w:val="006B172D"/>
    <w:rsid w:val="006B1863"/>
    <w:rsid w:val="006B1D66"/>
    <w:rsid w:val="006B2DEE"/>
    <w:rsid w:val="006B34F1"/>
    <w:rsid w:val="006B3AF4"/>
    <w:rsid w:val="006B3BF3"/>
    <w:rsid w:val="006B4550"/>
    <w:rsid w:val="006B4675"/>
    <w:rsid w:val="006B4D60"/>
    <w:rsid w:val="006B5735"/>
    <w:rsid w:val="006B59AF"/>
    <w:rsid w:val="006B603F"/>
    <w:rsid w:val="006B6E7C"/>
    <w:rsid w:val="006B75AD"/>
    <w:rsid w:val="006B76B3"/>
    <w:rsid w:val="006B781D"/>
    <w:rsid w:val="006B79D5"/>
    <w:rsid w:val="006B7CBF"/>
    <w:rsid w:val="006C0211"/>
    <w:rsid w:val="006C02A4"/>
    <w:rsid w:val="006C1894"/>
    <w:rsid w:val="006C1DFB"/>
    <w:rsid w:val="006C409B"/>
    <w:rsid w:val="006C433C"/>
    <w:rsid w:val="006C4C7B"/>
    <w:rsid w:val="006C4D2D"/>
    <w:rsid w:val="006C5962"/>
    <w:rsid w:val="006C5D31"/>
    <w:rsid w:val="006C605A"/>
    <w:rsid w:val="006C69A9"/>
    <w:rsid w:val="006C6CA2"/>
    <w:rsid w:val="006C6EE2"/>
    <w:rsid w:val="006C6FCF"/>
    <w:rsid w:val="006C76E9"/>
    <w:rsid w:val="006C7A45"/>
    <w:rsid w:val="006D0145"/>
    <w:rsid w:val="006D0B12"/>
    <w:rsid w:val="006D0CA7"/>
    <w:rsid w:val="006D113F"/>
    <w:rsid w:val="006D14AF"/>
    <w:rsid w:val="006D1F13"/>
    <w:rsid w:val="006D2180"/>
    <w:rsid w:val="006D238D"/>
    <w:rsid w:val="006D2489"/>
    <w:rsid w:val="006D3086"/>
    <w:rsid w:val="006D30E6"/>
    <w:rsid w:val="006D3D27"/>
    <w:rsid w:val="006D4832"/>
    <w:rsid w:val="006D4863"/>
    <w:rsid w:val="006D4B3A"/>
    <w:rsid w:val="006D5EB2"/>
    <w:rsid w:val="006D6AF8"/>
    <w:rsid w:val="006D7616"/>
    <w:rsid w:val="006E0259"/>
    <w:rsid w:val="006E0610"/>
    <w:rsid w:val="006E0EE5"/>
    <w:rsid w:val="006E12FE"/>
    <w:rsid w:val="006E14C7"/>
    <w:rsid w:val="006E14EF"/>
    <w:rsid w:val="006E2326"/>
    <w:rsid w:val="006E3C20"/>
    <w:rsid w:val="006E4632"/>
    <w:rsid w:val="006E491F"/>
    <w:rsid w:val="006E57FD"/>
    <w:rsid w:val="006E5CB2"/>
    <w:rsid w:val="006E6B36"/>
    <w:rsid w:val="006E7F37"/>
    <w:rsid w:val="006F0DFA"/>
    <w:rsid w:val="006F1112"/>
    <w:rsid w:val="006F11A2"/>
    <w:rsid w:val="006F11F0"/>
    <w:rsid w:val="006F163B"/>
    <w:rsid w:val="006F176F"/>
    <w:rsid w:val="006F1897"/>
    <w:rsid w:val="006F1E6C"/>
    <w:rsid w:val="006F2E72"/>
    <w:rsid w:val="006F3502"/>
    <w:rsid w:val="006F3685"/>
    <w:rsid w:val="006F38BC"/>
    <w:rsid w:val="006F3AF2"/>
    <w:rsid w:val="006F41F3"/>
    <w:rsid w:val="006F4923"/>
    <w:rsid w:val="006F4BF0"/>
    <w:rsid w:val="006F6A60"/>
    <w:rsid w:val="006F6DB0"/>
    <w:rsid w:val="006F7432"/>
    <w:rsid w:val="006F79FA"/>
    <w:rsid w:val="006F7A2D"/>
    <w:rsid w:val="006F7BB8"/>
    <w:rsid w:val="006F7BDE"/>
    <w:rsid w:val="006F7E7F"/>
    <w:rsid w:val="0070019E"/>
    <w:rsid w:val="00700AD6"/>
    <w:rsid w:val="00701203"/>
    <w:rsid w:val="00701958"/>
    <w:rsid w:val="00702FD8"/>
    <w:rsid w:val="007031DC"/>
    <w:rsid w:val="007033FD"/>
    <w:rsid w:val="00703898"/>
    <w:rsid w:val="00705950"/>
    <w:rsid w:val="00706A63"/>
    <w:rsid w:val="00706AB3"/>
    <w:rsid w:val="00707321"/>
    <w:rsid w:val="00707562"/>
    <w:rsid w:val="00707D65"/>
    <w:rsid w:val="0071010F"/>
    <w:rsid w:val="00711201"/>
    <w:rsid w:val="00711592"/>
    <w:rsid w:val="00711937"/>
    <w:rsid w:val="00711A11"/>
    <w:rsid w:val="00712E47"/>
    <w:rsid w:val="0071314F"/>
    <w:rsid w:val="00713CC7"/>
    <w:rsid w:val="007140CB"/>
    <w:rsid w:val="00715983"/>
    <w:rsid w:val="00715FEE"/>
    <w:rsid w:val="00717629"/>
    <w:rsid w:val="00717E92"/>
    <w:rsid w:val="0072089D"/>
    <w:rsid w:val="00720B84"/>
    <w:rsid w:val="00720DCE"/>
    <w:rsid w:val="00721367"/>
    <w:rsid w:val="00721451"/>
    <w:rsid w:val="00721C64"/>
    <w:rsid w:val="00721FDC"/>
    <w:rsid w:val="00722032"/>
    <w:rsid w:val="00722ECE"/>
    <w:rsid w:val="007231DF"/>
    <w:rsid w:val="0072330C"/>
    <w:rsid w:val="0072361D"/>
    <w:rsid w:val="00723835"/>
    <w:rsid w:val="00723BEB"/>
    <w:rsid w:val="00723EF6"/>
    <w:rsid w:val="007243BA"/>
    <w:rsid w:val="007245C2"/>
    <w:rsid w:val="007245F3"/>
    <w:rsid w:val="00724959"/>
    <w:rsid w:val="0072571D"/>
    <w:rsid w:val="00725861"/>
    <w:rsid w:val="007259C9"/>
    <w:rsid w:val="00725B31"/>
    <w:rsid w:val="00726FB8"/>
    <w:rsid w:val="00727FB7"/>
    <w:rsid w:val="0073002C"/>
    <w:rsid w:val="00730804"/>
    <w:rsid w:val="00730BA0"/>
    <w:rsid w:val="007323E6"/>
    <w:rsid w:val="007323F0"/>
    <w:rsid w:val="0073259E"/>
    <w:rsid w:val="00732B78"/>
    <w:rsid w:val="00732C53"/>
    <w:rsid w:val="007339A7"/>
    <w:rsid w:val="00733A3D"/>
    <w:rsid w:val="0073404B"/>
    <w:rsid w:val="007347D2"/>
    <w:rsid w:val="0073530C"/>
    <w:rsid w:val="0073565E"/>
    <w:rsid w:val="00735970"/>
    <w:rsid w:val="00735B36"/>
    <w:rsid w:val="00735FB5"/>
    <w:rsid w:val="00736B25"/>
    <w:rsid w:val="007375AE"/>
    <w:rsid w:val="0074000F"/>
    <w:rsid w:val="00740B1C"/>
    <w:rsid w:val="00740F7F"/>
    <w:rsid w:val="00741065"/>
    <w:rsid w:val="0074186C"/>
    <w:rsid w:val="007418A8"/>
    <w:rsid w:val="00742223"/>
    <w:rsid w:val="0074300F"/>
    <w:rsid w:val="007449C2"/>
    <w:rsid w:val="00744B88"/>
    <w:rsid w:val="00745EC2"/>
    <w:rsid w:val="00746911"/>
    <w:rsid w:val="00746B02"/>
    <w:rsid w:val="00747A0E"/>
    <w:rsid w:val="00747CBF"/>
    <w:rsid w:val="007505DB"/>
    <w:rsid w:val="00750BC7"/>
    <w:rsid w:val="00750C29"/>
    <w:rsid w:val="0075137B"/>
    <w:rsid w:val="00751D13"/>
    <w:rsid w:val="0075239D"/>
    <w:rsid w:val="00752412"/>
    <w:rsid w:val="0075259C"/>
    <w:rsid w:val="0075282A"/>
    <w:rsid w:val="00753409"/>
    <w:rsid w:val="00753BF2"/>
    <w:rsid w:val="007544E4"/>
    <w:rsid w:val="00754A40"/>
    <w:rsid w:val="00754C1E"/>
    <w:rsid w:val="00755DB1"/>
    <w:rsid w:val="00757155"/>
    <w:rsid w:val="007576D8"/>
    <w:rsid w:val="007603F6"/>
    <w:rsid w:val="00760AA4"/>
    <w:rsid w:val="007616B9"/>
    <w:rsid w:val="0076229D"/>
    <w:rsid w:val="007624E8"/>
    <w:rsid w:val="0076252F"/>
    <w:rsid w:val="007628FC"/>
    <w:rsid w:val="00762F9D"/>
    <w:rsid w:val="00763882"/>
    <w:rsid w:val="00763B2B"/>
    <w:rsid w:val="007644E3"/>
    <w:rsid w:val="0076476E"/>
    <w:rsid w:val="0076497A"/>
    <w:rsid w:val="00764D1D"/>
    <w:rsid w:val="00766743"/>
    <w:rsid w:val="007675EA"/>
    <w:rsid w:val="00767B83"/>
    <w:rsid w:val="00770842"/>
    <w:rsid w:val="00770985"/>
    <w:rsid w:val="00770B41"/>
    <w:rsid w:val="00771FAB"/>
    <w:rsid w:val="00772147"/>
    <w:rsid w:val="007729D9"/>
    <w:rsid w:val="00773271"/>
    <w:rsid w:val="0077381E"/>
    <w:rsid w:val="00773D6F"/>
    <w:rsid w:val="00773E56"/>
    <w:rsid w:val="00774723"/>
    <w:rsid w:val="00774742"/>
    <w:rsid w:val="00774C24"/>
    <w:rsid w:val="00774DA1"/>
    <w:rsid w:val="00775825"/>
    <w:rsid w:val="00776052"/>
    <w:rsid w:val="00776184"/>
    <w:rsid w:val="00776AEC"/>
    <w:rsid w:val="00776F87"/>
    <w:rsid w:val="007772BA"/>
    <w:rsid w:val="0077769E"/>
    <w:rsid w:val="00777812"/>
    <w:rsid w:val="00777C68"/>
    <w:rsid w:val="007809A9"/>
    <w:rsid w:val="00780C2D"/>
    <w:rsid w:val="0078126D"/>
    <w:rsid w:val="007817C1"/>
    <w:rsid w:val="00782669"/>
    <w:rsid w:val="00782A99"/>
    <w:rsid w:val="00783C7E"/>
    <w:rsid w:val="00784462"/>
    <w:rsid w:val="00784A12"/>
    <w:rsid w:val="00784AE4"/>
    <w:rsid w:val="0078552D"/>
    <w:rsid w:val="0078557D"/>
    <w:rsid w:val="00785B23"/>
    <w:rsid w:val="00785BEB"/>
    <w:rsid w:val="00785ECF"/>
    <w:rsid w:val="0078682A"/>
    <w:rsid w:val="00787030"/>
    <w:rsid w:val="00787759"/>
    <w:rsid w:val="007904C1"/>
    <w:rsid w:val="00790607"/>
    <w:rsid w:val="0079084E"/>
    <w:rsid w:val="00790FC6"/>
    <w:rsid w:val="007920C9"/>
    <w:rsid w:val="007921A0"/>
    <w:rsid w:val="007928EE"/>
    <w:rsid w:val="00792A28"/>
    <w:rsid w:val="0079308B"/>
    <w:rsid w:val="00793D1A"/>
    <w:rsid w:val="00794EFB"/>
    <w:rsid w:val="007950E4"/>
    <w:rsid w:val="007966CD"/>
    <w:rsid w:val="00797456"/>
    <w:rsid w:val="00797D7E"/>
    <w:rsid w:val="007A04A9"/>
    <w:rsid w:val="007A0E1A"/>
    <w:rsid w:val="007A100D"/>
    <w:rsid w:val="007A108C"/>
    <w:rsid w:val="007A1A92"/>
    <w:rsid w:val="007A1CDD"/>
    <w:rsid w:val="007A200D"/>
    <w:rsid w:val="007A225C"/>
    <w:rsid w:val="007A23DE"/>
    <w:rsid w:val="007A27F0"/>
    <w:rsid w:val="007A35D2"/>
    <w:rsid w:val="007A3EE4"/>
    <w:rsid w:val="007A4582"/>
    <w:rsid w:val="007A46D5"/>
    <w:rsid w:val="007A5268"/>
    <w:rsid w:val="007A5535"/>
    <w:rsid w:val="007A5FB8"/>
    <w:rsid w:val="007A5FFE"/>
    <w:rsid w:val="007A647C"/>
    <w:rsid w:val="007A6BCA"/>
    <w:rsid w:val="007A6CB8"/>
    <w:rsid w:val="007A7362"/>
    <w:rsid w:val="007A7A66"/>
    <w:rsid w:val="007A7B18"/>
    <w:rsid w:val="007A7F7B"/>
    <w:rsid w:val="007B0786"/>
    <w:rsid w:val="007B0CF3"/>
    <w:rsid w:val="007B215F"/>
    <w:rsid w:val="007B2B8F"/>
    <w:rsid w:val="007B3085"/>
    <w:rsid w:val="007B313E"/>
    <w:rsid w:val="007B32A4"/>
    <w:rsid w:val="007B3AE7"/>
    <w:rsid w:val="007B3F09"/>
    <w:rsid w:val="007B4051"/>
    <w:rsid w:val="007B459B"/>
    <w:rsid w:val="007B46EF"/>
    <w:rsid w:val="007B571F"/>
    <w:rsid w:val="007B6245"/>
    <w:rsid w:val="007B64DB"/>
    <w:rsid w:val="007B69EC"/>
    <w:rsid w:val="007B6E0B"/>
    <w:rsid w:val="007B6EF8"/>
    <w:rsid w:val="007B7373"/>
    <w:rsid w:val="007C04CA"/>
    <w:rsid w:val="007C196F"/>
    <w:rsid w:val="007C1B9D"/>
    <w:rsid w:val="007C1D6C"/>
    <w:rsid w:val="007C2860"/>
    <w:rsid w:val="007C2F4F"/>
    <w:rsid w:val="007C3BC6"/>
    <w:rsid w:val="007C42BE"/>
    <w:rsid w:val="007C47DC"/>
    <w:rsid w:val="007C4B6E"/>
    <w:rsid w:val="007C4C06"/>
    <w:rsid w:val="007C51C1"/>
    <w:rsid w:val="007C5E4F"/>
    <w:rsid w:val="007C6D6C"/>
    <w:rsid w:val="007C6E2E"/>
    <w:rsid w:val="007C7277"/>
    <w:rsid w:val="007C77B8"/>
    <w:rsid w:val="007C79A9"/>
    <w:rsid w:val="007C7B38"/>
    <w:rsid w:val="007D05CC"/>
    <w:rsid w:val="007D0918"/>
    <w:rsid w:val="007D17A5"/>
    <w:rsid w:val="007D1BE3"/>
    <w:rsid w:val="007D1E14"/>
    <w:rsid w:val="007D1F64"/>
    <w:rsid w:val="007D25F6"/>
    <w:rsid w:val="007D2917"/>
    <w:rsid w:val="007D3111"/>
    <w:rsid w:val="007D3149"/>
    <w:rsid w:val="007D3772"/>
    <w:rsid w:val="007D3C7A"/>
    <w:rsid w:val="007D3FE4"/>
    <w:rsid w:val="007D45F3"/>
    <w:rsid w:val="007D48AB"/>
    <w:rsid w:val="007D4A27"/>
    <w:rsid w:val="007D50D5"/>
    <w:rsid w:val="007D52AD"/>
    <w:rsid w:val="007D52F4"/>
    <w:rsid w:val="007D62B8"/>
    <w:rsid w:val="007D62F4"/>
    <w:rsid w:val="007D638E"/>
    <w:rsid w:val="007D768C"/>
    <w:rsid w:val="007D7B6B"/>
    <w:rsid w:val="007D7B96"/>
    <w:rsid w:val="007E0531"/>
    <w:rsid w:val="007E06C7"/>
    <w:rsid w:val="007E0D8B"/>
    <w:rsid w:val="007E0DD4"/>
    <w:rsid w:val="007E0ED6"/>
    <w:rsid w:val="007E1338"/>
    <w:rsid w:val="007E1D27"/>
    <w:rsid w:val="007E2842"/>
    <w:rsid w:val="007E2908"/>
    <w:rsid w:val="007E2A8F"/>
    <w:rsid w:val="007E3114"/>
    <w:rsid w:val="007E3945"/>
    <w:rsid w:val="007E3FC3"/>
    <w:rsid w:val="007E467D"/>
    <w:rsid w:val="007E4B85"/>
    <w:rsid w:val="007E4C8E"/>
    <w:rsid w:val="007E4F9A"/>
    <w:rsid w:val="007E52F1"/>
    <w:rsid w:val="007E52FF"/>
    <w:rsid w:val="007E5FCE"/>
    <w:rsid w:val="007E71BC"/>
    <w:rsid w:val="007E76E3"/>
    <w:rsid w:val="007F0D97"/>
    <w:rsid w:val="007F1076"/>
    <w:rsid w:val="007F1377"/>
    <w:rsid w:val="007F15A4"/>
    <w:rsid w:val="007F1D32"/>
    <w:rsid w:val="007F2625"/>
    <w:rsid w:val="007F2753"/>
    <w:rsid w:val="007F27E6"/>
    <w:rsid w:val="007F2FA4"/>
    <w:rsid w:val="007F3C09"/>
    <w:rsid w:val="007F40CB"/>
    <w:rsid w:val="007F5422"/>
    <w:rsid w:val="007F54F8"/>
    <w:rsid w:val="007F60BD"/>
    <w:rsid w:val="007F619D"/>
    <w:rsid w:val="007F6C51"/>
    <w:rsid w:val="007F6D02"/>
    <w:rsid w:val="007F7FEF"/>
    <w:rsid w:val="008003F0"/>
    <w:rsid w:val="0080093C"/>
    <w:rsid w:val="00800CB7"/>
    <w:rsid w:val="00800E7A"/>
    <w:rsid w:val="00801C9C"/>
    <w:rsid w:val="00802AC8"/>
    <w:rsid w:val="00802BF6"/>
    <w:rsid w:val="0080340B"/>
    <w:rsid w:val="008036B4"/>
    <w:rsid w:val="00803B54"/>
    <w:rsid w:val="00803BED"/>
    <w:rsid w:val="0080418B"/>
    <w:rsid w:val="00804984"/>
    <w:rsid w:val="00804A0C"/>
    <w:rsid w:val="00804AD5"/>
    <w:rsid w:val="008052BC"/>
    <w:rsid w:val="00805336"/>
    <w:rsid w:val="008057F1"/>
    <w:rsid w:val="00805A14"/>
    <w:rsid w:val="00806409"/>
    <w:rsid w:val="0080640B"/>
    <w:rsid w:val="00806F1F"/>
    <w:rsid w:val="00811683"/>
    <w:rsid w:val="008118D7"/>
    <w:rsid w:val="008123E8"/>
    <w:rsid w:val="00812CF2"/>
    <w:rsid w:val="00813BCF"/>
    <w:rsid w:val="00813C56"/>
    <w:rsid w:val="008142DF"/>
    <w:rsid w:val="0081506D"/>
    <w:rsid w:val="00815864"/>
    <w:rsid w:val="00815E4D"/>
    <w:rsid w:val="00816153"/>
    <w:rsid w:val="0081688F"/>
    <w:rsid w:val="00820142"/>
    <w:rsid w:val="008201B3"/>
    <w:rsid w:val="008208AB"/>
    <w:rsid w:val="00820F71"/>
    <w:rsid w:val="00820F92"/>
    <w:rsid w:val="0082123C"/>
    <w:rsid w:val="00821948"/>
    <w:rsid w:val="0082295D"/>
    <w:rsid w:val="00822C20"/>
    <w:rsid w:val="0082374B"/>
    <w:rsid w:val="0082398B"/>
    <w:rsid w:val="00823ABC"/>
    <w:rsid w:val="00823CF9"/>
    <w:rsid w:val="00823DC4"/>
    <w:rsid w:val="00824419"/>
    <w:rsid w:val="0082475E"/>
    <w:rsid w:val="008256A1"/>
    <w:rsid w:val="00825CE7"/>
    <w:rsid w:val="00825DAE"/>
    <w:rsid w:val="00825F42"/>
    <w:rsid w:val="008263C4"/>
    <w:rsid w:val="00826426"/>
    <w:rsid w:val="00827AC8"/>
    <w:rsid w:val="008303F4"/>
    <w:rsid w:val="008304D8"/>
    <w:rsid w:val="00830A2F"/>
    <w:rsid w:val="00830A44"/>
    <w:rsid w:val="00830C15"/>
    <w:rsid w:val="008312E6"/>
    <w:rsid w:val="008315B5"/>
    <w:rsid w:val="0083285B"/>
    <w:rsid w:val="0083285D"/>
    <w:rsid w:val="00832E3E"/>
    <w:rsid w:val="008332A7"/>
    <w:rsid w:val="00833499"/>
    <w:rsid w:val="00833890"/>
    <w:rsid w:val="00833ACC"/>
    <w:rsid w:val="00834121"/>
    <w:rsid w:val="00835983"/>
    <w:rsid w:val="00836EF0"/>
    <w:rsid w:val="0084028F"/>
    <w:rsid w:val="00840433"/>
    <w:rsid w:val="008405E6"/>
    <w:rsid w:val="00840FA8"/>
    <w:rsid w:val="0084135A"/>
    <w:rsid w:val="00841C43"/>
    <w:rsid w:val="00842586"/>
    <w:rsid w:val="00842A84"/>
    <w:rsid w:val="00842A90"/>
    <w:rsid w:val="0084333E"/>
    <w:rsid w:val="008436ED"/>
    <w:rsid w:val="0084382A"/>
    <w:rsid w:val="00843846"/>
    <w:rsid w:val="00843C16"/>
    <w:rsid w:val="00843CED"/>
    <w:rsid w:val="008441DC"/>
    <w:rsid w:val="00844649"/>
    <w:rsid w:val="00844746"/>
    <w:rsid w:val="00844DA1"/>
    <w:rsid w:val="00845410"/>
    <w:rsid w:val="00845764"/>
    <w:rsid w:val="00846030"/>
    <w:rsid w:val="008466D2"/>
    <w:rsid w:val="00846A9B"/>
    <w:rsid w:val="00846AA2"/>
    <w:rsid w:val="00847046"/>
    <w:rsid w:val="0085018B"/>
    <w:rsid w:val="00850D84"/>
    <w:rsid w:val="008524BF"/>
    <w:rsid w:val="0085258B"/>
    <w:rsid w:val="0085333D"/>
    <w:rsid w:val="008539DA"/>
    <w:rsid w:val="00853C66"/>
    <w:rsid w:val="00854D22"/>
    <w:rsid w:val="00855417"/>
    <w:rsid w:val="00855AEF"/>
    <w:rsid w:val="008563D4"/>
    <w:rsid w:val="00856A15"/>
    <w:rsid w:val="0085732D"/>
    <w:rsid w:val="00857762"/>
    <w:rsid w:val="00860108"/>
    <w:rsid w:val="00860912"/>
    <w:rsid w:val="00860CD4"/>
    <w:rsid w:val="00860CF3"/>
    <w:rsid w:val="00861464"/>
    <w:rsid w:val="008618E0"/>
    <w:rsid w:val="0086197D"/>
    <w:rsid w:val="0086213F"/>
    <w:rsid w:val="0086259A"/>
    <w:rsid w:val="00862620"/>
    <w:rsid w:val="00862A0F"/>
    <w:rsid w:val="00862DAB"/>
    <w:rsid w:val="00862F59"/>
    <w:rsid w:val="00863497"/>
    <w:rsid w:val="008636E2"/>
    <w:rsid w:val="00863839"/>
    <w:rsid w:val="00863C1A"/>
    <w:rsid w:val="00863C34"/>
    <w:rsid w:val="0086407D"/>
    <w:rsid w:val="008644D4"/>
    <w:rsid w:val="008647E1"/>
    <w:rsid w:val="008648C5"/>
    <w:rsid w:val="00864C7D"/>
    <w:rsid w:val="00864E4F"/>
    <w:rsid w:val="0086510D"/>
    <w:rsid w:val="00866094"/>
    <w:rsid w:val="008661E0"/>
    <w:rsid w:val="008662F5"/>
    <w:rsid w:val="008664BB"/>
    <w:rsid w:val="00866A88"/>
    <w:rsid w:val="00866B73"/>
    <w:rsid w:val="00866E5D"/>
    <w:rsid w:val="008671BD"/>
    <w:rsid w:val="008672CF"/>
    <w:rsid w:val="00867369"/>
    <w:rsid w:val="008675CB"/>
    <w:rsid w:val="00867C51"/>
    <w:rsid w:val="00867D88"/>
    <w:rsid w:val="00867E7D"/>
    <w:rsid w:val="008704A6"/>
    <w:rsid w:val="00870A97"/>
    <w:rsid w:val="00870D82"/>
    <w:rsid w:val="008713AD"/>
    <w:rsid w:val="00871847"/>
    <w:rsid w:val="00871951"/>
    <w:rsid w:val="00871E31"/>
    <w:rsid w:val="008727BE"/>
    <w:rsid w:val="00873656"/>
    <w:rsid w:val="00873A85"/>
    <w:rsid w:val="00874050"/>
    <w:rsid w:val="00874AC5"/>
    <w:rsid w:val="0087547F"/>
    <w:rsid w:val="00875758"/>
    <w:rsid w:val="00875870"/>
    <w:rsid w:val="008765BD"/>
    <w:rsid w:val="00876B7C"/>
    <w:rsid w:val="00877813"/>
    <w:rsid w:val="00877B42"/>
    <w:rsid w:val="00881206"/>
    <w:rsid w:val="0088140D"/>
    <w:rsid w:val="0088147B"/>
    <w:rsid w:val="008817F6"/>
    <w:rsid w:val="00881B7F"/>
    <w:rsid w:val="00881CB1"/>
    <w:rsid w:val="00882267"/>
    <w:rsid w:val="00882A59"/>
    <w:rsid w:val="00882AC7"/>
    <w:rsid w:val="00882BBE"/>
    <w:rsid w:val="00883507"/>
    <w:rsid w:val="0088383E"/>
    <w:rsid w:val="00883F84"/>
    <w:rsid w:val="008848C1"/>
    <w:rsid w:val="00885432"/>
    <w:rsid w:val="008859DD"/>
    <w:rsid w:val="00885C01"/>
    <w:rsid w:val="00885D77"/>
    <w:rsid w:val="008864BA"/>
    <w:rsid w:val="0088664C"/>
    <w:rsid w:val="00886657"/>
    <w:rsid w:val="00886EDF"/>
    <w:rsid w:val="00887315"/>
    <w:rsid w:val="00887838"/>
    <w:rsid w:val="00887977"/>
    <w:rsid w:val="00887E2C"/>
    <w:rsid w:val="008900DB"/>
    <w:rsid w:val="00890360"/>
    <w:rsid w:val="008908D0"/>
    <w:rsid w:val="00890A8B"/>
    <w:rsid w:val="00891AC5"/>
    <w:rsid w:val="008920EB"/>
    <w:rsid w:val="00892956"/>
    <w:rsid w:val="00892C3C"/>
    <w:rsid w:val="00892E8C"/>
    <w:rsid w:val="0089369B"/>
    <w:rsid w:val="00893944"/>
    <w:rsid w:val="00893C53"/>
    <w:rsid w:val="008943AC"/>
    <w:rsid w:val="00894700"/>
    <w:rsid w:val="0089557C"/>
    <w:rsid w:val="00895D3A"/>
    <w:rsid w:val="00896D93"/>
    <w:rsid w:val="00896EB0"/>
    <w:rsid w:val="008971F0"/>
    <w:rsid w:val="00897C8A"/>
    <w:rsid w:val="00897D53"/>
    <w:rsid w:val="008A091E"/>
    <w:rsid w:val="008A0CE6"/>
    <w:rsid w:val="008A15B0"/>
    <w:rsid w:val="008A1F21"/>
    <w:rsid w:val="008A201D"/>
    <w:rsid w:val="008A263E"/>
    <w:rsid w:val="008A269F"/>
    <w:rsid w:val="008A2BC1"/>
    <w:rsid w:val="008A2ED2"/>
    <w:rsid w:val="008A41FF"/>
    <w:rsid w:val="008A432A"/>
    <w:rsid w:val="008A4864"/>
    <w:rsid w:val="008A4BCC"/>
    <w:rsid w:val="008A4E6F"/>
    <w:rsid w:val="008A7635"/>
    <w:rsid w:val="008A777C"/>
    <w:rsid w:val="008A798F"/>
    <w:rsid w:val="008B0771"/>
    <w:rsid w:val="008B09E6"/>
    <w:rsid w:val="008B0E1D"/>
    <w:rsid w:val="008B2159"/>
    <w:rsid w:val="008B2208"/>
    <w:rsid w:val="008B2338"/>
    <w:rsid w:val="008B2485"/>
    <w:rsid w:val="008B30B6"/>
    <w:rsid w:val="008B30F0"/>
    <w:rsid w:val="008B30FC"/>
    <w:rsid w:val="008B3C2F"/>
    <w:rsid w:val="008B3EF1"/>
    <w:rsid w:val="008B4A98"/>
    <w:rsid w:val="008B63DA"/>
    <w:rsid w:val="008B64C7"/>
    <w:rsid w:val="008B66DE"/>
    <w:rsid w:val="008B6D69"/>
    <w:rsid w:val="008B6F46"/>
    <w:rsid w:val="008B7935"/>
    <w:rsid w:val="008B7BDA"/>
    <w:rsid w:val="008B7FB5"/>
    <w:rsid w:val="008C098F"/>
    <w:rsid w:val="008C1315"/>
    <w:rsid w:val="008C14EB"/>
    <w:rsid w:val="008C183D"/>
    <w:rsid w:val="008C21D2"/>
    <w:rsid w:val="008C2381"/>
    <w:rsid w:val="008C3874"/>
    <w:rsid w:val="008C5003"/>
    <w:rsid w:val="008C51A6"/>
    <w:rsid w:val="008C53E6"/>
    <w:rsid w:val="008C5456"/>
    <w:rsid w:val="008C5744"/>
    <w:rsid w:val="008C5828"/>
    <w:rsid w:val="008C58B2"/>
    <w:rsid w:val="008C5BDA"/>
    <w:rsid w:val="008C674F"/>
    <w:rsid w:val="008C6D0D"/>
    <w:rsid w:val="008C75ED"/>
    <w:rsid w:val="008C761A"/>
    <w:rsid w:val="008C782C"/>
    <w:rsid w:val="008C7DE7"/>
    <w:rsid w:val="008D00A9"/>
    <w:rsid w:val="008D00AF"/>
    <w:rsid w:val="008D0290"/>
    <w:rsid w:val="008D0384"/>
    <w:rsid w:val="008D0A71"/>
    <w:rsid w:val="008D11FE"/>
    <w:rsid w:val="008D1963"/>
    <w:rsid w:val="008D19E0"/>
    <w:rsid w:val="008D19E7"/>
    <w:rsid w:val="008D2BE5"/>
    <w:rsid w:val="008D36A1"/>
    <w:rsid w:val="008D55C9"/>
    <w:rsid w:val="008D5B4C"/>
    <w:rsid w:val="008D613D"/>
    <w:rsid w:val="008D7633"/>
    <w:rsid w:val="008D7E04"/>
    <w:rsid w:val="008E0CE1"/>
    <w:rsid w:val="008E0DEA"/>
    <w:rsid w:val="008E1279"/>
    <w:rsid w:val="008E2F3E"/>
    <w:rsid w:val="008E3668"/>
    <w:rsid w:val="008E38DA"/>
    <w:rsid w:val="008E3F4F"/>
    <w:rsid w:val="008E42DF"/>
    <w:rsid w:val="008E531A"/>
    <w:rsid w:val="008E661B"/>
    <w:rsid w:val="008E66D2"/>
    <w:rsid w:val="008E7C71"/>
    <w:rsid w:val="008F0A48"/>
    <w:rsid w:val="008F14C2"/>
    <w:rsid w:val="008F2B2F"/>
    <w:rsid w:val="008F337F"/>
    <w:rsid w:val="008F3773"/>
    <w:rsid w:val="008F388F"/>
    <w:rsid w:val="008F445E"/>
    <w:rsid w:val="008F4561"/>
    <w:rsid w:val="008F4900"/>
    <w:rsid w:val="008F5160"/>
    <w:rsid w:val="008F57D5"/>
    <w:rsid w:val="008F5816"/>
    <w:rsid w:val="008F677B"/>
    <w:rsid w:val="008F7B4A"/>
    <w:rsid w:val="008F7BB4"/>
    <w:rsid w:val="00900296"/>
    <w:rsid w:val="00900840"/>
    <w:rsid w:val="00900A58"/>
    <w:rsid w:val="00901DE6"/>
    <w:rsid w:val="00902248"/>
    <w:rsid w:val="009027C2"/>
    <w:rsid w:val="00902F73"/>
    <w:rsid w:val="00903192"/>
    <w:rsid w:val="00903AEF"/>
    <w:rsid w:val="00903F8B"/>
    <w:rsid w:val="009046B3"/>
    <w:rsid w:val="00904821"/>
    <w:rsid w:val="00904E54"/>
    <w:rsid w:val="009058A4"/>
    <w:rsid w:val="00905FE5"/>
    <w:rsid w:val="00906257"/>
    <w:rsid w:val="009062DE"/>
    <w:rsid w:val="00906797"/>
    <w:rsid w:val="00906BF2"/>
    <w:rsid w:val="00907822"/>
    <w:rsid w:val="00907A6A"/>
    <w:rsid w:val="00907A8F"/>
    <w:rsid w:val="00907B92"/>
    <w:rsid w:val="00907CB3"/>
    <w:rsid w:val="00907EBF"/>
    <w:rsid w:val="00907F91"/>
    <w:rsid w:val="009102A5"/>
    <w:rsid w:val="00910589"/>
    <w:rsid w:val="00910714"/>
    <w:rsid w:val="00910B8C"/>
    <w:rsid w:val="00911024"/>
    <w:rsid w:val="009110A1"/>
    <w:rsid w:val="0091136F"/>
    <w:rsid w:val="0091137E"/>
    <w:rsid w:val="009127A8"/>
    <w:rsid w:val="00912F20"/>
    <w:rsid w:val="00913E11"/>
    <w:rsid w:val="00913F23"/>
    <w:rsid w:val="00913F8F"/>
    <w:rsid w:val="00914D39"/>
    <w:rsid w:val="00915B7C"/>
    <w:rsid w:val="00915ECF"/>
    <w:rsid w:val="009162C8"/>
    <w:rsid w:val="0091713C"/>
    <w:rsid w:val="00917878"/>
    <w:rsid w:val="00917992"/>
    <w:rsid w:val="00917CEC"/>
    <w:rsid w:val="0092155E"/>
    <w:rsid w:val="00921A3E"/>
    <w:rsid w:val="00921FB3"/>
    <w:rsid w:val="009222F2"/>
    <w:rsid w:val="009225AD"/>
    <w:rsid w:val="009228ED"/>
    <w:rsid w:val="00922DF2"/>
    <w:rsid w:val="00922F3B"/>
    <w:rsid w:val="0092375E"/>
    <w:rsid w:val="0092455E"/>
    <w:rsid w:val="00924DBE"/>
    <w:rsid w:val="0092694B"/>
    <w:rsid w:val="009270E8"/>
    <w:rsid w:val="009275B2"/>
    <w:rsid w:val="00931570"/>
    <w:rsid w:val="00931BB5"/>
    <w:rsid w:val="009328A6"/>
    <w:rsid w:val="009336F0"/>
    <w:rsid w:val="00933C18"/>
    <w:rsid w:val="00934EBE"/>
    <w:rsid w:val="0093535E"/>
    <w:rsid w:val="0093552B"/>
    <w:rsid w:val="0093598D"/>
    <w:rsid w:val="00935A96"/>
    <w:rsid w:val="00936D25"/>
    <w:rsid w:val="00937197"/>
    <w:rsid w:val="009374E2"/>
    <w:rsid w:val="00937BA6"/>
    <w:rsid w:val="00937CCE"/>
    <w:rsid w:val="0094015E"/>
    <w:rsid w:val="009403E2"/>
    <w:rsid w:val="009409E4"/>
    <w:rsid w:val="00940AE0"/>
    <w:rsid w:val="00940D60"/>
    <w:rsid w:val="0094170F"/>
    <w:rsid w:val="00941BB3"/>
    <w:rsid w:val="00941BC1"/>
    <w:rsid w:val="00941C1C"/>
    <w:rsid w:val="009422BE"/>
    <w:rsid w:val="00944173"/>
    <w:rsid w:val="00944270"/>
    <w:rsid w:val="00944622"/>
    <w:rsid w:val="0094483D"/>
    <w:rsid w:val="00944CDD"/>
    <w:rsid w:val="00945611"/>
    <w:rsid w:val="0094572B"/>
    <w:rsid w:val="00945954"/>
    <w:rsid w:val="00946C0D"/>
    <w:rsid w:val="00947D53"/>
    <w:rsid w:val="00947E3A"/>
    <w:rsid w:val="0095013E"/>
    <w:rsid w:val="00950566"/>
    <w:rsid w:val="0095082E"/>
    <w:rsid w:val="00950AB8"/>
    <w:rsid w:val="0095136B"/>
    <w:rsid w:val="009514BB"/>
    <w:rsid w:val="009519ED"/>
    <w:rsid w:val="00953555"/>
    <w:rsid w:val="009538FA"/>
    <w:rsid w:val="0095415E"/>
    <w:rsid w:val="00954635"/>
    <w:rsid w:val="00954716"/>
    <w:rsid w:val="00954FF3"/>
    <w:rsid w:val="00955805"/>
    <w:rsid w:val="00955A17"/>
    <w:rsid w:val="00955AA6"/>
    <w:rsid w:val="0095783B"/>
    <w:rsid w:val="00957852"/>
    <w:rsid w:val="009602E5"/>
    <w:rsid w:val="0096058A"/>
    <w:rsid w:val="00960B65"/>
    <w:rsid w:val="0096169F"/>
    <w:rsid w:val="00961742"/>
    <w:rsid w:val="00962782"/>
    <w:rsid w:val="00962915"/>
    <w:rsid w:val="009630C6"/>
    <w:rsid w:val="00963C39"/>
    <w:rsid w:val="0096529B"/>
    <w:rsid w:val="009657EB"/>
    <w:rsid w:val="00965DAD"/>
    <w:rsid w:val="00966553"/>
    <w:rsid w:val="009669F3"/>
    <w:rsid w:val="00967187"/>
    <w:rsid w:val="0096745F"/>
    <w:rsid w:val="00967A08"/>
    <w:rsid w:val="00967C1E"/>
    <w:rsid w:val="00967F96"/>
    <w:rsid w:val="00967FE1"/>
    <w:rsid w:val="009708E6"/>
    <w:rsid w:val="00970C71"/>
    <w:rsid w:val="00970FD5"/>
    <w:rsid w:val="009716C9"/>
    <w:rsid w:val="00971999"/>
    <w:rsid w:val="009730C7"/>
    <w:rsid w:val="00973343"/>
    <w:rsid w:val="00975385"/>
    <w:rsid w:val="0097625A"/>
    <w:rsid w:val="00976307"/>
    <w:rsid w:val="00976623"/>
    <w:rsid w:val="00977C94"/>
    <w:rsid w:val="00977E0A"/>
    <w:rsid w:val="00977E15"/>
    <w:rsid w:val="00980E73"/>
    <w:rsid w:val="009810B0"/>
    <w:rsid w:val="00981BAE"/>
    <w:rsid w:val="00981BD1"/>
    <w:rsid w:val="00981D8D"/>
    <w:rsid w:val="0098231F"/>
    <w:rsid w:val="0098289E"/>
    <w:rsid w:val="009829D6"/>
    <w:rsid w:val="00982EDD"/>
    <w:rsid w:val="00983043"/>
    <w:rsid w:val="00984130"/>
    <w:rsid w:val="00984AE9"/>
    <w:rsid w:val="00984FAC"/>
    <w:rsid w:val="00985735"/>
    <w:rsid w:val="00985FC5"/>
    <w:rsid w:val="009860AD"/>
    <w:rsid w:val="009865AD"/>
    <w:rsid w:val="009867F3"/>
    <w:rsid w:val="00987295"/>
    <w:rsid w:val="00987360"/>
    <w:rsid w:val="009874B7"/>
    <w:rsid w:val="00987F5B"/>
    <w:rsid w:val="0099031B"/>
    <w:rsid w:val="00991CF4"/>
    <w:rsid w:val="00991D55"/>
    <w:rsid w:val="00992432"/>
    <w:rsid w:val="009924FE"/>
    <w:rsid w:val="00994682"/>
    <w:rsid w:val="009946E7"/>
    <w:rsid w:val="00995382"/>
    <w:rsid w:val="009955FF"/>
    <w:rsid w:val="00995677"/>
    <w:rsid w:val="00996110"/>
    <w:rsid w:val="0099639D"/>
    <w:rsid w:val="00996787"/>
    <w:rsid w:val="00996C57"/>
    <w:rsid w:val="00996FC2"/>
    <w:rsid w:val="0099702C"/>
    <w:rsid w:val="00997458"/>
    <w:rsid w:val="009A070F"/>
    <w:rsid w:val="009A0728"/>
    <w:rsid w:val="009A14A2"/>
    <w:rsid w:val="009A20EE"/>
    <w:rsid w:val="009A3186"/>
    <w:rsid w:val="009A32EA"/>
    <w:rsid w:val="009A3A4D"/>
    <w:rsid w:val="009A5141"/>
    <w:rsid w:val="009A5998"/>
    <w:rsid w:val="009A5C0F"/>
    <w:rsid w:val="009A5D44"/>
    <w:rsid w:val="009A7361"/>
    <w:rsid w:val="009B0888"/>
    <w:rsid w:val="009B0D29"/>
    <w:rsid w:val="009B168C"/>
    <w:rsid w:val="009B1C1A"/>
    <w:rsid w:val="009B1C95"/>
    <w:rsid w:val="009B1DED"/>
    <w:rsid w:val="009B239C"/>
    <w:rsid w:val="009B36BD"/>
    <w:rsid w:val="009B3D4F"/>
    <w:rsid w:val="009B43DF"/>
    <w:rsid w:val="009B4586"/>
    <w:rsid w:val="009B4712"/>
    <w:rsid w:val="009B4B87"/>
    <w:rsid w:val="009B4DBD"/>
    <w:rsid w:val="009B5296"/>
    <w:rsid w:val="009B5E0F"/>
    <w:rsid w:val="009B6492"/>
    <w:rsid w:val="009B6B57"/>
    <w:rsid w:val="009B76E6"/>
    <w:rsid w:val="009B7E3F"/>
    <w:rsid w:val="009C07BD"/>
    <w:rsid w:val="009C08F8"/>
    <w:rsid w:val="009C20F5"/>
    <w:rsid w:val="009C29AB"/>
    <w:rsid w:val="009C2A07"/>
    <w:rsid w:val="009C2C56"/>
    <w:rsid w:val="009C35E8"/>
    <w:rsid w:val="009C3AE2"/>
    <w:rsid w:val="009C46E0"/>
    <w:rsid w:val="009C4B30"/>
    <w:rsid w:val="009C4C97"/>
    <w:rsid w:val="009C5233"/>
    <w:rsid w:val="009C54C3"/>
    <w:rsid w:val="009C5D4A"/>
    <w:rsid w:val="009C6547"/>
    <w:rsid w:val="009C6BDF"/>
    <w:rsid w:val="009C6E83"/>
    <w:rsid w:val="009C7971"/>
    <w:rsid w:val="009D000C"/>
    <w:rsid w:val="009D00AE"/>
    <w:rsid w:val="009D192B"/>
    <w:rsid w:val="009D1C8A"/>
    <w:rsid w:val="009D212E"/>
    <w:rsid w:val="009D22E9"/>
    <w:rsid w:val="009D2DB8"/>
    <w:rsid w:val="009D34BF"/>
    <w:rsid w:val="009D3605"/>
    <w:rsid w:val="009D4324"/>
    <w:rsid w:val="009D46B2"/>
    <w:rsid w:val="009D4AC9"/>
    <w:rsid w:val="009D65DA"/>
    <w:rsid w:val="009D70FB"/>
    <w:rsid w:val="009E27E8"/>
    <w:rsid w:val="009E31F7"/>
    <w:rsid w:val="009E3A44"/>
    <w:rsid w:val="009E3BB9"/>
    <w:rsid w:val="009E3EA3"/>
    <w:rsid w:val="009E4658"/>
    <w:rsid w:val="009E4E36"/>
    <w:rsid w:val="009E5264"/>
    <w:rsid w:val="009E5B22"/>
    <w:rsid w:val="009E65DF"/>
    <w:rsid w:val="009E6C64"/>
    <w:rsid w:val="009E7016"/>
    <w:rsid w:val="009E77B3"/>
    <w:rsid w:val="009F0582"/>
    <w:rsid w:val="009F0AF7"/>
    <w:rsid w:val="009F1536"/>
    <w:rsid w:val="009F20E6"/>
    <w:rsid w:val="009F22F5"/>
    <w:rsid w:val="009F2969"/>
    <w:rsid w:val="009F31CE"/>
    <w:rsid w:val="009F3258"/>
    <w:rsid w:val="009F46CB"/>
    <w:rsid w:val="009F5A00"/>
    <w:rsid w:val="009F5B3F"/>
    <w:rsid w:val="009F5E76"/>
    <w:rsid w:val="009F6129"/>
    <w:rsid w:val="009F6139"/>
    <w:rsid w:val="009F664E"/>
    <w:rsid w:val="009F69BA"/>
    <w:rsid w:val="009F6A6F"/>
    <w:rsid w:val="009F6C7A"/>
    <w:rsid w:val="009F71B5"/>
    <w:rsid w:val="009F7210"/>
    <w:rsid w:val="009F7E6B"/>
    <w:rsid w:val="009F7F23"/>
    <w:rsid w:val="00A00B43"/>
    <w:rsid w:val="00A019A0"/>
    <w:rsid w:val="00A01D2E"/>
    <w:rsid w:val="00A0223C"/>
    <w:rsid w:val="00A0289C"/>
    <w:rsid w:val="00A0293A"/>
    <w:rsid w:val="00A03008"/>
    <w:rsid w:val="00A04357"/>
    <w:rsid w:val="00A04B49"/>
    <w:rsid w:val="00A050B6"/>
    <w:rsid w:val="00A0558B"/>
    <w:rsid w:val="00A059B7"/>
    <w:rsid w:val="00A05EA5"/>
    <w:rsid w:val="00A06696"/>
    <w:rsid w:val="00A06716"/>
    <w:rsid w:val="00A06C49"/>
    <w:rsid w:val="00A070A9"/>
    <w:rsid w:val="00A07839"/>
    <w:rsid w:val="00A10EA3"/>
    <w:rsid w:val="00A1171F"/>
    <w:rsid w:val="00A122BC"/>
    <w:rsid w:val="00A1317E"/>
    <w:rsid w:val="00A1377D"/>
    <w:rsid w:val="00A138CC"/>
    <w:rsid w:val="00A158ED"/>
    <w:rsid w:val="00A15C41"/>
    <w:rsid w:val="00A160A1"/>
    <w:rsid w:val="00A16882"/>
    <w:rsid w:val="00A16D1E"/>
    <w:rsid w:val="00A16DBB"/>
    <w:rsid w:val="00A175C6"/>
    <w:rsid w:val="00A175CF"/>
    <w:rsid w:val="00A17610"/>
    <w:rsid w:val="00A17874"/>
    <w:rsid w:val="00A201B5"/>
    <w:rsid w:val="00A205B2"/>
    <w:rsid w:val="00A20AAF"/>
    <w:rsid w:val="00A21E5B"/>
    <w:rsid w:val="00A21FA5"/>
    <w:rsid w:val="00A2253C"/>
    <w:rsid w:val="00A230D4"/>
    <w:rsid w:val="00A23376"/>
    <w:rsid w:val="00A234AC"/>
    <w:rsid w:val="00A242C2"/>
    <w:rsid w:val="00A24605"/>
    <w:rsid w:val="00A2461A"/>
    <w:rsid w:val="00A2505A"/>
    <w:rsid w:val="00A25724"/>
    <w:rsid w:val="00A25C83"/>
    <w:rsid w:val="00A26181"/>
    <w:rsid w:val="00A26683"/>
    <w:rsid w:val="00A26718"/>
    <w:rsid w:val="00A26B87"/>
    <w:rsid w:val="00A26CD8"/>
    <w:rsid w:val="00A26D3E"/>
    <w:rsid w:val="00A302D2"/>
    <w:rsid w:val="00A30F45"/>
    <w:rsid w:val="00A32D9D"/>
    <w:rsid w:val="00A339CB"/>
    <w:rsid w:val="00A33E69"/>
    <w:rsid w:val="00A345A5"/>
    <w:rsid w:val="00A347F2"/>
    <w:rsid w:val="00A34C1B"/>
    <w:rsid w:val="00A3522F"/>
    <w:rsid w:val="00A357F9"/>
    <w:rsid w:val="00A366F7"/>
    <w:rsid w:val="00A36909"/>
    <w:rsid w:val="00A372AD"/>
    <w:rsid w:val="00A401A8"/>
    <w:rsid w:val="00A40887"/>
    <w:rsid w:val="00A40BDC"/>
    <w:rsid w:val="00A40F4A"/>
    <w:rsid w:val="00A40FD4"/>
    <w:rsid w:val="00A4165C"/>
    <w:rsid w:val="00A41A1F"/>
    <w:rsid w:val="00A42C53"/>
    <w:rsid w:val="00A43426"/>
    <w:rsid w:val="00A4357B"/>
    <w:rsid w:val="00A43D95"/>
    <w:rsid w:val="00A4500D"/>
    <w:rsid w:val="00A45173"/>
    <w:rsid w:val="00A452E9"/>
    <w:rsid w:val="00A45540"/>
    <w:rsid w:val="00A45716"/>
    <w:rsid w:val="00A45EC6"/>
    <w:rsid w:val="00A4610E"/>
    <w:rsid w:val="00A4644D"/>
    <w:rsid w:val="00A464CF"/>
    <w:rsid w:val="00A46A5E"/>
    <w:rsid w:val="00A470DF"/>
    <w:rsid w:val="00A47D75"/>
    <w:rsid w:val="00A47ECE"/>
    <w:rsid w:val="00A5047E"/>
    <w:rsid w:val="00A50D21"/>
    <w:rsid w:val="00A5151E"/>
    <w:rsid w:val="00A51F67"/>
    <w:rsid w:val="00A52729"/>
    <w:rsid w:val="00A5309F"/>
    <w:rsid w:val="00A53479"/>
    <w:rsid w:val="00A53AA0"/>
    <w:rsid w:val="00A53D56"/>
    <w:rsid w:val="00A53E1B"/>
    <w:rsid w:val="00A5407F"/>
    <w:rsid w:val="00A542A8"/>
    <w:rsid w:val="00A544C5"/>
    <w:rsid w:val="00A545E8"/>
    <w:rsid w:val="00A545F8"/>
    <w:rsid w:val="00A55304"/>
    <w:rsid w:val="00A55F53"/>
    <w:rsid w:val="00A56001"/>
    <w:rsid w:val="00A56816"/>
    <w:rsid w:val="00A56A78"/>
    <w:rsid w:val="00A56DFA"/>
    <w:rsid w:val="00A571C6"/>
    <w:rsid w:val="00A573BA"/>
    <w:rsid w:val="00A575E8"/>
    <w:rsid w:val="00A60110"/>
    <w:rsid w:val="00A60F46"/>
    <w:rsid w:val="00A624E0"/>
    <w:rsid w:val="00A62F5A"/>
    <w:rsid w:val="00A63FAC"/>
    <w:rsid w:val="00A641E9"/>
    <w:rsid w:val="00A657AD"/>
    <w:rsid w:val="00A67D1A"/>
    <w:rsid w:val="00A70118"/>
    <w:rsid w:val="00A70411"/>
    <w:rsid w:val="00A7139E"/>
    <w:rsid w:val="00A718D1"/>
    <w:rsid w:val="00A7195F"/>
    <w:rsid w:val="00A71BE1"/>
    <w:rsid w:val="00A71FA5"/>
    <w:rsid w:val="00A72301"/>
    <w:rsid w:val="00A72800"/>
    <w:rsid w:val="00A72F51"/>
    <w:rsid w:val="00A739EC"/>
    <w:rsid w:val="00A73A3E"/>
    <w:rsid w:val="00A73A68"/>
    <w:rsid w:val="00A744E0"/>
    <w:rsid w:val="00A744EB"/>
    <w:rsid w:val="00A74B08"/>
    <w:rsid w:val="00A74B3E"/>
    <w:rsid w:val="00A7564F"/>
    <w:rsid w:val="00A75C99"/>
    <w:rsid w:val="00A75EC3"/>
    <w:rsid w:val="00A76197"/>
    <w:rsid w:val="00A76260"/>
    <w:rsid w:val="00A765D9"/>
    <w:rsid w:val="00A805B9"/>
    <w:rsid w:val="00A80DE8"/>
    <w:rsid w:val="00A81E20"/>
    <w:rsid w:val="00A81FD4"/>
    <w:rsid w:val="00A8228E"/>
    <w:rsid w:val="00A82599"/>
    <w:rsid w:val="00A82AD0"/>
    <w:rsid w:val="00A82CD8"/>
    <w:rsid w:val="00A833D5"/>
    <w:rsid w:val="00A83AC9"/>
    <w:rsid w:val="00A83B4B"/>
    <w:rsid w:val="00A844F5"/>
    <w:rsid w:val="00A846DB"/>
    <w:rsid w:val="00A84F69"/>
    <w:rsid w:val="00A85309"/>
    <w:rsid w:val="00A8539F"/>
    <w:rsid w:val="00A859B5"/>
    <w:rsid w:val="00A85F39"/>
    <w:rsid w:val="00A86A17"/>
    <w:rsid w:val="00A87069"/>
    <w:rsid w:val="00A879B9"/>
    <w:rsid w:val="00A87EA5"/>
    <w:rsid w:val="00A90020"/>
    <w:rsid w:val="00A90E87"/>
    <w:rsid w:val="00A9229D"/>
    <w:rsid w:val="00A9261F"/>
    <w:rsid w:val="00A930FB"/>
    <w:rsid w:val="00A93FD1"/>
    <w:rsid w:val="00A9459C"/>
    <w:rsid w:val="00A94F5F"/>
    <w:rsid w:val="00A955F0"/>
    <w:rsid w:val="00A956D8"/>
    <w:rsid w:val="00A962A6"/>
    <w:rsid w:val="00A962EC"/>
    <w:rsid w:val="00A972D2"/>
    <w:rsid w:val="00A978E4"/>
    <w:rsid w:val="00A97DD8"/>
    <w:rsid w:val="00AA104F"/>
    <w:rsid w:val="00AA1CCD"/>
    <w:rsid w:val="00AA2457"/>
    <w:rsid w:val="00AA2909"/>
    <w:rsid w:val="00AA2C41"/>
    <w:rsid w:val="00AA2F9C"/>
    <w:rsid w:val="00AA30E6"/>
    <w:rsid w:val="00AA3381"/>
    <w:rsid w:val="00AA645C"/>
    <w:rsid w:val="00AA79A4"/>
    <w:rsid w:val="00AA7E5B"/>
    <w:rsid w:val="00AB0317"/>
    <w:rsid w:val="00AB1D77"/>
    <w:rsid w:val="00AB354D"/>
    <w:rsid w:val="00AB3A49"/>
    <w:rsid w:val="00AB3D5E"/>
    <w:rsid w:val="00AB50ED"/>
    <w:rsid w:val="00AB5704"/>
    <w:rsid w:val="00AB614A"/>
    <w:rsid w:val="00AB7DE0"/>
    <w:rsid w:val="00AC0450"/>
    <w:rsid w:val="00AC049C"/>
    <w:rsid w:val="00AC04F9"/>
    <w:rsid w:val="00AC1870"/>
    <w:rsid w:val="00AC26F0"/>
    <w:rsid w:val="00AC3274"/>
    <w:rsid w:val="00AC3A9D"/>
    <w:rsid w:val="00AC3B5F"/>
    <w:rsid w:val="00AC3F10"/>
    <w:rsid w:val="00AC3FF7"/>
    <w:rsid w:val="00AC449C"/>
    <w:rsid w:val="00AC4E3D"/>
    <w:rsid w:val="00AC5692"/>
    <w:rsid w:val="00AC593D"/>
    <w:rsid w:val="00AC5A8F"/>
    <w:rsid w:val="00AC5C11"/>
    <w:rsid w:val="00AC621F"/>
    <w:rsid w:val="00AC64FA"/>
    <w:rsid w:val="00AC6C65"/>
    <w:rsid w:val="00AC6C84"/>
    <w:rsid w:val="00AC7024"/>
    <w:rsid w:val="00AC74BA"/>
    <w:rsid w:val="00AC78E2"/>
    <w:rsid w:val="00AD13BF"/>
    <w:rsid w:val="00AD1DB1"/>
    <w:rsid w:val="00AD1EE1"/>
    <w:rsid w:val="00AD2798"/>
    <w:rsid w:val="00AD2871"/>
    <w:rsid w:val="00AD299D"/>
    <w:rsid w:val="00AD2A2B"/>
    <w:rsid w:val="00AD3262"/>
    <w:rsid w:val="00AD3EAD"/>
    <w:rsid w:val="00AD3F4E"/>
    <w:rsid w:val="00AD4507"/>
    <w:rsid w:val="00AD4A3F"/>
    <w:rsid w:val="00AD5004"/>
    <w:rsid w:val="00AD51F6"/>
    <w:rsid w:val="00AD580C"/>
    <w:rsid w:val="00AD6998"/>
    <w:rsid w:val="00AD6B1E"/>
    <w:rsid w:val="00AD6E1C"/>
    <w:rsid w:val="00AD6E3B"/>
    <w:rsid w:val="00AD7399"/>
    <w:rsid w:val="00AD73A3"/>
    <w:rsid w:val="00AD7EC4"/>
    <w:rsid w:val="00AE05FE"/>
    <w:rsid w:val="00AE0CAC"/>
    <w:rsid w:val="00AE101F"/>
    <w:rsid w:val="00AE1654"/>
    <w:rsid w:val="00AE18D5"/>
    <w:rsid w:val="00AE25D4"/>
    <w:rsid w:val="00AE2897"/>
    <w:rsid w:val="00AE334F"/>
    <w:rsid w:val="00AE3727"/>
    <w:rsid w:val="00AE3994"/>
    <w:rsid w:val="00AE3A0E"/>
    <w:rsid w:val="00AE4151"/>
    <w:rsid w:val="00AE4307"/>
    <w:rsid w:val="00AE438A"/>
    <w:rsid w:val="00AE485B"/>
    <w:rsid w:val="00AE4D2C"/>
    <w:rsid w:val="00AE5526"/>
    <w:rsid w:val="00AE58BC"/>
    <w:rsid w:val="00AE5E85"/>
    <w:rsid w:val="00AE5F51"/>
    <w:rsid w:val="00AE679D"/>
    <w:rsid w:val="00AE679E"/>
    <w:rsid w:val="00AE73D8"/>
    <w:rsid w:val="00AE7817"/>
    <w:rsid w:val="00AE7D83"/>
    <w:rsid w:val="00AF0A08"/>
    <w:rsid w:val="00AF0E03"/>
    <w:rsid w:val="00AF1096"/>
    <w:rsid w:val="00AF14A8"/>
    <w:rsid w:val="00AF1E64"/>
    <w:rsid w:val="00AF21BA"/>
    <w:rsid w:val="00AF28F7"/>
    <w:rsid w:val="00AF2A3A"/>
    <w:rsid w:val="00AF2CA4"/>
    <w:rsid w:val="00AF3A37"/>
    <w:rsid w:val="00AF42DD"/>
    <w:rsid w:val="00AF495A"/>
    <w:rsid w:val="00AF4B26"/>
    <w:rsid w:val="00AF4DC9"/>
    <w:rsid w:val="00AF527C"/>
    <w:rsid w:val="00AF5A15"/>
    <w:rsid w:val="00AF7094"/>
    <w:rsid w:val="00AF75C8"/>
    <w:rsid w:val="00AF7E3A"/>
    <w:rsid w:val="00B0021A"/>
    <w:rsid w:val="00B0060E"/>
    <w:rsid w:val="00B00C57"/>
    <w:rsid w:val="00B00C95"/>
    <w:rsid w:val="00B00EB2"/>
    <w:rsid w:val="00B01716"/>
    <w:rsid w:val="00B0197C"/>
    <w:rsid w:val="00B01A31"/>
    <w:rsid w:val="00B02710"/>
    <w:rsid w:val="00B02F48"/>
    <w:rsid w:val="00B0365B"/>
    <w:rsid w:val="00B040CF"/>
    <w:rsid w:val="00B050C6"/>
    <w:rsid w:val="00B05302"/>
    <w:rsid w:val="00B05789"/>
    <w:rsid w:val="00B05B03"/>
    <w:rsid w:val="00B07996"/>
    <w:rsid w:val="00B07D32"/>
    <w:rsid w:val="00B105EE"/>
    <w:rsid w:val="00B11AB2"/>
    <w:rsid w:val="00B129DA"/>
    <w:rsid w:val="00B12A68"/>
    <w:rsid w:val="00B1300E"/>
    <w:rsid w:val="00B13A3A"/>
    <w:rsid w:val="00B13B7F"/>
    <w:rsid w:val="00B14353"/>
    <w:rsid w:val="00B143D5"/>
    <w:rsid w:val="00B153A5"/>
    <w:rsid w:val="00B154AF"/>
    <w:rsid w:val="00B15B10"/>
    <w:rsid w:val="00B1601A"/>
    <w:rsid w:val="00B217F9"/>
    <w:rsid w:val="00B21A8C"/>
    <w:rsid w:val="00B221E1"/>
    <w:rsid w:val="00B22BFB"/>
    <w:rsid w:val="00B24A9D"/>
    <w:rsid w:val="00B24BCB"/>
    <w:rsid w:val="00B25902"/>
    <w:rsid w:val="00B25FCA"/>
    <w:rsid w:val="00B2648F"/>
    <w:rsid w:val="00B264B9"/>
    <w:rsid w:val="00B26957"/>
    <w:rsid w:val="00B26C6D"/>
    <w:rsid w:val="00B26C7E"/>
    <w:rsid w:val="00B2776B"/>
    <w:rsid w:val="00B27E14"/>
    <w:rsid w:val="00B304BA"/>
    <w:rsid w:val="00B31E82"/>
    <w:rsid w:val="00B325DF"/>
    <w:rsid w:val="00B32D68"/>
    <w:rsid w:val="00B32E2D"/>
    <w:rsid w:val="00B3346C"/>
    <w:rsid w:val="00B336A4"/>
    <w:rsid w:val="00B33DCD"/>
    <w:rsid w:val="00B34126"/>
    <w:rsid w:val="00B3464F"/>
    <w:rsid w:val="00B3465B"/>
    <w:rsid w:val="00B34B35"/>
    <w:rsid w:val="00B357DF"/>
    <w:rsid w:val="00B3582B"/>
    <w:rsid w:val="00B36006"/>
    <w:rsid w:val="00B36138"/>
    <w:rsid w:val="00B3635D"/>
    <w:rsid w:val="00B364B1"/>
    <w:rsid w:val="00B36575"/>
    <w:rsid w:val="00B3689E"/>
    <w:rsid w:val="00B36F99"/>
    <w:rsid w:val="00B37C1E"/>
    <w:rsid w:val="00B407B9"/>
    <w:rsid w:val="00B40EF9"/>
    <w:rsid w:val="00B417FD"/>
    <w:rsid w:val="00B41C7B"/>
    <w:rsid w:val="00B41DE1"/>
    <w:rsid w:val="00B41FCA"/>
    <w:rsid w:val="00B430BB"/>
    <w:rsid w:val="00B436B6"/>
    <w:rsid w:val="00B437F9"/>
    <w:rsid w:val="00B43FD4"/>
    <w:rsid w:val="00B4419C"/>
    <w:rsid w:val="00B44666"/>
    <w:rsid w:val="00B44BFB"/>
    <w:rsid w:val="00B44FE5"/>
    <w:rsid w:val="00B4503E"/>
    <w:rsid w:val="00B46009"/>
    <w:rsid w:val="00B46C16"/>
    <w:rsid w:val="00B47B2A"/>
    <w:rsid w:val="00B47CAB"/>
    <w:rsid w:val="00B47E9F"/>
    <w:rsid w:val="00B47FB8"/>
    <w:rsid w:val="00B513A7"/>
    <w:rsid w:val="00B525A9"/>
    <w:rsid w:val="00B53044"/>
    <w:rsid w:val="00B53DA1"/>
    <w:rsid w:val="00B54126"/>
    <w:rsid w:val="00B5469A"/>
    <w:rsid w:val="00B54B86"/>
    <w:rsid w:val="00B54E2B"/>
    <w:rsid w:val="00B54FA9"/>
    <w:rsid w:val="00B55001"/>
    <w:rsid w:val="00B55DC4"/>
    <w:rsid w:val="00B55EAC"/>
    <w:rsid w:val="00B55F92"/>
    <w:rsid w:val="00B55F9B"/>
    <w:rsid w:val="00B5603A"/>
    <w:rsid w:val="00B56569"/>
    <w:rsid w:val="00B57123"/>
    <w:rsid w:val="00B57C47"/>
    <w:rsid w:val="00B60776"/>
    <w:rsid w:val="00B612C2"/>
    <w:rsid w:val="00B61E77"/>
    <w:rsid w:val="00B631BC"/>
    <w:rsid w:val="00B643DD"/>
    <w:rsid w:val="00B649CA"/>
    <w:rsid w:val="00B64C20"/>
    <w:rsid w:val="00B65934"/>
    <w:rsid w:val="00B65959"/>
    <w:rsid w:val="00B65BFD"/>
    <w:rsid w:val="00B65D44"/>
    <w:rsid w:val="00B65FCC"/>
    <w:rsid w:val="00B6649A"/>
    <w:rsid w:val="00B66FF8"/>
    <w:rsid w:val="00B67152"/>
    <w:rsid w:val="00B710C0"/>
    <w:rsid w:val="00B7128D"/>
    <w:rsid w:val="00B712FB"/>
    <w:rsid w:val="00B71354"/>
    <w:rsid w:val="00B71B3F"/>
    <w:rsid w:val="00B7221A"/>
    <w:rsid w:val="00B72699"/>
    <w:rsid w:val="00B7395F"/>
    <w:rsid w:val="00B7421E"/>
    <w:rsid w:val="00B744C3"/>
    <w:rsid w:val="00B74753"/>
    <w:rsid w:val="00B74B7B"/>
    <w:rsid w:val="00B75976"/>
    <w:rsid w:val="00B75BAD"/>
    <w:rsid w:val="00B7642C"/>
    <w:rsid w:val="00B7676C"/>
    <w:rsid w:val="00B76813"/>
    <w:rsid w:val="00B76816"/>
    <w:rsid w:val="00B77AEC"/>
    <w:rsid w:val="00B815B9"/>
    <w:rsid w:val="00B81A9E"/>
    <w:rsid w:val="00B821F0"/>
    <w:rsid w:val="00B82E6A"/>
    <w:rsid w:val="00B85281"/>
    <w:rsid w:val="00B85CE1"/>
    <w:rsid w:val="00B861C6"/>
    <w:rsid w:val="00B8656F"/>
    <w:rsid w:val="00B86CF5"/>
    <w:rsid w:val="00B87070"/>
    <w:rsid w:val="00B87E9A"/>
    <w:rsid w:val="00B87F0F"/>
    <w:rsid w:val="00B902CF"/>
    <w:rsid w:val="00B904CD"/>
    <w:rsid w:val="00B905BA"/>
    <w:rsid w:val="00B90F86"/>
    <w:rsid w:val="00B912E4"/>
    <w:rsid w:val="00B91B0E"/>
    <w:rsid w:val="00B91BCF"/>
    <w:rsid w:val="00B93503"/>
    <w:rsid w:val="00B93BE0"/>
    <w:rsid w:val="00B9414C"/>
    <w:rsid w:val="00B94D3B"/>
    <w:rsid w:val="00B94E9E"/>
    <w:rsid w:val="00B95D4C"/>
    <w:rsid w:val="00B95EEB"/>
    <w:rsid w:val="00B96045"/>
    <w:rsid w:val="00B9709A"/>
    <w:rsid w:val="00B971F4"/>
    <w:rsid w:val="00B9724D"/>
    <w:rsid w:val="00BA095E"/>
    <w:rsid w:val="00BA0C5E"/>
    <w:rsid w:val="00BA0C77"/>
    <w:rsid w:val="00BA1D79"/>
    <w:rsid w:val="00BA2BD2"/>
    <w:rsid w:val="00BA3764"/>
    <w:rsid w:val="00BA3D8D"/>
    <w:rsid w:val="00BA4214"/>
    <w:rsid w:val="00BA457D"/>
    <w:rsid w:val="00BA5A33"/>
    <w:rsid w:val="00BA5E15"/>
    <w:rsid w:val="00BA5EE9"/>
    <w:rsid w:val="00BA7570"/>
    <w:rsid w:val="00BA79A9"/>
    <w:rsid w:val="00BA79F5"/>
    <w:rsid w:val="00BB00E3"/>
    <w:rsid w:val="00BB126E"/>
    <w:rsid w:val="00BB13DD"/>
    <w:rsid w:val="00BB1FD1"/>
    <w:rsid w:val="00BB250D"/>
    <w:rsid w:val="00BB2613"/>
    <w:rsid w:val="00BB2748"/>
    <w:rsid w:val="00BB36C2"/>
    <w:rsid w:val="00BB378F"/>
    <w:rsid w:val="00BB3806"/>
    <w:rsid w:val="00BB411D"/>
    <w:rsid w:val="00BB4EC0"/>
    <w:rsid w:val="00BB535E"/>
    <w:rsid w:val="00BB5524"/>
    <w:rsid w:val="00BB5683"/>
    <w:rsid w:val="00BB5D57"/>
    <w:rsid w:val="00BB64F1"/>
    <w:rsid w:val="00BB769D"/>
    <w:rsid w:val="00BB78E7"/>
    <w:rsid w:val="00BB7B91"/>
    <w:rsid w:val="00BB7BBF"/>
    <w:rsid w:val="00BB7C34"/>
    <w:rsid w:val="00BB7E62"/>
    <w:rsid w:val="00BB7FAD"/>
    <w:rsid w:val="00BC03EB"/>
    <w:rsid w:val="00BC0494"/>
    <w:rsid w:val="00BC0CEB"/>
    <w:rsid w:val="00BC0F3A"/>
    <w:rsid w:val="00BC2202"/>
    <w:rsid w:val="00BC28DD"/>
    <w:rsid w:val="00BC2BE8"/>
    <w:rsid w:val="00BC2DB8"/>
    <w:rsid w:val="00BC4461"/>
    <w:rsid w:val="00BC48C1"/>
    <w:rsid w:val="00BC4DCD"/>
    <w:rsid w:val="00BC4F11"/>
    <w:rsid w:val="00BC567E"/>
    <w:rsid w:val="00BC56EC"/>
    <w:rsid w:val="00BC6B4D"/>
    <w:rsid w:val="00BC71E9"/>
    <w:rsid w:val="00BC72CC"/>
    <w:rsid w:val="00BC72ED"/>
    <w:rsid w:val="00BD0240"/>
    <w:rsid w:val="00BD0E0E"/>
    <w:rsid w:val="00BD12C9"/>
    <w:rsid w:val="00BD137C"/>
    <w:rsid w:val="00BD140C"/>
    <w:rsid w:val="00BD1FFB"/>
    <w:rsid w:val="00BD2324"/>
    <w:rsid w:val="00BD2503"/>
    <w:rsid w:val="00BD2704"/>
    <w:rsid w:val="00BD28EA"/>
    <w:rsid w:val="00BD3063"/>
    <w:rsid w:val="00BD3271"/>
    <w:rsid w:val="00BD34D7"/>
    <w:rsid w:val="00BD3570"/>
    <w:rsid w:val="00BD37E8"/>
    <w:rsid w:val="00BD40E2"/>
    <w:rsid w:val="00BD536B"/>
    <w:rsid w:val="00BD5E42"/>
    <w:rsid w:val="00BD5EEB"/>
    <w:rsid w:val="00BD6413"/>
    <w:rsid w:val="00BD686D"/>
    <w:rsid w:val="00BD6D85"/>
    <w:rsid w:val="00BD6D89"/>
    <w:rsid w:val="00BD7623"/>
    <w:rsid w:val="00BE09BF"/>
    <w:rsid w:val="00BE0CCF"/>
    <w:rsid w:val="00BE1E31"/>
    <w:rsid w:val="00BE2A2A"/>
    <w:rsid w:val="00BE3EF8"/>
    <w:rsid w:val="00BE4311"/>
    <w:rsid w:val="00BE4851"/>
    <w:rsid w:val="00BE5287"/>
    <w:rsid w:val="00BE5BED"/>
    <w:rsid w:val="00BE5D49"/>
    <w:rsid w:val="00BE5D84"/>
    <w:rsid w:val="00BE6222"/>
    <w:rsid w:val="00BE6242"/>
    <w:rsid w:val="00BE662B"/>
    <w:rsid w:val="00BE6744"/>
    <w:rsid w:val="00BE6D82"/>
    <w:rsid w:val="00BE6F54"/>
    <w:rsid w:val="00BE71F7"/>
    <w:rsid w:val="00BE7334"/>
    <w:rsid w:val="00BE7376"/>
    <w:rsid w:val="00BE75CD"/>
    <w:rsid w:val="00BE75E6"/>
    <w:rsid w:val="00BE77A4"/>
    <w:rsid w:val="00BE7E6B"/>
    <w:rsid w:val="00BF02A7"/>
    <w:rsid w:val="00BF0359"/>
    <w:rsid w:val="00BF076E"/>
    <w:rsid w:val="00BF07CC"/>
    <w:rsid w:val="00BF08F6"/>
    <w:rsid w:val="00BF0BC5"/>
    <w:rsid w:val="00BF0C24"/>
    <w:rsid w:val="00BF173B"/>
    <w:rsid w:val="00BF2269"/>
    <w:rsid w:val="00BF253E"/>
    <w:rsid w:val="00BF30E8"/>
    <w:rsid w:val="00BF3387"/>
    <w:rsid w:val="00BF3CE9"/>
    <w:rsid w:val="00BF4705"/>
    <w:rsid w:val="00BF4746"/>
    <w:rsid w:val="00BF4AFB"/>
    <w:rsid w:val="00BF7807"/>
    <w:rsid w:val="00BF796A"/>
    <w:rsid w:val="00C0070C"/>
    <w:rsid w:val="00C00CA9"/>
    <w:rsid w:val="00C00D5A"/>
    <w:rsid w:val="00C01370"/>
    <w:rsid w:val="00C015DB"/>
    <w:rsid w:val="00C0193F"/>
    <w:rsid w:val="00C01A9C"/>
    <w:rsid w:val="00C02A36"/>
    <w:rsid w:val="00C033AC"/>
    <w:rsid w:val="00C03539"/>
    <w:rsid w:val="00C05603"/>
    <w:rsid w:val="00C05B2D"/>
    <w:rsid w:val="00C0655E"/>
    <w:rsid w:val="00C07407"/>
    <w:rsid w:val="00C076E0"/>
    <w:rsid w:val="00C07A8E"/>
    <w:rsid w:val="00C07B72"/>
    <w:rsid w:val="00C07E24"/>
    <w:rsid w:val="00C1045F"/>
    <w:rsid w:val="00C1175E"/>
    <w:rsid w:val="00C11A28"/>
    <w:rsid w:val="00C11F9A"/>
    <w:rsid w:val="00C12B6A"/>
    <w:rsid w:val="00C135B7"/>
    <w:rsid w:val="00C13F02"/>
    <w:rsid w:val="00C14D11"/>
    <w:rsid w:val="00C14F82"/>
    <w:rsid w:val="00C1562A"/>
    <w:rsid w:val="00C15C6E"/>
    <w:rsid w:val="00C15E8B"/>
    <w:rsid w:val="00C1670C"/>
    <w:rsid w:val="00C167CC"/>
    <w:rsid w:val="00C167F6"/>
    <w:rsid w:val="00C1731A"/>
    <w:rsid w:val="00C1735A"/>
    <w:rsid w:val="00C176F0"/>
    <w:rsid w:val="00C17C18"/>
    <w:rsid w:val="00C20237"/>
    <w:rsid w:val="00C21AAD"/>
    <w:rsid w:val="00C220E5"/>
    <w:rsid w:val="00C222FA"/>
    <w:rsid w:val="00C2276A"/>
    <w:rsid w:val="00C23233"/>
    <w:rsid w:val="00C23601"/>
    <w:rsid w:val="00C249DB"/>
    <w:rsid w:val="00C24ABD"/>
    <w:rsid w:val="00C250CE"/>
    <w:rsid w:val="00C252F3"/>
    <w:rsid w:val="00C258BE"/>
    <w:rsid w:val="00C26195"/>
    <w:rsid w:val="00C30737"/>
    <w:rsid w:val="00C309D7"/>
    <w:rsid w:val="00C310B6"/>
    <w:rsid w:val="00C31491"/>
    <w:rsid w:val="00C319FA"/>
    <w:rsid w:val="00C31BEA"/>
    <w:rsid w:val="00C31DEA"/>
    <w:rsid w:val="00C32045"/>
    <w:rsid w:val="00C3215E"/>
    <w:rsid w:val="00C32657"/>
    <w:rsid w:val="00C330C0"/>
    <w:rsid w:val="00C346BA"/>
    <w:rsid w:val="00C34769"/>
    <w:rsid w:val="00C353F7"/>
    <w:rsid w:val="00C35555"/>
    <w:rsid w:val="00C355D4"/>
    <w:rsid w:val="00C36431"/>
    <w:rsid w:val="00C3703B"/>
    <w:rsid w:val="00C377A9"/>
    <w:rsid w:val="00C4020C"/>
    <w:rsid w:val="00C4094E"/>
    <w:rsid w:val="00C41F7B"/>
    <w:rsid w:val="00C4232B"/>
    <w:rsid w:val="00C4281B"/>
    <w:rsid w:val="00C42A53"/>
    <w:rsid w:val="00C430EC"/>
    <w:rsid w:val="00C43786"/>
    <w:rsid w:val="00C43A54"/>
    <w:rsid w:val="00C44B2F"/>
    <w:rsid w:val="00C44F32"/>
    <w:rsid w:val="00C455FC"/>
    <w:rsid w:val="00C4588F"/>
    <w:rsid w:val="00C45A80"/>
    <w:rsid w:val="00C46751"/>
    <w:rsid w:val="00C46F42"/>
    <w:rsid w:val="00C47C76"/>
    <w:rsid w:val="00C47D62"/>
    <w:rsid w:val="00C50855"/>
    <w:rsid w:val="00C50856"/>
    <w:rsid w:val="00C50E40"/>
    <w:rsid w:val="00C533E7"/>
    <w:rsid w:val="00C535B8"/>
    <w:rsid w:val="00C54926"/>
    <w:rsid w:val="00C54966"/>
    <w:rsid w:val="00C54ADD"/>
    <w:rsid w:val="00C56F97"/>
    <w:rsid w:val="00C571EB"/>
    <w:rsid w:val="00C5725A"/>
    <w:rsid w:val="00C57921"/>
    <w:rsid w:val="00C60561"/>
    <w:rsid w:val="00C6091A"/>
    <w:rsid w:val="00C61AD8"/>
    <w:rsid w:val="00C61CB5"/>
    <w:rsid w:val="00C623EA"/>
    <w:rsid w:val="00C62D30"/>
    <w:rsid w:val="00C63900"/>
    <w:rsid w:val="00C64115"/>
    <w:rsid w:val="00C6502E"/>
    <w:rsid w:val="00C655C3"/>
    <w:rsid w:val="00C658DC"/>
    <w:rsid w:val="00C65D22"/>
    <w:rsid w:val="00C66EEB"/>
    <w:rsid w:val="00C67371"/>
    <w:rsid w:val="00C719ED"/>
    <w:rsid w:val="00C72166"/>
    <w:rsid w:val="00C729B0"/>
    <w:rsid w:val="00C72D54"/>
    <w:rsid w:val="00C73330"/>
    <w:rsid w:val="00C74AB6"/>
    <w:rsid w:val="00C752A5"/>
    <w:rsid w:val="00C75723"/>
    <w:rsid w:val="00C76428"/>
    <w:rsid w:val="00C76A46"/>
    <w:rsid w:val="00C76B54"/>
    <w:rsid w:val="00C77209"/>
    <w:rsid w:val="00C77451"/>
    <w:rsid w:val="00C77CDC"/>
    <w:rsid w:val="00C8083C"/>
    <w:rsid w:val="00C821F1"/>
    <w:rsid w:val="00C822B4"/>
    <w:rsid w:val="00C82958"/>
    <w:rsid w:val="00C82A6E"/>
    <w:rsid w:val="00C82FCB"/>
    <w:rsid w:val="00C830D2"/>
    <w:rsid w:val="00C8385A"/>
    <w:rsid w:val="00C84036"/>
    <w:rsid w:val="00C8412C"/>
    <w:rsid w:val="00C842DF"/>
    <w:rsid w:val="00C84753"/>
    <w:rsid w:val="00C85883"/>
    <w:rsid w:val="00C85B81"/>
    <w:rsid w:val="00C85ED2"/>
    <w:rsid w:val="00C86C31"/>
    <w:rsid w:val="00C874D8"/>
    <w:rsid w:val="00C87537"/>
    <w:rsid w:val="00C878E8"/>
    <w:rsid w:val="00C87DDC"/>
    <w:rsid w:val="00C902BC"/>
    <w:rsid w:val="00C90E38"/>
    <w:rsid w:val="00C90E96"/>
    <w:rsid w:val="00C90FB4"/>
    <w:rsid w:val="00C912A4"/>
    <w:rsid w:val="00C914B5"/>
    <w:rsid w:val="00C92082"/>
    <w:rsid w:val="00C928DD"/>
    <w:rsid w:val="00C92BB5"/>
    <w:rsid w:val="00C92D23"/>
    <w:rsid w:val="00C93CC0"/>
    <w:rsid w:val="00C93E06"/>
    <w:rsid w:val="00C941C4"/>
    <w:rsid w:val="00C941EF"/>
    <w:rsid w:val="00C9447F"/>
    <w:rsid w:val="00C95001"/>
    <w:rsid w:val="00C95BBC"/>
    <w:rsid w:val="00C966DB"/>
    <w:rsid w:val="00C96ECF"/>
    <w:rsid w:val="00C97B20"/>
    <w:rsid w:val="00CA055A"/>
    <w:rsid w:val="00CA0871"/>
    <w:rsid w:val="00CA0AB6"/>
    <w:rsid w:val="00CA116A"/>
    <w:rsid w:val="00CA141B"/>
    <w:rsid w:val="00CA14F0"/>
    <w:rsid w:val="00CA2646"/>
    <w:rsid w:val="00CA372E"/>
    <w:rsid w:val="00CA3FD1"/>
    <w:rsid w:val="00CA42F9"/>
    <w:rsid w:val="00CA5CF5"/>
    <w:rsid w:val="00CA6152"/>
    <w:rsid w:val="00CA6471"/>
    <w:rsid w:val="00CA6CB3"/>
    <w:rsid w:val="00CA730F"/>
    <w:rsid w:val="00CA7407"/>
    <w:rsid w:val="00CA7AD6"/>
    <w:rsid w:val="00CB039A"/>
    <w:rsid w:val="00CB0FA1"/>
    <w:rsid w:val="00CB171A"/>
    <w:rsid w:val="00CB2067"/>
    <w:rsid w:val="00CB215F"/>
    <w:rsid w:val="00CB25C5"/>
    <w:rsid w:val="00CB271D"/>
    <w:rsid w:val="00CB2C54"/>
    <w:rsid w:val="00CB3556"/>
    <w:rsid w:val="00CB48AF"/>
    <w:rsid w:val="00CB52B4"/>
    <w:rsid w:val="00CB5436"/>
    <w:rsid w:val="00CB61CA"/>
    <w:rsid w:val="00CB64F6"/>
    <w:rsid w:val="00CB6B31"/>
    <w:rsid w:val="00CB70B2"/>
    <w:rsid w:val="00CB77C1"/>
    <w:rsid w:val="00CB7F8C"/>
    <w:rsid w:val="00CC0862"/>
    <w:rsid w:val="00CC14C1"/>
    <w:rsid w:val="00CC15F9"/>
    <w:rsid w:val="00CC1B4E"/>
    <w:rsid w:val="00CC1C73"/>
    <w:rsid w:val="00CC1FBE"/>
    <w:rsid w:val="00CC23DF"/>
    <w:rsid w:val="00CC253B"/>
    <w:rsid w:val="00CC27DD"/>
    <w:rsid w:val="00CC30F0"/>
    <w:rsid w:val="00CC3790"/>
    <w:rsid w:val="00CC42A3"/>
    <w:rsid w:val="00CC43DC"/>
    <w:rsid w:val="00CC5B07"/>
    <w:rsid w:val="00CC5B4E"/>
    <w:rsid w:val="00CC688B"/>
    <w:rsid w:val="00CC6B2E"/>
    <w:rsid w:val="00CC6BFE"/>
    <w:rsid w:val="00CC6DEC"/>
    <w:rsid w:val="00CC7B7A"/>
    <w:rsid w:val="00CD02D8"/>
    <w:rsid w:val="00CD050F"/>
    <w:rsid w:val="00CD0D20"/>
    <w:rsid w:val="00CD10E9"/>
    <w:rsid w:val="00CD1EE4"/>
    <w:rsid w:val="00CD215E"/>
    <w:rsid w:val="00CD233F"/>
    <w:rsid w:val="00CD2D60"/>
    <w:rsid w:val="00CD3C72"/>
    <w:rsid w:val="00CD4289"/>
    <w:rsid w:val="00CD5432"/>
    <w:rsid w:val="00CD5F3B"/>
    <w:rsid w:val="00CD6373"/>
    <w:rsid w:val="00CD6399"/>
    <w:rsid w:val="00CD736C"/>
    <w:rsid w:val="00CD7DFC"/>
    <w:rsid w:val="00CD7FA8"/>
    <w:rsid w:val="00CE05F2"/>
    <w:rsid w:val="00CE08A6"/>
    <w:rsid w:val="00CE092B"/>
    <w:rsid w:val="00CE0F22"/>
    <w:rsid w:val="00CE122F"/>
    <w:rsid w:val="00CE19A4"/>
    <w:rsid w:val="00CE1E15"/>
    <w:rsid w:val="00CE292B"/>
    <w:rsid w:val="00CE2EC8"/>
    <w:rsid w:val="00CE373E"/>
    <w:rsid w:val="00CE41BA"/>
    <w:rsid w:val="00CE5950"/>
    <w:rsid w:val="00CE63D8"/>
    <w:rsid w:val="00CE6BAC"/>
    <w:rsid w:val="00CE6E47"/>
    <w:rsid w:val="00CE7854"/>
    <w:rsid w:val="00CE7BB9"/>
    <w:rsid w:val="00CF00E9"/>
    <w:rsid w:val="00CF1574"/>
    <w:rsid w:val="00CF20A3"/>
    <w:rsid w:val="00CF2764"/>
    <w:rsid w:val="00CF2982"/>
    <w:rsid w:val="00CF2A82"/>
    <w:rsid w:val="00CF3019"/>
    <w:rsid w:val="00CF3164"/>
    <w:rsid w:val="00CF3335"/>
    <w:rsid w:val="00CF3510"/>
    <w:rsid w:val="00CF5AF9"/>
    <w:rsid w:val="00CF600B"/>
    <w:rsid w:val="00CF63DB"/>
    <w:rsid w:val="00CF677E"/>
    <w:rsid w:val="00CF6F8D"/>
    <w:rsid w:val="00CF7430"/>
    <w:rsid w:val="00CF7463"/>
    <w:rsid w:val="00CF7611"/>
    <w:rsid w:val="00CF7B6B"/>
    <w:rsid w:val="00CF7F72"/>
    <w:rsid w:val="00D00737"/>
    <w:rsid w:val="00D00754"/>
    <w:rsid w:val="00D012B8"/>
    <w:rsid w:val="00D015B1"/>
    <w:rsid w:val="00D020C0"/>
    <w:rsid w:val="00D023E5"/>
    <w:rsid w:val="00D025C5"/>
    <w:rsid w:val="00D02A63"/>
    <w:rsid w:val="00D02F57"/>
    <w:rsid w:val="00D04E92"/>
    <w:rsid w:val="00D05381"/>
    <w:rsid w:val="00D05727"/>
    <w:rsid w:val="00D0641C"/>
    <w:rsid w:val="00D064E8"/>
    <w:rsid w:val="00D06954"/>
    <w:rsid w:val="00D069F3"/>
    <w:rsid w:val="00D0718B"/>
    <w:rsid w:val="00D07E35"/>
    <w:rsid w:val="00D1032C"/>
    <w:rsid w:val="00D111DE"/>
    <w:rsid w:val="00D124B5"/>
    <w:rsid w:val="00D1329C"/>
    <w:rsid w:val="00D1380D"/>
    <w:rsid w:val="00D14260"/>
    <w:rsid w:val="00D1455A"/>
    <w:rsid w:val="00D14577"/>
    <w:rsid w:val="00D14F08"/>
    <w:rsid w:val="00D14FFA"/>
    <w:rsid w:val="00D15092"/>
    <w:rsid w:val="00D15836"/>
    <w:rsid w:val="00D161D3"/>
    <w:rsid w:val="00D164C5"/>
    <w:rsid w:val="00D16A7F"/>
    <w:rsid w:val="00D16B79"/>
    <w:rsid w:val="00D16C37"/>
    <w:rsid w:val="00D17701"/>
    <w:rsid w:val="00D17D34"/>
    <w:rsid w:val="00D2033E"/>
    <w:rsid w:val="00D20341"/>
    <w:rsid w:val="00D20819"/>
    <w:rsid w:val="00D20AD5"/>
    <w:rsid w:val="00D21494"/>
    <w:rsid w:val="00D216E5"/>
    <w:rsid w:val="00D22096"/>
    <w:rsid w:val="00D2275B"/>
    <w:rsid w:val="00D232BB"/>
    <w:rsid w:val="00D234A0"/>
    <w:rsid w:val="00D23551"/>
    <w:rsid w:val="00D23558"/>
    <w:rsid w:val="00D23C67"/>
    <w:rsid w:val="00D240C1"/>
    <w:rsid w:val="00D24599"/>
    <w:rsid w:val="00D24634"/>
    <w:rsid w:val="00D252A9"/>
    <w:rsid w:val="00D25747"/>
    <w:rsid w:val="00D2576B"/>
    <w:rsid w:val="00D25EAC"/>
    <w:rsid w:val="00D26F62"/>
    <w:rsid w:val="00D27DDB"/>
    <w:rsid w:val="00D30289"/>
    <w:rsid w:val="00D30610"/>
    <w:rsid w:val="00D307E5"/>
    <w:rsid w:val="00D30BF9"/>
    <w:rsid w:val="00D30F62"/>
    <w:rsid w:val="00D3100E"/>
    <w:rsid w:val="00D3114B"/>
    <w:rsid w:val="00D31185"/>
    <w:rsid w:val="00D312FA"/>
    <w:rsid w:val="00D315BB"/>
    <w:rsid w:val="00D32113"/>
    <w:rsid w:val="00D3238F"/>
    <w:rsid w:val="00D323A7"/>
    <w:rsid w:val="00D32545"/>
    <w:rsid w:val="00D32963"/>
    <w:rsid w:val="00D32BDD"/>
    <w:rsid w:val="00D33322"/>
    <w:rsid w:val="00D336BB"/>
    <w:rsid w:val="00D34922"/>
    <w:rsid w:val="00D34A12"/>
    <w:rsid w:val="00D34DC7"/>
    <w:rsid w:val="00D3539C"/>
    <w:rsid w:val="00D35430"/>
    <w:rsid w:val="00D354F9"/>
    <w:rsid w:val="00D36550"/>
    <w:rsid w:val="00D402D2"/>
    <w:rsid w:val="00D40767"/>
    <w:rsid w:val="00D40BC4"/>
    <w:rsid w:val="00D41649"/>
    <w:rsid w:val="00D41773"/>
    <w:rsid w:val="00D420CA"/>
    <w:rsid w:val="00D43C31"/>
    <w:rsid w:val="00D443BF"/>
    <w:rsid w:val="00D4487D"/>
    <w:rsid w:val="00D45DE2"/>
    <w:rsid w:val="00D466AF"/>
    <w:rsid w:val="00D46C47"/>
    <w:rsid w:val="00D46CFD"/>
    <w:rsid w:val="00D47297"/>
    <w:rsid w:val="00D4739A"/>
    <w:rsid w:val="00D47544"/>
    <w:rsid w:val="00D476EF"/>
    <w:rsid w:val="00D47A60"/>
    <w:rsid w:val="00D50C6B"/>
    <w:rsid w:val="00D51AD7"/>
    <w:rsid w:val="00D51DFA"/>
    <w:rsid w:val="00D52449"/>
    <w:rsid w:val="00D52560"/>
    <w:rsid w:val="00D53490"/>
    <w:rsid w:val="00D54338"/>
    <w:rsid w:val="00D5463D"/>
    <w:rsid w:val="00D54982"/>
    <w:rsid w:val="00D55525"/>
    <w:rsid w:val="00D55AB4"/>
    <w:rsid w:val="00D55E6B"/>
    <w:rsid w:val="00D56376"/>
    <w:rsid w:val="00D567B8"/>
    <w:rsid w:val="00D56C44"/>
    <w:rsid w:val="00D60E2B"/>
    <w:rsid w:val="00D611C0"/>
    <w:rsid w:val="00D612A0"/>
    <w:rsid w:val="00D6135D"/>
    <w:rsid w:val="00D61692"/>
    <w:rsid w:val="00D617C0"/>
    <w:rsid w:val="00D628C9"/>
    <w:rsid w:val="00D62CF9"/>
    <w:rsid w:val="00D638DB"/>
    <w:rsid w:val="00D6412F"/>
    <w:rsid w:val="00D64D67"/>
    <w:rsid w:val="00D65597"/>
    <w:rsid w:val="00D657F8"/>
    <w:rsid w:val="00D65C93"/>
    <w:rsid w:val="00D66166"/>
    <w:rsid w:val="00D66326"/>
    <w:rsid w:val="00D67755"/>
    <w:rsid w:val="00D67884"/>
    <w:rsid w:val="00D67CF4"/>
    <w:rsid w:val="00D707DA"/>
    <w:rsid w:val="00D70D78"/>
    <w:rsid w:val="00D71993"/>
    <w:rsid w:val="00D71B5B"/>
    <w:rsid w:val="00D7375F"/>
    <w:rsid w:val="00D742EE"/>
    <w:rsid w:val="00D74A0A"/>
    <w:rsid w:val="00D75659"/>
    <w:rsid w:val="00D75B41"/>
    <w:rsid w:val="00D75F83"/>
    <w:rsid w:val="00D76010"/>
    <w:rsid w:val="00D76131"/>
    <w:rsid w:val="00D77240"/>
    <w:rsid w:val="00D7746D"/>
    <w:rsid w:val="00D77C4C"/>
    <w:rsid w:val="00D77DD3"/>
    <w:rsid w:val="00D806CA"/>
    <w:rsid w:val="00D80740"/>
    <w:rsid w:val="00D80C56"/>
    <w:rsid w:val="00D80F20"/>
    <w:rsid w:val="00D816FF"/>
    <w:rsid w:val="00D81CFB"/>
    <w:rsid w:val="00D81DA9"/>
    <w:rsid w:val="00D82EED"/>
    <w:rsid w:val="00D8377F"/>
    <w:rsid w:val="00D8407B"/>
    <w:rsid w:val="00D8489F"/>
    <w:rsid w:val="00D85B3E"/>
    <w:rsid w:val="00D86893"/>
    <w:rsid w:val="00D8698D"/>
    <w:rsid w:val="00D86EEB"/>
    <w:rsid w:val="00D87091"/>
    <w:rsid w:val="00D87292"/>
    <w:rsid w:val="00D87C9D"/>
    <w:rsid w:val="00D90184"/>
    <w:rsid w:val="00D90414"/>
    <w:rsid w:val="00D909D8"/>
    <w:rsid w:val="00D91674"/>
    <w:rsid w:val="00D91A76"/>
    <w:rsid w:val="00D91D8C"/>
    <w:rsid w:val="00D92308"/>
    <w:rsid w:val="00D929AA"/>
    <w:rsid w:val="00D929D8"/>
    <w:rsid w:val="00D92C4F"/>
    <w:rsid w:val="00D92DCB"/>
    <w:rsid w:val="00D9317D"/>
    <w:rsid w:val="00D932CE"/>
    <w:rsid w:val="00D932F8"/>
    <w:rsid w:val="00D93790"/>
    <w:rsid w:val="00D9391D"/>
    <w:rsid w:val="00D93FF5"/>
    <w:rsid w:val="00D94607"/>
    <w:rsid w:val="00D94729"/>
    <w:rsid w:val="00D96555"/>
    <w:rsid w:val="00D96588"/>
    <w:rsid w:val="00D96944"/>
    <w:rsid w:val="00D9708F"/>
    <w:rsid w:val="00D97938"/>
    <w:rsid w:val="00DA04CF"/>
    <w:rsid w:val="00DA04FB"/>
    <w:rsid w:val="00DA0687"/>
    <w:rsid w:val="00DA0AAD"/>
    <w:rsid w:val="00DA10F9"/>
    <w:rsid w:val="00DA1106"/>
    <w:rsid w:val="00DA1EAD"/>
    <w:rsid w:val="00DA21F6"/>
    <w:rsid w:val="00DA2BC6"/>
    <w:rsid w:val="00DA3466"/>
    <w:rsid w:val="00DA381E"/>
    <w:rsid w:val="00DA3911"/>
    <w:rsid w:val="00DA433C"/>
    <w:rsid w:val="00DA4AD2"/>
    <w:rsid w:val="00DA554F"/>
    <w:rsid w:val="00DA5841"/>
    <w:rsid w:val="00DA5EB5"/>
    <w:rsid w:val="00DA62A7"/>
    <w:rsid w:val="00DA69EE"/>
    <w:rsid w:val="00DA6F07"/>
    <w:rsid w:val="00DB0127"/>
    <w:rsid w:val="00DB032F"/>
    <w:rsid w:val="00DB0A33"/>
    <w:rsid w:val="00DB0D4B"/>
    <w:rsid w:val="00DB1A9E"/>
    <w:rsid w:val="00DB2667"/>
    <w:rsid w:val="00DB396A"/>
    <w:rsid w:val="00DB4976"/>
    <w:rsid w:val="00DB5099"/>
    <w:rsid w:val="00DB5F37"/>
    <w:rsid w:val="00DB688E"/>
    <w:rsid w:val="00DB6D2D"/>
    <w:rsid w:val="00DB6DCC"/>
    <w:rsid w:val="00DB77DE"/>
    <w:rsid w:val="00DC0226"/>
    <w:rsid w:val="00DC041F"/>
    <w:rsid w:val="00DC05B1"/>
    <w:rsid w:val="00DC08D7"/>
    <w:rsid w:val="00DC0CB8"/>
    <w:rsid w:val="00DC1755"/>
    <w:rsid w:val="00DC1A35"/>
    <w:rsid w:val="00DC1B0D"/>
    <w:rsid w:val="00DC1F90"/>
    <w:rsid w:val="00DC25EB"/>
    <w:rsid w:val="00DC2B06"/>
    <w:rsid w:val="00DC303B"/>
    <w:rsid w:val="00DC34D2"/>
    <w:rsid w:val="00DC39B9"/>
    <w:rsid w:val="00DC447F"/>
    <w:rsid w:val="00DC47BB"/>
    <w:rsid w:val="00DC483A"/>
    <w:rsid w:val="00DC4952"/>
    <w:rsid w:val="00DC4BA5"/>
    <w:rsid w:val="00DC5CF1"/>
    <w:rsid w:val="00DC6080"/>
    <w:rsid w:val="00DC60B0"/>
    <w:rsid w:val="00DC64FF"/>
    <w:rsid w:val="00DC66AF"/>
    <w:rsid w:val="00DC6E13"/>
    <w:rsid w:val="00DC749A"/>
    <w:rsid w:val="00DC7871"/>
    <w:rsid w:val="00DC7D89"/>
    <w:rsid w:val="00DC7FAF"/>
    <w:rsid w:val="00DD0076"/>
    <w:rsid w:val="00DD0233"/>
    <w:rsid w:val="00DD2B6E"/>
    <w:rsid w:val="00DD349F"/>
    <w:rsid w:val="00DD49C4"/>
    <w:rsid w:val="00DD4A96"/>
    <w:rsid w:val="00DD526D"/>
    <w:rsid w:val="00DD5342"/>
    <w:rsid w:val="00DD5527"/>
    <w:rsid w:val="00DD5AA0"/>
    <w:rsid w:val="00DD5D89"/>
    <w:rsid w:val="00DD662B"/>
    <w:rsid w:val="00DD682A"/>
    <w:rsid w:val="00DD6BFD"/>
    <w:rsid w:val="00DD77F7"/>
    <w:rsid w:val="00DD782C"/>
    <w:rsid w:val="00DD7994"/>
    <w:rsid w:val="00DD79BA"/>
    <w:rsid w:val="00DE0312"/>
    <w:rsid w:val="00DE0630"/>
    <w:rsid w:val="00DE099E"/>
    <w:rsid w:val="00DE0B6C"/>
    <w:rsid w:val="00DE0BB4"/>
    <w:rsid w:val="00DE2137"/>
    <w:rsid w:val="00DE2935"/>
    <w:rsid w:val="00DE2B87"/>
    <w:rsid w:val="00DE3C04"/>
    <w:rsid w:val="00DE3D61"/>
    <w:rsid w:val="00DE3DA2"/>
    <w:rsid w:val="00DE4045"/>
    <w:rsid w:val="00DE451D"/>
    <w:rsid w:val="00DE48CC"/>
    <w:rsid w:val="00DE48D5"/>
    <w:rsid w:val="00DE4945"/>
    <w:rsid w:val="00DE574D"/>
    <w:rsid w:val="00DE5795"/>
    <w:rsid w:val="00DE5A26"/>
    <w:rsid w:val="00DE5EE7"/>
    <w:rsid w:val="00DE6A71"/>
    <w:rsid w:val="00DE70F4"/>
    <w:rsid w:val="00DE76DE"/>
    <w:rsid w:val="00DF0123"/>
    <w:rsid w:val="00DF258E"/>
    <w:rsid w:val="00DF26D3"/>
    <w:rsid w:val="00DF2B0D"/>
    <w:rsid w:val="00DF2B15"/>
    <w:rsid w:val="00DF3C65"/>
    <w:rsid w:val="00DF40D2"/>
    <w:rsid w:val="00DF442D"/>
    <w:rsid w:val="00DF4688"/>
    <w:rsid w:val="00DF5B6D"/>
    <w:rsid w:val="00DF6229"/>
    <w:rsid w:val="00DF63A0"/>
    <w:rsid w:val="00DF7252"/>
    <w:rsid w:val="00DF7342"/>
    <w:rsid w:val="00DF7B1A"/>
    <w:rsid w:val="00DF7C00"/>
    <w:rsid w:val="00E00FAF"/>
    <w:rsid w:val="00E01285"/>
    <w:rsid w:val="00E01DB6"/>
    <w:rsid w:val="00E023B9"/>
    <w:rsid w:val="00E02809"/>
    <w:rsid w:val="00E02BD3"/>
    <w:rsid w:val="00E02ED7"/>
    <w:rsid w:val="00E0353A"/>
    <w:rsid w:val="00E03E32"/>
    <w:rsid w:val="00E05800"/>
    <w:rsid w:val="00E07410"/>
    <w:rsid w:val="00E10C6D"/>
    <w:rsid w:val="00E112F0"/>
    <w:rsid w:val="00E127E9"/>
    <w:rsid w:val="00E13076"/>
    <w:rsid w:val="00E132AE"/>
    <w:rsid w:val="00E132E9"/>
    <w:rsid w:val="00E14015"/>
    <w:rsid w:val="00E1530F"/>
    <w:rsid w:val="00E15BBF"/>
    <w:rsid w:val="00E168A0"/>
    <w:rsid w:val="00E206F7"/>
    <w:rsid w:val="00E20E3E"/>
    <w:rsid w:val="00E215FC"/>
    <w:rsid w:val="00E21E40"/>
    <w:rsid w:val="00E228D1"/>
    <w:rsid w:val="00E22A3C"/>
    <w:rsid w:val="00E231F3"/>
    <w:rsid w:val="00E233D1"/>
    <w:rsid w:val="00E23882"/>
    <w:rsid w:val="00E23BE7"/>
    <w:rsid w:val="00E248C5"/>
    <w:rsid w:val="00E25268"/>
    <w:rsid w:val="00E25CBE"/>
    <w:rsid w:val="00E26116"/>
    <w:rsid w:val="00E26C2A"/>
    <w:rsid w:val="00E27900"/>
    <w:rsid w:val="00E30569"/>
    <w:rsid w:val="00E3072F"/>
    <w:rsid w:val="00E31CC1"/>
    <w:rsid w:val="00E3245A"/>
    <w:rsid w:val="00E3258E"/>
    <w:rsid w:val="00E3266A"/>
    <w:rsid w:val="00E32787"/>
    <w:rsid w:val="00E32D6B"/>
    <w:rsid w:val="00E3354E"/>
    <w:rsid w:val="00E343D4"/>
    <w:rsid w:val="00E34893"/>
    <w:rsid w:val="00E359D6"/>
    <w:rsid w:val="00E35DCE"/>
    <w:rsid w:val="00E3666B"/>
    <w:rsid w:val="00E36BDD"/>
    <w:rsid w:val="00E36C46"/>
    <w:rsid w:val="00E371FD"/>
    <w:rsid w:val="00E37B45"/>
    <w:rsid w:val="00E37C12"/>
    <w:rsid w:val="00E37F37"/>
    <w:rsid w:val="00E4145B"/>
    <w:rsid w:val="00E4162D"/>
    <w:rsid w:val="00E418CF"/>
    <w:rsid w:val="00E426C9"/>
    <w:rsid w:val="00E42F97"/>
    <w:rsid w:val="00E43415"/>
    <w:rsid w:val="00E43471"/>
    <w:rsid w:val="00E4388D"/>
    <w:rsid w:val="00E45921"/>
    <w:rsid w:val="00E45947"/>
    <w:rsid w:val="00E45AB4"/>
    <w:rsid w:val="00E45ACA"/>
    <w:rsid w:val="00E45F0B"/>
    <w:rsid w:val="00E4602A"/>
    <w:rsid w:val="00E46252"/>
    <w:rsid w:val="00E46C2F"/>
    <w:rsid w:val="00E47765"/>
    <w:rsid w:val="00E47790"/>
    <w:rsid w:val="00E47E8E"/>
    <w:rsid w:val="00E47EC6"/>
    <w:rsid w:val="00E50457"/>
    <w:rsid w:val="00E50EAC"/>
    <w:rsid w:val="00E52A40"/>
    <w:rsid w:val="00E52DD1"/>
    <w:rsid w:val="00E5319E"/>
    <w:rsid w:val="00E534E2"/>
    <w:rsid w:val="00E5359F"/>
    <w:rsid w:val="00E543BA"/>
    <w:rsid w:val="00E54694"/>
    <w:rsid w:val="00E54A54"/>
    <w:rsid w:val="00E55CFB"/>
    <w:rsid w:val="00E561B6"/>
    <w:rsid w:val="00E561E9"/>
    <w:rsid w:val="00E56864"/>
    <w:rsid w:val="00E568AB"/>
    <w:rsid w:val="00E573A3"/>
    <w:rsid w:val="00E57470"/>
    <w:rsid w:val="00E57843"/>
    <w:rsid w:val="00E57B00"/>
    <w:rsid w:val="00E609D9"/>
    <w:rsid w:val="00E60EC9"/>
    <w:rsid w:val="00E62E41"/>
    <w:rsid w:val="00E62EF2"/>
    <w:rsid w:val="00E63225"/>
    <w:rsid w:val="00E6360D"/>
    <w:rsid w:val="00E63CF5"/>
    <w:rsid w:val="00E640BA"/>
    <w:rsid w:val="00E6529F"/>
    <w:rsid w:val="00E65616"/>
    <w:rsid w:val="00E657C9"/>
    <w:rsid w:val="00E65DE5"/>
    <w:rsid w:val="00E661AD"/>
    <w:rsid w:val="00E700CE"/>
    <w:rsid w:val="00E70F6F"/>
    <w:rsid w:val="00E712FC"/>
    <w:rsid w:val="00E7177C"/>
    <w:rsid w:val="00E7218A"/>
    <w:rsid w:val="00E723FE"/>
    <w:rsid w:val="00E73E8B"/>
    <w:rsid w:val="00E73E91"/>
    <w:rsid w:val="00E73F8B"/>
    <w:rsid w:val="00E741BA"/>
    <w:rsid w:val="00E74A13"/>
    <w:rsid w:val="00E74B8F"/>
    <w:rsid w:val="00E75CAD"/>
    <w:rsid w:val="00E7661B"/>
    <w:rsid w:val="00E76CD3"/>
    <w:rsid w:val="00E7721C"/>
    <w:rsid w:val="00E77E8E"/>
    <w:rsid w:val="00E77FEA"/>
    <w:rsid w:val="00E801A5"/>
    <w:rsid w:val="00E80AD4"/>
    <w:rsid w:val="00E815DA"/>
    <w:rsid w:val="00E8182A"/>
    <w:rsid w:val="00E819AC"/>
    <w:rsid w:val="00E83187"/>
    <w:rsid w:val="00E832D7"/>
    <w:rsid w:val="00E832F5"/>
    <w:rsid w:val="00E83510"/>
    <w:rsid w:val="00E8458C"/>
    <w:rsid w:val="00E85012"/>
    <w:rsid w:val="00E850B7"/>
    <w:rsid w:val="00E853C9"/>
    <w:rsid w:val="00E855F1"/>
    <w:rsid w:val="00E86792"/>
    <w:rsid w:val="00E87746"/>
    <w:rsid w:val="00E87B6C"/>
    <w:rsid w:val="00E90D22"/>
    <w:rsid w:val="00E91029"/>
    <w:rsid w:val="00E91598"/>
    <w:rsid w:val="00E92A4E"/>
    <w:rsid w:val="00E9320F"/>
    <w:rsid w:val="00E933E0"/>
    <w:rsid w:val="00E96725"/>
    <w:rsid w:val="00E9696E"/>
    <w:rsid w:val="00E97490"/>
    <w:rsid w:val="00EA0186"/>
    <w:rsid w:val="00EA042A"/>
    <w:rsid w:val="00EA0787"/>
    <w:rsid w:val="00EA0966"/>
    <w:rsid w:val="00EA0A1C"/>
    <w:rsid w:val="00EA165F"/>
    <w:rsid w:val="00EA1813"/>
    <w:rsid w:val="00EA1FE1"/>
    <w:rsid w:val="00EA22F5"/>
    <w:rsid w:val="00EA25CD"/>
    <w:rsid w:val="00EA273D"/>
    <w:rsid w:val="00EA3FF7"/>
    <w:rsid w:val="00EA4A2A"/>
    <w:rsid w:val="00EA4DF7"/>
    <w:rsid w:val="00EA4E81"/>
    <w:rsid w:val="00EA5CF5"/>
    <w:rsid w:val="00EA5DD9"/>
    <w:rsid w:val="00EA7DCA"/>
    <w:rsid w:val="00EB03A3"/>
    <w:rsid w:val="00EB074A"/>
    <w:rsid w:val="00EB1248"/>
    <w:rsid w:val="00EB20FD"/>
    <w:rsid w:val="00EB2230"/>
    <w:rsid w:val="00EB2EB4"/>
    <w:rsid w:val="00EB3004"/>
    <w:rsid w:val="00EB3584"/>
    <w:rsid w:val="00EB3917"/>
    <w:rsid w:val="00EB3CEB"/>
    <w:rsid w:val="00EB468C"/>
    <w:rsid w:val="00EB4B0C"/>
    <w:rsid w:val="00EB5AC5"/>
    <w:rsid w:val="00EB5B26"/>
    <w:rsid w:val="00EB5C09"/>
    <w:rsid w:val="00EB60C3"/>
    <w:rsid w:val="00EB61BC"/>
    <w:rsid w:val="00EB64AA"/>
    <w:rsid w:val="00EB652A"/>
    <w:rsid w:val="00EB6FA3"/>
    <w:rsid w:val="00EB7038"/>
    <w:rsid w:val="00EB78BE"/>
    <w:rsid w:val="00EB7DBD"/>
    <w:rsid w:val="00EC05CC"/>
    <w:rsid w:val="00EC0DAD"/>
    <w:rsid w:val="00EC130B"/>
    <w:rsid w:val="00EC1526"/>
    <w:rsid w:val="00EC23F3"/>
    <w:rsid w:val="00EC25FE"/>
    <w:rsid w:val="00EC2E8D"/>
    <w:rsid w:val="00EC3506"/>
    <w:rsid w:val="00EC3A40"/>
    <w:rsid w:val="00EC3ED4"/>
    <w:rsid w:val="00EC4241"/>
    <w:rsid w:val="00EC42ED"/>
    <w:rsid w:val="00EC4A77"/>
    <w:rsid w:val="00EC4B3C"/>
    <w:rsid w:val="00EC4BE7"/>
    <w:rsid w:val="00EC4C13"/>
    <w:rsid w:val="00EC4C4A"/>
    <w:rsid w:val="00EC4DE2"/>
    <w:rsid w:val="00EC5906"/>
    <w:rsid w:val="00EC5C20"/>
    <w:rsid w:val="00EC6084"/>
    <w:rsid w:val="00EC614C"/>
    <w:rsid w:val="00EC648E"/>
    <w:rsid w:val="00EC6719"/>
    <w:rsid w:val="00EC6EAA"/>
    <w:rsid w:val="00EC706A"/>
    <w:rsid w:val="00EC7A58"/>
    <w:rsid w:val="00EC7D1B"/>
    <w:rsid w:val="00ED06F4"/>
    <w:rsid w:val="00ED0C5B"/>
    <w:rsid w:val="00ED0EEB"/>
    <w:rsid w:val="00ED1808"/>
    <w:rsid w:val="00ED2435"/>
    <w:rsid w:val="00ED254C"/>
    <w:rsid w:val="00ED278F"/>
    <w:rsid w:val="00ED283E"/>
    <w:rsid w:val="00ED2DC7"/>
    <w:rsid w:val="00ED3147"/>
    <w:rsid w:val="00ED351A"/>
    <w:rsid w:val="00ED388D"/>
    <w:rsid w:val="00ED38B0"/>
    <w:rsid w:val="00ED3AE1"/>
    <w:rsid w:val="00ED3B12"/>
    <w:rsid w:val="00ED3B74"/>
    <w:rsid w:val="00ED3C71"/>
    <w:rsid w:val="00ED4041"/>
    <w:rsid w:val="00ED51FB"/>
    <w:rsid w:val="00ED7680"/>
    <w:rsid w:val="00ED7BE2"/>
    <w:rsid w:val="00ED7DFC"/>
    <w:rsid w:val="00EE0B08"/>
    <w:rsid w:val="00EE13CA"/>
    <w:rsid w:val="00EE1889"/>
    <w:rsid w:val="00EE19B3"/>
    <w:rsid w:val="00EE2186"/>
    <w:rsid w:val="00EE23EB"/>
    <w:rsid w:val="00EE2CC8"/>
    <w:rsid w:val="00EE3428"/>
    <w:rsid w:val="00EE3524"/>
    <w:rsid w:val="00EE3EBE"/>
    <w:rsid w:val="00EE4ABE"/>
    <w:rsid w:val="00EE4DB3"/>
    <w:rsid w:val="00EE504A"/>
    <w:rsid w:val="00EE51E6"/>
    <w:rsid w:val="00EE554E"/>
    <w:rsid w:val="00EE5ACA"/>
    <w:rsid w:val="00EE7458"/>
    <w:rsid w:val="00EF0944"/>
    <w:rsid w:val="00EF1220"/>
    <w:rsid w:val="00EF1931"/>
    <w:rsid w:val="00EF19AD"/>
    <w:rsid w:val="00EF1A02"/>
    <w:rsid w:val="00EF1D60"/>
    <w:rsid w:val="00EF2178"/>
    <w:rsid w:val="00EF2805"/>
    <w:rsid w:val="00EF294E"/>
    <w:rsid w:val="00EF36FB"/>
    <w:rsid w:val="00EF39F8"/>
    <w:rsid w:val="00EF3FE4"/>
    <w:rsid w:val="00EF4433"/>
    <w:rsid w:val="00EF4517"/>
    <w:rsid w:val="00EF4565"/>
    <w:rsid w:val="00EF49A7"/>
    <w:rsid w:val="00EF62BA"/>
    <w:rsid w:val="00EF63C9"/>
    <w:rsid w:val="00EF668C"/>
    <w:rsid w:val="00EF6C54"/>
    <w:rsid w:val="00EF76D6"/>
    <w:rsid w:val="00EF7876"/>
    <w:rsid w:val="00EF7EDB"/>
    <w:rsid w:val="00F006D8"/>
    <w:rsid w:val="00F00D48"/>
    <w:rsid w:val="00F00FE1"/>
    <w:rsid w:val="00F013A1"/>
    <w:rsid w:val="00F02436"/>
    <w:rsid w:val="00F02ED3"/>
    <w:rsid w:val="00F02EFF"/>
    <w:rsid w:val="00F03627"/>
    <w:rsid w:val="00F0399F"/>
    <w:rsid w:val="00F03A69"/>
    <w:rsid w:val="00F03FCF"/>
    <w:rsid w:val="00F04001"/>
    <w:rsid w:val="00F04E58"/>
    <w:rsid w:val="00F05857"/>
    <w:rsid w:val="00F05AF8"/>
    <w:rsid w:val="00F05CF6"/>
    <w:rsid w:val="00F0616A"/>
    <w:rsid w:val="00F064B5"/>
    <w:rsid w:val="00F06BF7"/>
    <w:rsid w:val="00F07200"/>
    <w:rsid w:val="00F10820"/>
    <w:rsid w:val="00F10A1D"/>
    <w:rsid w:val="00F115E1"/>
    <w:rsid w:val="00F121AD"/>
    <w:rsid w:val="00F1277D"/>
    <w:rsid w:val="00F12F83"/>
    <w:rsid w:val="00F131AD"/>
    <w:rsid w:val="00F13E79"/>
    <w:rsid w:val="00F142FF"/>
    <w:rsid w:val="00F1436B"/>
    <w:rsid w:val="00F1475C"/>
    <w:rsid w:val="00F14A12"/>
    <w:rsid w:val="00F14A42"/>
    <w:rsid w:val="00F14A77"/>
    <w:rsid w:val="00F175BE"/>
    <w:rsid w:val="00F17B7B"/>
    <w:rsid w:val="00F17C8C"/>
    <w:rsid w:val="00F21AE2"/>
    <w:rsid w:val="00F21BD9"/>
    <w:rsid w:val="00F21CEE"/>
    <w:rsid w:val="00F2209A"/>
    <w:rsid w:val="00F22F7D"/>
    <w:rsid w:val="00F23239"/>
    <w:rsid w:val="00F2337E"/>
    <w:rsid w:val="00F235EF"/>
    <w:rsid w:val="00F23A65"/>
    <w:rsid w:val="00F24925"/>
    <w:rsid w:val="00F24946"/>
    <w:rsid w:val="00F252D8"/>
    <w:rsid w:val="00F25514"/>
    <w:rsid w:val="00F25874"/>
    <w:rsid w:val="00F25912"/>
    <w:rsid w:val="00F25A41"/>
    <w:rsid w:val="00F2616B"/>
    <w:rsid w:val="00F26595"/>
    <w:rsid w:val="00F268A2"/>
    <w:rsid w:val="00F268BD"/>
    <w:rsid w:val="00F26DEF"/>
    <w:rsid w:val="00F274FF"/>
    <w:rsid w:val="00F2753B"/>
    <w:rsid w:val="00F27FE1"/>
    <w:rsid w:val="00F300CC"/>
    <w:rsid w:val="00F301A5"/>
    <w:rsid w:val="00F30536"/>
    <w:rsid w:val="00F3080C"/>
    <w:rsid w:val="00F31C7F"/>
    <w:rsid w:val="00F32181"/>
    <w:rsid w:val="00F324E1"/>
    <w:rsid w:val="00F324E2"/>
    <w:rsid w:val="00F32907"/>
    <w:rsid w:val="00F32DFB"/>
    <w:rsid w:val="00F33EEB"/>
    <w:rsid w:val="00F3469B"/>
    <w:rsid w:val="00F349D8"/>
    <w:rsid w:val="00F34B76"/>
    <w:rsid w:val="00F36416"/>
    <w:rsid w:val="00F368B6"/>
    <w:rsid w:val="00F36A7B"/>
    <w:rsid w:val="00F36E4A"/>
    <w:rsid w:val="00F40377"/>
    <w:rsid w:val="00F40659"/>
    <w:rsid w:val="00F40BE9"/>
    <w:rsid w:val="00F41150"/>
    <w:rsid w:val="00F41205"/>
    <w:rsid w:val="00F41780"/>
    <w:rsid w:val="00F41B59"/>
    <w:rsid w:val="00F41C42"/>
    <w:rsid w:val="00F41F2C"/>
    <w:rsid w:val="00F42210"/>
    <w:rsid w:val="00F42B61"/>
    <w:rsid w:val="00F42FD5"/>
    <w:rsid w:val="00F431E8"/>
    <w:rsid w:val="00F43A59"/>
    <w:rsid w:val="00F44405"/>
    <w:rsid w:val="00F4451B"/>
    <w:rsid w:val="00F44B36"/>
    <w:rsid w:val="00F457D6"/>
    <w:rsid w:val="00F45CD6"/>
    <w:rsid w:val="00F4624C"/>
    <w:rsid w:val="00F46976"/>
    <w:rsid w:val="00F46A02"/>
    <w:rsid w:val="00F46EC2"/>
    <w:rsid w:val="00F50C5E"/>
    <w:rsid w:val="00F50E93"/>
    <w:rsid w:val="00F512EC"/>
    <w:rsid w:val="00F52073"/>
    <w:rsid w:val="00F52510"/>
    <w:rsid w:val="00F5262D"/>
    <w:rsid w:val="00F52EF4"/>
    <w:rsid w:val="00F52F12"/>
    <w:rsid w:val="00F538F3"/>
    <w:rsid w:val="00F553BB"/>
    <w:rsid w:val="00F55DD5"/>
    <w:rsid w:val="00F5641F"/>
    <w:rsid w:val="00F5643A"/>
    <w:rsid w:val="00F56BC2"/>
    <w:rsid w:val="00F576AF"/>
    <w:rsid w:val="00F576C9"/>
    <w:rsid w:val="00F578BD"/>
    <w:rsid w:val="00F57A1B"/>
    <w:rsid w:val="00F57CA5"/>
    <w:rsid w:val="00F57F03"/>
    <w:rsid w:val="00F60F57"/>
    <w:rsid w:val="00F61475"/>
    <w:rsid w:val="00F621ED"/>
    <w:rsid w:val="00F62210"/>
    <w:rsid w:val="00F626A9"/>
    <w:rsid w:val="00F63356"/>
    <w:rsid w:val="00F63480"/>
    <w:rsid w:val="00F6497C"/>
    <w:rsid w:val="00F64BB4"/>
    <w:rsid w:val="00F6613D"/>
    <w:rsid w:val="00F661B6"/>
    <w:rsid w:val="00F67AF4"/>
    <w:rsid w:val="00F707B0"/>
    <w:rsid w:val="00F70CEB"/>
    <w:rsid w:val="00F7124C"/>
    <w:rsid w:val="00F71514"/>
    <w:rsid w:val="00F72333"/>
    <w:rsid w:val="00F7258E"/>
    <w:rsid w:val="00F729D4"/>
    <w:rsid w:val="00F72AF0"/>
    <w:rsid w:val="00F736A1"/>
    <w:rsid w:val="00F748C3"/>
    <w:rsid w:val="00F749F9"/>
    <w:rsid w:val="00F74B7D"/>
    <w:rsid w:val="00F757F7"/>
    <w:rsid w:val="00F75DCF"/>
    <w:rsid w:val="00F75EFF"/>
    <w:rsid w:val="00F762D6"/>
    <w:rsid w:val="00F76CA1"/>
    <w:rsid w:val="00F77206"/>
    <w:rsid w:val="00F779F6"/>
    <w:rsid w:val="00F77AF9"/>
    <w:rsid w:val="00F806D0"/>
    <w:rsid w:val="00F80970"/>
    <w:rsid w:val="00F80E93"/>
    <w:rsid w:val="00F8113D"/>
    <w:rsid w:val="00F811CD"/>
    <w:rsid w:val="00F836C4"/>
    <w:rsid w:val="00F83BA9"/>
    <w:rsid w:val="00F83E93"/>
    <w:rsid w:val="00F8467B"/>
    <w:rsid w:val="00F84921"/>
    <w:rsid w:val="00F84A58"/>
    <w:rsid w:val="00F84AFF"/>
    <w:rsid w:val="00F85BC4"/>
    <w:rsid w:val="00F8680A"/>
    <w:rsid w:val="00F86A75"/>
    <w:rsid w:val="00F86F42"/>
    <w:rsid w:val="00F87219"/>
    <w:rsid w:val="00F901C4"/>
    <w:rsid w:val="00F90F9D"/>
    <w:rsid w:val="00F91522"/>
    <w:rsid w:val="00F916A0"/>
    <w:rsid w:val="00F9170E"/>
    <w:rsid w:val="00F91D6E"/>
    <w:rsid w:val="00F92079"/>
    <w:rsid w:val="00F93D11"/>
    <w:rsid w:val="00F942DD"/>
    <w:rsid w:val="00F948B4"/>
    <w:rsid w:val="00F948FC"/>
    <w:rsid w:val="00F95024"/>
    <w:rsid w:val="00F953EE"/>
    <w:rsid w:val="00F95772"/>
    <w:rsid w:val="00F95BDF"/>
    <w:rsid w:val="00F95EBC"/>
    <w:rsid w:val="00F96737"/>
    <w:rsid w:val="00F96CFB"/>
    <w:rsid w:val="00F96D1B"/>
    <w:rsid w:val="00F972EC"/>
    <w:rsid w:val="00F97AC1"/>
    <w:rsid w:val="00FA0A35"/>
    <w:rsid w:val="00FA10BD"/>
    <w:rsid w:val="00FA14B0"/>
    <w:rsid w:val="00FA1562"/>
    <w:rsid w:val="00FA1E85"/>
    <w:rsid w:val="00FA24A1"/>
    <w:rsid w:val="00FA24AE"/>
    <w:rsid w:val="00FA2D1E"/>
    <w:rsid w:val="00FA453F"/>
    <w:rsid w:val="00FA47AF"/>
    <w:rsid w:val="00FA4E3F"/>
    <w:rsid w:val="00FA5030"/>
    <w:rsid w:val="00FA524C"/>
    <w:rsid w:val="00FA588D"/>
    <w:rsid w:val="00FA62EE"/>
    <w:rsid w:val="00FA68A3"/>
    <w:rsid w:val="00FA6D90"/>
    <w:rsid w:val="00FA6DA0"/>
    <w:rsid w:val="00FA6E6E"/>
    <w:rsid w:val="00FA72A8"/>
    <w:rsid w:val="00FA780F"/>
    <w:rsid w:val="00FA7DFD"/>
    <w:rsid w:val="00FB022C"/>
    <w:rsid w:val="00FB0829"/>
    <w:rsid w:val="00FB0A40"/>
    <w:rsid w:val="00FB0F65"/>
    <w:rsid w:val="00FB14AE"/>
    <w:rsid w:val="00FB1EED"/>
    <w:rsid w:val="00FB299F"/>
    <w:rsid w:val="00FB2E3D"/>
    <w:rsid w:val="00FB38CF"/>
    <w:rsid w:val="00FB3C9C"/>
    <w:rsid w:val="00FB425A"/>
    <w:rsid w:val="00FB4964"/>
    <w:rsid w:val="00FB5277"/>
    <w:rsid w:val="00FB52CB"/>
    <w:rsid w:val="00FB5329"/>
    <w:rsid w:val="00FB5F10"/>
    <w:rsid w:val="00FB62E6"/>
    <w:rsid w:val="00FB670D"/>
    <w:rsid w:val="00FB793E"/>
    <w:rsid w:val="00FB7D89"/>
    <w:rsid w:val="00FC041F"/>
    <w:rsid w:val="00FC1715"/>
    <w:rsid w:val="00FC1F3A"/>
    <w:rsid w:val="00FC2069"/>
    <w:rsid w:val="00FC2E82"/>
    <w:rsid w:val="00FC322A"/>
    <w:rsid w:val="00FC39A7"/>
    <w:rsid w:val="00FC3B74"/>
    <w:rsid w:val="00FC3F2F"/>
    <w:rsid w:val="00FC46A5"/>
    <w:rsid w:val="00FC5404"/>
    <w:rsid w:val="00FC544D"/>
    <w:rsid w:val="00FC57CE"/>
    <w:rsid w:val="00FC5A2A"/>
    <w:rsid w:val="00FC5BBE"/>
    <w:rsid w:val="00FC5D33"/>
    <w:rsid w:val="00FC5EE5"/>
    <w:rsid w:val="00FC6E30"/>
    <w:rsid w:val="00FC7073"/>
    <w:rsid w:val="00FC78FD"/>
    <w:rsid w:val="00FC7A58"/>
    <w:rsid w:val="00FC7DD4"/>
    <w:rsid w:val="00FD066B"/>
    <w:rsid w:val="00FD07B9"/>
    <w:rsid w:val="00FD08BE"/>
    <w:rsid w:val="00FD0CFE"/>
    <w:rsid w:val="00FD0F88"/>
    <w:rsid w:val="00FD2840"/>
    <w:rsid w:val="00FD302D"/>
    <w:rsid w:val="00FD3BF9"/>
    <w:rsid w:val="00FD4C5D"/>
    <w:rsid w:val="00FD5196"/>
    <w:rsid w:val="00FD5CEE"/>
    <w:rsid w:val="00FD688F"/>
    <w:rsid w:val="00FD6AAD"/>
    <w:rsid w:val="00FD73EA"/>
    <w:rsid w:val="00FD7FA1"/>
    <w:rsid w:val="00FD7FE7"/>
    <w:rsid w:val="00FE0634"/>
    <w:rsid w:val="00FE0A72"/>
    <w:rsid w:val="00FE0C59"/>
    <w:rsid w:val="00FE0CA0"/>
    <w:rsid w:val="00FE1B4A"/>
    <w:rsid w:val="00FE2019"/>
    <w:rsid w:val="00FE29B8"/>
    <w:rsid w:val="00FE29DD"/>
    <w:rsid w:val="00FE33B9"/>
    <w:rsid w:val="00FE37C6"/>
    <w:rsid w:val="00FE459B"/>
    <w:rsid w:val="00FE4824"/>
    <w:rsid w:val="00FE69F7"/>
    <w:rsid w:val="00FE6BD2"/>
    <w:rsid w:val="00FE6C2D"/>
    <w:rsid w:val="00FE6E7E"/>
    <w:rsid w:val="00FF0041"/>
    <w:rsid w:val="00FF06B9"/>
    <w:rsid w:val="00FF1134"/>
    <w:rsid w:val="00FF2E17"/>
    <w:rsid w:val="00FF31EB"/>
    <w:rsid w:val="00FF42C1"/>
    <w:rsid w:val="00FF4AC8"/>
    <w:rsid w:val="00FF4B52"/>
    <w:rsid w:val="00FF566E"/>
    <w:rsid w:val="00FF6149"/>
    <w:rsid w:val="00FF759B"/>
    <w:rsid w:val="00FF7A3A"/>
    <w:rsid w:val="00FF7B74"/>
    <w:rsid w:val="01981C59"/>
    <w:rsid w:val="01C90AA0"/>
    <w:rsid w:val="025C01CC"/>
    <w:rsid w:val="033C3D82"/>
    <w:rsid w:val="03916F6C"/>
    <w:rsid w:val="04375A32"/>
    <w:rsid w:val="045D72C7"/>
    <w:rsid w:val="046707F9"/>
    <w:rsid w:val="06174F9C"/>
    <w:rsid w:val="064B2C35"/>
    <w:rsid w:val="06E94E42"/>
    <w:rsid w:val="071F3A56"/>
    <w:rsid w:val="076646E5"/>
    <w:rsid w:val="07C77A03"/>
    <w:rsid w:val="08563D7B"/>
    <w:rsid w:val="08D97914"/>
    <w:rsid w:val="09D6150F"/>
    <w:rsid w:val="0B2457DF"/>
    <w:rsid w:val="0B7A250D"/>
    <w:rsid w:val="0B9B2395"/>
    <w:rsid w:val="0C0B43EA"/>
    <w:rsid w:val="0F242EBB"/>
    <w:rsid w:val="0F397D9C"/>
    <w:rsid w:val="0F3E4B00"/>
    <w:rsid w:val="0F582B65"/>
    <w:rsid w:val="0FEF6A5D"/>
    <w:rsid w:val="10AE090C"/>
    <w:rsid w:val="11557895"/>
    <w:rsid w:val="11913A22"/>
    <w:rsid w:val="12535865"/>
    <w:rsid w:val="129E0193"/>
    <w:rsid w:val="12E25E57"/>
    <w:rsid w:val="13EF6FA6"/>
    <w:rsid w:val="14B0095E"/>
    <w:rsid w:val="156D6C3E"/>
    <w:rsid w:val="15D91A12"/>
    <w:rsid w:val="16374F0B"/>
    <w:rsid w:val="17242CEB"/>
    <w:rsid w:val="17CF598E"/>
    <w:rsid w:val="188A04A2"/>
    <w:rsid w:val="189B0BAE"/>
    <w:rsid w:val="190A3122"/>
    <w:rsid w:val="191775ED"/>
    <w:rsid w:val="19265A82"/>
    <w:rsid w:val="195851C9"/>
    <w:rsid w:val="19830269"/>
    <w:rsid w:val="1A270205"/>
    <w:rsid w:val="1D6549A9"/>
    <w:rsid w:val="1D8F1B56"/>
    <w:rsid w:val="1DC159AF"/>
    <w:rsid w:val="1DCF0496"/>
    <w:rsid w:val="1E364F6B"/>
    <w:rsid w:val="1E813A78"/>
    <w:rsid w:val="1F574E9B"/>
    <w:rsid w:val="201E2715"/>
    <w:rsid w:val="21611FFB"/>
    <w:rsid w:val="217D7B9D"/>
    <w:rsid w:val="21CD73E2"/>
    <w:rsid w:val="21EE08EC"/>
    <w:rsid w:val="22631AF5"/>
    <w:rsid w:val="230265C4"/>
    <w:rsid w:val="232E686C"/>
    <w:rsid w:val="23423A29"/>
    <w:rsid w:val="23855DE1"/>
    <w:rsid w:val="244E37C0"/>
    <w:rsid w:val="250F4D25"/>
    <w:rsid w:val="27623729"/>
    <w:rsid w:val="276F0B60"/>
    <w:rsid w:val="27DD0335"/>
    <w:rsid w:val="28D21782"/>
    <w:rsid w:val="29C73352"/>
    <w:rsid w:val="2A4C40E9"/>
    <w:rsid w:val="2AD27987"/>
    <w:rsid w:val="2B9A5F7B"/>
    <w:rsid w:val="2B9F5CDF"/>
    <w:rsid w:val="2C365B84"/>
    <w:rsid w:val="2E637691"/>
    <w:rsid w:val="2E673F6F"/>
    <w:rsid w:val="2F880DEC"/>
    <w:rsid w:val="3195334D"/>
    <w:rsid w:val="337E0936"/>
    <w:rsid w:val="338B4A07"/>
    <w:rsid w:val="33924C86"/>
    <w:rsid w:val="33E9462F"/>
    <w:rsid w:val="349A75F8"/>
    <w:rsid w:val="353B0B1D"/>
    <w:rsid w:val="356577F5"/>
    <w:rsid w:val="35ED6974"/>
    <w:rsid w:val="360D5BA8"/>
    <w:rsid w:val="368D575F"/>
    <w:rsid w:val="3884758A"/>
    <w:rsid w:val="3AE80744"/>
    <w:rsid w:val="3B6E0E96"/>
    <w:rsid w:val="3B8102A9"/>
    <w:rsid w:val="3C3324B3"/>
    <w:rsid w:val="3E452999"/>
    <w:rsid w:val="3F412DD0"/>
    <w:rsid w:val="3F60143E"/>
    <w:rsid w:val="404B7B0C"/>
    <w:rsid w:val="40FA4D59"/>
    <w:rsid w:val="41004B67"/>
    <w:rsid w:val="43A31047"/>
    <w:rsid w:val="43B77931"/>
    <w:rsid w:val="440B5E1C"/>
    <w:rsid w:val="449F1A48"/>
    <w:rsid w:val="45C832BA"/>
    <w:rsid w:val="463D6D75"/>
    <w:rsid w:val="467C2E05"/>
    <w:rsid w:val="46B67B95"/>
    <w:rsid w:val="46F53B35"/>
    <w:rsid w:val="471F573B"/>
    <w:rsid w:val="497D499A"/>
    <w:rsid w:val="497F2A2F"/>
    <w:rsid w:val="4A0155CC"/>
    <w:rsid w:val="4A4B1B08"/>
    <w:rsid w:val="4AC24D5B"/>
    <w:rsid w:val="4AF408CB"/>
    <w:rsid w:val="4BBD76FF"/>
    <w:rsid w:val="4BE07B8E"/>
    <w:rsid w:val="4CCE4265"/>
    <w:rsid w:val="4D4736CC"/>
    <w:rsid w:val="4E44488A"/>
    <w:rsid w:val="4F573AFE"/>
    <w:rsid w:val="4FAA183E"/>
    <w:rsid w:val="50561C8F"/>
    <w:rsid w:val="50C77758"/>
    <w:rsid w:val="50EB5DB4"/>
    <w:rsid w:val="50F235AA"/>
    <w:rsid w:val="519136D9"/>
    <w:rsid w:val="51F40FEE"/>
    <w:rsid w:val="528A287A"/>
    <w:rsid w:val="52AE334C"/>
    <w:rsid w:val="542F1F51"/>
    <w:rsid w:val="545D5AF4"/>
    <w:rsid w:val="546535D1"/>
    <w:rsid w:val="54CE4645"/>
    <w:rsid w:val="550A5C7C"/>
    <w:rsid w:val="5519349A"/>
    <w:rsid w:val="558F2703"/>
    <w:rsid w:val="56167C46"/>
    <w:rsid w:val="566E3FE9"/>
    <w:rsid w:val="56B36415"/>
    <w:rsid w:val="57134D5B"/>
    <w:rsid w:val="58426187"/>
    <w:rsid w:val="58B31B93"/>
    <w:rsid w:val="58CD4FF7"/>
    <w:rsid w:val="58FB666B"/>
    <w:rsid w:val="59861515"/>
    <w:rsid w:val="59A1379E"/>
    <w:rsid w:val="5A0E2015"/>
    <w:rsid w:val="5AD641A4"/>
    <w:rsid w:val="5B317A04"/>
    <w:rsid w:val="5B9B762E"/>
    <w:rsid w:val="5BC00339"/>
    <w:rsid w:val="5D281238"/>
    <w:rsid w:val="5E267859"/>
    <w:rsid w:val="5E891782"/>
    <w:rsid w:val="5ED2780B"/>
    <w:rsid w:val="5ED546B7"/>
    <w:rsid w:val="5F1F0576"/>
    <w:rsid w:val="5FD959C1"/>
    <w:rsid w:val="602C16B6"/>
    <w:rsid w:val="61363955"/>
    <w:rsid w:val="61D2367E"/>
    <w:rsid w:val="637B7D03"/>
    <w:rsid w:val="63907390"/>
    <w:rsid w:val="63CE7CBB"/>
    <w:rsid w:val="63E17ABB"/>
    <w:rsid w:val="63F4420B"/>
    <w:rsid w:val="64C00C73"/>
    <w:rsid w:val="657A578A"/>
    <w:rsid w:val="658A426F"/>
    <w:rsid w:val="65F17F77"/>
    <w:rsid w:val="67CB084D"/>
    <w:rsid w:val="685675B0"/>
    <w:rsid w:val="688E2782"/>
    <w:rsid w:val="6B7D0485"/>
    <w:rsid w:val="6BEE47AA"/>
    <w:rsid w:val="6C296590"/>
    <w:rsid w:val="6D140FEE"/>
    <w:rsid w:val="6D3D090D"/>
    <w:rsid w:val="6E2F56EF"/>
    <w:rsid w:val="6EDB1CF6"/>
    <w:rsid w:val="6EDE7B06"/>
    <w:rsid w:val="6F082D70"/>
    <w:rsid w:val="6FEF5D43"/>
    <w:rsid w:val="700714A0"/>
    <w:rsid w:val="70D171F6"/>
    <w:rsid w:val="70E6151C"/>
    <w:rsid w:val="714459CD"/>
    <w:rsid w:val="71924D17"/>
    <w:rsid w:val="71CB4D8E"/>
    <w:rsid w:val="728670E0"/>
    <w:rsid w:val="72AE1E5E"/>
    <w:rsid w:val="72BD5C84"/>
    <w:rsid w:val="730E018B"/>
    <w:rsid w:val="73500BF2"/>
    <w:rsid w:val="736170B8"/>
    <w:rsid w:val="7589162A"/>
    <w:rsid w:val="768B5FE6"/>
    <w:rsid w:val="77477567"/>
    <w:rsid w:val="778835DE"/>
    <w:rsid w:val="794B223C"/>
    <w:rsid w:val="79DA16D0"/>
    <w:rsid w:val="7A4671E4"/>
    <w:rsid w:val="7ADE49EA"/>
    <w:rsid w:val="7BAA0820"/>
    <w:rsid w:val="7C8A627E"/>
    <w:rsid w:val="7C8B4568"/>
    <w:rsid w:val="7D011CDE"/>
    <w:rsid w:val="7D483717"/>
    <w:rsid w:val="7D79573E"/>
    <w:rsid w:val="7E260B2C"/>
    <w:rsid w:val="7F02766D"/>
    <w:rsid w:val="7F170BC0"/>
    <w:rsid w:val="7F985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2"/>
    <w:qFormat/>
    <w:uiPriority w:val="0"/>
    <w:pPr>
      <w:keepNext/>
      <w:jc w:val="center"/>
      <w:outlineLvl w:val="0"/>
    </w:pPr>
    <w:rPr>
      <w:sz w:val="28"/>
    </w:rPr>
  </w:style>
  <w:style w:type="paragraph" w:styleId="3">
    <w:name w:val="heading 2"/>
    <w:basedOn w:val="1"/>
    <w:next w:val="1"/>
    <w:link w:val="9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4"/>
    <w:qFormat/>
    <w:uiPriority w:val="0"/>
    <w:pPr>
      <w:keepNext/>
      <w:keepLines/>
      <w:spacing w:before="260" w:after="260" w:line="416" w:lineRule="auto"/>
      <w:outlineLvl w:val="2"/>
    </w:pPr>
    <w:rPr>
      <w:b/>
      <w:bCs/>
      <w:sz w:val="32"/>
      <w:szCs w:val="32"/>
    </w:rPr>
  </w:style>
  <w:style w:type="paragraph" w:styleId="5">
    <w:name w:val="heading 4"/>
    <w:basedOn w:val="1"/>
    <w:next w:val="1"/>
    <w:link w:val="11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24"/>
    <w:qFormat/>
    <w:uiPriority w:val="0"/>
    <w:pPr>
      <w:keepNext/>
      <w:keepLines/>
      <w:spacing w:before="280" w:after="290" w:line="376" w:lineRule="auto"/>
      <w:outlineLvl w:val="4"/>
    </w:pPr>
    <w:rPr>
      <w:b/>
      <w:bCs/>
      <w:sz w:val="28"/>
      <w:szCs w:val="28"/>
    </w:rPr>
  </w:style>
  <w:style w:type="paragraph" w:styleId="7">
    <w:name w:val="heading 6"/>
    <w:basedOn w:val="1"/>
    <w:next w:val="8"/>
    <w:link w:val="120"/>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8"/>
    <w:link w:val="101"/>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0">
    <w:name w:val="heading 8"/>
    <w:basedOn w:val="1"/>
    <w:next w:val="8"/>
    <w:link w:val="109"/>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1">
    <w:name w:val="heading 9"/>
    <w:basedOn w:val="1"/>
    <w:next w:val="8"/>
    <w:link w:val="60"/>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0"/>
    <w:qFormat/>
    <w:uiPriority w:val="0"/>
    <w:pPr>
      <w:spacing w:after="50"/>
      <w:ind w:firstLine="200" w:firstLineChars="200"/>
    </w:pPr>
    <w:rPr>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11"/>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link w:val="65"/>
    <w:qFormat/>
    <w:uiPriority w:val="99"/>
    <w:pPr>
      <w:jc w:val="left"/>
    </w:pPr>
  </w:style>
  <w:style w:type="paragraph" w:styleId="18">
    <w:name w:val="Body Text 3"/>
    <w:basedOn w:val="1"/>
    <w:link w:val="103"/>
    <w:qFormat/>
    <w:uiPriority w:val="0"/>
    <w:pPr>
      <w:spacing w:beforeLines="100" w:afterLines="100" w:line="400" w:lineRule="exact"/>
    </w:pPr>
    <w:rPr>
      <w:rFonts w:ascii="宋体" w:hAnsi="宋体"/>
      <w:sz w:val="24"/>
    </w:rPr>
  </w:style>
  <w:style w:type="paragraph" w:styleId="19">
    <w:name w:val="Body Text"/>
    <w:basedOn w:val="1"/>
    <w:link w:val="96"/>
    <w:qFormat/>
    <w:uiPriority w:val="0"/>
    <w:rPr>
      <w:rFonts w:ascii="Arial" w:hAnsi="Arial"/>
      <w:bCs/>
      <w:sz w:val="24"/>
    </w:rPr>
  </w:style>
  <w:style w:type="paragraph" w:styleId="20">
    <w:name w:val="Body Text Indent"/>
    <w:basedOn w:val="1"/>
    <w:link w:val="102"/>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1">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2">
    <w:name w:val="List 2"/>
    <w:basedOn w:val="1"/>
    <w:qFormat/>
    <w:uiPriority w:val="0"/>
    <w:pPr>
      <w:ind w:left="100" w:leftChars="200" w:hanging="200" w:hangingChars="200"/>
    </w:pPr>
    <w:rPr>
      <w:rFonts w:ascii="Calibri" w:hAnsi="Calibri"/>
      <w:szCs w:val="22"/>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72"/>
    <w:qFormat/>
    <w:uiPriority w:val="0"/>
    <w:rPr>
      <w:rFonts w:ascii="宋体" w:hAnsi="Courier New"/>
      <w:szCs w:val="20"/>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link w:val="113"/>
    <w:qFormat/>
    <w:uiPriority w:val="99"/>
    <w:pPr>
      <w:ind w:left="100" w:leftChars="2500"/>
    </w:pPr>
    <w:rPr>
      <w:color w:val="000000"/>
      <w:sz w:val="24"/>
    </w:rPr>
  </w:style>
  <w:style w:type="paragraph" w:styleId="28">
    <w:name w:val="Body Text Indent 2"/>
    <w:basedOn w:val="1"/>
    <w:link w:val="91"/>
    <w:qFormat/>
    <w:uiPriority w:val="0"/>
    <w:pPr>
      <w:widowControl/>
      <w:spacing w:line="480" w:lineRule="atLeast"/>
      <w:ind w:firstLine="480"/>
    </w:pPr>
    <w:rPr>
      <w:rFonts w:ascii="宋体"/>
      <w:kern w:val="0"/>
      <w:sz w:val="24"/>
      <w:szCs w:val="20"/>
    </w:rPr>
  </w:style>
  <w:style w:type="paragraph" w:styleId="29">
    <w:name w:val="Balloon Text"/>
    <w:basedOn w:val="1"/>
    <w:link w:val="95"/>
    <w:qFormat/>
    <w:uiPriority w:val="0"/>
    <w:rPr>
      <w:sz w:val="18"/>
      <w:szCs w:val="18"/>
    </w:rPr>
  </w:style>
  <w:style w:type="paragraph" w:styleId="30">
    <w:name w:val="footer"/>
    <w:basedOn w:val="1"/>
    <w:link w:val="108"/>
    <w:qFormat/>
    <w:uiPriority w:val="99"/>
    <w:pPr>
      <w:tabs>
        <w:tab w:val="center" w:pos="4153"/>
        <w:tab w:val="right" w:pos="8306"/>
      </w:tabs>
      <w:snapToGrid w:val="0"/>
      <w:jc w:val="left"/>
    </w:pPr>
    <w:rPr>
      <w:sz w:val="18"/>
      <w:szCs w:val="18"/>
    </w:rPr>
  </w:style>
  <w:style w:type="paragraph" w:styleId="31">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rPr>
      <w:rFonts w:ascii="宋体" w:hAnsi="宋体"/>
      <w:b/>
      <w:sz w:val="24"/>
    </w:rPr>
  </w:style>
  <w:style w:type="paragraph" w:styleId="33">
    <w:name w:val="toc 4"/>
    <w:basedOn w:val="1"/>
    <w:next w:val="1"/>
    <w:semiHidden/>
    <w:qFormat/>
    <w:uiPriority w:val="0"/>
    <w:pPr>
      <w:ind w:left="630"/>
      <w:jc w:val="left"/>
    </w:pPr>
    <w:rPr>
      <w:sz w:val="18"/>
      <w:szCs w:val="18"/>
    </w:rPr>
  </w:style>
  <w:style w:type="paragraph" w:styleId="34">
    <w:name w:val="footnote text"/>
    <w:basedOn w:val="1"/>
    <w:link w:val="221"/>
    <w:qFormat/>
    <w:uiPriority w:val="99"/>
    <w:pPr>
      <w:snapToGrid w:val="0"/>
      <w:jc w:val="left"/>
    </w:pPr>
    <w:rPr>
      <w:sz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link w:val="69"/>
    <w:qFormat/>
    <w:uiPriority w:val="0"/>
    <w:pPr>
      <w:autoSpaceDE w:val="0"/>
      <w:autoSpaceDN w:val="0"/>
      <w:spacing w:line="400" w:lineRule="atLeast"/>
      <w:ind w:firstLine="443" w:firstLineChars="200"/>
      <w:textAlignment w:val="bottom"/>
    </w:pPr>
    <w:rPr>
      <w:rFonts w:eastAsia="黑体"/>
      <w:color w:val="000000"/>
      <w:sz w:val="24"/>
    </w:rPr>
  </w:style>
  <w:style w:type="paragraph" w:styleId="37">
    <w:name w:val="table of figures"/>
    <w:basedOn w:val="1"/>
    <w:next w:val="1"/>
    <w:qFormat/>
    <w:uiPriority w:val="0"/>
    <w:pPr>
      <w:widowControl/>
      <w:ind w:left="840" w:leftChars="200" w:hanging="420" w:hangingChars="200"/>
      <w:jc w:val="left"/>
    </w:pPr>
    <w:rPr>
      <w:kern w:val="0"/>
      <w:szCs w:val="20"/>
    </w:rPr>
  </w:style>
  <w:style w:type="paragraph" w:styleId="38">
    <w:name w:val="toc 2"/>
    <w:basedOn w:val="1"/>
    <w:next w:val="1"/>
    <w:qFormat/>
    <w:uiPriority w:val="39"/>
    <w:pPr>
      <w:ind w:left="420" w:leftChars="200"/>
    </w:pPr>
  </w:style>
  <w:style w:type="paragraph" w:styleId="39">
    <w:name w:val="toc 9"/>
    <w:basedOn w:val="1"/>
    <w:next w:val="1"/>
    <w:semiHidden/>
    <w:qFormat/>
    <w:uiPriority w:val="0"/>
    <w:pPr>
      <w:ind w:left="1680"/>
      <w:jc w:val="left"/>
    </w:pPr>
    <w:rPr>
      <w:sz w:val="18"/>
      <w:szCs w:val="18"/>
    </w:rPr>
  </w:style>
  <w:style w:type="paragraph" w:styleId="40">
    <w:name w:val="Body Text 2"/>
    <w:basedOn w:val="1"/>
    <w:link w:val="123"/>
    <w:qFormat/>
    <w:uiPriority w:val="0"/>
    <w:pPr>
      <w:spacing w:after="120" w:line="480" w:lineRule="auto"/>
    </w:p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link w:val="114"/>
    <w:qFormat/>
    <w:uiPriority w:val="0"/>
    <w:pPr>
      <w:spacing w:before="240" w:after="60"/>
      <w:jc w:val="center"/>
      <w:outlineLvl w:val="0"/>
    </w:pPr>
    <w:rPr>
      <w:rFonts w:ascii="Arial" w:hAnsi="Arial"/>
      <w:b/>
      <w:bCs/>
      <w:sz w:val="32"/>
      <w:szCs w:val="32"/>
    </w:rPr>
  </w:style>
  <w:style w:type="paragraph" w:styleId="44">
    <w:name w:val="annotation subject"/>
    <w:basedOn w:val="17"/>
    <w:next w:val="17"/>
    <w:link w:val="76"/>
    <w:qFormat/>
    <w:uiPriority w:val="0"/>
    <w:rPr>
      <w:b/>
      <w:bCs/>
    </w:rPr>
  </w:style>
  <w:style w:type="paragraph" w:styleId="45">
    <w:name w:val="Body Text First Indent"/>
    <w:basedOn w:val="19"/>
    <w:link w:val="79"/>
    <w:qFormat/>
    <w:uiPriority w:val="99"/>
    <w:pPr>
      <w:spacing w:after="120"/>
      <w:ind w:firstLine="420" w:firstLineChars="100"/>
    </w:pPr>
    <w:rPr>
      <w:rFonts w:ascii="Times New Roman" w:hAnsi="Times New Roman"/>
      <w:bCs w:val="0"/>
      <w:sz w:val="21"/>
    </w:rPr>
  </w:style>
  <w:style w:type="paragraph" w:styleId="46">
    <w:name w:val="Body Text First Indent 2"/>
    <w:basedOn w:val="20"/>
    <w:link w:val="228"/>
    <w:qFormat/>
    <w:uiPriority w:val="0"/>
    <w:pPr>
      <w:autoSpaceDE/>
      <w:autoSpaceDN/>
      <w:adjustRightInd/>
      <w:snapToGrid/>
      <w:spacing w:after="120" w:line="240" w:lineRule="auto"/>
      <w:ind w:left="420" w:leftChars="200" w:firstLine="420" w:firstLineChars="200"/>
      <w:textAlignment w:val="auto"/>
    </w:pPr>
    <w:rPr>
      <w:rFonts w:ascii="Times New Roman" w:eastAsia="宋体"/>
      <w:b w:val="0"/>
      <w:bCs w:val="0"/>
      <w:color w:val="auto"/>
      <w:sz w:val="21"/>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rFonts w:eastAsia="宋体"/>
      <w:color w:val="800080"/>
      <w:kern w:val="2"/>
      <w:sz w:val="24"/>
      <w:szCs w:val="24"/>
      <w:u w:val="single"/>
      <w:lang w:val="en-US" w:eastAsia="zh-CN" w:bidi="ar-SA"/>
    </w:rPr>
  </w:style>
  <w:style w:type="character" w:styleId="53">
    <w:name w:val="Emphasis"/>
    <w:qFormat/>
    <w:uiPriority w:val="20"/>
    <w:rPr>
      <w:rFonts w:eastAsia="宋体"/>
      <w:color w:val="CC0033"/>
      <w:kern w:val="2"/>
      <w:sz w:val="24"/>
      <w:szCs w:val="24"/>
      <w:lang w:val="en-US" w:eastAsia="zh-CN" w:bidi="ar-SA"/>
    </w:rPr>
  </w:style>
  <w:style w:type="character" w:styleId="54">
    <w:name w:val="Hyperlink"/>
    <w:qFormat/>
    <w:uiPriority w:val="99"/>
    <w:rPr>
      <w:color w:val="0000FF"/>
      <w:u w:val="single"/>
    </w:rPr>
  </w:style>
  <w:style w:type="character" w:styleId="55">
    <w:name w:val="annotation reference"/>
    <w:qFormat/>
    <w:uiPriority w:val="99"/>
    <w:rPr>
      <w:rFonts w:eastAsia="宋体"/>
      <w:kern w:val="2"/>
      <w:sz w:val="21"/>
      <w:szCs w:val="21"/>
      <w:lang w:val="en-US" w:eastAsia="zh-CN" w:bidi="ar-SA"/>
    </w:rPr>
  </w:style>
  <w:style w:type="character" w:customStyle="1" w:styleId="56">
    <w:name w:val="Char Char7"/>
    <w:qFormat/>
    <w:uiPriority w:val="0"/>
    <w:rPr>
      <w:rFonts w:ascii="Cambria" w:hAnsi="Cambria" w:eastAsia="宋体"/>
      <w:b/>
      <w:bCs/>
      <w:sz w:val="32"/>
      <w:szCs w:val="32"/>
      <w:lang w:val="en-US" w:eastAsia="zh-CN" w:bidi="ar-SA"/>
    </w:rPr>
  </w:style>
  <w:style w:type="character" w:customStyle="1" w:styleId="57">
    <w:name w:val="biaoti-red"/>
    <w:basedOn w:val="49"/>
    <w:qFormat/>
    <w:uiPriority w:val="0"/>
  </w:style>
  <w:style w:type="character" w:customStyle="1" w:styleId="58">
    <w:name w:val="Default 1"/>
    <w:qFormat/>
    <w:uiPriority w:val="0"/>
    <w:rPr>
      <w:rFonts w:cs="Verdana"/>
      <w:sz w:val="16"/>
      <w:szCs w:val="16"/>
    </w:rPr>
  </w:style>
  <w:style w:type="character" w:customStyle="1" w:styleId="59">
    <w:name w:val="页眉 Char1"/>
    <w:qFormat/>
    <w:uiPriority w:val="0"/>
    <w:rPr>
      <w:sz w:val="18"/>
    </w:rPr>
  </w:style>
  <w:style w:type="character" w:customStyle="1" w:styleId="60">
    <w:name w:val="标题 9 Char"/>
    <w:link w:val="11"/>
    <w:qFormat/>
    <w:uiPriority w:val="0"/>
    <w:rPr>
      <w:rFonts w:ascii="Arial" w:hAnsi="Arial" w:eastAsia="黑体"/>
      <w:spacing w:val="6"/>
      <w:kern w:val="2"/>
      <w:sz w:val="24"/>
      <w:szCs w:val="24"/>
    </w:rPr>
  </w:style>
  <w:style w:type="character" w:customStyle="1" w:styleId="61">
    <w:name w:val="z-窗体底端 Char"/>
    <w:link w:val="62"/>
    <w:qFormat/>
    <w:uiPriority w:val="0"/>
    <w:rPr>
      <w:rFonts w:ascii="Arial" w:hAnsi="Arial" w:cs="Arial"/>
      <w:vanish/>
      <w:sz w:val="16"/>
      <w:szCs w:val="16"/>
    </w:rPr>
  </w:style>
  <w:style w:type="paragraph" w:customStyle="1" w:styleId="62">
    <w:name w:val="z-窗体底端1"/>
    <w:basedOn w:val="1"/>
    <w:next w:val="1"/>
    <w:link w:val="61"/>
    <w:qFormat/>
    <w:uiPriority w:val="0"/>
    <w:pPr>
      <w:widowControl/>
      <w:pBdr>
        <w:top w:val="single" w:color="auto" w:sz="6" w:space="1"/>
      </w:pBdr>
      <w:jc w:val="center"/>
    </w:pPr>
    <w:rPr>
      <w:rFonts w:ascii="Arial" w:hAnsi="Arial"/>
      <w:vanish/>
      <w:kern w:val="0"/>
      <w:sz w:val="16"/>
      <w:szCs w:val="16"/>
    </w:rPr>
  </w:style>
  <w:style w:type="character" w:customStyle="1" w:styleId="63">
    <w:name w:val="Footer-Even Char Char"/>
    <w:qFormat/>
    <w:uiPriority w:val="0"/>
    <w:rPr>
      <w:rFonts w:ascii="Times New Roman" w:hAnsi="Times New Roman" w:eastAsia="宋体" w:cs="Times New Roman"/>
      <w:kern w:val="0"/>
      <w:sz w:val="18"/>
      <w:szCs w:val="20"/>
    </w:rPr>
  </w:style>
  <w:style w:type="character" w:customStyle="1" w:styleId="64">
    <w:name w:val="普通文字 Char Char Char Char1"/>
    <w:qFormat/>
    <w:uiPriority w:val="0"/>
    <w:rPr>
      <w:rFonts w:ascii="宋体" w:hAnsi="Courier New" w:eastAsia="仿宋_GB2312"/>
      <w:b/>
      <w:color w:val="000000"/>
      <w:sz w:val="21"/>
    </w:rPr>
  </w:style>
  <w:style w:type="character" w:customStyle="1" w:styleId="65">
    <w:name w:val="批注文字 Char"/>
    <w:link w:val="17"/>
    <w:qFormat/>
    <w:uiPriority w:val="99"/>
    <w:rPr>
      <w:kern w:val="2"/>
      <w:sz w:val="21"/>
      <w:szCs w:val="24"/>
    </w:rPr>
  </w:style>
  <w:style w:type="character" w:customStyle="1" w:styleId="66">
    <w:name w:val="正文文字首行缩进 Char"/>
    <w:qFormat/>
    <w:uiPriority w:val="0"/>
    <w:rPr>
      <w:rFonts w:ascii="Times New Roman" w:hAnsi="Times New Roman"/>
      <w:sz w:val="21"/>
    </w:rPr>
  </w:style>
  <w:style w:type="character" w:customStyle="1" w:styleId="67">
    <w:name w:val="段 Char"/>
    <w:link w:val="68"/>
    <w:qFormat/>
    <w:uiPriority w:val="0"/>
    <w:rPr>
      <w:rFonts w:ascii="宋体"/>
      <w:lang w:val="en-US" w:eastAsia="zh-CN" w:bidi="ar-SA"/>
    </w:rPr>
  </w:style>
  <w:style w:type="paragraph" w:customStyle="1" w:styleId="68">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69">
    <w:name w:val="正文文本缩进 3 Char"/>
    <w:link w:val="36"/>
    <w:qFormat/>
    <w:uiPriority w:val="0"/>
    <w:rPr>
      <w:rFonts w:eastAsia="黑体"/>
      <w:color w:val="000000"/>
      <w:kern w:val="2"/>
      <w:sz w:val="24"/>
      <w:szCs w:val="24"/>
    </w:rPr>
  </w:style>
  <w:style w:type="character" w:customStyle="1" w:styleId="70">
    <w:name w:val="标题 1 Char Char"/>
    <w:qFormat/>
    <w:uiPriority w:val="0"/>
    <w:rPr>
      <w:rFonts w:eastAsia="宋体"/>
      <w:b/>
      <w:spacing w:val="-2"/>
      <w:sz w:val="24"/>
      <w:lang w:val="en-US" w:eastAsia="zh-CN" w:bidi="ar-SA"/>
    </w:rPr>
  </w:style>
  <w:style w:type="character" w:customStyle="1" w:styleId="71">
    <w:name w:val="grame"/>
    <w:qFormat/>
    <w:uiPriority w:val="0"/>
  </w:style>
  <w:style w:type="character" w:customStyle="1" w:styleId="72">
    <w:name w:val="纯文本 Char"/>
    <w:link w:val="25"/>
    <w:qFormat/>
    <w:uiPriority w:val="0"/>
    <w:rPr>
      <w:rFonts w:ascii="宋体" w:hAnsi="Courier New" w:eastAsia="宋体"/>
      <w:kern w:val="2"/>
      <w:sz w:val="21"/>
      <w:lang w:val="en-US" w:eastAsia="zh-CN" w:bidi="ar-SA"/>
    </w:rPr>
  </w:style>
  <w:style w:type="character" w:customStyle="1" w:styleId="73">
    <w:name w:val="Char Char2"/>
    <w:semiHidden/>
    <w:qFormat/>
    <w:uiPriority w:val="0"/>
    <w:rPr>
      <w:rFonts w:eastAsia="宋体"/>
      <w:kern w:val="2"/>
      <w:sz w:val="18"/>
      <w:szCs w:val="18"/>
      <w:lang w:val="en-US" w:eastAsia="zh-CN" w:bidi="ar-SA"/>
    </w:rPr>
  </w:style>
  <w:style w:type="character" w:customStyle="1" w:styleId="74">
    <w:name w:val="页眉 Char"/>
    <w:link w:val="31"/>
    <w:qFormat/>
    <w:uiPriority w:val="99"/>
    <w:rPr>
      <w:rFonts w:eastAsia="宋体"/>
      <w:kern w:val="2"/>
      <w:sz w:val="18"/>
      <w:szCs w:val="18"/>
      <w:lang w:val="en-US" w:eastAsia="zh-CN" w:bidi="ar-SA"/>
    </w:rPr>
  </w:style>
  <w:style w:type="character" w:customStyle="1" w:styleId="75">
    <w:name w:val="text1"/>
    <w:qFormat/>
    <w:uiPriority w:val="0"/>
    <w:rPr>
      <w:rFonts w:hint="default"/>
      <w:color w:val="666666"/>
      <w:sz w:val="18"/>
      <w:szCs w:val="18"/>
      <w:u w:val="none"/>
    </w:rPr>
  </w:style>
  <w:style w:type="character" w:customStyle="1" w:styleId="76">
    <w:name w:val="批注主题 Char"/>
    <w:link w:val="44"/>
    <w:qFormat/>
    <w:uiPriority w:val="0"/>
    <w:rPr>
      <w:b/>
      <w:bCs/>
      <w:kern w:val="2"/>
      <w:sz w:val="21"/>
      <w:szCs w:val="24"/>
    </w:rPr>
  </w:style>
  <w:style w:type="character" w:customStyle="1" w:styleId="77">
    <w:name w:val="unnamed51"/>
    <w:qFormat/>
    <w:uiPriority w:val="0"/>
    <w:rPr>
      <w:sz w:val="22"/>
      <w:szCs w:val="22"/>
    </w:rPr>
  </w:style>
  <w:style w:type="character" w:customStyle="1" w:styleId="78">
    <w:name w:val="Char Char12"/>
    <w:qFormat/>
    <w:uiPriority w:val="0"/>
    <w:rPr>
      <w:rFonts w:eastAsia="宋体"/>
      <w:kern w:val="2"/>
      <w:sz w:val="18"/>
      <w:szCs w:val="18"/>
      <w:lang w:val="en-US" w:eastAsia="zh-CN" w:bidi="ar-SA"/>
    </w:rPr>
  </w:style>
  <w:style w:type="character" w:customStyle="1" w:styleId="79">
    <w:name w:val="正文首行缩进 Char"/>
    <w:link w:val="45"/>
    <w:qFormat/>
    <w:uiPriority w:val="99"/>
    <w:rPr>
      <w:kern w:val="2"/>
      <w:sz w:val="21"/>
      <w:szCs w:val="24"/>
    </w:rPr>
  </w:style>
  <w:style w:type="character" w:customStyle="1" w:styleId="80">
    <w:name w:val="正文缩进 Char"/>
    <w:link w:val="8"/>
    <w:qFormat/>
    <w:uiPriority w:val="0"/>
    <w:rPr>
      <w:rFonts w:eastAsia="宋体"/>
      <w:kern w:val="2"/>
      <w:sz w:val="24"/>
      <w:lang w:val="en-US" w:eastAsia="zh-CN" w:bidi="ar-SA"/>
    </w:rPr>
  </w:style>
  <w:style w:type="character" w:customStyle="1" w:styleId="81">
    <w:name w:val="op-map-singlepoint-info-right1"/>
    <w:qFormat/>
    <w:uiPriority w:val="0"/>
  </w:style>
  <w:style w:type="character" w:customStyle="1" w:styleId="82">
    <w:name w:val="contentheaderrev1"/>
    <w:qFormat/>
    <w:uiPriority w:val="0"/>
    <w:rPr>
      <w:rFonts w:hint="default" w:ascii="Arial" w:hAnsi="Arial" w:cs="Arial"/>
      <w:b/>
      <w:bCs/>
      <w:color w:val="FFFFFF"/>
      <w:sz w:val="24"/>
      <w:szCs w:val="24"/>
      <w:u w:val="none"/>
    </w:rPr>
  </w:style>
  <w:style w:type="character" w:customStyle="1" w:styleId="83">
    <w:name w:val="Char Char6"/>
    <w:qFormat/>
    <w:uiPriority w:val="0"/>
    <w:rPr>
      <w:rFonts w:ascii="宋体" w:eastAsia="宋体"/>
      <w:b/>
      <w:kern w:val="44"/>
      <w:sz w:val="24"/>
      <w:lang w:val="en-US" w:eastAsia="zh-CN" w:bidi="ar-SA"/>
    </w:rPr>
  </w:style>
  <w:style w:type="character" w:customStyle="1" w:styleId="84">
    <w:name w:val="标题 3 Char"/>
    <w:link w:val="4"/>
    <w:qFormat/>
    <w:uiPriority w:val="0"/>
    <w:rPr>
      <w:b/>
      <w:bCs/>
      <w:kern w:val="2"/>
      <w:sz w:val="32"/>
      <w:szCs w:val="32"/>
    </w:rPr>
  </w:style>
  <w:style w:type="character" w:customStyle="1" w:styleId="85">
    <w:name w:val="纯文本字符"/>
    <w:qFormat/>
    <w:uiPriority w:val="0"/>
    <w:rPr>
      <w:rFonts w:ascii="宋体" w:hAnsi="Courier New"/>
      <w:kern w:val="2"/>
      <w:sz w:val="24"/>
      <w:szCs w:val="24"/>
      <w:lang w:bidi="ar-SA"/>
    </w:rPr>
  </w:style>
  <w:style w:type="character" w:customStyle="1" w:styleId="86">
    <w:name w:val="z-窗体顶端 Char"/>
    <w:link w:val="87"/>
    <w:qFormat/>
    <w:uiPriority w:val="0"/>
    <w:rPr>
      <w:rFonts w:ascii="Arial" w:hAnsi="Arial" w:cs="Arial"/>
      <w:vanish/>
      <w:sz w:val="16"/>
      <w:szCs w:val="16"/>
    </w:rPr>
  </w:style>
  <w:style w:type="paragraph" w:customStyle="1" w:styleId="87">
    <w:name w:val="z-窗体顶端1"/>
    <w:basedOn w:val="1"/>
    <w:next w:val="1"/>
    <w:link w:val="86"/>
    <w:qFormat/>
    <w:uiPriority w:val="0"/>
    <w:pPr>
      <w:widowControl/>
      <w:pBdr>
        <w:bottom w:val="single" w:color="auto" w:sz="6" w:space="1"/>
      </w:pBdr>
      <w:jc w:val="center"/>
    </w:pPr>
    <w:rPr>
      <w:rFonts w:ascii="Arial" w:hAnsi="Arial"/>
      <w:vanish/>
      <w:kern w:val="0"/>
      <w:sz w:val="16"/>
      <w:szCs w:val="16"/>
    </w:rPr>
  </w:style>
  <w:style w:type="character" w:customStyle="1" w:styleId="88">
    <w:name w:val="wj1"/>
    <w:qFormat/>
    <w:uiPriority w:val="0"/>
    <w:rPr>
      <w:color w:val="000000"/>
      <w:sz w:val="18"/>
      <w:szCs w:val="18"/>
      <w:u w:val="none"/>
    </w:rPr>
  </w:style>
  <w:style w:type="character" w:customStyle="1" w:styleId="89">
    <w:name w:val="纯文本 Char Char Char"/>
    <w:qFormat/>
    <w:uiPriority w:val="0"/>
    <w:rPr>
      <w:rFonts w:ascii="宋体" w:hAnsi="Courier New" w:eastAsia="宋体"/>
      <w:kern w:val="2"/>
      <w:sz w:val="21"/>
      <w:lang w:val="en-US" w:eastAsia="zh-CN" w:bidi="ar-SA"/>
    </w:rPr>
  </w:style>
  <w:style w:type="character" w:customStyle="1" w:styleId="90">
    <w:name w:val="z-窗体底端 Char1"/>
    <w:qFormat/>
    <w:uiPriority w:val="0"/>
    <w:rPr>
      <w:rFonts w:ascii="Arial" w:hAnsi="Arial" w:cs="Arial"/>
      <w:vanish/>
      <w:kern w:val="2"/>
      <w:sz w:val="16"/>
      <w:szCs w:val="16"/>
    </w:rPr>
  </w:style>
  <w:style w:type="character" w:customStyle="1" w:styleId="91">
    <w:name w:val="正文文本缩进 2 Char"/>
    <w:link w:val="28"/>
    <w:qFormat/>
    <w:uiPriority w:val="0"/>
    <w:rPr>
      <w:rFonts w:ascii="宋体"/>
      <w:sz w:val="24"/>
    </w:rPr>
  </w:style>
  <w:style w:type="character" w:customStyle="1" w:styleId="92">
    <w:name w:val="12blk1"/>
    <w:qFormat/>
    <w:uiPriority w:val="0"/>
    <w:rPr>
      <w:rFonts w:hint="default"/>
      <w:color w:val="000000"/>
      <w:sz w:val="24"/>
      <w:szCs w:val="24"/>
      <w:u w:val="none"/>
    </w:rPr>
  </w:style>
  <w:style w:type="character" w:customStyle="1" w:styleId="93">
    <w:name w:val="标题2 Char1"/>
    <w:qFormat/>
    <w:uiPriority w:val="0"/>
    <w:rPr>
      <w:rFonts w:ascii="Cambria" w:hAnsi="Cambria" w:eastAsia="宋体" w:cs="Times New Roman"/>
      <w:b/>
      <w:bCs/>
      <w:sz w:val="32"/>
      <w:szCs w:val="32"/>
    </w:rPr>
  </w:style>
  <w:style w:type="character" w:customStyle="1" w:styleId="94">
    <w:name w:val="para"/>
    <w:qFormat/>
    <w:uiPriority w:val="0"/>
    <w:rPr>
      <w:rFonts w:eastAsia="宋体"/>
      <w:kern w:val="2"/>
      <w:sz w:val="24"/>
      <w:szCs w:val="24"/>
      <w:lang w:val="en-US" w:eastAsia="zh-CN" w:bidi="ar-SA"/>
    </w:rPr>
  </w:style>
  <w:style w:type="character" w:customStyle="1" w:styleId="95">
    <w:name w:val="批注框文本 Char"/>
    <w:link w:val="29"/>
    <w:qFormat/>
    <w:uiPriority w:val="0"/>
    <w:rPr>
      <w:kern w:val="2"/>
      <w:sz w:val="18"/>
      <w:szCs w:val="18"/>
    </w:rPr>
  </w:style>
  <w:style w:type="character" w:customStyle="1" w:styleId="96">
    <w:name w:val="正文文本 Char"/>
    <w:link w:val="19"/>
    <w:qFormat/>
    <w:uiPriority w:val="0"/>
    <w:rPr>
      <w:rFonts w:ascii="Arial" w:hAnsi="Arial"/>
      <w:bCs/>
      <w:kern w:val="2"/>
      <w:sz w:val="24"/>
      <w:szCs w:val="24"/>
    </w:rPr>
  </w:style>
  <w:style w:type="character" w:customStyle="1" w:styleId="97">
    <w:name w:val="Char Char8"/>
    <w:qFormat/>
    <w:uiPriority w:val="0"/>
    <w:rPr>
      <w:rFonts w:ascii="Cambria" w:hAnsi="Cambria" w:eastAsia="宋体" w:cs="Times New Roman"/>
      <w:b/>
      <w:bCs/>
      <w:sz w:val="32"/>
      <w:szCs w:val="32"/>
    </w:rPr>
  </w:style>
  <w:style w:type="character" w:customStyle="1" w:styleId="98">
    <w:name w:val="small"/>
    <w:qFormat/>
    <w:uiPriority w:val="0"/>
    <w:rPr>
      <w:rFonts w:eastAsia="宋体"/>
      <w:kern w:val="2"/>
      <w:sz w:val="24"/>
      <w:szCs w:val="24"/>
      <w:lang w:val="en-US" w:eastAsia="zh-CN" w:bidi="ar-SA"/>
    </w:rPr>
  </w:style>
  <w:style w:type="character" w:customStyle="1" w:styleId="99">
    <w:name w:val="标题 2 Char"/>
    <w:link w:val="3"/>
    <w:qFormat/>
    <w:uiPriority w:val="9"/>
    <w:rPr>
      <w:rFonts w:ascii="Arial" w:hAnsi="Arial" w:eastAsia="黑体"/>
      <w:b/>
      <w:bCs/>
      <w:kern w:val="2"/>
      <w:sz w:val="32"/>
      <w:szCs w:val="32"/>
      <w:lang w:val="en-US" w:eastAsia="zh-CN" w:bidi="ar-SA"/>
    </w:rPr>
  </w:style>
  <w:style w:type="character" w:customStyle="1" w:styleId="100">
    <w:name w:val="纯文本 字符1"/>
    <w:qFormat/>
    <w:uiPriority w:val="0"/>
    <w:rPr>
      <w:rFonts w:hint="eastAsia" w:ascii="宋体" w:hAnsi="Courier New" w:eastAsia="仿宋_GB2312" w:cs="宋体"/>
      <w:b/>
      <w:color w:val="000000"/>
      <w:kern w:val="0"/>
      <w:szCs w:val="21"/>
    </w:rPr>
  </w:style>
  <w:style w:type="character" w:customStyle="1" w:styleId="101">
    <w:name w:val="标题 7 Char"/>
    <w:link w:val="9"/>
    <w:qFormat/>
    <w:uiPriority w:val="0"/>
    <w:rPr>
      <w:b/>
      <w:bCs/>
      <w:spacing w:val="6"/>
      <w:kern w:val="2"/>
      <w:sz w:val="24"/>
      <w:szCs w:val="24"/>
    </w:rPr>
  </w:style>
  <w:style w:type="character" w:customStyle="1" w:styleId="102">
    <w:name w:val="正文文本缩进 Char"/>
    <w:link w:val="20"/>
    <w:qFormat/>
    <w:uiPriority w:val="0"/>
    <w:rPr>
      <w:rFonts w:ascii="仿宋_GB2312" w:eastAsia="仿宋_GB2312"/>
      <w:b/>
      <w:bCs/>
      <w:color w:val="000000"/>
      <w:kern w:val="2"/>
      <w:sz w:val="24"/>
      <w:szCs w:val="24"/>
    </w:rPr>
  </w:style>
  <w:style w:type="character" w:customStyle="1" w:styleId="103">
    <w:name w:val="正文文本 3 Char"/>
    <w:link w:val="18"/>
    <w:qFormat/>
    <w:uiPriority w:val="0"/>
    <w:rPr>
      <w:rFonts w:ascii="宋体" w:hAnsi="宋体"/>
      <w:kern w:val="2"/>
      <w:sz w:val="24"/>
      <w:szCs w:val="24"/>
    </w:rPr>
  </w:style>
  <w:style w:type="character" w:customStyle="1" w:styleId="104">
    <w:name w:val="Char Char17"/>
    <w:qFormat/>
    <w:uiPriority w:val="0"/>
    <w:rPr>
      <w:rFonts w:ascii="宋体" w:eastAsia="宋体"/>
      <w:b/>
      <w:kern w:val="44"/>
      <w:sz w:val="24"/>
      <w:lang w:val="en-US" w:eastAsia="zh-CN" w:bidi="ar-SA"/>
    </w:rPr>
  </w:style>
  <w:style w:type="character" w:customStyle="1" w:styleId="105">
    <w:name w:val="纯文本 Char1"/>
    <w:qFormat/>
    <w:uiPriority w:val="0"/>
    <w:rPr>
      <w:rFonts w:ascii="宋体" w:hAnsi="Courier New" w:eastAsia="宋体"/>
      <w:kern w:val="2"/>
      <w:sz w:val="21"/>
      <w:lang w:val="en-US" w:eastAsia="zh-CN" w:bidi="ar-SA"/>
    </w:rPr>
  </w:style>
  <w:style w:type="character" w:customStyle="1" w:styleId="106">
    <w:name w:val="自定义正文 Char Char"/>
    <w:link w:val="107"/>
    <w:qFormat/>
    <w:uiPriority w:val="0"/>
    <w:rPr>
      <w:kern w:val="2"/>
      <w:sz w:val="24"/>
    </w:rPr>
  </w:style>
  <w:style w:type="paragraph" w:customStyle="1" w:styleId="107">
    <w:name w:val="自定义正文"/>
    <w:basedOn w:val="1"/>
    <w:link w:val="106"/>
    <w:qFormat/>
    <w:uiPriority w:val="0"/>
    <w:pPr>
      <w:spacing w:afterLines="50" w:line="360" w:lineRule="auto"/>
      <w:ind w:firstLine="200" w:firstLineChars="200"/>
      <w:jc w:val="left"/>
    </w:pPr>
    <w:rPr>
      <w:sz w:val="24"/>
      <w:szCs w:val="20"/>
    </w:rPr>
  </w:style>
  <w:style w:type="character" w:customStyle="1" w:styleId="108">
    <w:name w:val="页脚 Char"/>
    <w:link w:val="30"/>
    <w:qFormat/>
    <w:uiPriority w:val="99"/>
    <w:rPr>
      <w:kern w:val="2"/>
      <w:sz w:val="18"/>
      <w:szCs w:val="18"/>
    </w:rPr>
  </w:style>
  <w:style w:type="character" w:customStyle="1" w:styleId="109">
    <w:name w:val="标题 8 Char"/>
    <w:link w:val="10"/>
    <w:qFormat/>
    <w:uiPriority w:val="0"/>
    <w:rPr>
      <w:rFonts w:ascii="Arial" w:hAnsi="Arial" w:eastAsia="黑体"/>
      <w:spacing w:val="6"/>
      <w:kern w:val="2"/>
      <w:sz w:val="24"/>
      <w:szCs w:val="24"/>
    </w:rPr>
  </w:style>
  <w:style w:type="character" w:customStyle="1" w:styleId="110">
    <w:name w:val="标题 2 Char1"/>
    <w:qFormat/>
    <w:uiPriority w:val="9"/>
    <w:rPr>
      <w:rFonts w:ascii="Cambria" w:hAnsi="Cambria"/>
      <w:b/>
      <w:bCs/>
      <w:sz w:val="32"/>
      <w:szCs w:val="32"/>
    </w:rPr>
  </w:style>
  <w:style w:type="character" w:customStyle="1" w:styleId="111">
    <w:name w:val="文档结构图 Char"/>
    <w:link w:val="15"/>
    <w:qFormat/>
    <w:uiPriority w:val="0"/>
    <w:rPr>
      <w:kern w:val="2"/>
      <w:sz w:val="21"/>
      <w:szCs w:val="24"/>
      <w:shd w:val="clear" w:color="auto" w:fill="000080"/>
    </w:rPr>
  </w:style>
  <w:style w:type="character" w:customStyle="1" w:styleId="112">
    <w:name w:val="标题 1 Char"/>
    <w:link w:val="2"/>
    <w:qFormat/>
    <w:uiPriority w:val="0"/>
    <w:rPr>
      <w:rFonts w:eastAsia="宋体"/>
      <w:kern w:val="2"/>
      <w:sz w:val="28"/>
      <w:szCs w:val="24"/>
      <w:lang w:val="en-US" w:eastAsia="zh-CN" w:bidi="ar-SA"/>
    </w:rPr>
  </w:style>
  <w:style w:type="character" w:customStyle="1" w:styleId="113">
    <w:name w:val="日期 Char"/>
    <w:link w:val="27"/>
    <w:qFormat/>
    <w:uiPriority w:val="99"/>
    <w:rPr>
      <w:rFonts w:eastAsia="宋体"/>
      <w:color w:val="000000"/>
      <w:kern w:val="2"/>
      <w:sz w:val="24"/>
      <w:szCs w:val="24"/>
      <w:lang w:val="en-US" w:eastAsia="zh-CN" w:bidi="ar-SA"/>
    </w:rPr>
  </w:style>
  <w:style w:type="character" w:customStyle="1" w:styleId="114">
    <w:name w:val="标题 Char"/>
    <w:link w:val="43"/>
    <w:qFormat/>
    <w:uiPriority w:val="0"/>
    <w:rPr>
      <w:rFonts w:ascii="Arial" w:hAnsi="Arial" w:cs="Arial"/>
      <w:b/>
      <w:bCs/>
      <w:kern w:val="2"/>
      <w:sz w:val="32"/>
      <w:szCs w:val="32"/>
    </w:rPr>
  </w:style>
  <w:style w:type="character" w:customStyle="1" w:styleId="115">
    <w:name w:val="z-窗体顶端 Char1"/>
    <w:qFormat/>
    <w:uiPriority w:val="0"/>
    <w:rPr>
      <w:rFonts w:ascii="Arial" w:hAnsi="Arial" w:cs="Arial"/>
      <w:vanish/>
      <w:kern w:val="2"/>
      <w:sz w:val="16"/>
      <w:szCs w:val="16"/>
    </w:rPr>
  </w:style>
  <w:style w:type="character" w:customStyle="1" w:styleId="116">
    <w:name w:val="v151"/>
    <w:qFormat/>
    <w:uiPriority w:val="0"/>
    <w:rPr>
      <w:rFonts w:eastAsia="宋体"/>
      <w:kern w:val="2"/>
      <w:sz w:val="18"/>
      <w:szCs w:val="18"/>
      <w:lang w:val="en-US" w:eastAsia="zh-CN" w:bidi="ar-SA"/>
    </w:rPr>
  </w:style>
  <w:style w:type="character" w:customStyle="1" w:styleId="117">
    <w:name w:val="themebody1"/>
    <w:qFormat/>
    <w:uiPriority w:val="0"/>
    <w:rPr>
      <w:rFonts w:eastAsia="宋体"/>
      <w:color w:val="FFFFFF"/>
      <w:kern w:val="2"/>
      <w:sz w:val="24"/>
      <w:szCs w:val="24"/>
      <w:lang w:val="en-US" w:eastAsia="zh-CN" w:bidi="ar-SA"/>
    </w:rPr>
  </w:style>
  <w:style w:type="character" w:customStyle="1" w:styleId="118">
    <w:name w:val="ft"/>
    <w:qFormat/>
    <w:uiPriority w:val="0"/>
  </w:style>
  <w:style w:type="character" w:customStyle="1" w:styleId="119">
    <w:name w:val="标题 4 Char"/>
    <w:link w:val="5"/>
    <w:qFormat/>
    <w:uiPriority w:val="0"/>
    <w:rPr>
      <w:rFonts w:ascii="Arial" w:hAnsi="Arial" w:eastAsia="黑体"/>
      <w:b/>
      <w:bCs/>
      <w:kern w:val="2"/>
      <w:sz w:val="28"/>
      <w:szCs w:val="28"/>
    </w:rPr>
  </w:style>
  <w:style w:type="character" w:customStyle="1" w:styleId="120">
    <w:name w:val="标题 6 Char"/>
    <w:link w:val="7"/>
    <w:qFormat/>
    <w:uiPriority w:val="0"/>
    <w:rPr>
      <w:rFonts w:ascii="Arial" w:hAnsi="Arial" w:eastAsia="黑体"/>
      <w:b/>
      <w:bCs/>
      <w:spacing w:val="6"/>
      <w:kern w:val="2"/>
      <w:sz w:val="24"/>
      <w:szCs w:val="24"/>
    </w:rPr>
  </w:style>
  <w:style w:type="character" w:customStyle="1" w:styleId="121">
    <w:name w:val="列出段落 Char"/>
    <w:link w:val="122"/>
    <w:qFormat/>
    <w:uiPriority w:val="34"/>
    <w:rPr>
      <w:rFonts w:ascii="Calibri" w:hAnsi="Calibri"/>
      <w:kern w:val="2"/>
      <w:sz w:val="21"/>
      <w:szCs w:val="22"/>
    </w:rPr>
  </w:style>
  <w:style w:type="paragraph" w:styleId="122">
    <w:name w:val="List Paragraph"/>
    <w:basedOn w:val="1"/>
    <w:link w:val="121"/>
    <w:qFormat/>
    <w:uiPriority w:val="34"/>
    <w:pPr>
      <w:ind w:firstLine="420" w:firstLineChars="200"/>
    </w:pPr>
    <w:rPr>
      <w:rFonts w:ascii="Calibri" w:hAnsi="Calibri"/>
      <w:szCs w:val="22"/>
    </w:rPr>
  </w:style>
  <w:style w:type="character" w:customStyle="1" w:styleId="123">
    <w:name w:val="正文文本 2 Char"/>
    <w:link w:val="40"/>
    <w:qFormat/>
    <w:uiPriority w:val="0"/>
    <w:rPr>
      <w:kern w:val="2"/>
      <w:sz w:val="21"/>
      <w:szCs w:val="24"/>
    </w:rPr>
  </w:style>
  <w:style w:type="character" w:customStyle="1" w:styleId="124">
    <w:name w:val="标题 5 Char"/>
    <w:link w:val="6"/>
    <w:qFormat/>
    <w:uiPriority w:val="0"/>
    <w:rPr>
      <w:b/>
      <w:bCs/>
      <w:kern w:val="2"/>
      <w:sz w:val="28"/>
      <w:szCs w:val="28"/>
    </w:rPr>
  </w:style>
  <w:style w:type="character" w:customStyle="1" w:styleId="125">
    <w:name w:val="纯文本 Char2"/>
    <w:qFormat/>
    <w:uiPriority w:val="0"/>
    <w:rPr>
      <w:rFonts w:hint="eastAsia" w:ascii="宋体" w:hAnsi="Courier New" w:eastAsia="仿宋_GB2312" w:cs="宋体"/>
      <w:b/>
      <w:color w:val="000000"/>
      <w:kern w:val="0"/>
      <w:szCs w:val="21"/>
    </w:rPr>
  </w:style>
  <w:style w:type="paragraph" w:customStyle="1" w:styleId="126">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27">
    <w:name w:val="正文格式"/>
    <w:basedOn w:val="1"/>
    <w:link w:val="223"/>
    <w:qFormat/>
    <w:uiPriority w:val="0"/>
    <w:pPr>
      <w:spacing w:before="120" w:after="120" w:line="360" w:lineRule="auto"/>
      <w:ind w:firstLine="482"/>
      <w:jc w:val="left"/>
    </w:pPr>
    <w:rPr>
      <w:sz w:val="24"/>
      <w:szCs w:val="20"/>
    </w:rPr>
  </w:style>
  <w:style w:type="paragraph" w:customStyle="1" w:styleId="128">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29">
    <w:name w:val="Char Char"/>
    <w:basedOn w:val="1"/>
    <w:qFormat/>
    <w:uiPriority w:val="0"/>
    <w:rPr>
      <w:rFonts w:ascii="Tahoma" w:hAnsi="Tahoma"/>
      <w:sz w:val="24"/>
      <w:szCs w:val="20"/>
    </w:rPr>
  </w:style>
  <w:style w:type="paragraph" w:customStyle="1" w:styleId="130">
    <w:name w:val="纯文本1"/>
    <w:basedOn w:val="1"/>
    <w:qFormat/>
    <w:uiPriority w:val="0"/>
    <w:pPr>
      <w:widowControl/>
      <w:spacing w:before="100" w:beforeAutospacing="1" w:after="100" w:afterAutospacing="1"/>
      <w:jc w:val="left"/>
    </w:pPr>
    <w:rPr>
      <w:rFonts w:ascii="宋体" w:hAnsi="宋体"/>
      <w:sz w:val="24"/>
    </w:rPr>
  </w:style>
  <w:style w:type="paragraph" w:customStyle="1" w:styleId="131">
    <w:name w:val="正文段"/>
    <w:basedOn w:val="1"/>
    <w:qFormat/>
    <w:uiPriority w:val="0"/>
    <w:pPr>
      <w:widowControl/>
      <w:snapToGrid w:val="0"/>
      <w:spacing w:after="50"/>
      <w:ind w:firstLine="200" w:firstLineChars="200"/>
    </w:pPr>
    <w:rPr>
      <w:kern w:val="0"/>
      <w:sz w:val="24"/>
      <w:szCs w:val="20"/>
    </w:rPr>
  </w:style>
  <w:style w:type="paragraph" w:customStyle="1" w:styleId="132">
    <w:name w:val="列出段落1"/>
    <w:basedOn w:val="1"/>
    <w:qFormat/>
    <w:uiPriority w:val="0"/>
    <w:pPr>
      <w:widowControl/>
      <w:ind w:firstLine="420" w:firstLineChars="200"/>
      <w:jc w:val="left"/>
    </w:pPr>
    <w:rPr>
      <w:kern w:val="0"/>
      <w:sz w:val="24"/>
      <w:szCs w:val="20"/>
    </w:rPr>
  </w:style>
  <w:style w:type="paragraph" w:customStyle="1" w:styleId="133">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Char"/>
    <w:basedOn w:val="1"/>
    <w:qFormat/>
    <w:uiPriority w:val="0"/>
    <w:rPr>
      <w:rFonts w:ascii="仿宋_GB2312" w:eastAsia="仿宋_GB2312"/>
      <w:b/>
      <w:sz w:val="32"/>
      <w:szCs w:val="32"/>
    </w:rPr>
  </w:style>
  <w:style w:type="paragraph" w:customStyle="1" w:styleId="135">
    <w:name w:val="Char Char1"/>
    <w:basedOn w:val="1"/>
    <w:qFormat/>
    <w:uiPriority w:val="0"/>
    <w:rPr>
      <w:rFonts w:ascii="Tahoma" w:hAnsi="Tahoma"/>
      <w:sz w:val="24"/>
      <w:szCs w:val="20"/>
    </w:rPr>
  </w:style>
  <w:style w:type="paragraph" w:customStyle="1" w:styleId="136">
    <w:name w:val="Char Char9"/>
    <w:basedOn w:val="1"/>
    <w:qFormat/>
    <w:uiPriority w:val="0"/>
    <w:rPr>
      <w:rFonts w:ascii="宋体" w:hAnsi="宋体" w:cs="宋体"/>
      <w:b/>
      <w:bCs/>
      <w:color w:val="000000"/>
      <w:sz w:val="22"/>
      <w:szCs w:val="22"/>
    </w:rPr>
  </w:style>
  <w:style w:type="paragraph" w:customStyle="1" w:styleId="137">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38">
    <w:name w:val="列出段落11"/>
    <w:basedOn w:val="1"/>
    <w:qFormat/>
    <w:uiPriority w:val="0"/>
    <w:pPr>
      <w:ind w:firstLine="420" w:firstLineChars="200"/>
    </w:pPr>
    <w:rPr>
      <w:szCs w:val="20"/>
    </w:rPr>
  </w:style>
  <w:style w:type="paragraph" w:customStyle="1" w:styleId="139">
    <w:name w:val="小点说明"/>
    <w:basedOn w:val="1"/>
    <w:qFormat/>
    <w:uiPriority w:val="0"/>
    <w:pPr>
      <w:adjustRightInd w:val="0"/>
      <w:snapToGrid w:val="0"/>
    </w:pPr>
    <w:rPr>
      <w:rFonts w:ascii="仿宋_GB2312" w:eastAsia="仿宋_GB2312"/>
      <w:color w:val="000000"/>
      <w:szCs w:val="18"/>
    </w:rPr>
  </w:style>
  <w:style w:type="paragraph" w:customStyle="1" w:styleId="140">
    <w:name w:val="Fließtext"/>
    <w:basedOn w:val="1"/>
    <w:qFormat/>
    <w:uiPriority w:val="0"/>
    <w:pPr>
      <w:widowControl/>
      <w:overflowPunct w:val="0"/>
      <w:autoSpaceDE w:val="0"/>
      <w:autoSpaceDN w:val="0"/>
      <w:adjustRightInd w:val="0"/>
      <w:jc w:val="left"/>
      <w:textAlignment w:val="baseline"/>
    </w:pPr>
    <w:rPr>
      <w:kern w:val="28"/>
      <w:szCs w:val="20"/>
    </w:rPr>
  </w:style>
  <w:style w:type="paragraph" w:customStyle="1" w:styleId="141">
    <w:name w:val="正文2"/>
    <w:basedOn w:val="1"/>
    <w:qFormat/>
    <w:uiPriority w:val="0"/>
    <w:pPr>
      <w:spacing w:before="156" w:line="360" w:lineRule="auto"/>
      <w:ind w:firstLine="510" w:firstLineChars="200"/>
    </w:pPr>
    <w:rPr>
      <w:sz w:val="24"/>
      <w:szCs w:val="20"/>
    </w:rPr>
  </w:style>
  <w:style w:type="paragraph" w:customStyle="1" w:styleId="142">
    <w:name w:val="title"/>
    <w:basedOn w:val="1"/>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143">
    <w:name w:val="Char Char Char Char Char Char Char"/>
    <w:basedOn w:val="1"/>
    <w:qFormat/>
    <w:uiPriority w:val="0"/>
    <w:rPr>
      <w:rFonts w:ascii="仿宋_GB2312" w:eastAsia="仿宋_GB2312"/>
      <w:b/>
      <w:sz w:val="32"/>
      <w:szCs w:val="32"/>
    </w:rPr>
  </w:style>
  <w:style w:type="paragraph" w:customStyle="1" w:styleId="14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5">
    <w:name w:val="1.1.1B"/>
    <w:basedOn w:val="4"/>
    <w:qFormat/>
    <w:uiPriority w:val="0"/>
    <w:pPr>
      <w:tabs>
        <w:tab w:val="left" w:pos="567"/>
      </w:tabs>
      <w:spacing w:before="240" w:after="240" w:line="240" w:lineRule="auto"/>
      <w:ind w:left="567" w:hanging="567"/>
    </w:pPr>
    <w:rPr>
      <w:sz w:val="24"/>
    </w:rPr>
  </w:style>
  <w:style w:type="paragraph" w:customStyle="1" w:styleId="146">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47">
    <w:name w:val="默认段落字体 Para Char Char Char Char Char Char Char Char Char1 Char Char Char Char"/>
    <w:basedOn w:val="1"/>
    <w:qFormat/>
    <w:uiPriority w:val="0"/>
    <w:rPr>
      <w:rFonts w:ascii="Tahoma" w:hAnsi="Tahoma"/>
      <w:sz w:val="24"/>
      <w:szCs w:val="20"/>
    </w:rPr>
  </w:style>
  <w:style w:type="paragraph" w:customStyle="1" w:styleId="148">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149">
    <w:name w:val="Char3"/>
    <w:basedOn w:val="1"/>
    <w:qFormat/>
    <w:uiPriority w:val="0"/>
    <w:rPr>
      <w:rFonts w:ascii="仿宋_GB2312" w:eastAsia="仿宋_GB2312"/>
      <w:b/>
      <w:sz w:val="32"/>
      <w:szCs w:val="32"/>
    </w:rPr>
  </w:style>
  <w:style w:type="paragraph" w:customStyle="1" w:styleId="150">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151">
    <w:name w:val="p0"/>
    <w:basedOn w:val="1"/>
    <w:qFormat/>
    <w:uiPriority w:val="0"/>
    <w:pPr>
      <w:widowControl/>
    </w:pPr>
    <w:rPr>
      <w:rFonts w:ascii="Calibri" w:hAnsi="Calibri" w:cs="宋体"/>
      <w:kern w:val="0"/>
      <w:szCs w:val="21"/>
    </w:rPr>
  </w:style>
  <w:style w:type="paragraph" w:customStyle="1" w:styleId="152">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153">
    <w:name w:val="中等深浅网格 1 - 强调文字颜色 21"/>
    <w:basedOn w:val="1"/>
    <w:qFormat/>
    <w:uiPriority w:val="34"/>
    <w:pPr>
      <w:widowControl/>
      <w:ind w:firstLine="420" w:firstLineChars="200"/>
      <w:jc w:val="left"/>
    </w:pPr>
    <w:rPr>
      <w:kern w:val="0"/>
      <w:szCs w:val="20"/>
    </w:rPr>
  </w:style>
  <w:style w:type="paragraph" w:customStyle="1" w:styleId="154">
    <w:name w:val="样式1"/>
    <w:basedOn w:val="5"/>
    <w:qFormat/>
    <w:uiPriority w:val="0"/>
    <w:pPr>
      <w:spacing w:line="374" w:lineRule="auto"/>
    </w:pPr>
  </w:style>
  <w:style w:type="paragraph" w:customStyle="1" w:styleId="155">
    <w:name w:val="b5-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56">
    <w:name w:val="Figure Desription Char"/>
    <w:basedOn w:val="1"/>
    <w:qFormat/>
    <w:uiPriority w:val="0"/>
  </w:style>
  <w:style w:type="paragraph" w:customStyle="1" w:styleId="157">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5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16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6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2">
    <w:name w:val="Char1"/>
    <w:basedOn w:val="1"/>
    <w:qFormat/>
    <w:uiPriority w:val="0"/>
    <w:rPr>
      <w:rFonts w:ascii="Tahoma" w:hAnsi="Tahoma"/>
      <w:sz w:val="24"/>
      <w:szCs w:val="20"/>
    </w:rPr>
  </w:style>
  <w:style w:type="paragraph" w:customStyle="1" w:styleId="163">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4">
    <w:name w:val="px12l140"/>
    <w:basedOn w:val="1"/>
    <w:qFormat/>
    <w:uiPriority w:val="0"/>
    <w:pPr>
      <w:widowControl/>
      <w:spacing w:before="100" w:beforeAutospacing="1" w:after="100" w:afterAutospacing="1" w:line="336" w:lineRule="auto"/>
      <w:jc w:val="left"/>
    </w:pPr>
    <w:rPr>
      <w:kern w:val="0"/>
      <w:sz w:val="20"/>
      <w:szCs w:val="20"/>
    </w:rPr>
  </w:style>
  <w:style w:type="paragraph" w:customStyle="1" w:styleId="165">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6">
    <w:name w:val="附件"/>
    <w:basedOn w:val="2"/>
    <w:qFormat/>
    <w:uiPriority w:val="0"/>
    <w:pPr>
      <w:keepNext w:val="0"/>
      <w:pageBreakBefore/>
      <w:tabs>
        <w:tab w:val="left" w:pos="840"/>
      </w:tabs>
      <w:adjustRightInd w:val="0"/>
      <w:snapToGrid w:val="0"/>
      <w:spacing w:beforeLines="100" w:afterLines="100"/>
    </w:pPr>
    <w:rPr>
      <w:rFonts w:ascii="宋体" w:hAnsi="宋体"/>
      <w:b/>
      <w:kern w:val="44"/>
      <w:szCs w:val="36"/>
    </w:rPr>
  </w:style>
  <w:style w:type="paragraph" w:customStyle="1" w:styleId="167">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68">
    <w:name w:val="Char Char4"/>
    <w:basedOn w:val="1"/>
    <w:qFormat/>
    <w:uiPriority w:val="0"/>
    <w:rPr>
      <w:rFonts w:ascii="Tahoma" w:hAnsi="Tahoma"/>
      <w:sz w:val="24"/>
      <w:szCs w:val="20"/>
    </w:rPr>
  </w:style>
  <w:style w:type="paragraph" w:customStyle="1" w:styleId="169">
    <w:name w:val="Char Char1 Char Char"/>
    <w:basedOn w:val="1"/>
    <w:qFormat/>
    <w:uiPriority w:val="0"/>
    <w:pPr>
      <w:ind w:left="100" w:leftChars="100" w:right="100" w:rightChars="100"/>
      <w:jc w:val="left"/>
    </w:pPr>
    <w:rPr>
      <w:rFonts w:ascii="Tahoma" w:hAnsi="Tahoma"/>
      <w:sz w:val="24"/>
      <w:szCs w:val="20"/>
    </w:rPr>
  </w:style>
  <w:style w:type="paragraph" w:customStyle="1" w:styleId="170">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71">
    <w:name w:val="Char Char3"/>
    <w:basedOn w:val="1"/>
    <w:qFormat/>
    <w:uiPriority w:val="0"/>
    <w:rPr>
      <w:rFonts w:ascii="仿宋_GB2312" w:eastAsia="仿宋_GB2312"/>
      <w:b/>
      <w:sz w:val="32"/>
      <w:szCs w:val="32"/>
    </w:rPr>
  </w:style>
  <w:style w:type="paragraph" w:customStyle="1" w:styleId="172">
    <w:name w:val="样式2"/>
    <w:basedOn w:val="5"/>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173">
    <w:name w:val="Char11"/>
    <w:basedOn w:val="1"/>
    <w:qFormat/>
    <w:uiPriority w:val="0"/>
    <w:rPr>
      <w:rFonts w:ascii="仿宋_GB2312" w:eastAsia="仿宋_GB2312"/>
      <w:b/>
      <w:sz w:val="32"/>
      <w:szCs w:val="32"/>
    </w:rPr>
  </w:style>
  <w:style w:type="paragraph" w:customStyle="1" w:styleId="174">
    <w:name w:val="标题 1 + 仿宋_GB2312"/>
    <w:basedOn w:val="2"/>
    <w:qFormat/>
    <w:uiPriority w:val="0"/>
    <w:pPr>
      <w:keepLines/>
      <w:spacing w:before="340" w:after="330" w:line="578" w:lineRule="auto"/>
      <w:jc w:val="both"/>
    </w:pPr>
    <w:rPr>
      <w:rFonts w:ascii="仿宋_GB2312" w:eastAsia="仿宋_GB2312"/>
      <w:b/>
      <w:bCs/>
      <w:kern w:val="44"/>
      <w:sz w:val="32"/>
      <w:szCs w:val="32"/>
    </w:rPr>
  </w:style>
  <w:style w:type="paragraph" w:customStyle="1" w:styleId="175">
    <w:name w:val="Char Char Char Char1"/>
    <w:basedOn w:val="1"/>
    <w:qFormat/>
    <w:uiPriority w:val="0"/>
    <w:rPr>
      <w:rFonts w:ascii="Tahoma" w:hAnsi="Tahoma"/>
      <w:sz w:val="24"/>
      <w:szCs w:val="20"/>
    </w:rPr>
  </w:style>
  <w:style w:type="paragraph" w:customStyle="1" w:styleId="176">
    <w:name w:val="Char Char Char"/>
    <w:basedOn w:val="1"/>
    <w:qFormat/>
    <w:uiPriority w:val="0"/>
    <w:rPr>
      <w:rFonts w:ascii="Tahoma" w:hAnsi="Tahoma"/>
      <w:sz w:val="24"/>
      <w:szCs w:val="20"/>
    </w:rPr>
  </w:style>
  <w:style w:type="paragraph" w:customStyle="1" w:styleId="177">
    <w:name w:val="标题 61"/>
    <w:basedOn w:val="1"/>
    <w:qFormat/>
    <w:uiPriority w:val="0"/>
    <w:pPr>
      <w:widowControl/>
      <w:jc w:val="left"/>
      <w:outlineLvl w:val="6"/>
    </w:pPr>
    <w:rPr>
      <w:rFonts w:ascii="宋体" w:hAnsi="宋体" w:cs="宋体"/>
      <w:color w:val="00569B"/>
      <w:kern w:val="0"/>
      <w:sz w:val="17"/>
      <w:szCs w:val="17"/>
    </w:rPr>
  </w:style>
  <w:style w:type="paragraph" w:customStyle="1" w:styleId="178">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79">
    <w:name w:val="Char Char Char Char1 Char Char Char Char"/>
    <w:basedOn w:val="15"/>
    <w:qFormat/>
    <w:uiPriority w:val="0"/>
    <w:rPr>
      <w:szCs w:val="20"/>
    </w:rPr>
  </w:style>
  <w:style w:type="paragraph" w:customStyle="1" w:styleId="180">
    <w:name w:val="Char Char Char Char"/>
    <w:basedOn w:val="15"/>
    <w:qFormat/>
    <w:uiPriority w:val="0"/>
    <w:rPr>
      <w:rFonts w:ascii="Tahoma" w:hAnsi="Tahoma"/>
      <w:sz w:val="24"/>
    </w:rPr>
  </w:style>
  <w:style w:type="paragraph" w:customStyle="1" w:styleId="181">
    <w:name w:val="Char1 Char Char Char"/>
    <w:basedOn w:val="1"/>
    <w:qFormat/>
    <w:uiPriority w:val="0"/>
    <w:rPr>
      <w:rFonts w:ascii="Tahoma" w:hAnsi="Tahoma"/>
      <w:sz w:val="24"/>
      <w:szCs w:val="20"/>
    </w:rPr>
  </w:style>
  <w:style w:type="paragraph" w:customStyle="1" w:styleId="182">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8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zoey楷体正文"/>
    <w:basedOn w:val="2"/>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85">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186">
    <w:name w:val="表格文字"/>
    <w:basedOn w:val="1"/>
    <w:next w:val="19"/>
    <w:qFormat/>
    <w:uiPriority w:val="0"/>
    <w:pPr>
      <w:widowControl/>
      <w:adjustRightInd w:val="0"/>
      <w:spacing w:line="420" w:lineRule="atLeast"/>
      <w:jc w:val="left"/>
      <w:textAlignment w:val="baseline"/>
    </w:pPr>
    <w:rPr>
      <w:kern w:val="0"/>
    </w:rPr>
  </w:style>
  <w:style w:type="paragraph" w:customStyle="1" w:styleId="187">
    <w:name w:val="正文文字表格居中"/>
    <w:basedOn w:val="1"/>
    <w:next w:val="40"/>
    <w:qFormat/>
    <w:uiPriority w:val="0"/>
    <w:pPr>
      <w:spacing w:line="400" w:lineRule="exact"/>
      <w:jc w:val="center"/>
    </w:pPr>
    <w:rPr>
      <w:b/>
      <w:bCs/>
      <w:sz w:val="24"/>
    </w:rPr>
  </w:style>
  <w:style w:type="paragraph" w:customStyle="1" w:styleId="188">
    <w:name w:val="正文－恩普"/>
    <w:basedOn w:val="8"/>
    <w:qFormat/>
    <w:uiPriority w:val="0"/>
    <w:pPr>
      <w:framePr w:wrap="around" w:vAnchor="text" w:hAnchor="text" w:y="1"/>
      <w:spacing w:after="0" w:line="360" w:lineRule="auto"/>
    </w:pPr>
    <w:rPr>
      <w:szCs w:val="24"/>
    </w:rPr>
  </w:style>
  <w:style w:type="paragraph" w:customStyle="1" w:styleId="189">
    <w:name w:val="font2"/>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190">
    <w:name w:val="默认段落字体 Para Char Char Char Char"/>
    <w:basedOn w:val="1"/>
    <w:qFormat/>
    <w:uiPriority w:val="0"/>
    <w:rPr>
      <w:szCs w:val="20"/>
    </w:rPr>
  </w:style>
  <w:style w:type="paragraph" w:customStyle="1" w:styleId="191">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92">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93">
    <w:name w:val="模板正文缩进"/>
    <w:basedOn w:val="1"/>
    <w:qFormat/>
    <w:uiPriority w:val="0"/>
    <w:pPr>
      <w:spacing w:beforeLines="50" w:afterLines="50" w:line="520" w:lineRule="exact"/>
      <w:ind w:left="1049" w:hanging="420"/>
    </w:pPr>
    <w:rPr>
      <w:rFonts w:ascii="宋体" w:hAnsi="宋体"/>
      <w:kern w:val="0"/>
      <w:sz w:val="24"/>
    </w:rPr>
  </w:style>
  <w:style w:type="paragraph" w:customStyle="1" w:styleId="194">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195">
    <w:name w:val="Char Char Char Char Char Char Char Char Char Char"/>
    <w:basedOn w:val="15"/>
    <w:qFormat/>
    <w:uiPriority w:val="0"/>
  </w:style>
  <w:style w:type="paragraph" w:customStyle="1" w:styleId="196">
    <w:name w:val="表内文字"/>
    <w:basedOn w:val="1"/>
    <w:qFormat/>
    <w:uiPriority w:val="0"/>
    <w:pPr>
      <w:jc w:val="center"/>
    </w:pPr>
    <w:rPr>
      <w:rFonts w:ascii="仿宋_GB2312" w:eastAsia="仿宋_GB2312"/>
      <w:sz w:val="24"/>
    </w:rPr>
  </w:style>
  <w:style w:type="paragraph" w:customStyle="1" w:styleId="197">
    <w:name w:val="Char Char Char Char11"/>
    <w:basedOn w:val="15"/>
    <w:qFormat/>
    <w:uiPriority w:val="0"/>
    <w:rPr>
      <w:szCs w:val="20"/>
    </w:rPr>
  </w:style>
  <w:style w:type="paragraph" w:customStyle="1" w:styleId="198">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199">
    <w:name w:val="Char2"/>
    <w:basedOn w:val="1"/>
    <w:qFormat/>
    <w:uiPriority w:val="0"/>
    <w:rPr>
      <w:rFonts w:ascii="仿宋_GB2312" w:eastAsia="仿宋_GB2312"/>
      <w:b/>
      <w:sz w:val="32"/>
      <w:szCs w:val="32"/>
    </w:rPr>
  </w:style>
  <w:style w:type="paragraph" w:customStyle="1" w:styleId="2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1">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202">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203">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204">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205">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206">
    <w:name w:val="_Style 70"/>
    <w:basedOn w:val="1"/>
    <w:qFormat/>
    <w:uiPriority w:val="0"/>
    <w:rPr>
      <w:szCs w:val="20"/>
    </w:rPr>
  </w:style>
  <w:style w:type="paragraph" w:customStyle="1" w:styleId="207">
    <w:name w:val="默认段落字体 Para Char Char Char Char Char Char Char"/>
    <w:basedOn w:val="1"/>
    <w:qFormat/>
    <w:uiPriority w:val="0"/>
    <w:rPr>
      <w:rFonts w:ascii="Tahoma" w:hAnsi="Tahoma"/>
      <w:sz w:val="24"/>
      <w:szCs w:val="20"/>
    </w:rPr>
  </w:style>
  <w:style w:type="paragraph" w:customStyle="1" w:styleId="208">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209">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210">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1">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12">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213">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214">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215">
    <w:name w:val="_Style 50"/>
    <w:next w:val="1"/>
    <w:qFormat/>
    <w:uiPriority w:val="0"/>
    <w:rPr>
      <w:rFonts w:ascii="Times New Roman" w:hAnsi="Times New Roman" w:eastAsia="宋体" w:cs="Times New Roman"/>
      <w:sz w:val="21"/>
      <w:lang w:val="en-US" w:eastAsia="zh-CN" w:bidi="ar-SA"/>
    </w:rPr>
  </w:style>
  <w:style w:type="paragraph" w:customStyle="1" w:styleId="216">
    <w:name w:val="_Style 4"/>
    <w:basedOn w:val="1"/>
    <w:qFormat/>
    <w:uiPriority w:val="0"/>
    <w:pPr>
      <w:widowControl/>
      <w:ind w:firstLine="420" w:firstLineChars="200"/>
      <w:jc w:val="left"/>
    </w:pPr>
    <w:rPr>
      <w:rFonts w:ascii="Calibri" w:hAnsi="Calibri"/>
    </w:rPr>
  </w:style>
  <w:style w:type="paragraph" w:customStyle="1" w:styleId="217">
    <w:name w:val="_Style 211"/>
    <w:basedOn w:val="1"/>
    <w:next w:val="122"/>
    <w:qFormat/>
    <w:uiPriority w:val="99"/>
    <w:pPr>
      <w:widowControl/>
      <w:ind w:firstLine="420" w:firstLineChars="200"/>
      <w:jc w:val="left"/>
    </w:pPr>
  </w:style>
  <w:style w:type="character" w:customStyle="1" w:styleId="218">
    <w:name w:val="正文缩进 字符"/>
    <w:qFormat/>
    <w:uiPriority w:val="0"/>
    <w:rPr>
      <w:rFonts w:ascii="Times New Roman" w:hAnsi="Times New Roman"/>
      <w:sz w:val="21"/>
    </w:rPr>
  </w:style>
  <w:style w:type="paragraph" w:customStyle="1" w:styleId="2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0">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221">
    <w:name w:val="脚注文本 Char"/>
    <w:link w:val="34"/>
    <w:qFormat/>
    <w:uiPriority w:val="99"/>
    <w:rPr>
      <w:kern w:val="2"/>
      <w:sz w:val="18"/>
      <w:szCs w:val="24"/>
    </w:rPr>
  </w:style>
  <w:style w:type="character" w:customStyle="1" w:styleId="222">
    <w:name w:val="bookmark-item"/>
    <w:basedOn w:val="49"/>
    <w:qFormat/>
    <w:uiPriority w:val="0"/>
  </w:style>
  <w:style w:type="character" w:customStyle="1" w:styleId="223">
    <w:name w:val="正文格式 Char"/>
    <w:link w:val="127"/>
    <w:qFormat/>
    <w:uiPriority w:val="0"/>
    <w:rPr>
      <w:kern w:val="2"/>
      <w:sz w:val="24"/>
    </w:rPr>
  </w:style>
  <w:style w:type="paragraph" w:customStyle="1" w:styleId="224">
    <w:name w:val="正文缩进1"/>
    <w:basedOn w:val="1"/>
    <w:qFormat/>
    <w:uiPriority w:val="0"/>
    <w:pPr>
      <w:widowControl/>
      <w:ind w:firstLine="420"/>
      <w:jc w:val="left"/>
    </w:pPr>
    <w:rPr>
      <w:rFonts w:eastAsia="仿宋_GB2312"/>
      <w:b/>
      <w:color w:val="000000"/>
      <w:kern w:val="0"/>
      <w:szCs w:val="20"/>
    </w:rPr>
  </w:style>
  <w:style w:type="paragraph" w:customStyle="1" w:styleId="225">
    <w:name w:val="金保标题2"/>
    <w:basedOn w:val="3"/>
    <w:next w:val="1"/>
    <w:link w:val="226"/>
    <w:qFormat/>
    <w:uiPriority w:val="0"/>
    <w:pPr>
      <w:tabs>
        <w:tab w:val="left" w:pos="576"/>
      </w:tabs>
      <w:spacing w:line="360" w:lineRule="auto"/>
      <w:ind w:left="576" w:hanging="576"/>
    </w:pPr>
    <w:rPr>
      <w:rFonts w:ascii="Times New Roman" w:hAnsi="Times New Roman"/>
      <w:sz w:val="28"/>
      <w:szCs w:val="28"/>
    </w:rPr>
  </w:style>
  <w:style w:type="character" w:customStyle="1" w:styleId="226">
    <w:name w:val="金保标题2 Char"/>
    <w:link w:val="225"/>
    <w:qFormat/>
    <w:uiPriority w:val="0"/>
    <w:rPr>
      <w:rFonts w:eastAsia="黑体"/>
      <w:b/>
      <w:bCs/>
      <w:kern w:val="2"/>
      <w:sz w:val="28"/>
      <w:szCs w:val="28"/>
    </w:rPr>
  </w:style>
  <w:style w:type="paragraph" w:customStyle="1" w:styleId="227">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character" w:customStyle="1" w:styleId="228">
    <w:name w:val="正文首行缩进 2 Char"/>
    <w:basedOn w:val="102"/>
    <w:link w:val="46"/>
    <w:qFormat/>
    <w:uiPriority w:val="0"/>
    <w:rPr>
      <w:sz w:val="21"/>
    </w:rPr>
  </w:style>
  <w:style w:type="character" w:customStyle="1" w:styleId="229">
    <w:name w:val="z-窗体顶端 字符"/>
    <w:link w:val="230"/>
    <w:qFormat/>
    <w:uiPriority w:val="0"/>
    <w:rPr>
      <w:rFonts w:ascii="Arial" w:hAnsi="Arial" w:cs="Arial"/>
      <w:vanish/>
      <w:sz w:val="16"/>
      <w:szCs w:val="16"/>
    </w:rPr>
  </w:style>
  <w:style w:type="paragraph" w:customStyle="1" w:styleId="230">
    <w:name w:val="z-窗体顶端11"/>
    <w:basedOn w:val="1"/>
    <w:next w:val="1"/>
    <w:link w:val="229"/>
    <w:qFormat/>
    <w:uiPriority w:val="0"/>
    <w:pPr>
      <w:widowControl/>
      <w:pBdr>
        <w:bottom w:val="single" w:color="auto" w:sz="6" w:space="1"/>
      </w:pBdr>
      <w:jc w:val="center"/>
    </w:pPr>
    <w:rPr>
      <w:rFonts w:ascii="Arial" w:hAnsi="Arial"/>
      <w:vanish/>
      <w:kern w:val="0"/>
      <w:sz w:val="16"/>
      <w:szCs w:val="16"/>
    </w:rPr>
  </w:style>
  <w:style w:type="character" w:customStyle="1" w:styleId="231">
    <w:name w:val="NormalCharacter"/>
    <w:qFormat/>
    <w:uiPriority w:val="0"/>
    <w:rPr>
      <w:kern w:val="2"/>
      <w:sz w:val="21"/>
      <w:szCs w:val="22"/>
      <w:lang w:val="en-US" w:eastAsia="zh-CN" w:bidi="ar-SA"/>
    </w:rPr>
  </w:style>
  <w:style w:type="paragraph" w:customStyle="1" w:styleId="232">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3">
    <w:name w:val="正文文本缩进1"/>
    <w:basedOn w:val="1"/>
    <w:qFormat/>
    <w:uiPriority w:val="0"/>
    <w:rPr>
      <w:sz w:val="28"/>
    </w:rPr>
  </w:style>
  <w:style w:type="character" w:customStyle="1" w:styleId="234">
    <w:name w:val="apple-converted-space"/>
    <w:basedOn w:val="49"/>
    <w:qFormat/>
    <w:uiPriority w:val="0"/>
  </w:style>
  <w:style w:type="paragraph" w:customStyle="1" w:styleId="235">
    <w:name w:val="Char Char Char Char Char Char Char Char Char Char Char Char Char Char Char Char"/>
    <w:basedOn w:val="1"/>
    <w:qFormat/>
    <w:uiPriority w:val="0"/>
    <w:pPr>
      <w:widowControl/>
      <w:tabs>
        <w:tab w:val="left" w:pos="360"/>
      </w:tabs>
      <w:jc w:val="left"/>
    </w:pPr>
    <w:rPr>
      <w:rFonts w:ascii="Cambria" w:hAnsi="Cambria"/>
      <w:kern w:val="0"/>
      <w:szCs w:val="20"/>
    </w:rPr>
  </w:style>
  <w:style w:type="paragraph" w:customStyle="1" w:styleId="236">
    <w:name w:val="Other|1"/>
    <w:basedOn w:val="1"/>
    <w:qFormat/>
    <w:uiPriority w:val="0"/>
    <w:pPr>
      <w:spacing w:line="360" w:lineRule="auto"/>
    </w:pPr>
    <w:rPr>
      <w:rFonts w:ascii="宋体" w:hAnsi="宋体" w:cs="宋体"/>
      <w:sz w:val="13"/>
      <w:szCs w:val="13"/>
      <w:lang w:val="zh-TW" w:eastAsia="zh-TW" w:bidi="zh-TW"/>
    </w:rPr>
  </w:style>
  <w:style w:type="paragraph" w:customStyle="1" w:styleId="237">
    <w:name w:val="正文缩进2"/>
    <w:basedOn w:val="1"/>
    <w:qFormat/>
    <w:uiPriority w:val="0"/>
    <w:pPr>
      <w:widowControl/>
      <w:ind w:firstLine="420"/>
      <w:jc w:val="left"/>
    </w:pPr>
    <w:rPr>
      <w:rFonts w:eastAsia="仿宋_GB2312"/>
      <w:b/>
      <w:color w:val="000000"/>
      <w:kern w:val="0"/>
      <w:szCs w:val="20"/>
    </w:rPr>
  </w:style>
  <w:style w:type="character" w:customStyle="1" w:styleId="238">
    <w:name w:val="font31"/>
    <w:basedOn w:val="49"/>
    <w:qFormat/>
    <w:uiPriority w:val="0"/>
    <w:rPr>
      <w:rFonts w:hint="default" w:ascii="Times New Roman" w:hAnsi="Times New Roman" w:cs="Times New Roman"/>
      <w:color w:val="000000"/>
      <w:sz w:val="20"/>
      <w:szCs w:val="20"/>
      <w:u w:val="none"/>
    </w:rPr>
  </w:style>
  <w:style w:type="character" w:customStyle="1" w:styleId="239">
    <w:name w:val="font21"/>
    <w:basedOn w:val="49"/>
    <w:qFormat/>
    <w:uiPriority w:val="0"/>
    <w:rPr>
      <w:rFonts w:hint="eastAsia" w:ascii="宋体" w:hAnsi="宋体" w:eastAsia="宋体" w:cs="宋体"/>
      <w:color w:val="000000"/>
      <w:sz w:val="20"/>
      <w:szCs w:val="20"/>
      <w:u w:val="none"/>
    </w:rPr>
  </w:style>
  <w:style w:type="character" w:customStyle="1" w:styleId="240">
    <w:name w:val="font41"/>
    <w:basedOn w:val="49"/>
    <w:qFormat/>
    <w:uiPriority w:val="0"/>
    <w:rPr>
      <w:rFonts w:hint="eastAsia" w:ascii="宋体" w:hAnsi="宋体" w:eastAsia="宋体" w:cs="宋体"/>
      <w:color w:val="FF0000"/>
      <w:sz w:val="20"/>
      <w:szCs w:val="20"/>
      <w:u w:val="none"/>
    </w:rPr>
  </w:style>
  <w:style w:type="character" w:customStyle="1" w:styleId="241">
    <w:name w:val="font11"/>
    <w:basedOn w:val="49"/>
    <w:qFormat/>
    <w:uiPriority w:val="0"/>
    <w:rPr>
      <w:rFonts w:hint="eastAsia" w:ascii="宋体" w:hAnsi="宋体" w:eastAsia="宋体" w:cs="宋体"/>
      <w:color w:val="000000"/>
      <w:sz w:val="20"/>
      <w:szCs w:val="20"/>
      <w:u w:val="none"/>
    </w:rPr>
  </w:style>
  <w:style w:type="paragraph" w:customStyle="1" w:styleId="242">
    <w:name w:val="正文缩进3"/>
    <w:basedOn w:val="1"/>
    <w:qFormat/>
    <w:uiPriority w:val="0"/>
    <w:pPr>
      <w:widowControl/>
      <w:ind w:firstLine="420"/>
      <w:jc w:val="left"/>
    </w:pPr>
    <w:rPr>
      <w:rFonts w:eastAsia="仿宋_GB2312"/>
      <w:b/>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3D36-11A8-491F-9167-15804D6540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5962</Words>
  <Characters>6477</Characters>
  <Lines>279</Lines>
  <Paragraphs>78</Paragraphs>
  <TotalTime>12</TotalTime>
  <ScaleCrop>false</ScaleCrop>
  <LinksUpToDate>false</LinksUpToDate>
  <CharactersWithSpaces>6558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2024-03-18T07:21:00Z</dcterms:created>
  <dc:creator>zhang</dc:creator>
  <cp:lastModifiedBy>小娇</cp:lastModifiedBy>
  <cp:lastPrinted>2025-04-24T06:08:00Z</cp:lastPrinted>
  <dcterms:modified xsi:type="dcterms:W3CDTF">2025-06-16T01:34:50Z</dcterms:modified>
  <dc:title>乐清市公共资源交易中心</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eyJoZGlkIjoiZTllNzc0ZGNmMjQ5NzViZGI5YTkyMzdhMTVkNTdlY2MiLCJ1c2VySWQiOiIyNzM4NDgyMzIifQ==</vt:lpwstr>
  </property>
  <property fmtid="{D5CDD505-2E9C-101B-9397-08002B2CF9AE}" pid="4" name="ICV">
    <vt:lpwstr>BB99A9563EDD424BA20FE737D5874098_12</vt:lpwstr>
  </property>
</Properties>
</file>