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7C8A7">
      <w:pPr>
        <w:spacing w:line="360" w:lineRule="auto"/>
        <w:jc w:val="center"/>
        <w:rPr>
          <w:rFonts w:ascii="宋体" w:hAnsi="宋体" w:cs="宋体"/>
          <w:b/>
          <w:color w:val="auto"/>
          <w:sz w:val="24"/>
          <w:highlight w:val="none"/>
        </w:rPr>
      </w:pPr>
    </w:p>
    <w:p w14:paraId="0A5C5A0D">
      <w:pPr>
        <w:spacing w:line="360" w:lineRule="auto"/>
        <w:jc w:val="center"/>
        <w:rPr>
          <w:rFonts w:ascii="宋体" w:hAnsi="宋体" w:cs="宋体"/>
          <w:b/>
          <w:color w:val="auto"/>
          <w:sz w:val="24"/>
          <w:highlight w:val="none"/>
        </w:rPr>
      </w:pPr>
    </w:p>
    <w:p w14:paraId="3E163C85">
      <w:pPr>
        <w:adjustRightInd/>
        <w:spacing w:line="360" w:lineRule="auto"/>
        <w:jc w:val="center"/>
        <w:rPr>
          <w:rFonts w:ascii="宋体" w:hAnsi="宋体" w:cs="宋体"/>
          <w:b/>
          <w:color w:val="auto"/>
          <w:sz w:val="44"/>
          <w:szCs w:val="44"/>
          <w:highlight w:val="none"/>
        </w:rPr>
      </w:pPr>
    </w:p>
    <w:p w14:paraId="4D54848C">
      <w:pPr>
        <w:spacing w:line="360" w:lineRule="auto"/>
        <w:jc w:val="center"/>
        <w:rPr>
          <w:rFonts w:ascii="宋体" w:hAnsi="宋体" w:cs="宋体"/>
          <w:b/>
          <w:color w:val="auto"/>
          <w:sz w:val="44"/>
          <w:szCs w:val="44"/>
          <w:highlight w:val="none"/>
        </w:rPr>
      </w:pPr>
    </w:p>
    <w:p w14:paraId="7E3993E5">
      <w:pPr>
        <w:adjustRightInd/>
        <w:spacing w:line="360" w:lineRule="auto"/>
        <w:jc w:val="center"/>
        <w:rPr>
          <w:rFonts w:ascii="宋体" w:hAnsi="宋体" w:cs="宋体"/>
          <w:b/>
          <w:color w:val="auto"/>
          <w:sz w:val="48"/>
          <w:szCs w:val="48"/>
          <w:highlight w:val="none"/>
        </w:rPr>
      </w:pPr>
    </w:p>
    <w:p w14:paraId="0F01F23D">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 xml:space="preserve">西湖区财政局非税和票据管理一体化系统运维项目 </w:t>
      </w:r>
    </w:p>
    <w:p w14:paraId="7F808CB1">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 xml:space="preserve">招标文件 </w:t>
      </w:r>
    </w:p>
    <w:p w14:paraId="2C8D9204">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bookmarkStart w:id="519" w:name="_GoBack"/>
      <w:bookmarkEnd w:id="519"/>
    </w:p>
    <w:p w14:paraId="1F4C79A8">
      <w:pPr>
        <w:snapToGrid w:val="0"/>
        <w:spacing w:line="360" w:lineRule="auto"/>
        <w:jc w:val="center"/>
        <w:rPr>
          <w:rFonts w:hint="eastAsia" w:ascii="宋体" w:hAnsi="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ZJXL-XHCZ-202501</w:t>
      </w:r>
    </w:p>
    <w:p w14:paraId="5565A5A2">
      <w:pPr>
        <w:pStyle w:val="79"/>
        <w:ind w:left="0" w:leftChars="0" w:firstLine="0" w:firstLineChars="0"/>
        <w:jc w:val="center"/>
        <w:rPr>
          <w:rFonts w:hint="default"/>
          <w:lang w:val="en-US" w:eastAsia="zh-CN"/>
        </w:rPr>
      </w:pPr>
      <w:r>
        <w:rPr>
          <w:rFonts w:hint="eastAsia" w:ascii="宋体" w:hAnsi="宋体" w:cs="宋体"/>
          <w:color w:val="auto"/>
          <w:sz w:val="30"/>
          <w:szCs w:val="30"/>
          <w:highlight w:val="none"/>
          <w:lang w:val="en-US" w:eastAsia="zh-CN"/>
        </w:rPr>
        <w:t>采购计划文号：[2025]2390号</w:t>
      </w:r>
    </w:p>
    <w:p w14:paraId="5BBD926D">
      <w:pPr>
        <w:adjustRightInd/>
        <w:spacing w:line="360" w:lineRule="auto"/>
        <w:rPr>
          <w:rFonts w:ascii="宋体" w:hAnsi="宋体" w:cs="宋体"/>
          <w:color w:val="auto"/>
          <w:sz w:val="28"/>
          <w:szCs w:val="20"/>
          <w:highlight w:val="none"/>
        </w:rPr>
      </w:pPr>
    </w:p>
    <w:p w14:paraId="5649A9C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5BC8996A">
      <w:pPr>
        <w:spacing w:line="360" w:lineRule="auto"/>
        <w:jc w:val="center"/>
        <w:rPr>
          <w:rFonts w:ascii="宋体" w:hAnsi="宋体" w:cs="宋体"/>
          <w:b/>
          <w:color w:val="auto"/>
          <w:sz w:val="44"/>
          <w:szCs w:val="44"/>
          <w:highlight w:val="none"/>
        </w:rPr>
      </w:pPr>
    </w:p>
    <w:p w14:paraId="6854E374">
      <w:pPr>
        <w:spacing w:line="360" w:lineRule="auto"/>
        <w:jc w:val="center"/>
        <w:rPr>
          <w:rFonts w:ascii="宋体" w:hAnsi="宋体" w:cs="宋体"/>
          <w:color w:val="auto"/>
          <w:sz w:val="24"/>
          <w:highlight w:val="none"/>
        </w:rPr>
      </w:pPr>
    </w:p>
    <w:p w14:paraId="46C38D6F">
      <w:pPr>
        <w:spacing w:line="360" w:lineRule="auto"/>
        <w:jc w:val="center"/>
        <w:rPr>
          <w:rFonts w:ascii="宋体" w:hAnsi="宋体" w:cs="宋体"/>
          <w:color w:val="auto"/>
          <w:sz w:val="24"/>
          <w:highlight w:val="none"/>
        </w:rPr>
      </w:pPr>
    </w:p>
    <w:p w14:paraId="72941B48">
      <w:pPr>
        <w:spacing w:line="360" w:lineRule="auto"/>
        <w:rPr>
          <w:rFonts w:ascii="宋体" w:hAnsi="宋体" w:cs="宋体"/>
          <w:color w:val="auto"/>
          <w:sz w:val="32"/>
          <w:szCs w:val="32"/>
          <w:highlight w:val="none"/>
        </w:rPr>
      </w:pPr>
    </w:p>
    <w:p w14:paraId="48366948">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杭州市西湖区财政局</w:t>
      </w:r>
    </w:p>
    <w:p w14:paraId="289DCB78">
      <w:pPr>
        <w:spacing w:line="360" w:lineRule="auto"/>
        <w:jc w:val="center"/>
        <w:rPr>
          <w:rFonts w:hint="eastAsia" w:ascii="宋体" w:hAnsi="宋体" w:eastAsia="宋体" w:cs="宋体"/>
          <w:bCs/>
          <w:color w:val="auto"/>
          <w:sz w:val="32"/>
          <w:szCs w:val="32"/>
          <w:highlight w:val="none"/>
          <w:lang w:eastAsia="zh-CN"/>
        </w:rPr>
      </w:pPr>
      <w:r>
        <w:rPr>
          <w:rFonts w:hint="eastAsia" w:ascii="宋体" w:hAnsi="宋体" w:cs="宋体"/>
          <w:bCs/>
          <w:color w:val="auto"/>
          <w:sz w:val="32"/>
          <w:szCs w:val="32"/>
          <w:highlight w:val="none"/>
          <w:lang w:eastAsia="zh-CN"/>
        </w:rPr>
        <w:t>浙江信镧建设工程咨询有限公司</w:t>
      </w:r>
    </w:p>
    <w:p w14:paraId="59BEA590">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月</w:t>
      </w:r>
    </w:p>
    <w:p w14:paraId="0875FCC9">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19A67650">
      <w:pPr>
        <w:pStyle w:val="637"/>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p w14:paraId="3AA375FE">
      <w:pPr>
        <w:snapToGrid w:val="0"/>
        <w:spacing w:line="360" w:lineRule="auto"/>
        <w:ind w:firstLine="0" w:firstLineChars="0"/>
        <w:jc w:val="center"/>
        <w:rPr>
          <w:rFonts w:hint="eastAsia" w:ascii="宋体" w:hAnsi="宋体" w:cs="宋体"/>
          <w:b/>
          <w:bCs/>
          <w:color w:val="auto"/>
          <w:sz w:val="36"/>
          <w:szCs w:val="36"/>
        </w:rPr>
      </w:pPr>
      <w:r>
        <w:rPr>
          <w:rFonts w:hint="eastAsia" w:ascii="宋体" w:hAnsi="宋体" w:cs="宋体"/>
          <w:b/>
          <w:bCs/>
          <w:color w:val="auto"/>
          <w:sz w:val="36"/>
          <w:szCs w:val="36"/>
        </w:rPr>
        <w:t>电子招投标的说明</w:t>
      </w:r>
    </w:p>
    <w:p w14:paraId="1DAB11AD">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w:t>
      </w:r>
      <w:r>
        <w:rPr>
          <w:rFonts w:hint="eastAsia" w:asciiTheme="minorEastAsia" w:hAnsiTheme="minorEastAsia" w:eastAsiaTheme="minorEastAsia" w:cstheme="minorEastAsia"/>
          <w:color w:val="auto"/>
          <w:sz w:val="24"/>
          <w:szCs w:val="24"/>
        </w:rPr>
        <w:t>电子招投标：本项目以数据电文形式，依托“政府采购云平台（www.zcygov.cn）”进行招投标活动，不接受纸质投标文件；</w:t>
      </w:r>
    </w:p>
    <w:p w14:paraId="6B528C9F">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2、</w:t>
      </w:r>
      <w:r>
        <w:rPr>
          <w:rFonts w:hint="eastAsia" w:asciiTheme="minorEastAsia" w:hAnsiTheme="minorEastAsia" w:eastAsiaTheme="minorEastAsia" w:cstheme="minorEastAsia"/>
          <w:color w:val="auto"/>
          <w:sz w:val="24"/>
          <w:szCs w:val="24"/>
        </w:rPr>
        <w:t>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p>
    <w:p w14:paraId="2DEF61B1">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3、</w:t>
      </w:r>
      <w:r>
        <w:rPr>
          <w:rFonts w:hint="eastAsia" w:asciiTheme="minorEastAsia" w:hAnsiTheme="minorEastAsia" w:eastAsiaTheme="minorEastAsia" w:cstheme="minorEastAsia"/>
          <w:color w:val="auto"/>
          <w:sz w:val="24"/>
          <w:szCs w:val="24"/>
        </w:rPr>
        <w:t>招标文件的获取：使用账号登录或者使用CA登录政采云平台；进入“项目采购”应用，在获取采购文件菜单中选择项目，获取招标文件；</w:t>
      </w:r>
    </w:p>
    <w:p w14:paraId="56FAC219">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4、</w:t>
      </w:r>
      <w:r>
        <w:rPr>
          <w:rFonts w:hint="eastAsia" w:asciiTheme="minorEastAsia" w:hAnsiTheme="minorEastAsia" w:eastAsiaTheme="minorEastAsia" w:cstheme="minorEastAsia"/>
          <w:color w:val="auto"/>
          <w:sz w:val="24"/>
          <w:szCs w:val="24"/>
        </w:rPr>
        <w:t>投标文件的制作：在“政采云电子交易客户端”中完成“填写基本信息”、“导入投标文件”、“标书关联”、“标书检查”、“电子签名”、“生成电子标书”等操作；</w:t>
      </w:r>
    </w:p>
    <w:p w14:paraId="1D3ED81D">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5、</w:t>
      </w:r>
      <w:r>
        <w:rPr>
          <w:rFonts w:hint="eastAsia" w:asciiTheme="minorEastAsia" w:hAnsiTheme="minorEastAsia" w:eastAsiaTheme="minorEastAsia" w:cstheme="minorEastAsia"/>
          <w:color w:val="auto"/>
          <w:sz w:val="24"/>
          <w:szCs w:val="24"/>
        </w:rPr>
        <w:t>采购人、</w:t>
      </w:r>
      <w:r>
        <w:rPr>
          <w:rFonts w:hint="eastAsia" w:asciiTheme="minorEastAsia" w:hAnsiTheme="minorEastAsia" w:eastAsiaTheme="minorEastAsia" w:cstheme="minorEastAsia"/>
          <w:color w:val="auto"/>
          <w:sz w:val="24"/>
          <w:szCs w:val="24"/>
          <w:lang w:eastAsia="zh-CN"/>
        </w:rPr>
        <w:t>采购代理机构</w:t>
      </w:r>
      <w:r>
        <w:rPr>
          <w:rFonts w:hint="eastAsia" w:asciiTheme="minorEastAsia" w:hAnsiTheme="minorEastAsia" w:eastAsiaTheme="minorEastAsia" w:cstheme="minorEastAsia"/>
          <w:color w:val="auto"/>
          <w:sz w:val="24"/>
          <w:szCs w:val="24"/>
        </w:rPr>
        <w:t>将依托政采云平台完成本项目的电子交易活动，平台不接受未按上述方式获取招标文件的供应商进行投标活动；</w:t>
      </w:r>
    </w:p>
    <w:p w14:paraId="3E6525BD">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6、</w:t>
      </w:r>
      <w:r>
        <w:rPr>
          <w:rFonts w:hint="eastAsia" w:asciiTheme="minorEastAsia" w:hAnsiTheme="minorEastAsia" w:eastAsiaTheme="minorEastAsia" w:cstheme="minorEastAsia"/>
          <w:color w:val="auto"/>
          <w:sz w:val="24"/>
          <w:szCs w:val="24"/>
        </w:rPr>
        <w:t>对未按上述方式获取招标文件的供应商对该文件提出的质疑，采购人或采购代理机构将不予处理；</w:t>
      </w:r>
    </w:p>
    <w:p w14:paraId="473DEB81">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7、</w:t>
      </w:r>
      <w:r>
        <w:rPr>
          <w:rFonts w:hint="eastAsia" w:asciiTheme="minorEastAsia" w:hAnsiTheme="minorEastAsia" w:eastAsiaTheme="minorEastAsia" w:cstheme="minorEastAsia"/>
          <w:color w:val="auto"/>
          <w:sz w:val="24"/>
          <w:szCs w:val="24"/>
        </w:rPr>
        <w:t>不提供招标文件纸质版；</w:t>
      </w:r>
    </w:p>
    <w:p w14:paraId="0E6D3CD4">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8、</w:t>
      </w:r>
      <w:r>
        <w:rPr>
          <w:rFonts w:hint="eastAsia" w:asciiTheme="minorEastAsia" w:hAnsiTheme="minorEastAsia" w:eastAsiaTheme="minorEastAsia" w:cstheme="minorEastAsia"/>
          <w:color w:val="auto"/>
          <w:sz w:val="24"/>
          <w:szCs w:val="24"/>
        </w:rPr>
        <w:t>投标文件的传输递交：投标人在投标截止时间前将加密的投标文件上传至政府采购云平台，还可以在投标截止时间前直接提交或者以</w:t>
      </w:r>
      <w:r>
        <w:rPr>
          <w:rFonts w:hint="eastAsia" w:asciiTheme="minorEastAsia" w:hAnsiTheme="minorEastAsia" w:eastAsiaTheme="minorEastAsia" w:cstheme="minorEastAsia"/>
          <w:color w:val="auto"/>
          <w:sz w:val="24"/>
          <w:szCs w:val="24"/>
          <w:lang w:val="en-US" w:eastAsia="zh-CN"/>
        </w:rPr>
        <w:t>邮寄</w:t>
      </w:r>
      <w:r>
        <w:rPr>
          <w:rFonts w:hint="eastAsia" w:asciiTheme="minorEastAsia" w:hAnsiTheme="minorEastAsia" w:eastAsiaTheme="minorEastAsia" w:cstheme="minorEastAsia"/>
          <w:color w:val="auto"/>
          <w:sz w:val="24"/>
          <w:szCs w:val="24"/>
        </w:rPr>
        <w:t>方式递交备份投标文件1份。备份投标文件的制作、存储、密封详见招标文件；</w:t>
      </w:r>
    </w:p>
    <w:p w14:paraId="5E52D63B">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9、</w:t>
      </w:r>
      <w:r>
        <w:rPr>
          <w:rFonts w:hint="eastAsia" w:asciiTheme="minorEastAsia" w:hAnsiTheme="minorEastAsia" w:eastAsiaTheme="minorEastAsia" w:cstheme="minorEastAsia"/>
          <w:color w:val="auto"/>
          <w:sz w:val="24"/>
          <w:szCs w:val="24"/>
        </w:rPr>
        <w:t>投标文件的解密：投标人按照平台提示和招标文件的规定在</w:t>
      </w:r>
      <w:r>
        <w:rPr>
          <w:rFonts w:hint="eastAsia" w:asciiTheme="minorEastAsia" w:hAnsiTheme="minorEastAsia" w:eastAsiaTheme="minorEastAsia" w:cstheme="minorEastAsia"/>
          <w:b/>
          <w:bCs/>
          <w:color w:val="auto"/>
          <w:sz w:val="24"/>
          <w:szCs w:val="24"/>
        </w:rPr>
        <w:t>半小时</w:t>
      </w:r>
      <w:r>
        <w:rPr>
          <w:rFonts w:hint="eastAsia" w:asciiTheme="minorEastAsia" w:hAnsiTheme="minorEastAsia" w:eastAsiaTheme="minorEastAsia" w:cstheme="minorEastAsia"/>
          <w:color w:val="auto"/>
          <w:sz w:val="24"/>
          <w:szCs w:val="24"/>
        </w:rPr>
        <w:t>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w:t>
      </w:r>
    </w:p>
    <w:p w14:paraId="6AD1ECE0">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lang w:val="en-US" w:eastAsia="zh-CN"/>
        </w:rPr>
        <w:t>10、</w:t>
      </w:r>
      <w:r>
        <w:rPr>
          <w:rFonts w:hint="eastAsia" w:asciiTheme="minorEastAsia" w:hAnsiTheme="minorEastAsia" w:eastAsiaTheme="minorEastAsia" w:cstheme="minorEastAsia"/>
          <w:color w:val="auto"/>
          <w:sz w:val="24"/>
          <w:szCs w:val="24"/>
        </w:rPr>
        <w:t>具体操作指南：详见政采云平台“服务中心-帮助文档-项目采购-操作流程-电子招投标-政府采购项目电子交易管理操作指南-供应商”。</w:t>
      </w:r>
    </w:p>
    <w:p w14:paraId="5DC89A31">
      <w:pPr>
        <w:pStyle w:val="637"/>
        <w:pageBreakBefore w:val="0"/>
        <w:widowControl w:val="0"/>
        <w:kinsoku/>
        <w:wordWrap/>
        <w:overflowPunct/>
        <w:topLinePunct w:val="0"/>
        <w:autoSpaceDE/>
        <w:autoSpaceDN/>
        <w:bidi w:val="0"/>
        <w:snapToGrid/>
        <w:spacing w:line="360" w:lineRule="auto"/>
        <w:ind w:firstLine="482" w:firstLineChars="200"/>
        <w:textAlignment w:val="auto"/>
        <w:rPr>
          <w:rFonts w:hint="eastAsia" w:asciiTheme="minorEastAsia" w:hAnsiTheme="minorEastAsia" w:eastAsiaTheme="minorEastAsia" w:cstheme="minorEastAsia"/>
          <w:color w:val="auto"/>
          <w:sz w:val="24"/>
          <w:szCs w:val="24"/>
          <w:highlight w:val="none"/>
        </w:rPr>
        <w:sectPr>
          <w:pgSz w:w="11906" w:h="16838"/>
          <w:pgMar w:top="680" w:right="1418" w:bottom="468" w:left="1418" w:header="851" w:footer="992" w:gutter="0"/>
          <w:cols w:space="720" w:num="1"/>
          <w:titlePg/>
          <w:docGrid w:linePitch="312" w:charSpace="0"/>
        </w:sectPr>
      </w:pPr>
    </w:p>
    <w:p w14:paraId="5D2BF2A8">
      <w:pPr>
        <w:pStyle w:val="637"/>
        <w:rPr>
          <w:color w:val="auto"/>
          <w:highlight w:val="none"/>
        </w:rPr>
      </w:pPr>
    </w:p>
    <w:p w14:paraId="6FA1B737">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486412B2">
      <w:pPr>
        <w:spacing w:line="360" w:lineRule="auto"/>
        <w:rPr>
          <w:rFonts w:ascii="宋体" w:hAnsi="宋体" w:cs="宋体"/>
          <w:color w:val="auto"/>
          <w:sz w:val="32"/>
          <w:szCs w:val="32"/>
          <w:highlight w:val="none"/>
        </w:rPr>
      </w:pPr>
    </w:p>
    <w:p w14:paraId="1D3A535C">
      <w:pPr>
        <w:spacing w:line="360" w:lineRule="auto"/>
        <w:rPr>
          <w:rFonts w:ascii="宋体" w:hAnsi="宋体" w:cs="宋体"/>
          <w:color w:val="auto"/>
          <w:sz w:val="32"/>
          <w:szCs w:val="32"/>
          <w:highlight w:val="none"/>
        </w:rPr>
      </w:pPr>
    </w:p>
    <w:p w14:paraId="7BE113A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招标公告</w:t>
      </w:r>
    </w:p>
    <w:p w14:paraId="2E973D95">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投标人须知</w:t>
      </w:r>
    </w:p>
    <w:p w14:paraId="22203D1A">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66EF074B">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评标办法</w:t>
      </w:r>
    </w:p>
    <w:p w14:paraId="7309CF14">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1F6815E1">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11AB8175">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6E2B1657">
      <w:pPr>
        <w:spacing w:line="360" w:lineRule="auto"/>
        <w:ind w:firstLine="549" w:firstLineChars="229"/>
        <w:rPr>
          <w:rFonts w:ascii="宋体" w:hAnsi="宋体" w:cs="宋体"/>
          <w:color w:val="auto"/>
          <w:sz w:val="24"/>
          <w:highlight w:val="none"/>
        </w:rPr>
      </w:pPr>
    </w:p>
    <w:p w14:paraId="4B655421">
      <w:pPr>
        <w:spacing w:line="360" w:lineRule="auto"/>
        <w:ind w:firstLine="549" w:firstLineChars="229"/>
        <w:rPr>
          <w:rFonts w:ascii="宋体" w:hAnsi="宋体" w:cs="宋体"/>
          <w:color w:val="auto"/>
          <w:sz w:val="24"/>
          <w:highlight w:val="none"/>
        </w:rPr>
      </w:pPr>
    </w:p>
    <w:p w14:paraId="0737F2FF">
      <w:pPr>
        <w:spacing w:line="360" w:lineRule="auto"/>
        <w:ind w:firstLine="549" w:firstLineChars="229"/>
        <w:rPr>
          <w:rFonts w:ascii="宋体" w:hAnsi="宋体" w:cs="宋体"/>
          <w:color w:val="auto"/>
          <w:sz w:val="24"/>
          <w:highlight w:val="none"/>
        </w:rPr>
      </w:pPr>
    </w:p>
    <w:p w14:paraId="0D24148D">
      <w:pPr>
        <w:spacing w:line="360" w:lineRule="auto"/>
        <w:ind w:firstLine="549" w:firstLineChars="229"/>
        <w:rPr>
          <w:rFonts w:ascii="宋体" w:hAnsi="宋体" w:cs="宋体"/>
          <w:color w:val="auto"/>
          <w:sz w:val="24"/>
          <w:highlight w:val="none"/>
        </w:rPr>
      </w:pPr>
    </w:p>
    <w:p w14:paraId="78FDDF64">
      <w:pPr>
        <w:spacing w:line="360" w:lineRule="auto"/>
        <w:ind w:firstLine="549" w:firstLineChars="229"/>
        <w:rPr>
          <w:rFonts w:ascii="宋体" w:hAnsi="宋体" w:cs="宋体"/>
          <w:color w:val="auto"/>
          <w:sz w:val="24"/>
          <w:highlight w:val="none"/>
        </w:rPr>
      </w:pPr>
    </w:p>
    <w:p w14:paraId="0A915DB0">
      <w:pPr>
        <w:spacing w:line="360" w:lineRule="auto"/>
        <w:ind w:firstLine="549" w:firstLineChars="229"/>
        <w:rPr>
          <w:rFonts w:ascii="宋体" w:hAnsi="宋体" w:cs="宋体"/>
          <w:color w:val="auto"/>
          <w:sz w:val="24"/>
          <w:highlight w:val="none"/>
        </w:rPr>
      </w:pPr>
    </w:p>
    <w:p w14:paraId="0B435453">
      <w:pPr>
        <w:spacing w:line="360" w:lineRule="auto"/>
        <w:ind w:firstLine="549" w:firstLineChars="229"/>
        <w:rPr>
          <w:rFonts w:ascii="宋体" w:hAnsi="宋体" w:cs="宋体"/>
          <w:color w:val="auto"/>
          <w:sz w:val="24"/>
          <w:highlight w:val="none"/>
        </w:rPr>
      </w:pPr>
    </w:p>
    <w:p w14:paraId="283CD491">
      <w:pPr>
        <w:spacing w:line="360" w:lineRule="auto"/>
        <w:ind w:firstLine="549" w:firstLineChars="229"/>
        <w:rPr>
          <w:rFonts w:ascii="宋体" w:hAnsi="宋体" w:cs="宋体"/>
          <w:color w:val="auto"/>
          <w:sz w:val="24"/>
          <w:highlight w:val="none"/>
        </w:rPr>
      </w:pPr>
    </w:p>
    <w:p w14:paraId="6721B4C0">
      <w:pPr>
        <w:spacing w:line="360" w:lineRule="auto"/>
        <w:ind w:firstLine="549" w:firstLineChars="229"/>
        <w:rPr>
          <w:rFonts w:ascii="宋体" w:hAnsi="宋体" w:cs="宋体"/>
          <w:color w:val="auto"/>
          <w:sz w:val="24"/>
          <w:highlight w:val="none"/>
        </w:rPr>
      </w:pPr>
    </w:p>
    <w:p w14:paraId="578FE1E8">
      <w:pPr>
        <w:spacing w:line="360" w:lineRule="auto"/>
        <w:ind w:firstLine="549" w:firstLineChars="229"/>
        <w:rPr>
          <w:rFonts w:ascii="宋体" w:hAnsi="宋体" w:cs="宋体"/>
          <w:color w:val="auto"/>
          <w:sz w:val="24"/>
          <w:highlight w:val="none"/>
        </w:rPr>
      </w:pPr>
    </w:p>
    <w:p w14:paraId="38BD0AC8">
      <w:pPr>
        <w:spacing w:line="360" w:lineRule="auto"/>
        <w:ind w:firstLine="549" w:firstLineChars="229"/>
        <w:rPr>
          <w:rFonts w:ascii="宋体" w:hAnsi="宋体" w:cs="宋体"/>
          <w:color w:val="auto"/>
          <w:sz w:val="24"/>
          <w:highlight w:val="none"/>
        </w:rPr>
      </w:pPr>
    </w:p>
    <w:p w14:paraId="0D0F25D2">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707423"/>
      <w:bookmarkEnd w:id="4"/>
      <w:bookmarkStart w:id="5" w:name="_Hlt74728647"/>
      <w:bookmarkEnd w:id="5"/>
      <w:bookmarkStart w:id="6" w:name="_Hlt74729822"/>
      <w:bookmarkEnd w:id="6"/>
      <w:bookmarkStart w:id="7" w:name="_Hlt74649545"/>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招标公告</w:t>
      </w:r>
    </w:p>
    <w:p w14:paraId="26C4255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77733431">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 xml:space="preserve">西湖区财政局非税和票据管理一体化系统运维项目 </w:t>
      </w:r>
      <w:r>
        <w:rPr>
          <w:rFonts w:hint="eastAsia" w:ascii="宋体" w:hAnsi="宋体" w:cs="宋体"/>
          <w:color w:val="auto"/>
          <w:sz w:val="24"/>
          <w:highlight w:val="none"/>
        </w:rPr>
        <w:t>招标项目的潜在投标人应在政采云平台（</w:t>
      </w:r>
      <w:r>
        <w:rPr>
          <w:color w:val="auto"/>
          <w:highlight w:val="none"/>
        </w:rPr>
        <w:fldChar w:fldCharType="begin"/>
      </w:r>
      <w:r>
        <w:rPr>
          <w:color w:val="auto"/>
          <w:highlight w:val="none"/>
        </w:rPr>
        <w:instrText xml:space="preserve"> HYPERLINK "https://www.zcygov.cn/）获取（下载）招标文件，并于202%20年%20月%20日%20点%20分00秒"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https://www.zcygov.cn/）获取（下载）招标文件，并于202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06</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20</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Style w:val="76"/>
          <w:rFonts w:hint="eastAsia" w:ascii="宋体" w:hAnsi="宋体" w:eastAsia="宋体" w:cs="宋体"/>
          <w:bCs/>
          <w:snapToGrid/>
          <w:color w:val="auto"/>
          <w:kern w:val="2"/>
          <w:sz w:val="24"/>
          <w:szCs w:val="24"/>
          <w:highlight w:val="non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递交（上传）投标文件。</w:t>
      </w:r>
    </w:p>
    <w:p w14:paraId="3FCC9302">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6CAB100E">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ZJXL-XHCZ-202501</w:t>
      </w:r>
    </w:p>
    <w:p w14:paraId="0312DF7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项目名称：</w:t>
      </w:r>
      <w:r>
        <w:rPr>
          <w:rFonts w:hint="eastAsia" w:ascii="宋体" w:hAnsi="宋体" w:cs="宋体"/>
          <w:color w:val="auto"/>
          <w:sz w:val="24"/>
          <w:highlight w:val="none"/>
          <w:lang w:eastAsia="zh-CN"/>
        </w:rPr>
        <w:t xml:space="preserve">西湖区财政局非税和票据管理一体化系统运维项目 </w:t>
      </w:r>
    </w:p>
    <w:p w14:paraId="1C6D4CA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w:t>
      </w:r>
      <w:r>
        <w:rPr>
          <w:rFonts w:hint="eastAsia" w:ascii="宋体" w:hAnsi="宋体" w:cs="宋体"/>
          <w:b/>
          <w:color w:val="auto"/>
          <w:sz w:val="24"/>
          <w:highlight w:val="none"/>
        </w:rPr>
        <w:t xml:space="preserve"> 预算金额（元）：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450000</w:t>
      </w:r>
    </w:p>
    <w:p w14:paraId="524783DF">
      <w:pPr>
        <w:spacing w:line="360" w:lineRule="auto"/>
        <w:ind w:firstLine="480"/>
        <w:rPr>
          <w:rFonts w:ascii="宋体" w:hAnsi="宋体" w:cs="宋体"/>
          <w:color w:val="auto"/>
          <w:sz w:val="24"/>
          <w:highlight w:val="none"/>
        </w:rPr>
      </w:pPr>
      <w:r>
        <w:rPr>
          <w:rFonts w:hint="eastAsia" w:ascii="宋体" w:hAnsi="宋体" w:cs="宋体"/>
          <w:b/>
          <w:color w:val="auto"/>
          <w:sz w:val="24"/>
          <w:highlight w:val="none"/>
        </w:rPr>
        <w:t>最高限价（元）：</w:t>
      </w:r>
      <w:r>
        <w:rPr>
          <w:rFonts w:ascii="宋体" w:hAnsi="宋体" w:cs="宋体"/>
          <w:color w:val="auto"/>
          <w:sz w:val="24"/>
          <w:highlight w:val="none"/>
        </w:rPr>
        <w:t xml:space="preserve"> </w:t>
      </w:r>
      <w:r>
        <w:rPr>
          <w:rFonts w:hint="eastAsia" w:ascii="宋体" w:hAnsi="宋体" w:cs="宋体"/>
          <w:color w:val="auto"/>
          <w:sz w:val="24"/>
          <w:highlight w:val="none"/>
          <w:lang w:val="en-US" w:eastAsia="zh-CN"/>
        </w:rPr>
        <w:t>450000</w:t>
      </w:r>
    </w:p>
    <w:p w14:paraId="6EC5DB8E">
      <w:pPr>
        <w:pStyle w:val="15"/>
        <w:spacing w:line="360" w:lineRule="auto"/>
        <w:ind w:firstLine="480"/>
        <w:rPr>
          <w:rFonts w:hint="eastAsia" w:hAnsi="宋体" w:cs="宋体"/>
          <w:b/>
          <w:color w:val="auto"/>
          <w:sz w:val="24"/>
          <w:highlight w:val="none"/>
        </w:rPr>
      </w:pPr>
      <w:r>
        <w:rPr>
          <w:rFonts w:hint="eastAsia" w:hAnsi="宋体" w:cs="宋体"/>
          <w:b/>
          <w:color w:val="auto"/>
          <w:sz w:val="24"/>
          <w:highlight w:val="none"/>
        </w:rPr>
        <w:t>采购需求：</w:t>
      </w:r>
    </w:p>
    <w:tbl>
      <w:tblPr>
        <w:tblStyle w:val="63"/>
        <w:tblW w:w="958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973"/>
        <w:gridCol w:w="2034"/>
        <w:gridCol w:w="799"/>
        <w:gridCol w:w="1317"/>
        <w:gridCol w:w="3224"/>
        <w:gridCol w:w="1241"/>
      </w:tblGrid>
      <w:tr w14:paraId="422B67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16" w:hRule="atLeast"/>
          <w:jc w:val="center"/>
        </w:trPr>
        <w:tc>
          <w:tcPr>
            <w:tcW w:w="973" w:type="dxa"/>
            <w:vAlign w:val="center"/>
          </w:tcPr>
          <w:p w14:paraId="779EA5BF">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标项号</w:t>
            </w:r>
          </w:p>
        </w:tc>
        <w:tc>
          <w:tcPr>
            <w:tcW w:w="2034" w:type="dxa"/>
            <w:vAlign w:val="center"/>
          </w:tcPr>
          <w:p w14:paraId="77EF0C45">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标项名称</w:t>
            </w:r>
          </w:p>
        </w:tc>
        <w:tc>
          <w:tcPr>
            <w:tcW w:w="799" w:type="dxa"/>
            <w:vAlign w:val="center"/>
          </w:tcPr>
          <w:p w14:paraId="2AD40DE4">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数量</w:t>
            </w:r>
          </w:p>
        </w:tc>
        <w:tc>
          <w:tcPr>
            <w:tcW w:w="1317" w:type="dxa"/>
            <w:vAlign w:val="center"/>
          </w:tcPr>
          <w:p w14:paraId="3D37B924">
            <w:pPr>
              <w:spacing w:line="360" w:lineRule="auto"/>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预算金额（元）</w:t>
            </w:r>
          </w:p>
        </w:tc>
        <w:tc>
          <w:tcPr>
            <w:tcW w:w="3224" w:type="dxa"/>
            <w:vAlign w:val="center"/>
          </w:tcPr>
          <w:p w14:paraId="49618219">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简要规格描述或项目基本概况介绍、用途：</w:t>
            </w:r>
          </w:p>
        </w:tc>
        <w:tc>
          <w:tcPr>
            <w:tcW w:w="1241" w:type="dxa"/>
            <w:vAlign w:val="center"/>
          </w:tcPr>
          <w:p w14:paraId="61D86BEB">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备注</w:t>
            </w:r>
          </w:p>
        </w:tc>
      </w:tr>
      <w:tr w14:paraId="33D3070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896" w:hRule="atLeast"/>
          <w:jc w:val="center"/>
        </w:trPr>
        <w:tc>
          <w:tcPr>
            <w:tcW w:w="973" w:type="dxa"/>
            <w:vAlign w:val="center"/>
          </w:tcPr>
          <w:p w14:paraId="45B5C449">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eastAsia="zh-CN"/>
              </w:rPr>
              <w:t>1</w:t>
            </w:r>
          </w:p>
        </w:tc>
        <w:tc>
          <w:tcPr>
            <w:tcW w:w="2034" w:type="dxa"/>
            <w:vAlign w:val="center"/>
          </w:tcPr>
          <w:p w14:paraId="53E0310F">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西湖区财政局非税和票据管理一体化系统运维项目</w:t>
            </w:r>
          </w:p>
        </w:tc>
        <w:tc>
          <w:tcPr>
            <w:tcW w:w="799" w:type="dxa"/>
            <w:vAlign w:val="center"/>
          </w:tcPr>
          <w:p w14:paraId="503CDC04">
            <w:pPr>
              <w:spacing w:line="360" w:lineRule="auto"/>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1项</w:t>
            </w:r>
          </w:p>
        </w:tc>
        <w:tc>
          <w:tcPr>
            <w:tcW w:w="1317" w:type="dxa"/>
            <w:vAlign w:val="center"/>
          </w:tcPr>
          <w:p w14:paraId="56F52B77">
            <w:pPr>
              <w:spacing w:line="360" w:lineRule="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450000</w:t>
            </w:r>
          </w:p>
        </w:tc>
        <w:tc>
          <w:tcPr>
            <w:tcW w:w="3224" w:type="dxa"/>
            <w:vAlign w:val="center"/>
          </w:tcPr>
          <w:p w14:paraId="56B02FCA">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lang w:eastAsia="zh-CN"/>
              </w:rPr>
              <w:t>西湖区财政局非税和票据管理一体化系统运维</w:t>
            </w:r>
            <w:r>
              <w:rPr>
                <w:rFonts w:hint="eastAsia" w:ascii="宋体" w:hAnsi="宋体" w:eastAsia="宋体" w:cs="宋体"/>
                <w:color w:val="auto"/>
                <w:sz w:val="24"/>
                <w:highlight w:val="none"/>
                <w:lang w:eastAsia="zh-CN"/>
              </w:rPr>
              <w:t>，详见招标文件第三部分采购需求。</w:t>
            </w:r>
          </w:p>
        </w:tc>
        <w:tc>
          <w:tcPr>
            <w:tcW w:w="1241" w:type="dxa"/>
            <w:vAlign w:val="center"/>
          </w:tcPr>
          <w:p w14:paraId="74CAF64C">
            <w:pPr>
              <w:spacing w:line="360" w:lineRule="auto"/>
              <w:rPr>
                <w:rFonts w:hint="eastAsia" w:ascii="宋体" w:hAnsi="宋体" w:eastAsia="宋体" w:cs="宋体"/>
                <w:color w:val="auto"/>
                <w:sz w:val="24"/>
                <w:highlight w:val="none"/>
                <w:lang w:eastAsia="zh-CN"/>
              </w:rPr>
            </w:pPr>
          </w:p>
        </w:tc>
      </w:tr>
    </w:tbl>
    <w:p w14:paraId="0CF83623">
      <w:pPr>
        <w:pStyle w:val="131"/>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ascii="宋体" w:hAnsi="宋体" w:cs="宋体"/>
          <w:color w:val="auto"/>
          <w:highlight w:val="none"/>
        </w:rPr>
        <w:t xml:space="preserve"> </w:t>
      </w:r>
      <w:r>
        <w:rPr>
          <w:rFonts w:hint="eastAsia" w:ascii="宋体" w:hAnsi="宋体" w:cs="宋体"/>
          <w:b/>
          <w:color w:val="auto"/>
          <w:lang w:val="en-US" w:eastAsia="zh-CN"/>
        </w:rPr>
        <w:t>详见采购文件要求</w:t>
      </w:r>
    </w:p>
    <w:p w14:paraId="07281B02">
      <w:pPr>
        <w:pStyle w:val="15"/>
        <w:spacing w:line="360" w:lineRule="auto"/>
        <w:ind w:firstLine="480"/>
        <w:rPr>
          <w:rFonts w:hAnsi="宋体" w:cs="宋体"/>
          <w:b/>
          <w:color w:val="auto"/>
          <w:highlight w:val="none"/>
        </w:rPr>
      </w:pPr>
      <w:r>
        <w:rPr>
          <w:rFonts w:hint="eastAsia" w:hAnsi="宋体" w:cs="宋体"/>
          <w:b/>
          <w:color w:val="auto"/>
          <w:sz w:val="24"/>
          <w:highlight w:val="none"/>
        </w:rPr>
        <w:t>本项目接受联合体投标：</w:t>
      </w:r>
      <w:r>
        <w:rPr>
          <w:rFonts w:hAnsi="宋体" w:cs="宋体"/>
          <w:color w:val="auto"/>
          <w:kern w:val="0"/>
          <w:sz w:val="24"/>
          <w:highlight w:val="none"/>
        </w:rPr>
        <w:t xml:space="preserve"> </w:t>
      </w:r>
      <w:sdt>
        <w:sdtPr>
          <w:rPr>
            <w:rFonts w:hAnsi="宋体" w:cs="宋体"/>
            <w:color w:val="auto"/>
            <w:kern w:val="0"/>
            <w:sz w:val="24"/>
            <w:highlight w:val="none"/>
          </w:rPr>
          <w:id w:val="-1"/>
          <w14:checkbox>
            <w14:checked w14:val="1"/>
            <w14:checkedState w14:val="00FE" w14:font="Wingdings"/>
            <w14:uncheckedState w14:val="2610" w14:font="MS Gothic"/>
          </w14:checkbox>
        </w:sdtPr>
        <w:sdtEndPr>
          <w:rPr>
            <w:rFonts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b/>
          <w:color w:val="auto"/>
          <w:sz w:val="24"/>
          <w:highlight w:val="none"/>
        </w:rPr>
        <w:t>是；</w:t>
      </w:r>
      <w:sdt>
        <w:sdtPr>
          <w:rPr>
            <w:rFonts w:hAnsi="宋体" w:cs="宋体"/>
            <w:color w:val="auto"/>
            <w:kern w:val="0"/>
            <w:sz w:val="24"/>
            <w:highlight w:val="none"/>
          </w:rPr>
          <w:id w:val="747548208"/>
          <w14:checkbox>
            <w14:checked w14:val="0"/>
            <w14:checkedState w14:val="00FE" w14:font="Wingdings"/>
            <w14:uncheckedState w14:val="2610" w14:font="MS Gothic"/>
          </w14:checkbox>
        </w:sdtPr>
        <w:sdtEndPr>
          <w:rPr>
            <w:rFonts w:hAnsi="宋体" w:cs="宋体"/>
            <w:color w:val="auto"/>
            <w:kern w:val="0"/>
            <w:sz w:val="24"/>
            <w:highlight w:val="none"/>
          </w:rPr>
        </w:sdtEndPr>
        <w:sdtContent>
          <w:r>
            <w:rPr>
              <w:rFonts w:ascii="Segoe UI Symbol" w:hAnsi="Segoe UI Symbol" w:cs="Segoe UI Symbol"/>
              <w:color w:val="auto"/>
              <w:kern w:val="0"/>
              <w:sz w:val="24"/>
              <w:highlight w:val="none"/>
            </w:rPr>
            <w:t>☐</w:t>
          </w:r>
        </w:sdtContent>
      </w:sdt>
      <w:r>
        <w:rPr>
          <w:rFonts w:hint="eastAsia" w:hAnsi="宋体" w:cs="宋体"/>
          <w:b/>
          <w:color w:val="auto"/>
          <w:sz w:val="24"/>
          <w:highlight w:val="none"/>
        </w:rPr>
        <w:t>否</w:t>
      </w:r>
      <w:r>
        <w:rPr>
          <w:rFonts w:hint="eastAsia" w:hAnsi="宋体" w:cs="宋体"/>
          <w:color w:val="auto"/>
          <w:kern w:val="0"/>
          <w:sz w:val="24"/>
          <w:highlight w:val="none"/>
        </w:rPr>
        <w:t>。</w:t>
      </w:r>
    </w:p>
    <w:p w14:paraId="08B50DBF">
      <w:pPr>
        <w:spacing w:line="360" w:lineRule="auto"/>
        <w:rPr>
          <w:rFonts w:ascii="宋体" w:hAnsi="宋体" w:cs="宋体"/>
          <w:b/>
          <w:color w:val="auto"/>
          <w:sz w:val="24"/>
          <w:highlight w:val="none"/>
        </w:rPr>
      </w:pPr>
      <w:r>
        <w:rPr>
          <w:rFonts w:hint="eastAsia" w:ascii="宋体" w:hAnsi="宋体" w:cs="宋体"/>
          <w:b/>
          <w:color w:val="auto"/>
          <w:sz w:val="24"/>
          <w:highlight w:val="none"/>
        </w:rPr>
        <w:t>二、申请人的资格要求：</w:t>
      </w:r>
    </w:p>
    <w:p w14:paraId="5FDBAFE8">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007A2EF5">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以联合体形式投标的，提供联合协议(本项目不接受联合体投标或者投标人不以联合体形式投标的，则不需要提供) ；</w:t>
      </w:r>
    </w:p>
    <w:p w14:paraId="17804FE0">
      <w:pPr>
        <w:spacing w:line="360" w:lineRule="auto"/>
        <w:ind w:firstLine="480" w:firstLineChars="200"/>
        <w:rPr>
          <w:rFonts w:ascii="宋体" w:hAnsi="宋体" w:cs="宋体"/>
          <w:color w:val="auto"/>
          <w:sz w:val="24"/>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r>
        <w:rPr>
          <w:rFonts w:hint="eastAsia" w:ascii="宋体" w:hAnsi="宋体" w:cs="宋体"/>
          <w:color w:val="auto"/>
          <w:sz w:val="24"/>
          <w:highlight w:val="none"/>
          <w:lang w:eastAsia="zh-CN"/>
        </w:rPr>
        <w:t>，服务</w:t>
      </w:r>
      <w:r>
        <w:rPr>
          <w:rFonts w:hint="eastAsia" w:ascii="宋体" w:hAnsi="宋体" w:cs="宋体"/>
          <w:color w:val="auto"/>
          <w:sz w:val="24"/>
          <w:highlight w:val="none"/>
        </w:rPr>
        <w:t>全部由符合政策要求的中小企业</w:t>
      </w:r>
      <w:r>
        <w:rPr>
          <w:rFonts w:hint="eastAsia" w:ascii="宋体" w:hAnsi="宋体" w:cs="宋体"/>
          <w:color w:val="auto"/>
          <w:sz w:val="24"/>
          <w:highlight w:val="none"/>
          <w:lang w:eastAsia="zh-CN"/>
        </w:rPr>
        <w:t>承接</w:t>
      </w:r>
      <w:r>
        <w:rPr>
          <w:rFonts w:hint="eastAsia" w:ascii="宋体" w:hAnsi="宋体" w:cs="宋体"/>
          <w:color w:val="auto"/>
          <w:sz w:val="24"/>
          <w:highlight w:val="none"/>
        </w:rPr>
        <w:t>，提供中小企业声明函；</w:t>
      </w:r>
    </w:p>
    <w:p w14:paraId="54F80419">
      <w:pPr>
        <w:snapToGrid w:val="0"/>
        <w:spacing w:line="360" w:lineRule="auto"/>
        <w:ind w:firstLine="480" w:firstLineChars="200"/>
        <w:rPr>
          <w:rFonts w:hint="eastAsia" w:ascii="宋体" w:hAnsi="宋体" w:eastAsia="宋体" w:cs="宋体"/>
          <w:color w:val="auto"/>
          <w:sz w:val="24"/>
          <w:highlight w:val="none"/>
          <w:lang w:val="en-US" w:eastAsia="zh-CN"/>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color w:val="auto"/>
          <w:sz w:val="24"/>
          <w:highlight w:val="none"/>
          <w:lang w:val="en-US" w:eastAsia="zh-CN"/>
        </w:rPr>
        <w:t>无</w:t>
      </w:r>
    </w:p>
    <w:p w14:paraId="2D0DBA15">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1E891A5B">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三、获取招标文件 </w:t>
      </w:r>
    </w:p>
    <w:p w14:paraId="086F1345">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b w:val="0"/>
          <w:bCs/>
          <w:color w:val="auto"/>
          <w:sz w:val="24"/>
        </w:rPr>
        <w:t>公告发布之日起至提交投标文件截止时间</w:t>
      </w:r>
      <w:r>
        <w:rPr>
          <w:rFonts w:hint="eastAsia" w:ascii="宋体" w:hAnsi="宋体" w:cs="宋体"/>
          <w:color w:val="auto"/>
          <w:sz w:val="24"/>
        </w:rPr>
        <w:t>，</w:t>
      </w:r>
      <w:r>
        <w:rPr>
          <w:rFonts w:hint="eastAsia" w:ascii="宋体" w:hAnsi="宋体" w:cs="宋体"/>
          <w:color w:val="auto"/>
          <w:sz w:val="24"/>
          <w:highlight w:val="none"/>
        </w:rPr>
        <w:t>每天上午00:00至12:00 ，下午12:00至23:59（北京时间，线上获取法定节假日均可，线下获取文件法定节假日除外）</w:t>
      </w:r>
    </w:p>
    <w:p w14:paraId="0DC6730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34D5C0F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634F2D62">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7F44D63D">
      <w:pPr>
        <w:spacing w:line="360" w:lineRule="auto"/>
        <w:rPr>
          <w:rFonts w:ascii="宋体" w:hAnsi="宋体" w:cs="宋体"/>
          <w:b/>
          <w:color w:val="auto"/>
          <w:sz w:val="24"/>
          <w:highlight w:val="none"/>
        </w:rPr>
      </w:pPr>
      <w:r>
        <w:rPr>
          <w:rFonts w:hint="eastAsia" w:ascii="宋体" w:hAnsi="宋体" w:cs="宋体"/>
          <w:b/>
          <w:color w:val="auto"/>
          <w:sz w:val="24"/>
          <w:highlight w:val="none"/>
        </w:rPr>
        <w:t>四、提交投标文件截止时间、开标时间和地点</w:t>
      </w:r>
    </w:p>
    <w:p w14:paraId="7FA20757">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提交投标文件截止时间：</w:t>
      </w:r>
      <w:r>
        <w:rPr>
          <w:rStyle w:val="76"/>
          <w:rFonts w:hint="eastAsia" w:ascii="宋体" w:hAnsi="宋体" w:eastAsia="宋体" w:cs="宋体"/>
          <w:snapToGrid/>
          <w:color w:val="auto"/>
          <w:kern w:val="2"/>
          <w:sz w:val="24"/>
          <w:szCs w:val="24"/>
          <w:highlight w:val="none"/>
        </w:rPr>
        <w:t>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06</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20</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r>
        <w:rPr>
          <w:rFonts w:hint="eastAsia" w:ascii="宋体" w:hAnsi="宋体" w:cs="宋体"/>
          <w:color w:val="auto"/>
          <w:sz w:val="24"/>
          <w:highlight w:val="none"/>
        </w:rPr>
        <w:t>（北京时间）</w:t>
      </w:r>
    </w:p>
    <w:p w14:paraId="3790463E">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投标地点（网址）：</w:t>
      </w:r>
      <w:r>
        <w:rPr>
          <w:rFonts w:hint="eastAsia" w:ascii="宋体" w:hAnsi="宋体" w:cs="宋体"/>
          <w:color w:val="auto"/>
          <w:sz w:val="24"/>
          <w:highlight w:val="none"/>
        </w:rPr>
        <w:t xml:space="preserve">政采云平台（https://www.zcygov.cn/） </w:t>
      </w:r>
    </w:p>
    <w:p w14:paraId="2B5D577C">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开标时间：</w:t>
      </w:r>
      <w:r>
        <w:rPr>
          <w:rStyle w:val="76"/>
          <w:rFonts w:hint="eastAsia" w:ascii="宋体" w:hAnsi="宋体" w:eastAsia="宋体" w:cs="宋体"/>
          <w:snapToGrid/>
          <w:color w:val="auto"/>
          <w:kern w:val="2"/>
          <w:sz w:val="24"/>
          <w:szCs w:val="24"/>
          <w:highlight w:val="none"/>
        </w:rPr>
        <w:t>202</w:t>
      </w:r>
      <w:r>
        <w:rPr>
          <w:rStyle w:val="76"/>
          <w:rFonts w:hint="eastAsia" w:ascii="宋体" w:hAnsi="宋体" w:cs="宋体"/>
          <w:snapToGrid/>
          <w:color w:val="auto"/>
          <w:kern w:val="2"/>
          <w:sz w:val="24"/>
          <w:szCs w:val="24"/>
          <w:highlight w:val="none"/>
          <w:lang w:val="en-US" w:eastAsia="zh-CN"/>
        </w:rPr>
        <w:t>5</w:t>
      </w:r>
      <w:r>
        <w:rPr>
          <w:rStyle w:val="76"/>
          <w:rFonts w:hint="eastAsia" w:ascii="宋体" w:hAnsi="宋体" w:eastAsia="宋体" w:cs="宋体"/>
          <w:snapToGrid/>
          <w:color w:val="auto"/>
          <w:kern w:val="2"/>
          <w:sz w:val="24"/>
          <w:szCs w:val="24"/>
          <w:highlight w:val="none"/>
        </w:rPr>
        <w:t>年</w:t>
      </w:r>
      <w:r>
        <w:rPr>
          <w:rStyle w:val="76"/>
          <w:rFonts w:hint="eastAsia" w:ascii="宋体" w:hAnsi="宋体" w:cs="宋体"/>
          <w:snapToGrid/>
          <w:color w:val="auto"/>
          <w:kern w:val="2"/>
          <w:sz w:val="24"/>
          <w:szCs w:val="24"/>
          <w:highlight w:val="none"/>
          <w:lang w:val="en-US" w:eastAsia="zh-CN"/>
        </w:rPr>
        <w:t>06</w:t>
      </w:r>
      <w:r>
        <w:rPr>
          <w:rStyle w:val="76"/>
          <w:rFonts w:hint="eastAsia" w:ascii="宋体" w:hAnsi="宋体" w:eastAsia="宋体" w:cs="宋体"/>
          <w:snapToGrid/>
          <w:color w:val="auto"/>
          <w:kern w:val="2"/>
          <w:sz w:val="24"/>
          <w:szCs w:val="24"/>
          <w:highlight w:val="none"/>
        </w:rPr>
        <w:t>月</w:t>
      </w:r>
      <w:r>
        <w:rPr>
          <w:rStyle w:val="76"/>
          <w:rFonts w:hint="eastAsia" w:ascii="宋体" w:hAnsi="宋体" w:cs="宋体"/>
          <w:snapToGrid/>
          <w:color w:val="auto"/>
          <w:kern w:val="2"/>
          <w:sz w:val="24"/>
          <w:szCs w:val="24"/>
          <w:highlight w:val="none"/>
          <w:lang w:val="en-US" w:eastAsia="zh-CN"/>
        </w:rPr>
        <w:t>20</w:t>
      </w:r>
      <w:r>
        <w:rPr>
          <w:rStyle w:val="76"/>
          <w:rFonts w:hint="eastAsia" w:ascii="宋体" w:hAnsi="宋体" w:eastAsia="宋体" w:cs="宋体"/>
          <w:snapToGrid/>
          <w:color w:val="auto"/>
          <w:kern w:val="2"/>
          <w:sz w:val="24"/>
          <w:szCs w:val="24"/>
          <w:highlight w:val="none"/>
        </w:rPr>
        <w:t>日</w:t>
      </w:r>
      <w:r>
        <w:rPr>
          <w:rStyle w:val="76"/>
          <w:rFonts w:hint="eastAsia" w:ascii="宋体" w:hAnsi="宋体" w:cs="宋体"/>
          <w:snapToGrid/>
          <w:color w:val="auto"/>
          <w:kern w:val="2"/>
          <w:sz w:val="24"/>
          <w:szCs w:val="24"/>
          <w:highlight w:val="none"/>
          <w:lang w:val="en-US" w:eastAsia="zh-CN"/>
        </w:rPr>
        <w:t>14</w:t>
      </w:r>
      <w:r>
        <w:rPr>
          <w:rStyle w:val="76"/>
          <w:rFonts w:hint="eastAsia" w:ascii="宋体" w:hAnsi="宋体" w:eastAsia="宋体" w:cs="宋体"/>
          <w:snapToGrid/>
          <w:color w:val="auto"/>
          <w:kern w:val="2"/>
          <w:sz w:val="24"/>
          <w:szCs w:val="24"/>
          <w:highlight w:val="none"/>
        </w:rPr>
        <w:t>点</w:t>
      </w:r>
      <w:r>
        <w:rPr>
          <w:rStyle w:val="76"/>
          <w:rFonts w:hint="eastAsia" w:ascii="宋体" w:hAnsi="宋体" w:cs="宋体"/>
          <w:snapToGrid/>
          <w:color w:val="auto"/>
          <w:kern w:val="2"/>
          <w:sz w:val="24"/>
          <w:szCs w:val="24"/>
          <w:highlight w:val="none"/>
          <w:lang w:val="en-US" w:eastAsia="zh-CN"/>
        </w:rPr>
        <w:t>00</w:t>
      </w:r>
      <w:r>
        <w:rPr>
          <w:rStyle w:val="76"/>
          <w:rFonts w:hint="eastAsia" w:ascii="宋体" w:hAnsi="宋体" w:eastAsia="宋体" w:cs="宋体"/>
          <w:snapToGrid/>
          <w:color w:val="auto"/>
          <w:kern w:val="2"/>
          <w:sz w:val="24"/>
          <w:szCs w:val="24"/>
          <w:highlight w:val="none"/>
        </w:rPr>
        <w:t>分</w:t>
      </w:r>
      <w:r>
        <w:rPr>
          <w:rStyle w:val="76"/>
          <w:rFonts w:hint="eastAsia" w:ascii="宋体" w:hAnsi="宋体" w:eastAsia="宋体" w:cs="宋体"/>
          <w:bCs/>
          <w:snapToGrid/>
          <w:color w:val="auto"/>
          <w:kern w:val="2"/>
          <w:sz w:val="24"/>
          <w:szCs w:val="24"/>
          <w:highlight w:val="none"/>
        </w:rPr>
        <w:t>00秒</w:t>
      </w:r>
    </w:p>
    <w:p w14:paraId="0784271B">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开标地点（网址）：</w:t>
      </w:r>
      <w:r>
        <w:rPr>
          <w:rFonts w:hint="eastAsia" w:ascii="宋体" w:hAnsi="宋体" w:cs="宋体"/>
          <w:color w:val="auto"/>
          <w:sz w:val="24"/>
          <w:highlight w:val="none"/>
        </w:rPr>
        <w:t>政采云平台（https://www.zcygov.cn/）</w:t>
      </w:r>
    </w:p>
    <w:p w14:paraId="54B8770C">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五、公告期限 </w:t>
      </w:r>
    </w:p>
    <w:p w14:paraId="4EE0361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自本公告发布之日起5个工作日。</w:t>
      </w:r>
    </w:p>
    <w:p w14:paraId="5C8F6F1C">
      <w:pPr>
        <w:spacing w:line="360" w:lineRule="auto"/>
        <w:rPr>
          <w:rFonts w:ascii="宋体" w:hAnsi="宋体" w:cs="宋体"/>
          <w:b/>
          <w:color w:val="auto"/>
          <w:sz w:val="24"/>
          <w:highlight w:val="none"/>
        </w:rPr>
      </w:pPr>
      <w:r>
        <w:rPr>
          <w:rFonts w:hint="eastAsia" w:ascii="宋体" w:hAnsi="宋体" w:cs="宋体"/>
          <w:b/>
          <w:color w:val="auto"/>
          <w:sz w:val="24"/>
          <w:highlight w:val="none"/>
        </w:rPr>
        <w:t>六、其他补充事宜</w:t>
      </w:r>
    </w:p>
    <w:p w14:paraId="02C1E3D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1.</w:t>
      </w:r>
      <w:r>
        <w:rPr>
          <w:rFonts w:ascii="宋体" w:hAnsi="宋体" w:cs="宋体"/>
          <w:color w:val="auto"/>
          <w:sz w:val="24"/>
          <w:highlight w:val="none"/>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color w:val="auto"/>
          <w:sz w:val="24"/>
          <w:highlight w:val="none"/>
        </w:rPr>
        <w:t>。</w:t>
      </w:r>
    </w:p>
    <w:p w14:paraId="454F1F4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DD0DC5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3E805EF">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4.其他事项：</w:t>
      </w:r>
    </w:p>
    <w:p w14:paraId="5BCA96F9">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（1）需要落实的政府采购政策：包括节约资源、保护环境、支持创新、促进中小企业发展等</w:t>
      </w:r>
      <w:r>
        <w:rPr>
          <w:rFonts w:hint="eastAsia" w:ascii="宋体" w:hAnsi="宋体" w:eastAsia="宋体" w:cs="宋体"/>
          <w:color w:val="auto"/>
          <w:sz w:val="24"/>
          <w:highlight w:val="none"/>
          <w:lang w:eastAsia="zh-CN"/>
        </w:rPr>
        <w:t>，具体</w:t>
      </w:r>
      <w:r>
        <w:rPr>
          <w:rFonts w:hint="eastAsia" w:ascii="宋体" w:hAnsi="宋体" w:eastAsia="宋体" w:cs="宋体"/>
          <w:color w:val="auto"/>
          <w:sz w:val="24"/>
          <w:highlight w:val="none"/>
        </w:rPr>
        <w:t>详见招标文件。</w:t>
      </w:r>
    </w:p>
    <w:p w14:paraId="2C912C85">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）招标文件公告期限与招标公告的公告期限一致。</w:t>
      </w:r>
    </w:p>
    <w:p w14:paraId="24555E42">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单位负责人为同一人或者存在直接控股、管理关系的不同供应商，不得参加同一合同项下的政府采购活动</w:t>
      </w:r>
      <w:r>
        <w:rPr>
          <w:rFonts w:hint="eastAsia" w:ascii="宋体" w:hAnsi="宋体" w:eastAsia="宋体" w:cs="宋体"/>
          <w:color w:val="auto"/>
          <w:sz w:val="24"/>
          <w:highlight w:val="none"/>
          <w:lang w:eastAsia="zh-CN"/>
        </w:rPr>
        <w:t>。</w:t>
      </w:r>
    </w:p>
    <w:p w14:paraId="4DEDECAB">
      <w:pPr>
        <w:spacing w:line="360" w:lineRule="auto"/>
        <w:ind w:firstLine="480" w:firstLineChars="200"/>
      </w:pP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为采购项目提供整体设计、规范编制或者项目管理、监理、检测等服务后不得再参加该采购项目的其他采购活动。</w:t>
      </w:r>
    </w:p>
    <w:p w14:paraId="1EAD3211">
      <w:pPr>
        <w:spacing w:line="360" w:lineRule="auto"/>
        <w:rPr>
          <w:rFonts w:ascii="宋体" w:hAnsi="宋体" w:cs="宋体"/>
          <w:b/>
          <w:color w:val="auto"/>
          <w:sz w:val="24"/>
          <w:highlight w:val="none"/>
        </w:rPr>
      </w:pPr>
      <w:r>
        <w:rPr>
          <w:rFonts w:hint="eastAsia" w:ascii="宋体" w:hAnsi="宋体" w:cs="宋体"/>
          <w:b/>
          <w:color w:val="auto"/>
          <w:sz w:val="24"/>
          <w:highlight w:val="none"/>
        </w:rPr>
        <w:t>七、对本次采购提出询问、质疑、投诉，请按以下方式联系</w:t>
      </w:r>
    </w:p>
    <w:p w14:paraId="00D7CC99">
      <w:pPr>
        <w:spacing w:line="360" w:lineRule="auto"/>
        <w:ind w:firstLine="482" w:firstLineChars="200"/>
        <w:rPr>
          <w:rFonts w:ascii="宋体" w:hAnsi="宋体" w:cs="宋体"/>
          <w:sz w:val="24"/>
        </w:rPr>
      </w:pPr>
      <w:r>
        <w:rPr>
          <w:rFonts w:hint="eastAsia" w:ascii="宋体" w:hAnsi="宋体" w:cs="宋体"/>
          <w:b/>
          <w:bCs/>
          <w:sz w:val="24"/>
        </w:rPr>
        <w:t>1.采购人信息</w:t>
      </w:r>
    </w:p>
    <w:p w14:paraId="503B87DC">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名    称：</w:t>
      </w:r>
      <w:r>
        <w:rPr>
          <w:rFonts w:hint="eastAsia" w:cs="仿宋_GB2312" w:asciiTheme="minorEastAsia" w:hAnsiTheme="minorEastAsia" w:eastAsiaTheme="minorEastAsia"/>
          <w:sz w:val="24"/>
          <w:lang w:eastAsia="zh-CN"/>
        </w:rPr>
        <w:t>杭州市西湖区财政局</w:t>
      </w:r>
    </w:p>
    <w:p w14:paraId="27BD7790">
      <w:pPr>
        <w:spacing w:line="360" w:lineRule="auto"/>
        <w:ind w:firstLine="480" w:firstLineChars="200"/>
        <w:rPr>
          <w:rFonts w:ascii="宋体" w:hAnsi="宋体" w:cs="宋体"/>
          <w:sz w:val="24"/>
        </w:rPr>
      </w:pPr>
      <w:r>
        <w:rPr>
          <w:rFonts w:hint="eastAsia" w:ascii="宋体" w:hAnsi="宋体" w:cs="宋体"/>
          <w:sz w:val="24"/>
        </w:rPr>
        <w:t>地    址：</w:t>
      </w:r>
      <w:r>
        <w:rPr>
          <w:rFonts w:hint="eastAsia" w:cs="仿宋_GB2312" w:asciiTheme="minorEastAsia" w:hAnsiTheme="minorEastAsia" w:eastAsiaTheme="minorEastAsia"/>
          <w:sz w:val="24"/>
          <w:lang w:eastAsia="zh-CN"/>
        </w:rPr>
        <w:t>杭州市西湖区文三西路18号</w:t>
      </w:r>
      <w:r>
        <w:rPr>
          <w:rFonts w:hint="eastAsia" w:ascii="宋体" w:hAnsi="宋体" w:cs="宋体"/>
          <w:sz w:val="24"/>
        </w:rPr>
        <w:t xml:space="preserve">       </w:t>
      </w:r>
    </w:p>
    <w:p w14:paraId="69E88B7E">
      <w:pPr>
        <w:spacing w:line="360" w:lineRule="auto"/>
        <w:ind w:firstLine="480" w:firstLineChars="200"/>
        <w:rPr>
          <w:rFonts w:ascii="宋体" w:hAnsi="宋体" w:cs="宋体"/>
          <w:sz w:val="24"/>
          <w:highlight w:val="none"/>
        </w:rPr>
      </w:pPr>
      <w:r>
        <w:rPr>
          <w:rFonts w:hint="eastAsia" w:ascii="宋体" w:hAnsi="宋体" w:cs="宋体"/>
          <w:sz w:val="24"/>
        </w:rPr>
        <w:t>项目联系人（询问）：</w:t>
      </w:r>
      <w:r>
        <w:rPr>
          <w:rFonts w:hint="eastAsia" w:ascii="宋体" w:hAnsi="宋体" w:cs="宋体"/>
          <w:sz w:val="24"/>
          <w:highlight w:val="none"/>
        </w:rPr>
        <w:t>陈</w:t>
      </w:r>
      <w:r>
        <w:rPr>
          <w:rFonts w:hint="eastAsia" w:ascii="宋体" w:hAnsi="宋体" w:cs="宋体"/>
          <w:sz w:val="24"/>
          <w:highlight w:val="none"/>
          <w:lang w:val="en-US" w:eastAsia="zh-CN"/>
        </w:rPr>
        <w:t>老师</w:t>
      </w:r>
      <w:r>
        <w:rPr>
          <w:rFonts w:hint="eastAsia" w:ascii="宋体" w:hAnsi="宋体" w:cs="宋体"/>
          <w:sz w:val="24"/>
          <w:highlight w:val="none"/>
        </w:rPr>
        <w:t xml:space="preserve">  </w:t>
      </w:r>
    </w:p>
    <w:p w14:paraId="35542335">
      <w:pPr>
        <w:spacing w:line="360" w:lineRule="auto"/>
        <w:ind w:firstLine="480" w:firstLineChars="200"/>
        <w:rPr>
          <w:rFonts w:hint="eastAsia" w:ascii="宋体" w:hAnsi="宋体" w:eastAsia="宋体" w:cs="宋体"/>
          <w:sz w:val="24"/>
        </w:rPr>
      </w:pPr>
      <w:r>
        <w:rPr>
          <w:rFonts w:hint="eastAsia" w:ascii="宋体" w:hAnsi="宋体" w:eastAsia="宋体" w:cs="宋体"/>
          <w:sz w:val="24"/>
        </w:rPr>
        <w:t xml:space="preserve">项目联系方式（询问）：0571-89511313 </w:t>
      </w:r>
    </w:p>
    <w:p w14:paraId="13D5F8D7">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质疑联系人：</w:t>
      </w:r>
      <w:r>
        <w:rPr>
          <w:rFonts w:hint="eastAsia" w:ascii="宋体" w:hAnsi="宋体" w:eastAsia="宋体" w:cs="宋体"/>
          <w:sz w:val="24"/>
          <w:lang w:val="en-US" w:eastAsia="zh-CN"/>
        </w:rPr>
        <w:t xml:space="preserve"> 夏老师   </w:t>
      </w:r>
      <w:r>
        <w:rPr>
          <w:rFonts w:hint="eastAsia" w:ascii="宋体" w:hAnsi="宋体" w:eastAsia="宋体" w:cs="宋体"/>
          <w:sz w:val="24"/>
        </w:rPr>
        <w:t xml:space="preserve"> </w:t>
      </w:r>
    </w:p>
    <w:p w14:paraId="140735B7">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质疑联系方式：</w:t>
      </w:r>
      <w:r>
        <w:rPr>
          <w:rFonts w:hint="eastAsia" w:ascii="宋体" w:hAnsi="宋体" w:eastAsia="宋体" w:cs="宋体"/>
          <w:sz w:val="24"/>
          <w:lang w:val="en-US" w:eastAsia="zh-CN"/>
        </w:rPr>
        <w:t xml:space="preserve">0571-89511270  </w:t>
      </w:r>
      <w:r>
        <w:rPr>
          <w:rFonts w:hint="eastAsia" w:ascii="宋体" w:hAnsi="宋体" w:eastAsia="宋体" w:cs="宋体"/>
          <w:sz w:val="24"/>
        </w:rPr>
        <w:t xml:space="preserve"> </w:t>
      </w:r>
    </w:p>
    <w:p w14:paraId="101CE8CA">
      <w:pPr>
        <w:spacing w:line="360" w:lineRule="auto"/>
        <w:ind w:firstLine="482" w:firstLineChars="200"/>
        <w:rPr>
          <w:rFonts w:ascii="宋体" w:hAnsi="宋体" w:cs="宋体"/>
          <w:sz w:val="24"/>
        </w:rPr>
      </w:pPr>
      <w:r>
        <w:rPr>
          <w:rFonts w:hint="eastAsia" w:ascii="宋体" w:hAnsi="宋体" w:cs="宋体"/>
          <w:b/>
          <w:bCs/>
          <w:sz w:val="24"/>
        </w:rPr>
        <w:t xml:space="preserve">2.采购代理机构信息 </w:t>
      </w:r>
      <w:r>
        <w:rPr>
          <w:rFonts w:hint="eastAsia" w:ascii="宋体" w:hAnsi="宋体" w:cs="宋体"/>
          <w:sz w:val="24"/>
        </w:rPr>
        <w:t xml:space="preserve">           </w:t>
      </w:r>
    </w:p>
    <w:p w14:paraId="4B1F97FA">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浙江信镧建设工程咨询有限公司</w:t>
      </w:r>
    </w:p>
    <w:p w14:paraId="744BA34E">
      <w:pPr>
        <w:spacing w:line="360" w:lineRule="auto"/>
        <w:ind w:firstLine="480" w:firstLineChars="200"/>
        <w:rPr>
          <w:rFonts w:ascii="宋体" w:hAnsi="宋体" w:cs="宋体"/>
          <w:sz w:val="24"/>
        </w:rPr>
      </w:pPr>
      <w:r>
        <w:rPr>
          <w:rFonts w:hint="eastAsia" w:ascii="宋体" w:hAnsi="宋体" w:cs="宋体"/>
          <w:sz w:val="24"/>
        </w:rPr>
        <w:t>地    址：浙江省杭州市西湖区文二路391号西湖国际科技大厦B2楼1107室  </w:t>
      </w:r>
    </w:p>
    <w:p w14:paraId="639098CB">
      <w:pPr>
        <w:spacing w:line="360" w:lineRule="auto"/>
        <w:ind w:firstLine="480" w:firstLineChars="200"/>
        <w:rPr>
          <w:rFonts w:ascii="宋体" w:hAnsi="宋体" w:cs="宋体"/>
          <w:sz w:val="24"/>
        </w:rPr>
      </w:pPr>
      <w:r>
        <w:rPr>
          <w:rFonts w:hint="eastAsia" w:ascii="宋体" w:hAnsi="宋体" w:cs="宋体"/>
          <w:sz w:val="24"/>
        </w:rPr>
        <w:t xml:space="preserve">传    真：0571-85024997               </w:t>
      </w:r>
    </w:p>
    <w:p w14:paraId="7B192D6C">
      <w:pPr>
        <w:spacing w:line="360" w:lineRule="auto"/>
        <w:ind w:firstLine="480" w:firstLineChars="200"/>
        <w:rPr>
          <w:rFonts w:ascii="宋体" w:hAnsi="宋体" w:cs="宋体"/>
          <w:sz w:val="24"/>
        </w:rPr>
      </w:pPr>
      <w:r>
        <w:rPr>
          <w:rFonts w:hint="eastAsia" w:ascii="宋体" w:hAnsi="宋体" w:cs="宋体"/>
          <w:sz w:val="24"/>
        </w:rPr>
        <w:t>项目联系人（询问）：</w:t>
      </w:r>
      <w:r>
        <w:rPr>
          <w:rFonts w:hint="eastAsia" w:ascii="宋体" w:hAnsi="宋体" w:cs="宋体"/>
          <w:sz w:val="24"/>
          <w:lang w:val="en-US" w:eastAsia="zh-CN"/>
        </w:rPr>
        <w:t>曹威、赵峰</w:t>
      </w:r>
      <w:r>
        <w:rPr>
          <w:rFonts w:hint="eastAsia" w:ascii="宋体" w:hAnsi="宋体" w:cs="宋体"/>
          <w:sz w:val="24"/>
        </w:rPr>
        <w:t xml:space="preserve">          </w:t>
      </w:r>
    </w:p>
    <w:p w14:paraId="0D1F004B">
      <w:pPr>
        <w:spacing w:line="360" w:lineRule="auto"/>
        <w:ind w:firstLine="480" w:firstLineChars="200"/>
        <w:rPr>
          <w:rFonts w:ascii="宋体" w:hAnsi="宋体" w:cs="宋体"/>
          <w:sz w:val="24"/>
        </w:rPr>
      </w:pPr>
      <w:r>
        <w:rPr>
          <w:rFonts w:hint="eastAsia" w:ascii="宋体" w:hAnsi="宋体" w:cs="宋体"/>
          <w:sz w:val="24"/>
        </w:rPr>
        <w:t>项目联系方式（询问）：0571-87967630 </w:t>
      </w:r>
    </w:p>
    <w:p w14:paraId="7177FF2B">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质疑联系人：</w:t>
      </w:r>
      <w:r>
        <w:rPr>
          <w:rFonts w:hint="eastAsia" w:ascii="宋体" w:hAnsi="宋体" w:eastAsia="宋体" w:cs="宋体"/>
          <w:sz w:val="24"/>
          <w:lang w:eastAsia="zh-CN"/>
        </w:rPr>
        <w:t>葛梅兰</w:t>
      </w:r>
      <w:r>
        <w:rPr>
          <w:rFonts w:hint="eastAsia" w:ascii="宋体" w:hAnsi="宋体" w:eastAsia="宋体" w:cs="宋体"/>
          <w:sz w:val="24"/>
        </w:rPr>
        <w:t xml:space="preserve">              </w:t>
      </w:r>
    </w:p>
    <w:p w14:paraId="15292286">
      <w:pPr>
        <w:spacing w:line="360" w:lineRule="auto"/>
        <w:ind w:firstLine="480" w:firstLineChars="200"/>
        <w:rPr>
          <w:rFonts w:hint="eastAsia" w:ascii="宋体" w:hAnsi="宋体" w:eastAsia="宋体" w:cs="宋体"/>
          <w:sz w:val="24"/>
        </w:rPr>
      </w:pPr>
      <w:r>
        <w:rPr>
          <w:rFonts w:hint="eastAsia" w:ascii="宋体" w:hAnsi="宋体" w:eastAsia="宋体" w:cs="宋体"/>
          <w:sz w:val="24"/>
        </w:rPr>
        <w:t>质疑联系方式：0571-87967630 </w:t>
      </w:r>
    </w:p>
    <w:p w14:paraId="1C296379">
      <w:pPr>
        <w:spacing w:line="360" w:lineRule="auto"/>
        <w:ind w:firstLine="480"/>
        <w:rPr>
          <w:rFonts w:hint="eastAsia" w:ascii="宋体" w:hAnsi="宋体" w:cs="宋体"/>
          <w:color w:val="auto"/>
          <w:sz w:val="24"/>
          <w:highlight w:val="none"/>
          <w:lang w:val="en-US" w:eastAsia="zh-CN"/>
        </w:rPr>
      </w:pPr>
      <w:r>
        <w:rPr>
          <w:rFonts w:hint="eastAsia" w:ascii="宋体" w:hAnsi="宋体" w:cs="宋体"/>
          <w:b/>
          <w:bCs/>
          <w:sz w:val="24"/>
        </w:rPr>
        <w:t>3.该项目由采购人处理采购争议。质疑环节，采购人委托采购代理机构处理的，可由采购代理机构答复。对质疑答复不满意的，向采购人内部设置的采购监督机构反映。</w:t>
      </w:r>
    </w:p>
    <w:p w14:paraId="0BA22B16">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若对项目采购电子交易系统操作有疑问，可登录政采云（https://www.zcygov.cn/），点击右侧咨询小采，获取采小蜜智能服务管家帮助，或拨打政采云服务热线95763获取热线服务帮助。</w:t>
      </w:r>
    </w:p>
    <w:p w14:paraId="7DCC92E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579A3491">
      <w:pPr>
        <w:widowControl/>
        <w:adjustRightInd/>
        <w:jc w:val="left"/>
        <w:rPr>
          <w:rFonts w:ascii="宋体" w:hAnsi="宋体" w:cs="宋体"/>
          <w:b/>
          <w:color w:val="auto"/>
          <w:sz w:val="36"/>
          <w:szCs w:val="20"/>
          <w:highlight w:val="none"/>
        </w:rPr>
      </w:pPr>
      <w:r>
        <w:rPr>
          <w:rFonts w:ascii="宋体" w:hAnsi="宋体" w:cs="宋体"/>
          <w:b/>
          <w:color w:val="auto"/>
          <w:sz w:val="36"/>
          <w:szCs w:val="20"/>
          <w:highlight w:val="none"/>
        </w:rPr>
        <w:br w:type="page"/>
      </w:r>
    </w:p>
    <w:p w14:paraId="4753FAE8">
      <w:pPr>
        <w:adjustRightInd/>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第二部分</w:t>
      </w:r>
      <w:bookmarkEnd w:id="8"/>
      <w:r>
        <w:rPr>
          <w:rFonts w:hint="eastAsia" w:ascii="宋体" w:hAnsi="宋体" w:cs="宋体"/>
          <w:b/>
          <w:color w:val="auto"/>
          <w:sz w:val="36"/>
          <w:szCs w:val="20"/>
          <w:highlight w:val="none"/>
        </w:rPr>
        <w:t xml:space="preserve"> 投标人须知</w:t>
      </w:r>
      <w:bookmarkEnd w:id="9"/>
    </w:p>
    <w:p w14:paraId="68601067">
      <w:pPr>
        <w:adjustRightInd/>
        <w:spacing w:line="360" w:lineRule="auto"/>
        <w:ind w:firstLine="3845" w:firstLineChars="1197"/>
        <w:outlineLvl w:val="0"/>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5129D1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7CF1AE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BF79A5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23DC294">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70CFFE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C299B4A">
            <w:pPr>
              <w:snapToGrid w:val="0"/>
              <w:spacing w:line="360" w:lineRule="auto"/>
              <w:jc w:val="center"/>
              <w:rPr>
                <w:rFonts w:ascii="宋体" w:hAnsi="宋体" w:cs="宋体"/>
                <w:color w:val="auto"/>
                <w:sz w:val="24"/>
                <w:highlight w:val="none"/>
              </w:rPr>
            </w:pPr>
          </w:p>
          <w:p w14:paraId="6308F35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04E4AB13">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14:paraId="5EEA470E">
            <w:pPr>
              <w:spacing w:line="360" w:lineRule="auto"/>
              <w:rPr>
                <w:rFonts w:ascii="宋体" w:hAnsi="宋体" w:cs="宋体"/>
                <w:color w:val="auto"/>
                <w:sz w:val="24"/>
                <w:highlight w:val="none"/>
              </w:rPr>
            </w:pPr>
            <w:r>
              <w:rPr>
                <w:rFonts w:hint="eastAsia" w:ascii="宋体" w:hAnsi="宋体" w:cs="宋体"/>
                <w:color w:val="auto"/>
                <w:sz w:val="24"/>
                <w:highlight w:val="none"/>
              </w:rPr>
              <w:t>服务类。</w:t>
            </w:r>
          </w:p>
        </w:tc>
      </w:tr>
      <w:tr w14:paraId="71E22F3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69A206F5">
            <w:pPr>
              <w:snapToGrid w:val="0"/>
              <w:spacing w:line="360" w:lineRule="auto"/>
              <w:jc w:val="center"/>
              <w:rPr>
                <w:rFonts w:ascii="宋体" w:hAnsi="宋体" w:cs="宋体"/>
                <w:color w:val="auto"/>
                <w:sz w:val="24"/>
                <w:highlight w:val="none"/>
              </w:rPr>
            </w:pPr>
          </w:p>
          <w:p w14:paraId="241F26C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56AA107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29380E4B">
            <w:pPr>
              <w:snapToGrid w:val="0"/>
              <w:spacing w:line="360" w:lineRule="auto"/>
              <w:rPr>
                <w:rFonts w:hint="eastAsia"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西湖区财政局非税和票据管理一体化系统运维项目  </w:t>
            </w:r>
            <w:r>
              <w:rPr>
                <w:rFonts w:hint="eastAsia" w:ascii="宋体" w:hAnsi="宋体" w:cs="宋体"/>
                <w:color w:val="auto"/>
                <w:kern w:val="0"/>
                <w:sz w:val="24"/>
                <w:highlight w:val="none"/>
              </w:rPr>
              <w:t>，</w:t>
            </w:r>
            <w:r>
              <w:rPr>
                <w:rFonts w:hint="eastAsia" w:ascii="宋体" w:hAnsi="宋体" w:cs="宋体"/>
                <w:color w:val="auto"/>
                <w:kern w:val="0"/>
                <w:sz w:val="24"/>
                <w:highlight w:val="none"/>
                <w:lang w:val="en-US" w:eastAsia="zh-CN"/>
              </w:rPr>
              <w:t>所</w:t>
            </w:r>
            <w:r>
              <w:rPr>
                <w:rFonts w:hint="eastAsia" w:ascii="宋体" w:hAnsi="宋体" w:cs="宋体"/>
                <w:color w:val="auto"/>
                <w:kern w:val="0"/>
                <w:sz w:val="24"/>
                <w:highlight w:val="none"/>
                <w:u w:val="none"/>
                <w:lang w:val="en-US" w:eastAsia="zh-CN"/>
              </w:rPr>
              <w:t>属</w:t>
            </w:r>
            <w:r>
              <w:rPr>
                <w:rFonts w:hint="eastAsia" w:ascii="宋体" w:hAnsi="宋体" w:cs="宋体"/>
                <w:color w:val="auto"/>
                <w:kern w:val="0"/>
                <w:sz w:val="24"/>
                <w:highlight w:val="none"/>
                <w:u w:val="none"/>
              </w:rPr>
              <w:t>行业</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single"/>
              </w:rPr>
              <w:t>软件和信息技术服务业</w:t>
            </w:r>
            <w:r>
              <w:rPr>
                <w:rFonts w:hint="eastAsia" w:ascii="宋体" w:hAnsi="宋体" w:cs="宋体"/>
                <w:color w:val="auto"/>
                <w:kern w:val="0"/>
                <w:sz w:val="24"/>
                <w:highlight w:val="none"/>
              </w:rPr>
              <w:t>；</w:t>
            </w:r>
          </w:p>
          <w:p w14:paraId="27019300">
            <w:pPr>
              <w:snapToGrid w:val="0"/>
              <w:spacing w:line="360" w:lineRule="auto"/>
              <w:ind w:firstLine="480" w:firstLineChars="20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根据《关于印发中小企业划型标准规定的通知》（工信部联企业〔2011〕300号）第四条规定：</w:t>
            </w:r>
            <w:r>
              <w:rPr>
                <w:rFonts w:hint="eastAsia" w:ascii="宋体" w:hAnsi="宋体" w:cs="宋体"/>
                <w:color w:val="auto"/>
                <w:kern w:val="0"/>
                <w:sz w:val="24"/>
                <w:highlight w:val="none"/>
                <w:u w:val="single"/>
              </w:rPr>
              <w:t>软件和信息技术服务业</w:t>
            </w:r>
            <w:r>
              <w:rPr>
                <w:rFonts w:hint="eastAsia" w:ascii="宋体" w:hAnsi="宋体" w:eastAsia="宋体" w:cs="宋体"/>
                <w:b w:val="0"/>
                <w:bCs w:val="0"/>
                <w:color w:val="auto"/>
                <w:kern w:val="0"/>
                <w:sz w:val="24"/>
                <w:szCs w:val="24"/>
                <w:highlight w:val="none"/>
                <w:lang w:val="en-US" w:eastAsia="zh-CN" w:bidi="ar-SA"/>
              </w:rPr>
              <w:t>。</w:t>
            </w:r>
            <w:r>
              <w:rPr>
                <w:rFonts w:hint="eastAsia" w:ascii="宋体" w:hAnsi="宋体" w:eastAsia="宋体" w:cs="宋体"/>
                <w:b w:val="0"/>
                <w:bCs w:val="0"/>
                <w:color w:val="auto"/>
                <w:kern w:val="2"/>
                <w:sz w:val="24"/>
                <w:szCs w:val="24"/>
                <w:u w:val="none"/>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tc>
      </w:tr>
      <w:tr w14:paraId="021C6E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54054B7">
            <w:pPr>
              <w:snapToGrid w:val="0"/>
              <w:spacing w:line="360" w:lineRule="auto"/>
              <w:jc w:val="center"/>
              <w:rPr>
                <w:rFonts w:ascii="宋体" w:hAnsi="宋体" w:cs="宋体"/>
                <w:color w:val="auto"/>
                <w:sz w:val="24"/>
                <w:highlight w:val="none"/>
              </w:rPr>
            </w:pPr>
          </w:p>
          <w:p w14:paraId="7E72046F">
            <w:pPr>
              <w:snapToGrid w:val="0"/>
              <w:spacing w:line="360" w:lineRule="auto"/>
              <w:jc w:val="center"/>
              <w:rPr>
                <w:rFonts w:ascii="宋体" w:hAnsi="宋体" w:cs="宋体"/>
                <w:color w:val="auto"/>
                <w:sz w:val="24"/>
                <w:highlight w:val="none"/>
              </w:rPr>
            </w:pPr>
          </w:p>
          <w:p w14:paraId="73FFBC6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586A7D26">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D6E171">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2925301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59CFD0C2">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450696967"/>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5E622EF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7D9677A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079E4312">
            <w:pPr>
              <w:snapToGrid w:val="0"/>
              <w:spacing w:line="360" w:lineRule="auto"/>
              <w:jc w:val="center"/>
              <w:rPr>
                <w:rFonts w:ascii="宋体" w:hAnsi="宋体" w:cs="宋体"/>
                <w:b/>
                <w:color w:val="auto"/>
                <w:sz w:val="24"/>
                <w:highlight w:val="none"/>
              </w:rPr>
            </w:pPr>
            <w:r>
              <w:rPr>
                <w:rFonts w:hint="eastAsia" w:ascii="宋体" w:hAnsi="宋体" w:eastAsia="宋体" w:cs="宋体"/>
                <w:b/>
                <w:color w:val="auto"/>
                <w:sz w:val="24"/>
                <w:highlight w:val="none"/>
              </w:rPr>
              <w:t>是否允许转包与分包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5326CFB3">
            <w:pPr>
              <w:spacing w:line="360" w:lineRule="auto"/>
              <w:jc w:val="left"/>
              <w:rPr>
                <w:rFonts w:hint="eastAsia" w:ascii="宋体" w:hAnsi="宋体" w:cs="宋体"/>
                <w:color w:val="auto"/>
                <w:kern w:val="0"/>
                <w:sz w:val="24"/>
                <w:lang w:eastAsia="zh-CN"/>
              </w:rPr>
            </w:pPr>
            <w:r>
              <w:rPr>
                <w:rFonts w:hint="eastAsia" w:ascii="宋体" w:hAnsi="宋体" w:cs="宋体"/>
                <w:color w:val="auto"/>
                <w:kern w:val="0"/>
                <w:sz w:val="24"/>
                <w:lang w:eastAsia="zh-CN"/>
              </w:rPr>
              <w:t>转包：本项目不允许转包</w:t>
            </w:r>
          </w:p>
          <w:p w14:paraId="51640A6E">
            <w:pPr>
              <w:spacing w:line="360" w:lineRule="auto"/>
              <w:jc w:val="left"/>
              <w:rPr>
                <w:rFonts w:hint="eastAsia" w:ascii="宋体" w:hAnsi="宋体" w:eastAsia="宋体" w:cs="宋体"/>
                <w:b/>
                <w:bCs/>
                <w:color w:val="auto"/>
                <w:sz w:val="24"/>
                <w:lang w:eastAsia="zh-CN"/>
              </w:rPr>
            </w:pPr>
            <w:r>
              <w:rPr>
                <w:rFonts w:hint="eastAsia" w:ascii="宋体" w:hAnsi="宋体" w:cs="宋体"/>
                <w:color w:val="auto"/>
                <w:kern w:val="0"/>
                <w:sz w:val="24"/>
                <w:lang w:eastAsia="zh-CN"/>
              </w:rPr>
              <w:t>分包：</w:t>
            </w:r>
            <w:sdt>
              <w:sdtPr>
                <w:rPr>
                  <w:rFonts w:hint="eastAsia" w:ascii="宋体" w:hAnsi="宋体" w:cs="宋体"/>
                  <w:b/>
                  <w:bCs/>
                  <w:color w:val="auto"/>
                  <w:kern w:val="0"/>
                  <w:sz w:val="24"/>
                </w:rPr>
                <w:id w:val="147452816"/>
                <w14:checkbox>
                  <w14:checked w14:val="1"/>
                  <w14:checkedState w14:val="00FE" w14:font="Wingdings"/>
                  <w14:uncheckedState w14:val="2610" w14:font="MS Gothic"/>
                </w14:checkbox>
              </w:sdtPr>
              <w:sdtEndPr>
                <w:rPr>
                  <w:rFonts w:hint="eastAsia" w:ascii="宋体" w:hAnsi="宋体" w:cs="宋体"/>
                  <w:b/>
                  <w:bCs/>
                  <w:color w:val="auto"/>
                  <w:kern w:val="0"/>
                  <w:sz w:val="24"/>
                </w:rPr>
              </w:sdtEndPr>
              <w:sdtContent>
                <w:r>
                  <w:rPr>
                    <w:rFonts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同意将非主体、非关键性的工作分包。</w:t>
            </w:r>
            <w:r>
              <w:rPr>
                <w:rFonts w:hint="eastAsia" w:ascii="宋体" w:hAnsi="宋体" w:eastAsia="宋体" w:cs="宋体"/>
                <w:color w:val="auto"/>
                <w:sz w:val="24"/>
                <w:lang w:eastAsia="zh-CN"/>
              </w:rPr>
              <w:t>投标人</w:t>
            </w:r>
            <w:r>
              <w:rPr>
                <w:rFonts w:hint="eastAsia" w:ascii="宋体" w:hAnsi="宋体" w:eastAsia="宋体" w:cs="宋体"/>
                <w:color w:val="auto"/>
                <w:sz w:val="24"/>
              </w:rPr>
              <w:t>拟将本项目</w:t>
            </w:r>
            <w:r>
              <w:rPr>
                <w:rFonts w:hint="eastAsia" w:ascii="宋体" w:hAnsi="宋体" w:cs="宋体"/>
                <w:color w:val="auto"/>
                <w:sz w:val="24"/>
              </w:rPr>
              <w:t>非主体、非关键性的工作</w:t>
            </w:r>
            <w:r>
              <w:rPr>
                <w:rFonts w:hint="eastAsia" w:ascii="宋体" w:hAnsi="宋体" w:eastAsia="宋体" w:cs="宋体"/>
                <w:color w:val="auto"/>
                <w:sz w:val="24"/>
              </w:rPr>
              <w:t>进行分包的，应在投标文件中提供分包意向协议。</w:t>
            </w:r>
            <w:r>
              <w:rPr>
                <w:rFonts w:hint="eastAsia" w:ascii="宋体" w:hAnsi="宋体" w:cs="宋体"/>
                <w:color w:val="auto"/>
                <w:sz w:val="24"/>
                <w:lang w:eastAsia="zh-CN"/>
              </w:rPr>
              <w:t>（</w:t>
            </w:r>
            <w:r>
              <w:rPr>
                <w:rFonts w:hint="eastAsia" w:ascii="宋体" w:hAnsi="宋体" w:cs="宋体"/>
                <w:color w:val="auto"/>
                <w:sz w:val="24"/>
              </w:rPr>
              <w:t>依据政府采购促进中小企业发展管理办法规定享受扶持政策获得政府采购合同的，小微企业不得将合同分包给大中型企业，中型企业不得将合同分包给大型企业</w:t>
            </w:r>
            <w:r>
              <w:rPr>
                <w:rFonts w:hint="eastAsia" w:ascii="宋体" w:hAnsi="宋体" w:cs="宋体"/>
                <w:color w:val="auto"/>
                <w:sz w:val="24"/>
                <w:lang w:eastAsia="zh-CN"/>
              </w:rPr>
              <w:t>。）</w:t>
            </w:r>
          </w:p>
          <w:p w14:paraId="4381AAD7">
            <w:pPr>
              <w:spacing w:line="360" w:lineRule="auto"/>
              <w:jc w:val="left"/>
              <w:rPr>
                <w:rFonts w:ascii="宋体" w:hAnsi="宋体" w:cs="宋体"/>
                <w:color w:val="auto"/>
                <w:sz w:val="24"/>
                <w:highlight w:val="none"/>
              </w:rPr>
            </w:pPr>
            <w:r>
              <w:rPr>
                <w:rFonts w:hint="eastAsia" w:ascii="宋体" w:hAnsi="宋体" w:cs="宋体"/>
                <w:color w:val="auto"/>
                <w:kern w:val="0"/>
                <w:sz w:val="24"/>
                <w:lang w:val="en-US" w:eastAsia="zh-CN"/>
              </w:rPr>
              <w:t xml:space="preserve">     </w:t>
            </w:r>
            <w:sdt>
              <w:sdtPr>
                <w:rPr>
                  <w:rFonts w:hint="eastAsia" w:ascii="宋体" w:hAnsi="宋体" w:cs="宋体"/>
                  <w:b/>
                  <w:bCs/>
                  <w:color w:val="auto"/>
                  <w:kern w:val="0"/>
                  <w:sz w:val="24"/>
                </w:rPr>
                <w:id w:val="147481697"/>
                <w14:checkbox>
                  <w14:checked w14:val="0"/>
                  <w14:checkedState w14:val="00FE" w14:font="Wingdings"/>
                  <w14:uncheckedState w14:val="2610" w14:font="MS Gothic"/>
                </w14:checkbox>
              </w:sdtPr>
              <w:sdtEndPr>
                <w:rPr>
                  <w:rFonts w:hint="eastAsia" w:ascii="宋体" w:hAnsi="宋体" w:cs="宋体"/>
                  <w:b/>
                  <w:bCs/>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lang w:val="en-US" w:eastAsia="zh-CN"/>
              </w:rPr>
              <w:t xml:space="preserve"> </w:t>
            </w:r>
            <w:r>
              <w:rPr>
                <w:rFonts w:hint="eastAsia" w:ascii="宋体" w:hAnsi="宋体" w:cs="宋体"/>
                <w:color w:val="auto"/>
                <w:kern w:val="0"/>
                <w:sz w:val="24"/>
              </w:rPr>
              <w:t>B</w:t>
            </w:r>
            <w:r>
              <w:rPr>
                <w:rFonts w:hint="eastAsia" w:ascii="宋体" w:hAnsi="宋体" w:cs="宋体"/>
                <w:color w:val="auto"/>
                <w:sz w:val="24"/>
              </w:rPr>
              <w:t>不同意分包。</w:t>
            </w:r>
          </w:p>
        </w:tc>
      </w:tr>
      <w:tr w14:paraId="1F94EE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E3B3BF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2F59C2C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607723BC">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186549752"/>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6C03CD1E">
            <w:pPr>
              <w:spacing w:line="360" w:lineRule="auto"/>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889990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szCs w:val="20"/>
                <w:highlight w:val="none"/>
              </w:rPr>
              <w:t>。</w:t>
            </w:r>
          </w:p>
          <w:p w14:paraId="418E5266">
            <w:pPr>
              <w:pStyle w:val="79"/>
              <w:ind w:firstLine="0" w:firstLineChars="0"/>
              <w:rPr>
                <w:color w:val="auto"/>
                <w:highlight w:val="none"/>
              </w:rPr>
            </w:pPr>
            <w:r>
              <w:rPr>
                <w:rFonts w:hint="eastAsia" w:ascii="宋体" w:hAnsi="宋体" w:eastAsia="宋体" w:cs="宋体"/>
                <w:color w:val="auto"/>
                <w:kern w:val="0"/>
                <w:sz w:val="24"/>
                <w:szCs w:val="24"/>
                <w:highlight w:val="none"/>
                <w:lang w:val="en-US" w:eastAsia="zh-CN" w:bidi="ar-SA"/>
              </w:rPr>
              <w:t>☐C不统一组织。</w:t>
            </w:r>
          </w:p>
        </w:tc>
      </w:tr>
      <w:tr w14:paraId="475635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925828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34F96D8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29A19C74">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8628233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78AD61E6">
            <w:pPr>
              <w:spacing w:line="360" w:lineRule="auto"/>
              <w:rPr>
                <w:rFonts w:hint="eastAsia" w:ascii="宋体" w:hAnsi="宋体" w:eastAsia="宋体" w:cs="宋体"/>
                <w:b/>
                <w:color w:val="auto"/>
                <w:sz w:val="24"/>
                <w:highlight w:val="none"/>
                <w:lang w:eastAsia="zh-CN"/>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rPr>
              <w:t>B要求提供</w:t>
            </w:r>
            <w:r>
              <w:rPr>
                <w:rFonts w:hint="eastAsia" w:ascii="宋体" w:hAnsi="宋体" w:cs="宋体"/>
                <w:color w:val="auto"/>
                <w:kern w:val="0"/>
                <w:sz w:val="24"/>
                <w:highlight w:val="none"/>
                <w:lang w:eastAsia="zh-CN"/>
              </w:rPr>
              <w:t>。</w:t>
            </w:r>
          </w:p>
        </w:tc>
      </w:tr>
      <w:tr w14:paraId="6B10D7F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8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2C2B9F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4CE53DDF">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150BEE83">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91410713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552D1C2A">
            <w:pPr>
              <w:spacing w:line="360" w:lineRule="auto"/>
              <w:rPr>
                <w:rFonts w:ascii="宋体" w:hAnsi="宋体" w:cs="宋体"/>
                <w:b/>
                <w:color w:val="auto"/>
                <w:kern w:val="0"/>
                <w:sz w:val="24"/>
                <w:highlight w:val="none"/>
                <w:lang w:val="zh-CN"/>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tc>
      </w:tr>
      <w:tr w14:paraId="7401FD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0B401F15">
            <w:pPr>
              <w:snapToGrid w:val="0"/>
              <w:spacing w:line="360" w:lineRule="auto"/>
              <w:jc w:val="center"/>
              <w:rPr>
                <w:rFonts w:ascii="宋体" w:hAnsi="宋体" w:cs="宋体"/>
                <w:color w:val="auto"/>
                <w:sz w:val="24"/>
                <w:highlight w:val="none"/>
              </w:rPr>
            </w:pPr>
          </w:p>
          <w:p w14:paraId="6D928564">
            <w:pPr>
              <w:snapToGrid w:val="0"/>
              <w:spacing w:line="360" w:lineRule="auto"/>
              <w:jc w:val="center"/>
              <w:rPr>
                <w:rFonts w:ascii="宋体" w:hAnsi="宋体" w:cs="宋体"/>
                <w:color w:val="auto"/>
                <w:sz w:val="24"/>
                <w:highlight w:val="none"/>
              </w:rPr>
            </w:pPr>
          </w:p>
          <w:p w14:paraId="40B1E496">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1843" w:type="dxa"/>
            <w:vMerge w:val="restart"/>
            <w:tcBorders>
              <w:top w:val="single" w:color="000000" w:sz="8" w:space="0"/>
              <w:left w:val="single" w:color="auto" w:sz="4" w:space="0"/>
              <w:right w:val="single" w:color="000000" w:sz="8" w:space="0"/>
            </w:tcBorders>
            <w:vAlign w:val="center"/>
          </w:tcPr>
          <w:p w14:paraId="4DDDB98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31715BE8">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（1）资格证明文件：见招标文件第二部分11.1。</w:t>
            </w:r>
          </w:p>
          <w:p w14:paraId="64058F87">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投标人未提供有效的资格证明文件的，视为投标人不具备招标文件中规定的资格要求，投标无效。</w:t>
            </w:r>
          </w:p>
        </w:tc>
      </w:tr>
      <w:tr w14:paraId="0CBE65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C7A07D6">
            <w:pPr>
              <w:snapToGrid w:val="0"/>
              <w:spacing w:line="360" w:lineRule="auto"/>
              <w:jc w:val="center"/>
              <w:rPr>
                <w:rFonts w:ascii="宋体" w:hAnsi="宋体" w:cs="宋体"/>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14:paraId="4590D7B1">
            <w:pPr>
              <w:snapToGrid w:val="0"/>
              <w:spacing w:line="360" w:lineRule="auto"/>
              <w:jc w:val="center"/>
              <w:rPr>
                <w:rFonts w:ascii="宋体" w:hAnsi="宋体" w:cs="宋体"/>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2A08AE2E">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（2）资信证明文件：根据招标文件第四部分评标标准提供。</w:t>
            </w:r>
          </w:p>
        </w:tc>
      </w:tr>
      <w:tr w14:paraId="442031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F751B8C">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6A8F342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36C9C289">
            <w:pPr>
              <w:spacing w:line="360" w:lineRule="auto"/>
              <w:rPr>
                <w:color w:val="auto"/>
                <w:highlight w:val="none"/>
              </w:rPr>
            </w:pPr>
            <w:r>
              <w:rPr>
                <w:rFonts w:hint="eastAsia" w:ascii="宋体" w:hAnsi="宋体" w:eastAsia="宋体" w:cs="宋体"/>
                <w:color w:val="auto"/>
                <w:sz w:val="24"/>
                <w:highlight w:val="none"/>
              </w:rPr>
              <w:t>本项目不适用</w:t>
            </w:r>
          </w:p>
        </w:tc>
      </w:tr>
      <w:tr w14:paraId="341A2D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65ED4C9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0038348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6C0E6760">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b/>
                <w:bCs/>
                <w:color w:val="auto"/>
                <w:kern w:val="0"/>
                <w:sz w:val="24"/>
                <w:highlight w:val="none"/>
                <w:lang w:val="zh-CN"/>
              </w:rPr>
              <w:t>投标文件</w:t>
            </w:r>
            <w:r>
              <w:rPr>
                <w:rFonts w:hint="eastAsia" w:ascii="宋体" w:hAnsi="宋体" w:cs="宋体"/>
                <w:b/>
                <w:bCs/>
                <w:color w:val="auto"/>
                <w:sz w:val="24"/>
                <w:highlight w:val="none"/>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color w:val="auto"/>
                <w:kern w:val="0"/>
                <w:sz w:val="24"/>
                <w:highlight w:val="none"/>
                <w:lang w:val="zh-CN"/>
              </w:rPr>
              <w:t>投标文件中价格全部采用人民币报价。招标文件未列明，而投标人认为必需的费用也需列入报价。</w:t>
            </w:r>
            <w:r>
              <w:rPr>
                <w:rFonts w:hint="eastAsia" w:ascii="宋体" w:hAnsi="宋体" w:cs="宋体"/>
                <w:b/>
                <w:color w:val="auto"/>
                <w:kern w:val="0"/>
                <w:sz w:val="24"/>
                <w:highlight w:val="none"/>
                <w:lang w:val="zh-CN"/>
              </w:rPr>
              <w:t>提醒：验收时检测费用由采购人承担，不包含在投标总价中。</w:t>
            </w:r>
          </w:p>
          <w:p w14:paraId="107CE792">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投标报价出现下列情形的，投标无效：</w:t>
            </w:r>
          </w:p>
          <w:p w14:paraId="05A1A0FA">
            <w:pPr>
              <w:snapToGrid w:val="0"/>
              <w:spacing w:line="360" w:lineRule="auto"/>
              <w:ind w:firstLine="482" w:firstLineChars="2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投标文件出现不是唯一的、有选择性投标报价的；</w:t>
            </w:r>
          </w:p>
          <w:p w14:paraId="04968A37">
            <w:pPr>
              <w:snapToGrid w:val="0"/>
              <w:spacing w:line="360" w:lineRule="auto"/>
              <w:ind w:firstLine="482" w:firstLineChars="200"/>
              <w:jc w:val="left"/>
              <w:rPr>
                <w:rFonts w:ascii="宋体" w:hAnsi="宋体" w:cs="宋体"/>
                <w:color w:val="auto"/>
                <w:kern w:val="0"/>
                <w:sz w:val="24"/>
                <w:highlight w:val="none"/>
                <w:lang w:val="zh-CN"/>
              </w:rPr>
            </w:pPr>
            <w:r>
              <w:rPr>
                <w:rFonts w:hint="eastAsia" w:ascii="宋体" w:hAnsi="宋体" w:cs="宋体"/>
                <w:b/>
                <w:color w:val="auto"/>
                <w:kern w:val="0"/>
                <w:sz w:val="24"/>
                <w:highlight w:val="none"/>
                <w:lang w:val="zh-CN"/>
              </w:rPr>
              <w:t>投标报价超过招标文件中规定的预算金额或者最高限价的;</w:t>
            </w:r>
          </w:p>
          <w:p w14:paraId="02250257">
            <w:pPr>
              <w:spacing w:line="360" w:lineRule="auto"/>
              <w:ind w:firstLine="482" w:firstLineChars="2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289611D">
            <w:pPr>
              <w:spacing w:line="360" w:lineRule="auto"/>
              <w:ind w:firstLine="482" w:firstLineChars="200"/>
              <w:rPr>
                <w:rFonts w:ascii="宋体" w:hAnsi="宋体" w:cs="宋体"/>
                <w:color w:val="auto"/>
                <w:sz w:val="24"/>
                <w:highlight w:val="none"/>
              </w:rPr>
            </w:pPr>
            <w:r>
              <w:rPr>
                <w:rFonts w:hint="eastAsia" w:ascii="宋体" w:hAnsi="宋体" w:cs="宋体"/>
                <w:b/>
                <w:color w:val="auto"/>
                <w:kern w:val="0"/>
                <w:sz w:val="24"/>
                <w:highlight w:val="none"/>
              </w:rPr>
              <w:t>投标人对根据修正原则修正后的报价不确认的</w:t>
            </w:r>
            <w:r>
              <w:rPr>
                <w:rFonts w:hint="eastAsia" w:ascii="宋体" w:hAnsi="宋体" w:cs="宋体"/>
                <w:b/>
                <w:color w:val="auto"/>
                <w:sz w:val="24"/>
                <w:highlight w:val="none"/>
              </w:rPr>
              <w:t>。</w:t>
            </w:r>
          </w:p>
        </w:tc>
      </w:tr>
      <w:tr w14:paraId="0E0D55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1" w:hRule="atLeast"/>
          <w:tblHeader/>
        </w:trPr>
        <w:tc>
          <w:tcPr>
            <w:tcW w:w="629" w:type="dxa"/>
            <w:tcBorders>
              <w:top w:val="single" w:color="auto" w:sz="4" w:space="0"/>
              <w:left w:val="single" w:color="000000" w:sz="8" w:space="0"/>
              <w:right w:val="single" w:color="000000" w:sz="2" w:space="0"/>
            </w:tcBorders>
            <w:vAlign w:val="center"/>
          </w:tcPr>
          <w:p w14:paraId="508204F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1843" w:type="dxa"/>
            <w:tcBorders>
              <w:top w:val="single" w:color="000000" w:sz="8" w:space="0"/>
              <w:left w:val="single" w:color="000000" w:sz="2" w:space="0"/>
              <w:right w:val="single" w:color="000000" w:sz="8" w:space="0"/>
            </w:tcBorders>
            <w:vAlign w:val="center"/>
          </w:tcPr>
          <w:p w14:paraId="3D8BAA3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095" w:type="dxa"/>
            <w:tcBorders>
              <w:top w:val="single" w:color="000000" w:sz="8" w:space="0"/>
              <w:left w:val="single" w:color="000000" w:sz="2" w:space="0"/>
              <w:right w:val="single" w:color="000000" w:sz="8" w:space="0"/>
            </w:tcBorders>
            <w:vAlign w:val="center"/>
          </w:tcPr>
          <w:p w14:paraId="204574E8">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276C55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03E67B0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4002ED0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1C4D0354">
            <w:pPr>
              <w:pStyle w:val="32"/>
              <w:spacing w:line="360" w:lineRule="auto"/>
              <w:rPr>
                <w:rFonts w:hAnsi="宋体" w:cs="宋体"/>
                <w:color w:val="auto"/>
                <w:kern w:val="28"/>
                <w:sz w:val="24"/>
                <w:highlight w:val="none"/>
              </w:rPr>
            </w:pPr>
            <w:r>
              <w:rPr>
                <w:rFonts w:hint="eastAsia" w:asciiTheme="minorEastAsia" w:hAnsiTheme="minorEastAsia" w:eastAsiaTheme="minorEastAsia" w:cstheme="minorEastAsia"/>
                <w:color w:val="auto"/>
                <w:kern w:val="28"/>
                <w:sz w:val="24"/>
                <w:szCs w:val="24"/>
                <w:highlight w:val="none"/>
              </w:rPr>
              <w:t>备份投标文件送达地点：</w:t>
            </w:r>
            <w:r>
              <w:rPr>
                <w:rStyle w:val="965"/>
                <w:rFonts w:hint="eastAsia" w:asciiTheme="minorEastAsia" w:hAnsiTheme="minorEastAsia" w:eastAsiaTheme="minorEastAsia" w:cstheme="minorEastAsia"/>
                <w:b w:val="0"/>
                <w:bCs w:val="0"/>
                <w:color w:val="auto"/>
                <w:sz w:val="24"/>
                <w:szCs w:val="24"/>
                <w:highlight w:val="none"/>
                <w:u w:val="single"/>
              </w:rPr>
              <w:t>浙江省杭州市西湖区文二路391号西湖国际科技大厦B2楼1107室</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sz w:val="24"/>
                <w:szCs w:val="24"/>
                <w:highlight w:val="none"/>
                <w:u w:val="single"/>
                <w:lang w:eastAsia="zh-CN"/>
              </w:rPr>
              <w:t>浙江信镧建设工程咨询有限公司</w:t>
            </w:r>
            <w:r>
              <w:rPr>
                <w:rFonts w:hint="eastAsia" w:asciiTheme="minorEastAsia" w:hAnsiTheme="minorEastAsia" w:eastAsiaTheme="minorEastAsia" w:cstheme="minorEastAsia"/>
                <w:color w:val="auto"/>
                <w:sz w:val="24"/>
                <w:szCs w:val="24"/>
                <w:highlight w:val="none"/>
                <w:u w:val="single"/>
              </w:rPr>
              <w:t>）</w:t>
            </w:r>
            <w:r>
              <w:rPr>
                <w:rFonts w:hint="eastAsia" w:asciiTheme="minorEastAsia" w:hAnsiTheme="minorEastAsia" w:eastAsiaTheme="minorEastAsia" w:cstheme="minorEastAsia"/>
                <w:color w:val="auto"/>
                <w:kern w:val="28"/>
                <w:sz w:val="24"/>
                <w:szCs w:val="24"/>
                <w:highlight w:val="none"/>
              </w:rPr>
              <w:t>；备份投标文件签收人员联系电话：</w:t>
            </w:r>
            <w:r>
              <w:rPr>
                <w:rFonts w:hint="eastAsia" w:asciiTheme="minorEastAsia" w:hAnsiTheme="minorEastAsia" w:eastAsiaTheme="minorEastAsia" w:cstheme="minorEastAsia"/>
                <w:color w:val="auto"/>
                <w:sz w:val="24"/>
                <w:szCs w:val="24"/>
                <w:highlight w:val="none"/>
                <w:u w:val="single"/>
                <w:lang w:val="en-US" w:eastAsia="zh-CN"/>
              </w:rPr>
              <w:t>胡校芳</w:t>
            </w:r>
            <w:r>
              <w:rPr>
                <w:rFonts w:hint="eastAsia" w:asciiTheme="minorEastAsia" w:hAnsiTheme="minorEastAsia" w:eastAsiaTheme="minorEastAsia" w:cstheme="minorEastAsia"/>
                <w:color w:val="auto"/>
                <w:sz w:val="24"/>
                <w:szCs w:val="24"/>
                <w:highlight w:val="none"/>
                <w:u w:val="single"/>
              </w:rPr>
              <w:t>0571-</w:t>
            </w:r>
            <w:r>
              <w:rPr>
                <w:rFonts w:hint="eastAsia" w:asciiTheme="minorEastAsia" w:hAnsiTheme="minorEastAsia" w:eastAsiaTheme="minorEastAsia" w:cstheme="minorEastAsia"/>
                <w:color w:val="auto"/>
                <w:sz w:val="24"/>
                <w:szCs w:val="24"/>
                <w:highlight w:val="none"/>
                <w:u w:val="single"/>
                <w:lang w:val="en-US" w:eastAsia="zh-CN"/>
              </w:rPr>
              <w:t>87967630</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特别说明：双休日和法定节假日不收件，</w:t>
            </w:r>
            <w:r>
              <w:rPr>
                <w:rFonts w:hint="eastAsia" w:asciiTheme="minorEastAsia" w:hAnsiTheme="minorEastAsia" w:eastAsiaTheme="minorEastAsia" w:cstheme="minorEastAsia"/>
                <w:b/>
                <w:color w:val="auto"/>
                <w:sz w:val="24"/>
                <w:szCs w:val="24"/>
                <w:highlight w:val="none"/>
                <w:lang w:val="en-US" w:eastAsia="zh-CN"/>
              </w:rPr>
              <w:t>供应商</w:t>
            </w:r>
            <w:r>
              <w:rPr>
                <w:rFonts w:hint="eastAsia" w:asciiTheme="minorEastAsia" w:hAnsiTheme="minorEastAsia" w:eastAsiaTheme="minorEastAsia" w:cstheme="minorEastAsia"/>
                <w:b/>
                <w:color w:val="auto"/>
                <w:sz w:val="24"/>
                <w:szCs w:val="24"/>
                <w:highlight w:val="none"/>
              </w:rPr>
              <w:t>自行承担邮寄风险。</w:t>
            </w:r>
            <w:r>
              <w:rPr>
                <w:rFonts w:hint="eastAsia" w:asciiTheme="minorEastAsia" w:hAnsiTheme="minorEastAsia" w:eastAsiaTheme="minorEastAsia" w:cstheme="minorEastAsia"/>
                <w:b/>
                <w:bCs/>
                <w:color w:val="auto"/>
                <w:sz w:val="24"/>
                <w:szCs w:val="24"/>
                <w:highlight w:val="none"/>
                <w:lang w:eastAsia="zh-CN"/>
              </w:rPr>
              <w:t>）</w:t>
            </w:r>
            <w:r>
              <w:rPr>
                <w:rFonts w:hint="eastAsia" w:asciiTheme="minorEastAsia" w:hAnsiTheme="minorEastAsia" w:eastAsiaTheme="minorEastAsia" w:cstheme="minorEastAsia"/>
                <w:b/>
                <w:color w:val="auto"/>
                <w:sz w:val="24"/>
                <w:szCs w:val="24"/>
                <w:highlight w:val="none"/>
              </w:rPr>
              <w:t>采购人、</w:t>
            </w:r>
            <w:r>
              <w:rPr>
                <w:rFonts w:hint="eastAsia" w:asciiTheme="minorEastAsia" w:hAnsiTheme="minorEastAsia" w:eastAsiaTheme="minorEastAsia" w:cstheme="minorEastAsia"/>
                <w:b/>
                <w:color w:val="auto"/>
                <w:sz w:val="24"/>
                <w:szCs w:val="24"/>
                <w:highlight w:val="none"/>
                <w:lang w:eastAsia="zh-CN"/>
              </w:rPr>
              <w:t>采购代理机构</w:t>
            </w:r>
            <w:r>
              <w:rPr>
                <w:rFonts w:hint="eastAsia" w:asciiTheme="minorEastAsia" w:hAnsiTheme="minorEastAsia" w:eastAsiaTheme="minorEastAsia" w:cstheme="minorEastAsia"/>
                <w:b/>
                <w:color w:val="auto"/>
                <w:sz w:val="24"/>
                <w:szCs w:val="24"/>
                <w:highlight w:val="none"/>
              </w:rPr>
              <w:t>不强制或变相强制投标人提交备份投标文件。</w:t>
            </w:r>
          </w:p>
        </w:tc>
      </w:tr>
      <w:tr w14:paraId="190467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14:paraId="26667A43">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1843" w:type="dxa"/>
            <w:vMerge w:val="restart"/>
            <w:tcBorders>
              <w:top w:val="single" w:color="000000" w:sz="8" w:space="0"/>
              <w:left w:val="single" w:color="000000" w:sz="2" w:space="0"/>
              <w:right w:val="single" w:color="000000" w:sz="8" w:space="0"/>
            </w:tcBorders>
            <w:vAlign w:val="center"/>
          </w:tcPr>
          <w:p w14:paraId="251E7FA4">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087E5F2E">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联合体投标的，联合体各方分别提供与联合体协议中规定的分工内容相应的业绩证明材料，业绩数量以提供材料较少的一方为准。</w:t>
            </w:r>
          </w:p>
        </w:tc>
      </w:tr>
      <w:tr w14:paraId="48560F6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tcPr>
          <w:p w14:paraId="7FF9857B">
            <w:pPr>
              <w:snapToGrid w:val="0"/>
              <w:spacing w:line="360" w:lineRule="auto"/>
              <w:jc w:val="center"/>
              <w:rPr>
                <w:rFonts w:ascii="宋体" w:hAnsi="宋体" w:cs="宋体"/>
                <w:color w:val="auto"/>
                <w:sz w:val="24"/>
                <w:highlight w:val="none"/>
              </w:rPr>
            </w:pPr>
          </w:p>
        </w:tc>
        <w:tc>
          <w:tcPr>
            <w:tcW w:w="1843" w:type="dxa"/>
            <w:vMerge w:val="continue"/>
            <w:tcBorders>
              <w:left w:val="single" w:color="000000" w:sz="2" w:space="0"/>
              <w:right w:val="single" w:color="000000" w:sz="8" w:space="0"/>
            </w:tcBorders>
            <w:vAlign w:val="center"/>
          </w:tcPr>
          <w:p w14:paraId="500B23DB">
            <w:pPr>
              <w:snapToGrid w:val="0"/>
              <w:spacing w:line="360" w:lineRule="auto"/>
              <w:jc w:val="center"/>
              <w:rPr>
                <w:rFonts w:ascii="宋体" w:hAnsi="宋体" w:cs="宋体"/>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456170E">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621138027"/>
                <w14:checkbox>
                  <w14:checked w14:val="0"/>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ascii="MS Mincho" w:hAnsi="MS Mincho" w:eastAsia="MS Mincho" w:cs="MS Mincho"/>
                    <w:color w:val="auto"/>
                    <w:kern w:val="0"/>
                    <w:sz w:val="24"/>
                    <w:highlight w:val="none"/>
                  </w:rPr>
                  <w:t>☐</w:t>
                </w:r>
              </w:sdtContent>
            </w:sdt>
            <w:r>
              <w:rPr>
                <w:rFonts w:hint="eastAsia" w:ascii="宋体" w:hAnsi="宋体" w:cs="宋体"/>
                <w:snapToGrid w:val="0"/>
                <w:color w:val="auto"/>
                <w:kern w:val="28"/>
                <w:sz w:val="24"/>
                <w:highlight w:val="none"/>
              </w:rPr>
              <w:t>联合体投标的，联合体各方均需按招标文件第四部分评标标准要求提供资信证明文件，否则视为不符合相关要求。</w:t>
            </w:r>
          </w:p>
          <w:p w14:paraId="273E0D79">
            <w:pPr>
              <w:spacing w:line="360" w:lineRule="auto"/>
              <w:rPr>
                <w:rFonts w:ascii="宋体" w:hAnsi="宋体" w:cs="宋体"/>
                <w:snapToGrid w:val="0"/>
                <w:color w:val="auto"/>
                <w:kern w:val="28"/>
                <w:sz w:val="24"/>
                <w:highlight w:val="none"/>
              </w:rPr>
            </w:pPr>
            <w:sdt>
              <w:sdtPr>
                <w:rPr>
                  <w:rFonts w:hint="eastAsia" w:cs="Arial" w:asciiTheme="minorEastAsia" w:hAnsiTheme="minorEastAsia" w:eastAsiaTheme="minorEastAsia"/>
                  <w:color w:val="auto"/>
                  <w:kern w:val="0"/>
                  <w:sz w:val="24"/>
                  <w:highlight w:val="none"/>
                </w:rPr>
                <w:id w:val="18299227"/>
                <w14:checkbox>
                  <w14:checked w14:val="1"/>
                  <w14:checkedState w14:val="00FE" w14:font="Wingdings"/>
                  <w14:uncheckedState w14:val="2610" w14:font="MS Gothic"/>
                </w14:checkbox>
              </w:sdtPr>
              <w:sdtEndPr>
                <w:rPr>
                  <w:rFonts w:hint="eastAsia" w:cs="Arial" w:asciiTheme="minorEastAsia" w:hAnsiTheme="minorEastAsia" w:eastAsiaTheme="minorEastAsia"/>
                  <w:color w:val="auto"/>
                  <w:kern w:val="0"/>
                  <w:sz w:val="24"/>
                  <w:highlight w:val="none"/>
                </w:rPr>
              </w:sdtEndPr>
              <w:sdtContent>
                <w:r>
                  <w:rPr>
                    <w:rFonts w:hint="eastAsia" w:cs="Arial" w:asciiTheme="minorEastAsia" w:hAnsiTheme="minorEastAsia" w:eastAsiaTheme="minorEastAsia"/>
                    <w:color w:val="auto"/>
                    <w:kern w:val="0"/>
                    <w:sz w:val="24"/>
                    <w:highlight w:val="none"/>
                  </w:rPr>
                  <w:sym w:font="Wingdings" w:char="F0FE"/>
                </w:r>
              </w:sdtContent>
            </w:sdt>
            <w:r>
              <w:rPr>
                <w:rFonts w:hint="eastAsia" w:ascii="宋体" w:hAnsi="宋体" w:cs="宋体"/>
                <w:snapToGrid w:val="0"/>
                <w:color w:val="auto"/>
                <w:kern w:val="28"/>
                <w:sz w:val="24"/>
                <w:highlight w:val="none"/>
              </w:rPr>
              <w:t>联合体投标的，联合体中有一方或者联合体成员根据分工按招标文件第四部分评标标准要求提供资信证明文件的，视为符合了相关要求。</w:t>
            </w:r>
          </w:p>
        </w:tc>
      </w:tr>
      <w:tr w14:paraId="4F3DE0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vAlign w:val="center"/>
          </w:tcPr>
          <w:p w14:paraId="7D09EDAD">
            <w:pPr>
              <w:snapToGrid w:val="0"/>
              <w:spacing w:line="360" w:lineRule="auto"/>
              <w:jc w:val="center"/>
              <w:rPr>
                <w:rFonts w:hint="default"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w:t>
            </w:r>
            <w:r>
              <w:rPr>
                <w:rFonts w:hint="eastAsia" w:ascii="宋体" w:hAnsi="宋体" w:cs="宋体"/>
                <w:color w:val="auto"/>
                <w:sz w:val="24"/>
                <w:highlight w:val="none"/>
                <w:lang w:val="en-US" w:eastAsia="zh-CN"/>
              </w:rPr>
              <w:t>4</w:t>
            </w:r>
          </w:p>
        </w:tc>
        <w:tc>
          <w:tcPr>
            <w:tcW w:w="1843" w:type="dxa"/>
            <w:tcBorders>
              <w:top w:val="single" w:color="auto" w:sz="4" w:space="0"/>
              <w:left w:val="single" w:color="000000" w:sz="2" w:space="0"/>
              <w:bottom w:val="single" w:color="auto" w:sz="4" w:space="0"/>
              <w:right w:val="single" w:color="auto" w:sz="4" w:space="0"/>
            </w:tcBorders>
            <w:vAlign w:val="center"/>
          </w:tcPr>
          <w:p w14:paraId="61E57FAC">
            <w:pPr>
              <w:snapToGrid w:val="0"/>
              <w:spacing w:line="360" w:lineRule="auto"/>
              <w:jc w:val="center"/>
              <w:rPr>
                <w:rFonts w:hint="eastAsia" w:cs="仿宋_GB2312" w:asciiTheme="minorEastAsia" w:hAnsiTheme="minorEastAsia" w:eastAsiaTheme="minorEastAsia"/>
                <w:b/>
                <w:color w:val="auto"/>
                <w:sz w:val="24"/>
                <w:highlight w:val="none"/>
                <w:lang w:eastAsia="zh-CN"/>
              </w:rPr>
            </w:pPr>
            <w:r>
              <w:rPr>
                <w:rFonts w:hint="eastAsia" w:cs="仿宋_GB2312" w:asciiTheme="minorEastAsia" w:hAnsiTheme="minorEastAsia" w:eastAsiaTheme="minorEastAsia"/>
                <w:b/>
                <w:color w:val="auto"/>
                <w:sz w:val="24"/>
                <w:highlight w:val="none"/>
                <w:lang w:val="en" w:eastAsia="zh-CN"/>
              </w:rPr>
              <w:t>代理费用收取方式及标准</w:t>
            </w:r>
          </w:p>
        </w:tc>
        <w:tc>
          <w:tcPr>
            <w:tcW w:w="6095" w:type="dxa"/>
            <w:tcBorders>
              <w:top w:val="single" w:color="000000" w:sz="8" w:space="0"/>
              <w:left w:val="single" w:color="auto" w:sz="4" w:space="0"/>
              <w:bottom w:val="single" w:color="000000" w:sz="8" w:space="0"/>
              <w:right w:val="single" w:color="auto" w:sz="4" w:space="0"/>
            </w:tcBorders>
            <w:vAlign w:val="center"/>
          </w:tcPr>
          <w:p w14:paraId="768AAB2F">
            <w:pPr>
              <w:spacing w:line="360" w:lineRule="auto"/>
              <w:rPr>
                <w:rFonts w:ascii="宋体" w:hAnsi="宋体" w:cs="宋体"/>
                <w:kern w:val="0"/>
                <w:sz w:val="24"/>
                <w:szCs w:val="24"/>
              </w:rPr>
            </w:pPr>
            <w:r>
              <w:rPr>
                <w:rFonts w:hint="eastAsia" w:ascii="宋体" w:hAnsi="宋体" w:cs="宋体"/>
                <w:kern w:val="0"/>
                <w:sz w:val="24"/>
                <w:szCs w:val="24"/>
              </w:rPr>
              <w:t>本项目的采购代理服务费为：</w:t>
            </w:r>
          </w:p>
          <w:p w14:paraId="6EB3E55C">
            <w:pPr>
              <w:spacing w:line="360" w:lineRule="auto"/>
              <w:ind w:firstLine="420"/>
              <w:rPr>
                <w:rFonts w:ascii="宋体" w:hAnsi="宋体" w:cs="宋体"/>
                <w:kern w:val="0"/>
                <w:sz w:val="24"/>
                <w:szCs w:val="24"/>
              </w:rPr>
            </w:pPr>
            <w:r>
              <w:rPr>
                <w:rFonts w:hint="eastAsia" w:ascii="宋体" w:hAnsi="宋体" w:cs="宋体"/>
                <w:kern w:val="0"/>
                <w:sz w:val="24"/>
                <w:szCs w:val="24"/>
              </w:rPr>
              <w:t>（1）采购代理服务收费采用差额定率累进计费方式，以</w:t>
            </w:r>
            <w:r>
              <w:rPr>
                <w:rFonts w:hint="eastAsia" w:ascii="宋体" w:hAnsi="宋体" w:cs="宋体"/>
                <w:kern w:val="0"/>
                <w:sz w:val="24"/>
                <w:szCs w:val="24"/>
                <w:lang w:val="en-US" w:eastAsia="zh-CN"/>
              </w:rPr>
              <w:t>中标总额</w:t>
            </w:r>
            <w:r>
              <w:rPr>
                <w:rFonts w:hint="eastAsia" w:ascii="宋体" w:hAnsi="宋体" w:cs="宋体"/>
                <w:kern w:val="0"/>
                <w:sz w:val="24"/>
                <w:szCs w:val="24"/>
              </w:rPr>
              <w:t>为计算基数。</w:t>
            </w:r>
          </w:p>
          <w:p w14:paraId="15B56970">
            <w:pPr>
              <w:spacing w:line="360" w:lineRule="auto"/>
              <w:ind w:firstLine="420"/>
              <w:rPr>
                <w:rFonts w:ascii="宋体" w:hAnsi="宋体" w:cs="宋体"/>
                <w:kern w:val="0"/>
                <w:sz w:val="24"/>
                <w:szCs w:val="24"/>
              </w:rPr>
            </w:pPr>
            <w:r>
              <w:rPr>
                <w:rFonts w:hint="eastAsia" w:ascii="宋体" w:hAnsi="宋体" w:cs="宋体"/>
                <w:kern w:val="0"/>
                <w:sz w:val="24"/>
                <w:szCs w:val="24"/>
              </w:rPr>
              <w:t>（2）各区段具体收费标准如下：</w:t>
            </w:r>
          </w:p>
          <w:p w14:paraId="636AFB7A">
            <w:pPr>
              <w:spacing w:line="360" w:lineRule="auto"/>
              <w:ind w:firstLine="420"/>
              <w:rPr>
                <w:rFonts w:ascii="宋体" w:hAnsi="宋体" w:cs="宋体"/>
                <w:kern w:val="0"/>
                <w:sz w:val="24"/>
                <w:szCs w:val="24"/>
              </w:rPr>
            </w:pPr>
            <w:r>
              <w:rPr>
                <w:rFonts w:hint="eastAsia" w:ascii="宋体" w:hAnsi="宋体" w:cs="宋体"/>
                <w:kern w:val="0"/>
                <w:sz w:val="24"/>
                <w:szCs w:val="24"/>
              </w:rPr>
              <w:t>成交金额              费率</w:t>
            </w:r>
          </w:p>
          <w:p w14:paraId="34C5459D">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100万元以下          1.</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w:t>
            </w:r>
          </w:p>
          <w:p w14:paraId="20AE0B7A">
            <w:pPr>
              <w:spacing w:line="360" w:lineRule="auto"/>
              <w:ind w:firstLine="420"/>
              <w:rPr>
                <w:rFonts w:hint="eastAsia" w:ascii="宋体" w:hAnsi="宋体" w:cs="宋体"/>
                <w:color w:val="auto"/>
                <w:kern w:val="0"/>
                <w:sz w:val="24"/>
                <w:szCs w:val="24"/>
              </w:rPr>
            </w:pPr>
            <w:r>
              <w:rPr>
                <w:rFonts w:hint="eastAsia" w:ascii="宋体" w:hAnsi="宋体" w:cs="宋体"/>
                <w:color w:val="auto"/>
                <w:kern w:val="0"/>
                <w:sz w:val="24"/>
                <w:szCs w:val="24"/>
              </w:rPr>
              <w:t xml:space="preserve">100-500万元         </w:t>
            </w:r>
            <w:r>
              <w:rPr>
                <w:rFonts w:hint="eastAsia" w:ascii="宋体" w:hAnsi="宋体" w:cs="宋体"/>
                <w:color w:val="auto"/>
                <w:kern w:val="0"/>
                <w:sz w:val="24"/>
                <w:szCs w:val="24"/>
                <w:lang w:val="en-US" w:eastAsia="zh-CN"/>
              </w:rPr>
              <w:t xml:space="preserve"> 0.64</w:t>
            </w:r>
            <w:r>
              <w:rPr>
                <w:rFonts w:hint="eastAsia" w:ascii="宋体" w:hAnsi="宋体" w:cs="宋体"/>
                <w:color w:val="auto"/>
                <w:kern w:val="0"/>
                <w:sz w:val="24"/>
                <w:szCs w:val="24"/>
              </w:rPr>
              <w:t>%</w:t>
            </w:r>
          </w:p>
          <w:p w14:paraId="32E1A02F">
            <w:pPr>
              <w:spacing w:line="360" w:lineRule="auto"/>
              <w:ind w:firstLine="420"/>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00-</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 xml:space="preserve">00万元         </w:t>
            </w:r>
            <w:r>
              <w:rPr>
                <w:rFonts w:hint="eastAsia" w:ascii="宋体" w:hAnsi="宋体" w:cs="宋体"/>
                <w:color w:val="auto"/>
                <w:kern w:val="0"/>
                <w:sz w:val="24"/>
                <w:szCs w:val="24"/>
                <w:lang w:val="en-US" w:eastAsia="zh-CN"/>
              </w:rPr>
              <w:t>0.36</w:t>
            </w:r>
            <w:r>
              <w:rPr>
                <w:rFonts w:hint="eastAsia" w:ascii="宋体" w:hAnsi="宋体" w:cs="宋体"/>
                <w:color w:val="auto"/>
                <w:kern w:val="0"/>
                <w:sz w:val="24"/>
                <w:szCs w:val="24"/>
              </w:rPr>
              <w:t>%</w:t>
            </w:r>
          </w:p>
          <w:p w14:paraId="522A1EEA">
            <w:pPr>
              <w:spacing w:line="360" w:lineRule="auto"/>
              <w:ind w:firstLine="420"/>
              <w:rPr>
                <w:rFonts w:hint="default"/>
                <w:color w:val="auto"/>
                <w:lang w:val="en-US" w:eastAsia="zh-CN"/>
              </w:rPr>
            </w:pPr>
            <w:r>
              <w:rPr>
                <w:rFonts w:hint="eastAsia" w:ascii="宋体" w:hAnsi="宋体" w:cs="宋体"/>
                <w:color w:val="auto"/>
                <w:kern w:val="0"/>
                <w:sz w:val="24"/>
                <w:szCs w:val="24"/>
                <w:lang w:val="en-US" w:eastAsia="zh-CN"/>
              </w:rPr>
              <w:t>1000</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50</w:t>
            </w:r>
            <w:r>
              <w:rPr>
                <w:rFonts w:hint="eastAsia" w:ascii="宋体" w:hAnsi="宋体" w:cs="宋体"/>
                <w:color w:val="auto"/>
                <w:kern w:val="0"/>
                <w:sz w:val="24"/>
                <w:szCs w:val="24"/>
              </w:rPr>
              <w:t xml:space="preserve">00万元        </w:t>
            </w:r>
            <w:r>
              <w:rPr>
                <w:rFonts w:hint="eastAsia" w:ascii="宋体" w:hAnsi="宋体" w:cs="宋体"/>
                <w:color w:val="auto"/>
                <w:kern w:val="0"/>
                <w:sz w:val="24"/>
                <w:szCs w:val="24"/>
                <w:lang w:val="en-US" w:eastAsia="zh-CN"/>
              </w:rPr>
              <w:t>0.20</w:t>
            </w:r>
            <w:r>
              <w:rPr>
                <w:rFonts w:hint="eastAsia" w:ascii="宋体" w:hAnsi="宋体" w:cs="宋体"/>
                <w:color w:val="auto"/>
                <w:kern w:val="0"/>
                <w:sz w:val="24"/>
                <w:szCs w:val="24"/>
              </w:rPr>
              <w:t>%</w:t>
            </w:r>
          </w:p>
          <w:p w14:paraId="4F087F2E">
            <w:pPr>
              <w:spacing w:line="360" w:lineRule="auto"/>
              <w:ind w:firstLine="420"/>
              <w:rPr>
                <w:rFonts w:hint="eastAsia" w:ascii="宋体" w:hAnsi="宋体" w:eastAsia="宋体" w:cs="宋体"/>
                <w:b/>
                <w:bCs/>
                <w:color w:val="auto"/>
                <w:kern w:val="0"/>
                <w:sz w:val="24"/>
                <w:szCs w:val="24"/>
                <w:lang w:eastAsia="zh-CN"/>
              </w:rPr>
            </w:pPr>
            <w:r>
              <w:rPr>
                <w:rFonts w:hint="eastAsia" w:ascii="宋体" w:hAnsi="宋体" w:cs="宋体"/>
                <w:color w:val="auto"/>
                <w:kern w:val="0"/>
                <w:sz w:val="24"/>
                <w:szCs w:val="24"/>
              </w:rPr>
              <w:t>备注：</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本项费用在报价表中不单列报价子项，由供应商自行在企业运营成本等或各单价中列支。</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由中标人在</w:t>
            </w:r>
            <w:r>
              <w:rPr>
                <w:rFonts w:hint="eastAsia" w:ascii="宋体" w:hAnsi="宋体" w:cs="宋体"/>
                <w:color w:val="auto"/>
                <w:kern w:val="0"/>
                <w:sz w:val="24"/>
                <w:szCs w:val="24"/>
                <w:lang w:eastAsia="zh-CN"/>
              </w:rPr>
              <w:t>结果</w:t>
            </w:r>
            <w:r>
              <w:rPr>
                <w:rFonts w:ascii="Times New Roman" w:hAnsi="宋体"/>
                <w:color w:val="auto"/>
                <w:sz w:val="24"/>
              </w:rPr>
              <w:t>公告发布之日起</w:t>
            </w:r>
            <w:r>
              <w:rPr>
                <w:rFonts w:ascii="Times New Roman" w:hAnsi="Times New Roman"/>
                <w:color w:val="auto"/>
                <w:sz w:val="24"/>
              </w:rPr>
              <w:t>5</w:t>
            </w:r>
            <w:r>
              <w:rPr>
                <w:rFonts w:ascii="Times New Roman" w:hAnsi="宋体"/>
                <w:color w:val="auto"/>
                <w:sz w:val="24"/>
              </w:rPr>
              <w:t>个工作日</w:t>
            </w:r>
            <w:r>
              <w:rPr>
                <w:rFonts w:hint="eastAsia" w:ascii="宋体" w:hAnsi="宋体" w:cs="宋体"/>
                <w:color w:val="auto"/>
                <w:kern w:val="0"/>
                <w:sz w:val="24"/>
                <w:szCs w:val="24"/>
              </w:rPr>
              <w:t>内，向采购代理机构</w:t>
            </w:r>
            <w:r>
              <w:rPr>
                <w:rFonts w:hint="eastAsia" w:ascii="宋体" w:hAnsi="宋体" w:cs="宋体"/>
                <w:color w:val="auto"/>
                <w:kern w:val="0"/>
                <w:sz w:val="24"/>
                <w:szCs w:val="24"/>
                <w:lang w:eastAsia="zh-CN"/>
              </w:rPr>
              <w:t>一次性</w:t>
            </w:r>
            <w:r>
              <w:rPr>
                <w:rFonts w:hint="eastAsia" w:ascii="宋体" w:hAnsi="宋体" w:cs="宋体"/>
                <w:color w:val="auto"/>
                <w:kern w:val="0"/>
                <w:sz w:val="24"/>
                <w:szCs w:val="24"/>
              </w:rPr>
              <w:t>交纳</w:t>
            </w:r>
            <w:r>
              <w:rPr>
                <w:rFonts w:hint="eastAsia" w:ascii="宋体" w:hAnsi="宋体" w:cs="宋体"/>
                <w:color w:val="auto"/>
                <w:kern w:val="0"/>
                <w:sz w:val="24"/>
                <w:szCs w:val="24"/>
                <w:lang w:eastAsia="zh-CN"/>
              </w:rPr>
              <w:t>采购</w:t>
            </w:r>
            <w:r>
              <w:rPr>
                <w:rFonts w:hint="eastAsia" w:ascii="宋体" w:hAnsi="宋体" w:cs="宋体"/>
                <w:color w:val="auto"/>
                <w:kern w:val="0"/>
                <w:sz w:val="24"/>
                <w:szCs w:val="24"/>
              </w:rPr>
              <w:t>代理服务费。</w:t>
            </w:r>
            <w:r>
              <w:rPr>
                <w:rFonts w:hint="eastAsia" w:ascii="宋体" w:hAnsi="宋体" w:cs="宋体"/>
                <w:color w:val="auto"/>
                <w:kern w:val="0"/>
                <w:sz w:val="24"/>
                <w:szCs w:val="24"/>
                <w:lang w:eastAsia="zh-CN"/>
              </w:rPr>
              <w:t>（</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lang w:eastAsia="zh-CN"/>
              </w:rPr>
              <w:t>）</w:t>
            </w:r>
            <w:r>
              <w:rPr>
                <w:rFonts w:hint="eastAsia" w:ascii="宋体" w:hAnsi="宋体" w:cs="宋体"/>
                <w:b/>
                <w:bCs/>
                <w:color w:val="auto"/>
                <w:kern w:val="0"/>
                <w:sz w:val="24"/>
                <w:szCs w:val="24"/>
                <w:lang w:eastAsia="zh-CN"/>
              </w:rPr>
              <w:t>中标人逾期支付采购代理服务费，须承担采购代理服务费每日百分之三的违约金，逾期十日未支付的，采购代理机构有权向杭州仲裁委员会对中标人提起仲裁，仲裁费用（包括仲裁受理费和仲裁处理费）均由中标人承担。</w:t>
            </w:r>
          </w:p>
          <w:p w14:paraId="0EA71689">
            <w:pPr>
              <w:spacing w:line="360" w:lineRule="auto"/>
              <w:ind w:firstLine="420"/>
              <w:rPr>
                <w:rFonts w:ascii="宋体" w:hAnsi="宋体" w:cs="宋体"/>
                <w:color w:val="auto"/>
                <w:sz w:val="24"/>
                <w:szCs w:val="24"/>
              </w:rPr>
            </w:pPr>
            <w:r>
              <w:rPr>
                <w:rFonts w:hint="eastAsia" w:ascii="宋体" w:hAnsi="宋体" w:cs="宋体"/>
                <w:color w:val="auto"/>
                <w:kern w:val="0"/>
                <w:sz w:val="24"/>
                <w:szCs w:val="24"/>
              </w:rPr>
              <w:t>收款</w:t>
            </w:r>
            <w:r>
              <w:rPr>
                <w:rFonts w:hint="eastAsia" w:ascii="宋体" w:hAnsi="宋体" w:cs="宋体"/>
                <w:color w:val="auto"/>
                <w:sz w:val="24"/>
                <w:szCs w:val="24"/>
              </w:rPr>
              <w:t>账号：</w:t>
            </w:r>
          </w:p>
          <w:p w14:paraId="49134C31">
            <w:pPr>
              <w:spacing w:line="360" w:lineRule="auto"/>
              <w:ind w:firstLine="420"/>
              <w:rPr>
                <w:rFonts w:ascii="宋体" w:hAnsi="宋体" w:cs="宋体"/>
                <w:color w:val="auto"/>
                <w:kern w:val="0"/>
                <w:sz w:val="24"/>
                <w:szCs w:val="24"/>
              </w:rPr>
            </w:pPr>
            <w:r>
              <w:rPr>
                <w:rFonts w:hint="eastAsia" w:ascii="宋体" w:hAnsi="宋体" w:cs="宋体"/>
                <w:color w:val="auto"/>
                <w:kern w:val="0"/>
                <w:sz w:val="24"/>
                <w:szCs w:val="24"/>
              </w:rPr>
              <w:t>收款单位（户名）：浙江信镧建设工程咨询有限公司</w:t>
            </w:r>
          </w:p>
          <w:p w14:paraId="4EE11E2C">
            <w:pPr>
              <w:spacing w:line="360" w:lineRule="auto"/>
              <w:ind w:firstLine="420"/>
              <w:rPr>
                <w:rFonts w:ascii="宋体" w:hAnsi="宋体" w:cs="宋体"/>
                <w:kern w:val="0"/>
                <w:sz w:val="24"/>
                <w:szCs w:val="24"/>
              </w:rPr>
            </w:pPr>
            <w:r>
              <w:rPr>
                <w:rFonts w:hint="eastAsia" w:ascii="宋体" w:hAnsi="宋体" w:cs="宋体"/>
                <w:kern w:val="0"/>
                <w:sz w:val="24"/>
                <w:szCs w:val="24"/>
              </w:rPr>
              <w:t>开户银行：交通银行杭州华浙广场支行</w:t>
            </w:r>
          </w:p>
          <w:p w14:paraId="5A8CD721">
            <w:pPr>
              <w:spacing w:line="360" w:lineRule="auto"/>
              <w:rPr>
                <w:rFonts w:hint="eastAsia" w:ascii="宋体" w:hAnsi="宋体" w:eastAsia="宋体" w:cs="宋体"/>
                <w:color w:val="auto"/>
                <w:kern w:val="0"/>
                <w:sz w:val="24"/>
                <w:highlight w:val="none"/>
                <w:lang w:val="en" w:eastAsia="zh-CN"/>
              </w:rPr>
            </w:pPr>
            <w:r>
              <w:rPr>
                <w:rFonts w:hint="eastAsia" w:ascii="宋体" w:hAnsi="宋体" w:cs="宋体"/>
                <w:kern w:val="0"/>
                <w:sz w:val="24"/>
                <w:szCs w:val="24"/>
              </w:rPr>
              <w:t>银行账号：331066090018170036304</w:t>
            </w:r>
          </w:p>
        </w:tc>
      </w:tr>
      <w:tr w14:paraId="500A895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auto" w:sz="4" w:space="0"/>
              <w:right w:val="single" w:color="000000" w:sz="2" w:space="0"/>
            </w:tcBorders>
            <w:shd w:val="clear" w:color="auto" w:fill="auto"/>
            <w:vAlign w:val="center"/>
          </w:tcPr>
          <w:p w14:paraId="639EB489">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w:t>
            </w:r>
          </w:p>
        </w:tc>
        <w:tc>
          <w:tcPr>
            <w:tcW w:w="1843" w:type="dxa"/>
            <w:vMerge w:val="restart"/>
            <w:tcBorders>
              <w:top w:val="single" w:color="auto" w:sz="4" w:space="0"/>
              <w:left w:val="single" w:color="000000" w:sz="2" w:space="0"/>
              <w:right w:val="single" w:color="auto" w:sz="4" w:space="0"/>
            </w:tcBorders>
            <w:shd w:val="clear" w:color="auto" w:fill="auto"/>
            <w:vAlign w:val="center"/>
          </w:tcPr>
          <w:p w14:paraId="7309D8B1">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其他注意事项</w:t>
            </w:r>
          </w:p>
        </w:tc>
        <w:tc>
          <w:tcPr>
            <w:tcW w:w="6095" w:type="dxa"/>
            <w:tcBorders>
              <w:top w:val="single" w:color="000000" w:sz="8" w:space="0"/>
              <w:left w:val="single" w:color="auto" w:sz="4" w:space="0"/>
              <w:bottom w:val="single" w:color="000000" w:sz="8" w:space="0"/>
              <w:right w:val="single" w:color="auto" w:sz="4" w:space="0"/>
            </w:tcBorders>
            <w:shd w:val="clear" w:color="auto" w:fill="auto"/>
            <w:vAlign w:val="center"/>
          </w:tcPr>
          <w:p w14:paraId="2D06A6CA">
            <w:pPr>
              <w:pStyle w:val="724"/>
              <w:snapToGrid w:val="0"/>
              <w:spacing w:line="360" w:lineRule="auto"/>
              <w:ind w:firstLine="482" w:firstLineChars="200"/>
              <w:rPr>
                <w:rFonts w:hint="eastAsia" w:ascii="宋体" w:hAnsi="宋体" w:eastAsia="宋体" w:cs="宋体"/>
                <w:kern w:val="0"/>
                <w:sz w:val="24"/>
                <w:szCs w:val="24"/>
                <w:lang w:val="en-US" w:eastAsia="zh-CN" w:bidi="ar-SA"/>
              </w:rPr>
            </w:pPr>
            <w:r>
              <w:rPr>
                <w:rFonts w:hint="eastAsia" w:cs="宋体"/>
                <w:b/>
                <w:bCs/>
                <w:sz w:val="24"/>
                <w:lang w:eastAsia="zh-CN" w:bidi="ar"/>
              </w:rPr>
              <w:t>在评审过程中，投标人</w:t>
            </w:r>
            <w:r>
              <w:rPr>
                <w:rFonts w:hint="eastAsia" w:ascii="宋体" w:hAnsi="宋体" w:cs="宋体"/>
                <w:b/>
                <w:bCs/>
                <w:sz w:val="24"/>
                <w:lang w:bidi="ar"/>
              </w:rPr>
              <w:t>无法通过政采云系统提交澄清等材料的，可在各环节规定时间内按要求将相关材料发送至以下邮箱：ZJXL87967630@126.com</w:t>
            </w:r>
          </w:p>
        </w:tc>
      </w:tr>
      <w:tr w14:paraId="45E353A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auto" w:sz="4" w:space="0"/>
              <w:bottom w:val="single" w:color="auto" w:sz="4" w:space="0"/>
              <w:right w:val="single" w:color="000000" w:sz="2" w:space="0"/>
            </w:tcBorders>
            <w:vAlign w:val="center"/>
          </w:tcPr>
          <w:p w14:paraId="1CAAC251">
            <w:pPr>
              <w:snapToGrid w:val="0"/>
              <w:spacing w:line="360" w:lineRule="auto"/>
              <w:jc w:val="center"/>
              <w:rPr>
                <w:rFonts w:hint="eastAsia" w:ascii="宋体" w:hAnsi="宋体" w:eastAsia="宋体" w:cs="宋体"/>
                <w:color w:val="auto"/>
                <w:sz w:val="24"/>
                <w:highlight w:val="none"/>
                <w:lang w:val="en-US" w:eastAsia="zh-CN"/>
              </w:rPr>
            </w:pPr>
          </w:p>
        </w:tc>
        <w:tc>
          <w:tcPr>
            <w:tcW w:w="1843" w:type="dxa"/>
            <w:vMerge w:val="continue"/>
            <w:tcBorders>
              <w:left w:val="single" w:color="000000" w:sz="2" w:space="0"/>
              <w:bottom w:val="single" w:color="auto" w:sz="4" w:space="0"/>
              <w:right w:val="single" w:color="auto" w:sz="4" w:space="0"/>
            </w:tcBorders>
            <w:vAlign w:val="center"/>
          </w:tcPr>
          <w:p w14:paraId="0F3AD362">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p>
        </w:tc>
        <w:tc>
          <w:tcPr>
            <w:tcW w:w="6095" w:type="dxa"/>
            <w:tcBorders>
              <w:top w:val="single" w:color="000000" w:sz="8" w:space="0"/>
              <w:left w:val="single" w:color="auto" w:sz="4" w:space="0"/>
              <w:bottom w:val="single" w:color="000000" w:sz="8" w:space="0"/>
              <w:right w:val="single" w:color="auto" w:sz="4" w:space="0"/>
            </w:tcBorders>
            <w:shd w:val="clear" w:color="auto" w:fill="auto"/>
            <w:vAlign w:val="center"/>
          </w:tcPr>
          <w:p w14:paraId="52A9DA4D">
            <w:pPr>
              <w:pStyle w:val="724"/>
              <w:snapToGrid w:val="0"/>
              <w:spacing w:line="360" w:lineRule="auto"/>
              <w:ind w:firstLine="482" w:firstLineChars="200"/>
              <w:rPr>
                <w:rFonts w:hint="eastAsia" w:ascii="宋体" w:hAnsi="宋体" w:eastAsia="宋体" w:cs="宋体"/>
                <w:b/>
                <w:bCs/>
                <w:color w:val="auto"/>
                <w:kern w:val="0"/>
                <w:sz w:val="24"/>
                <w:szCs w:val="20"/>
                <w:lang w:val="en-US" w:eastAsia="zh-CN" w:bidi="ar"/>
              </w:rPr>
            </w:pPr>
            <w:r>
              <w:rPr>
                <w:rFonts w:hint="eastAsia" w:cs="宋体"/>
                <w:b/>
                <w:bCs/>
                <w:color w:val="auto"/>
                <w:sz w:val="24"/>
                <w:lang w:eastAsia="zh-CN" w:bidi="ar"/>
              </w:rPr>
              <w:t>两家或两家以上供应商提供的投标文件出自同一终端设备的，或在相同Internet主机分配地址（相同IP地址）报名或网上投标的，后果由供应商自行承担。</w:t>
            </w:r>
          </w:p>
        </w:tc>
      </w:tr>
      <w:tr w14:paraId="58C3A15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000000" w:sz="2" w:space="0"/>
            </w:tcBorders>
            <w:shd w:val="clear" w:color="auto" w:fill="auto"/>
            <w:vAlign w:val="center"/>
          </w:tcPr>
          <w:p w14:paraId="250D3126">
            <w:pPr>
              <w:snapToGrid w:val="0"/>
              <w:spacing w:line="360" w:lineRule="auto"/>
              <w:jc w:val="center"/>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w:t>
            </w:r>
          </w:p>
        </w:tc>
        <w:tc>
          <w:tcPr>
            <w:tcW w:w="1843" w:type="dxa"/>
            <w:tcBorders>
              <w:top w:val="single" w:color="auto" w:sz="4" w:space="0"/>
              <w:left w:val="single" w:color="000000" w:sz="2" w:space="0"/>
              <w:bottom w:val="single" w:color="auto" w:sz="4" w:space="0"/>
              <w:right w:val="single" w:color="auto" w:sz="4" w:space="0"/>
            </w:tcBorders>
            <w:shd w:val="clear" w:color="auto" w:fill="auto"/>
            <w:vAlign w:val="center"/>
          </w:tcPr>
          <w:p w14:paraId="69191834">
            <w:pPr>
              <w:snapToGrid w:val="0"/>
              <w:spacing w:line="360" w:lineRule="auto"/>
              <w:jc w:val="center"/>
              <w:rPr>
                <w:rFonts w:hint="eastAsia" w:cs="仿宋_GB2312" w:asciiTheme="minorEastAsia" w:hAnsiTheme="minorEastAsia" w:eastAsiaTheme="minorEastAsia"/>
                <w:b/>
                <w:color w:val="auto"/>
                <w:sz w:val="24"/>
                <w:highlight w:val="none"/>
                <w:lang w:val="en" w:eastAsia="zh-CN"/>
              </w:rPr>
            </w:pPr>
            <w:r>
              <w:rPr>
                <w:rFonts w:hint="eastAsia" w:cs="仿宋_GB2312" w:asciiTheme="minorEastAsia" w:hAnsiTheme="minorEastAsia" w:eastAsiaTheme="minorEastAsia"/>
                <w:b/>
                <w:color w:val="auto"/>
                <w:sz w:val="24"/>
                <w:highlight w:val="none"/>
                <w:lang w:val="en" w:eastAsia="zh-CN"/>
              </w:rPr>
              <w:t>解释权</w:t>
            </w:r>
          </w:p>
        </w:tc>
        <w:tc>
          <w:tcPr>
            <w:tcW w:w="6095" w:type="dxa"/>
            <w:tcBorders>
              <w:top w:val="single" w:color="000000" w:sz="8" w:space="0"/>
              <w:left w:val="single" w:color="auto" w:sz="4" w:space="0"/>
              <w:bottom w:val="single" w:color="auto" w:sz="4" w:space="0"/>
              <w:right w:val="single" w:color="auto" w:sz="4" w:space="0"/>
            </w:tcBorders>
            <w:shd w:val="clear" w:color="auto" w:fill="auto"/>
            <w:vAlign w:val="center"/>
          </w:tcPr>
          <w:p w14:paraId="1EC7B59A">
            <w:pPr>
              <w:spacing w:line="360" w:lineRule="auto"/>
              <w:ind w:firstLine="420"/>
              <w:rPr>
                <w:rFonts w:hint="eastAsia" w:ascii="Times New Roman" w:hAnsi="Times New Roman" w:eastAsia="宋体" w:cs="Times New Roman"/>
                <w:color w:val="auto"/>
                <w:kern w:val="2"/>
                <w:sz w:val="21"/>
                <w:szCs w:val="24"/>
                <w:lang w:val="en-US" w:eastAsia="zh-CN" w:bidi="ar-SA"/>
              </w:rPr>
            </w:pPr>
            <w:r>
              <w:rPr>
                <w:rFonts w:hint="eastAsia" w:ascii="Times New Roman" w:hAnsi="宋体" w:eastAsia="宋体" w:cs="Times New Roman"/>
                <w:color w:val="auto"/>
                <w:sz w:val="24"/>
              </w:rPr>
              <w:t>本招标文件的解释权属于</w:t>
            </w:r>
            <w:r>
              <w:rPr>
                <w:rFonts w:hint="eastAsia" w:ascii="Times New Roman" w:hAnsi="宋体" w:eastAsia="宋体" w:cs="Times New Roman"/>
                <w:color w:val="auto"/>
                <w:sz w:val="24"/>
                <w:lang w:eastAsia="zh-CN"/>
              </w:rPr>
              <w:t>浙江信镧建设工程咨询有限公司</w:t>
            </w:r>
            <w:r>
              <w:rPr>
                <w:rFonts w:hint="eastAsia" w:ascii="Times New Roman" w:hAnsi="宋体" w:eastAsia="宋体" w:cs="Times New Roman"/>
                <w:color w:val="auto"/>
                <w:sz w:val="24"/>
              </w:rPr>
              <w:t>。</w:t>
            </w:r>
          </w:p>
        </w:tc>
      </w:tr>
    </w:tbl>
    <w:p w14:paraId="166DAE10">
      <w:pPr>
        <w:snapToGrid w:val="0"/>
        <w:spacing w:line="360" w:lineRule="auto"/>
        <w:jc w:val="center"/>
        <w:rPr>
          <w:rFonts w:ascii="宋体" w:hAnsi="宋体" w:cs="宋体"/>
          <w:b/>
          <w:color w:val="auto"/>
          <w:sz w:val="32"/>
          <w:szCs w:val="20"/>
          <w:highlight w:val="none"/>
        </w:rPr>
      </w:pPr>
    </w:p>
    <w:bookmarkEnd w:id="10"/>
    <w:p w14:paraId="75264CA2">
      <w:pPr>
        <w:adjustRightInd/>
        <w:spacing w:line="360" w:lineRule="auto"/>
        <w:ind w:firstLine="3845" w:firstLineChars="1197"/>
        <w:outlineLvl w:val="0"/>
        <w:rPr>
          <w:rFonts w:ascii="宋体" w:hAnsi="宋体" w:cs="宋体"/>
          <w:b/>
          <w:color w:val="auto"/>
          <w:sz w:val="32"/>
          <w:szCs w:val="20"/>
          <w:highlight w:val="none"/>
        </w:rPr>
      </w:pPr>
      <w:bookmarkStart w:id="11" w:name="_Toc164416483"/>
      <w:bookmarkStart w:id="12" w:name="第三部分"/>
      <w:r>
        <w:rPr>
          <w:rFonts w:hint="eastAsia" w:ascii="宋体" w:hAnsi="宋体" w:cs="宋体"/>
          <w:b/>
          <w:color w:val="auto"/>
          <w:sz w:val="32"/>
          <w:szCs w:val="20"/>
          <w:highlight w:val="none"/>
        </w:rPr>
        <w:t>一、总则</w:t>
      </w:r>
    </w:p>
    <w:p w14:paraId="56B79E12">
      <w:pPr>
        <w:snapToGrid w:val="0"/>
        <w:spacing w:line="360" w:lineRule="auto"/>
        <w:ind w:firstLine="361" w:firstLineChars="150"/>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0B2D25F0">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本招标文件适用于该项目的招标、投标、开标、资格审查及信用信息查询、评标、定标、合同、验收等行为（法律、法规另有规定的，从其规定）。</w:t>
      </w:r>
    </w:p>
    <w:p w14:paraId="1874DAD6">
      <w:pPr>
        <w:adjustRightInd/>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 xml:space="preserve">   2.定义</w:t>
      </w:r>
    </w:p>
    <w:p w14:paraId="452AA16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“采购人”系指招标公告中载明的本项目的采购人。</w:t>
      </w:r>
    </w:p>
    <w:p w14:paraId="07D0D80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”系指招标公告中载明的本项目的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7719B6B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“投标人”系指是指响应招标、参加投标竞争的法人、其他组织或者自然人。</w:t>
      </w:r>
    </w:p>
    <w:p w14:paraId="25340D5A">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0F6878F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2E85373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512A4CF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w:t>
      </w:r>
    </w:p>
    <w:p w14:paraId="79F2398D">
      <w:pPr>
        <w:spacing w:line="360" w:lineRule="auto"/>
        <w:ind w:firstLine="241" w:firstLineChars="100"/>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74331A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134CA64D">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3.2 支持绿色发展</w:t>
      </w:r>
    </w:p>
    <w:p w14:paraId="29B8521C">
      <w:pPr>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color w:val="auto"/>
          <w:sz w:val="24"/>
          <w:highlight w:val="none"/>
        </w:rPr>
        <w:t>▲采购人拟采购的产品属于政府强制采购的节能产品品目清单范围的，投标人相应的投标产品未获得国家确定的认证机构出具的、处于有效期之内的节能产品认证证书的，投标无效。</w:t>
      </w:r>
    </w:p>
    <w:p w14:paraId="51ADA57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 修缮、装修类项目采购建材的，采购人应将绿色建筑和绿色建材性能、指标等作为实质性条件纳入招标文件和合同。</w:t>
      </w:r>
    </w:p>
    <w:p w14:paraId="358A0BF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2FE2BED8">
      <w:pPr>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 xml:space="preserve">3.2.4 </w:t>
      </w:r>
      <w:r>
        <w:rPr>
          <w:rFonts w:hint="eastAsia" w:ascii="宋体" w:hAnsi="宋体" w:cs="宋体"/>
          <w:color w:val="auto"/>
          <w:sz w:val="24"/>
          <w:highlight w:val="none"/>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45958D2A">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3.3支持中小企业发展</w:t>
      </w:r>
    </w:p>
    <w:p w14:paraId="4D267C7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5E520BB9">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45D5B39E">
      <w:pPr>
        <w:widowControl/>
        <w:spacing w:line="360" w:lineRule="auto"/>
        <w:ind w:firstLine="480" w:firstLineChars="200"/>
        <w:jc w:val="left"/>
        <w:rPr>
          <w:rFonts w:ascii="宋体" w:hAnsi="宋体" w:cs="宋体"/>
          <w:color w:val="auto"/>
          <w:kern w:val="0"/>
          <w:sz w:val="24"/>
          <w:highlight w:val="none"/>
        </w:rPr>
      </w:pPr>
      <w:r>
        <w:rPr>
          <w:rFonts w:ascii="宋体" w:hAnsi="宋体" w:cs="宋体"/>
          <w:bCs/>
          <w:color w:val="auto"/>
          <w:sz w:val="24"/>
          <w:highlight w:val="none"/>
        </w:rPr>
        <w:t>3.3.2</w:t>
      </w:r>
      <w:r>
        <w:rPr>
          <w:rFonts w:hint="eastAsia" w:ascii="宋体" w:hAnsi="宋体" w:cs="宋体"/>
          <w:color w:val="auto"/>
          <w:kern w:val="0"/>
          <w:sz w:val="24"/>
          <w:highlight w:val="none"/>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14:paraId="22CE230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46AAD41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服务项目，以及预留份额政府采购服务项目中的非预留部分标项，对小型和微型企业的投标报价给予10%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14:paraId="1556AA1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7862C9C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6678CC8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3.3.6</w:t>
      </w:r>
      <w:r>
        <w:rPr>
          <w:rFonts w:hint="eastAsia" w:ascii="宋体" w:hAnsi="宋体" w:cs="宋体"/>
          <w:color w:val="auto"/>
          <w:sz w:val="24"/>
          <w:highlight w:val="none"/>
          <w:lang w:val="en" w:eastAsia="zh-CN"/>
        </w:rPr>
        <w:t>可享受中小企业扶持政策的投标人应按照招标文件格式要求提供《中小企业声明函》，《中小企业声明函》填写企业类型错误，导致该企业享受本不能享受的中小企业扶持政策，投标无效并依法承担法律责任</w:t>
      </w:r>
      <w:r>
        <w:rPr>
          <w:rFonts w:hint="eastAsia" w:ascii="宋体" w:hAnsi="宋体" w:cs="宋体"/>
          <w:color w:val="auto"/>
          <w:sz w:val="24"/>
          <w:highlight w:val="none"/>
        </w:rPr>
        <w:t>。</w:t>
      </w:r>
    </w:p>
    <w:p w14:paraId="0CE37296">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57C7E74F">
      <w:pPr>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42DB1002">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3663ABCB">
      <w:pPr>
        <w:pStyle w:val="3"/>
        <w:adjustRightInd w:val="0"/>
        <w:ind w:left="0" w:firstLine="480" w:firstLineChars="200"/>
        <w:rPr>
          <w:color w:val="auto"/>
          <w:highlight w:val="none"/>
          <w:u w:val="none"/>
        </w:rPr>
      </w:pPr>
      <w:r>
        <w:rPr>
          <w:rFonts w:hint="eastAsia" w:ascii="宋体" w:hAnsi="宋体" w:eastAsia="宋体" w:cs="仿宋"/>
          <w:b w:val="0"/>
          <w:bCs w:val="0"/>
          <w:color w:val="auto"/>
          <w:sz w:val="24"/>
          <w:szCs w:val="24"/>
          <w:highlight w:val="none"/>
          <w:u w:val="none"/>
          <w:lang w:val="en-US"/>
        </w:rPr>
        <w:t>3.4.</w:t>
      </w:r>
      <w:r>
        <w:rPr>
          <w:rFonts w:hint="eastAsia" w:ascii="宋体" w:hAnsi="宋体" w:eastAsia="宋体" w:cs="仿宋"/>
          <w:b w:val="0"/>
          <w:bCs w:val="0"/>
          <w:color w:val="auto"/>
          <w:sz w:val="24"/>
          <w:szCs w:val="24"/>
          <w:highlight w:val="none"/>
          <w:u w:val="none"/>
          <w:lang w:val="en-US" w:eastAsia="zh-CN"/>
        </w:rPr>
        <w:t>2</w:t>
      </w:r>
      <w:r>
        <w:rPr>
          <w:rFonts w:hint="eastAsia" w:ascii="宋体" w:hAnsi="宋体" w:eastAsia="宋体" w:cs="仿宋"/>
          <w:b w:val="0"/>
          <w:bCs w:val="0"/>
          <w:color w:val="auto"/>
          <w:sz w:val="24"/>
          <w:szCs w:val="24"/>
          <w:highlight w:val="none"/>
          <w:u w:val="none"/>
          <w:lang w:val="en-US"/>
        </w:rPr>
        <w:t xml:space="preserve"> </w:t>
      </w:r>
      <w:r>
        <w:rPr>
          <w:rFonts w:hint="eastAsia" w:ascii="宋体" w:hAnsi="宋体" w:eastAsia="宋体" w:cs="仿宋"/>
          <w:b w:val="0"/>
          <w:bCs w:val="0"/>
          <w:color w:val="auto"/>
          <w:sz w:val="24"/>
          <w:szCs w:val="24"/>
          <w:highlight w:val="none"/>
          <w:u w:val="none"/>
          <w:lang w:val="en-US" w:eastAsia="zh-CN"/>
        </w:rPr>
        <w:t>采购人应当贯彻落实知识产权保护相关法律法规，</w:t>
      </w:r>
      <w:r>
        <w:rPr>
          <w:rFonts w:hint="eastAsia" w:ascii="宋体" w:hAnsi="宋体" w:eastAsia="宋体" w:cs="仿宋"/>
          <w:b w:val="0"/>
          <w:bCs w:val="0"/>
          <w:color w:val="auto"/>
          <w:sz w:val="24"/>
          <w:szCs w:val="24"/>
          <w:highlight w:val="none"/>
          <w:u w:val="none"/>
          <w:lang w:val="en-US"/>
        </w:rPr>
        <w:t>应当采购使用正版软件。</w:t>
      </w:r>
    </w:p>
    <w:p w14:paraId="3097E85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3EE38953">
      <w:pPr>
        <w:spacing w:line="360" w:lineRule="auto"/>
        <w:ind w:firstLine="480" w:firstLineChars="200"/>
        <w:rPr>
          <w:rFonts w:hint="eastAsia" w:ascii="宋体" w:hAnsi="宋体" w:eastAsia="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eastAsia="宋体" w:cs="宋体"/>
          <w:b/>
          <w:color w:val="auto"/>
          <w:sz w:val="24"/>
          <w:highlight w:val="none"/>
        </w:rPr>
        <w:t>、补偿救济</w:t>
      </w:r>
    </w:p>
    <w:p w14:paraId="6F1AE62F">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002F5A95">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6ACB7464">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41C00706">
      <w:pPr>
        <w:autoSpaceDE w:val="0"/>
        <w:autoSpaceDN w:val="0"/>
        <w:spacing w:line="360" w:lineRule="auto"/>
        <w:ind w:firstLine="240" w:firstLineChars="1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053F4E11">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.1提出质疑的供应商应当是参与所质疑项目采购活动的供应商。潜在供应商已依法获取其可质疑的招标文件的，可以对该文件提出质疑。</w:t>
      </w:r>
    </w:p>
    <w:p w14:paraId="4DB81FF4">
      <w:pPr>
        <w:pStyle w:val="32"/>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6521B6BF">
      <w:pPr>
        <w:pStyle w:val="1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4.3.2.1对招标文件提出质疑的，质疑期限为供应商获得招标文件之日或者招标文件公告期限届满之日起计算。</w:t>
      </w:r>
    </w:p>
    <w:p w14:paraId="593C149A">
      <w:pPr>
        <w:pStyle w:val="32"/>
        <w:spacing w:line="360" w:lineRule="auto"/>
        <w:ind w:left="479" w:leftChars="228"/>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4.3.2.2对采购过程提出质疑的，质疑期限为各采购程序环节结束之日起计算。4.3.2.3对采购结果提出质疑的，质疑期限自采购结果公告期限届满之日起计算。</w:t>
      </w:r>
    </w:p>
    <w:p w14:paraId="34CBB85F">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C727DD6">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4.3.3.1供应商的姓名或者名称、地址、邮编、联系人及联系电话；</w:t>
      </w:r>
    </w:p>
    <w:p w14:paraId="3E3EAF25">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4.3.3.2质疑项目的名称、编号；</w:t>
      </w:r>
    </w:p>
    <w:p w14:paraId="2486A27E">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4.3.3.3具体、明确的质疑事项和与质疑事项相关的请求；</w:t>
      </w:r>
    </w:p>
    <w:p w14:paraId="4D239430">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4.3.3.4事实依据；</w:t>
      </w:r>
    </w:p>
    <w:p w14:paraId="6C90EC9C">
      <w:pPr>
        <w:pStyle w:val="32"/>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　　4.3.3.5必要的法律依据；</w:t>
      </w:r>
    </w:p>
    <w:p w14:paraId="5D64CD02">
      <w:pPr>
        <w:pStyle w:val="32"/>
        <w:spacing w:line="360" w:lineRule="auto"/>
        <w:ind w:firstLine="960" w:firstLineChars="4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35E9E5F8">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0CE89DCF">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质疑函范本及制作说明详见附件2。</w:t>
      </w:r>
    </w:p>
    <w:p w14:paraId="13D330D2">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4.3.4对同一采购程序环节的质疑，供应商须在法定质疑期内一次性提出。</w:t>
      </w:r>
    </w:p>
    <w:p w14:paraId="6BAEB4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63F18984">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2680FC7B">
      <w:pPr>
        <w:pStyle w:val="889"/>
        <w:shd w:val="clear" w:color="auto" w:fill="FFFFFF"/>
        <w:snapToGrid w:val="0"/>
        <w:spacing w:after="24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3B98A2A9">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0B604195">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245CA2E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4.4.3供应商投诉应当有明确的请求和必要的证明材料。</w:t>
      </w:r>
    </w:p>
    <w:p w14:paraId="65D7F310">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4.4.4以联合体形式参加政府采购活动的，其投诉应当由组成联合体的所有供应商共同提出。</w:t>
      </w:r>
    </w:p>
    <w:p w14:paraId="700A975D">
      <w:pPr>
        <w:pStyle w:val="889"/>
        <w:shd w:val="clear" w:color="auto" w:fill="FFFFFF"/>
        <w:snapToGrid w:val="0"/>
        <w:spacing w:after="240" w:afterAutospacing="0" w:line="360" w:lineRule="auto"/>
        <w:ind w:firstLine="400"/>
        <w:contextualSpacing/>
        <w:rPr>
          <w:rFonts w:hint="eastAsia"/>
          <w:color w:val="auto"/>
          <w:highlight w:val="none"/>
        </w:rPr>
      </w:pPr>
      <w:r>
        <w:rPr>
          <w:rFonts w:hint="eastAsia"/>
          <w:color w:val="auto"/>
          <w:highlight w:val="none"/>
        </w:rPr>
        <w:t>4.4.5根据政府采购行政裁决省市区三级联动试点工作安排，杭州市本级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color w:val="auto"/>
          <w:highlight w:val="none"/>
        </w:rPr>
        <w:t>。</w:t>
      </w:r>
    </w:p>
    <w:p w14:paraId="712FF852">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22C34A00">
      <w:pPr>
        <w:adjustRightInd w:val="0"/>
        <w:snapToGrid w:val="0"/>
        <w:spacing w:line="360" w:lineRule="auto"/>
        <w:ind w:firstLine="480" w:firstLineChars="200"/>
        <w:rPr>
          <w:rFonts w:hint="eastAsia"/>
          <w:color w:val="auto"/>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72BB4CFD">
      <w:pPr>
        <w:pStyle w:val="889"/>
        <w:shd w:val="clear" w:color="auto" w:fill="FFFFFF"/>
        <w:snapToGrid w:val="0"/>
        <w:spacing w:after="240" w:afterAutospacing="0" w:line="360" w:lineRule="auto"/>
        <w:ind w:firstLine="400"/>
        <w:contextualSpacing/>
        <w:rPr>
          <w:color w:val="auto"/>
          <w:highlight w:val="none"/>
        </w:rPr>
      </w:pPr>
      <w:r>
        <w:rPr>
          <w:rFonts w:hint="eastAsia"/>
          <w:color w:val="auto"/>
          <w:highlight w:val="none"/>
        </w:rPr>
        <w:t>投诉书范本及制作说明详见附件3。</w:t>
      </w:r>
    </w:p>
    <w:p w14:paraId="00B71198">
      <w:pPr>
        <w:pStyle w:val="131"/>
        <w:snapToGrid w:val="0"/>
        <w:spacing w:before="0"/>
        <w:ind w:firstLine="360"/>
        <w:rPr>
          <w:rFonts w:ascii="宋体" w:hAnsi="宋体" w:cs="宋体"/>
          <w:color w:val="auto"/>
          <w:sz w:val="18"/>
          <w:szCs w:val="18"/>
          <w:highlight w:val="none"/>
        </w:rPr>
      </w:pPr>
    </w:p>
    <w:p w14:paraId="38252F4B">
      <w:pPr>
        <w:adjustRightInd/>
        <w:spacing w:line="360" w:lineRule="auto"/>
        <w:jc w:val="center"/>
        <w:outlineLvl w:val="0"/>
        <w:rPr>
          <w:rFonts w:hint="eastAsia" w:ascii="宋体" w:hAnsi="宋体" w:cs="宋体"/>
          <w:b/>
          <w:color w:val="auto"/>
          <w:sz w:val="32"/>
          <w:szCs w:val="20"/>
          <w:highlight w:val="none"/>
        </w:rPr>
        <w:sectPr>
          <w:pgSz w:w="11906" w:h="16838"/>
          <w:pgMar w:top="680" w:right="1418" w:bottom="468" w:left="1418" w:header="851" w:footer="992" w:gutter="0"/>
          <w:cols w:space="720" w:num="1"/>
          <w:titlePg/>
          <w:docGrid w:linePitch="312" w:charSpace="0"/>
        </w:sectPr>
      </w:pPr>
      <w:r>
        <w:rPr>
          <w:rFonts w:hint="eastAsia" w:ascii="宋体" w:hAnsi="宋体" w:cs="宋体"/>
          <w:b/>
          <w:color w:val="auto"/>
          <w:sz w:val="32"/>
          <w:szCs w:val="20"/>
          <w:highlight w:val="none"/>
        </w:rPr>
        <w:t xml:space="preserve">      </w:t>
      </w:r>
    </w:p>
    <w:p w14:paraId="60847ABF">
      <w:pPr>
        <w:adjustRightInd/>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二、招标文件的构成、澄清、修改</w:t>
      </w:r>
    </w:p>
    <w:p w14:paraId="4B83C9F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5．招标文件的构成</w:t>
      </w:r>
    </w:p>
    <w:p w14:paraId="743FBF41">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招标文件包括下列文件及附件：</w:t>
      </w:r>
    </w:p>
    <w:p w14:paraId="448832F7">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5.1.1招标公告；</w:t>
      </w:r>
    </w:p>
    <w:p w14:paraId="40208193">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5.1.2投标人须知；</w:t>
      </w:r>
    </w:p>
    <w:p w14:paraId="3DECB49D">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7B107D15">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5.1.4评标办法；</w:t>
      </w:r>
    </w:p>
    <w:p w14:paraId="7FEA5162">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4C8291B4">
      <w:pPr>
        <w:pStyle w:val="32"/>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196C0DD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澄清或者修改的内容为招标文件的组成部分</w:t>
      </w:r>
      <w:r>
        <w:rPr>
          <w:rFonts w:hint="eastAsia" w:ascii="宋体" w:hAnsi="宋体" w:cs="宋体"/>
          <w:color w:val="auto"/>
          <w:sz w:val="24"/>
          <w:highlight w:val="none"/>
        </w:rPr>
        <w:t>。</w:t>
      </w:r>
    </w:p>
    <w:p w14:paraId="3455F096">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6. 招标文件的澄清、修改</w:t>
      </w:r>
    </w:p>
    <w:p w14:paraId="6177C236">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6.1已获取招标文件的潜在投标人，若有问题需要澄清，应于投标截止时间前，以书面形式向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64AD250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5BB4D946">
      <w:pPr>
        <w:pStyle w:val="23"/>
        <w:rPr>
          <w:rFonts w:hAnsi="宋体" w:cs="宋体"/>
          <w:color w:val="auto"/>
          <w:sz w:val="18"/>
          <w:szCs w:val="18"/>
          <w:highlight w:val="none"/>
          <w:lang w:val="en-US"/>
        </w:rPr>
      </w:pPr>
      <w:r>
        <w:rPr>
          <w:rFonts w:hint="eastAsia" w:hAnsi="宋体" w:cs="宋体"/>
          <w:color w:val="auto"/>
          <w:szCs w:val="24"/>
          <w:highlight w:val="none"/>
          <w:lang w:val="en-US"/>
        </w:rPr>
        <w:t xml:space="preserve">    </w:t>
      </w:r>
    </w:p>
    <w:p w14:paraId="3D6DCC4B">
      <w:pPr>
        <w:adjustRightInd/>
        <w:spacing w:line="360" w:lineRule="auto"/>
        <w:jc w:val="center"/>
        <w:outlineLvl w:val="0"/>
        <w:rPr>
          <w:rFonts w:hint="eastAsia" w:ascii="宋体" w:hAnsi="宋体" w:cs="宋体"/>
          <w:b/>
          <w:color w:val="auto"/>
          <w:sz w:val="30"/>
          <w:szCs w:val="20"/>
          <w:highlight w:val="none"/>
        </w:rPr>
        <w:sectPr>
          <w:pgSz w:w="11906" w:h="16838"/>
          <w:pgMar w:top="680" w:right="1418" w:bottom="468" w:left="1418" w:header="851" w:footer="992" w:gutter="0"/>
          <w:cols w:space="720" w:num="1"/>
          <w:titlePg/>
          <w:docGrid w:linePitch="312" w:charSpace="0"/>
        </w:sectPr>
      </w:pPr>
    </w:p>
    <w:p w14:paraId="53A42102">
      <w:pPr>
        <w:adjustRightInd/>
        <w:spacing w:line="360" w:lineRule="auto"/>
        <w:jc w:val="center"/>
        <w:outlineLvl w:val="0"/>
        <w:rPr>
          <w:rFonts w:ascii="宋体" w:hAnsi="宋体" w:cs="宋体"/>
          <w:b/>
          <w:color w:val="auto"/>
          <w:sz w:val="30"/>
          <w:szCs w:val="20"/>
          <w:highlight w:val="none"/>
        </w:rPr>
      </w:pPr>
      <w:r>
        <w:rPr>
          <w:rFonts w:hint="eastAsia" w:ascii="宋体" w:hAnsi="宋体" w:cs="宋体"/>
          <w:b/>
          <w:color w:val="auto"/>
          <w:sz w:val="30"/>
          <w:szCs w:val="20"/>
          <w:highlight w:val="none"/>
        </w:rPr>
        <w:t>三、投标</w:t>
      </w:r>
    </w:p>
    <w:p w14:paraId="11640B7F">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7. 招标文件的获取</w:t>
      </w:r>
    </w:p>
    <w:p w14:paraId="1FE5694F">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详见招标公告中获取招标文件的时间期限、地点、方式及招标文件售价。</w:t>
      </w:r>
    </w:p>
    <w:p w14:paraId="67BCB54C">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8.开标前答疑会或现场考察</w:t>
      </w:r>
    </w:p>
    <w:p w14:paraId="04728D9E">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采购人组织潜在投标人现场考察或者召开开标前答疑会的，潜在投标人按第二部分投标人须知前附表的规定参加现场考察或者开标前答疑会。</w:t>
      </w:r>
    </w:p>
    <w:p w14:paraId="10177369">
      <w:pPr>
        <w:pStyle w:val="32"/>
        <w:spacing w:line="360" w:lineRule="auto"/>
        <w:rPr>
          <w:rFonts w:hAnsi="宋体" w:cs="宋体"/>
          <w:b/>
          <w:color w:val="auto"/>
          <w:szCs w:val="24"/>
          <w:highlight w:val="none"/>
        </w:rPr>
      </w:pPr>
      <w:r>
        <w:rPr>
          <w:rFonts w:hint="eastAsia" w:hAnsi="宋体" w:cs="宋体"/>
          <w:b/>
          <w:color w:val="auto"/>
          <w:kern w:val="28"/>
          <w:sz w:val="24"/>
          <w:szCs w:val="24"/>
          <w:highlight w:val="none"/>
        </w:rPr>
        <w:t>9.投标保证金</w:t>
      </w:r>
    </w:p>
    <w:p w14:paraId="617BD70F">
      <w:pPr>
        <w:pStyle w:val="1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本项目不需缴纳投标保证金。</w:t>
      </w:r>
    </w:p>
    <w:p w14:paraId="37DA2D84">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10. 投标文件的语言</w:t>
      </w:r>
    </w:p>
    <w:p w14:paraId="39107709">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投标文件及投标人与采购有关的来往通知、函件和文件均应使用中文。</w:t>
      </w:r>
    </w:p>
    <w:p w14:paraId="699A92E7">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11. 投标文件的组成</w:t>
      </w:r>
    </w:p>
    <w:p w14:paraId="693E5C2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5B3DB47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03F8D4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r>
        <w:rPr>
          <w:rFonts w:hint="eastAsia" w:ascii="宋体" w:hAnsi="宋体" w:cs="宋体"/>
          <w:snapToGrid w:val="0"/>
          <w:color w:val="auto"/>
          <w:kern w:val="28"/>
          <w:sz w:val="24"/>
          <w:szCs w:val="20"/>
          <w:highlight w:val="none"/>
        </w:rPr>
        <w:t>联合协议（如果有)；</w:t>
      </w:r>
    </w:p>
    <w:p w14:paraId="208560E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lang w:eastAsia="zh-CN"/>
        </w:rPr>
        <w:t>：</w:t>
      </w:r>
      <w:r>
        <w:rPr>
          <w:rFonts w:hint="eastAsia" w:ascii="宋体" w:hAnsi="宋体" w:eastAsia="宋体" w:cs="宋体"/>
          <w:b w:val="0"/>
          <w:bCs w:val="0"/>
          <w:color w:val="auto"/>
          <w:sz w:val="24"/>
          <w:highlight w:val="none"/>
        </w:rPr>
        <w:t>中小企业声明函</w:t>
      </w:r>
      <w:r>
        <w:rPr>
          <w:rFonts w:hint="eastAsia" w:ascii="宋体" w:hAnsi="宋体" w:cs="宋体"/>
          <w:color w:val="auto"/>
          <w:sz w:val="24"/>
          <w:highlight w:val="none"/>
        </w:rPr>
        <w:t>；</w:t>
      </w:r>
    </w:p>
    <w:p w14:paraId="09013B61">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6AD56734">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3A185A5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11.2.1投标函；</w:t>
      </w:r>
      <w:r>
        <w:rPr>
          <w:rFonts w:hint="eastAsia" w:ascii="宋体" w:hAnsi="宋体" w:cs="宋体"/>
          <w:color w:val="auto"/>
          <w:sz w:val="24"/>
          <w:highlight w:val="none"/>
          <w:lang w:val="zh-CN"/>
        </w:rPr>
        <w:t xml:space="preserve"> </w:t>
      </w:r>
    </w:p>
    <w:p w14:paraId="0B74C80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279A306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13E7F7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5DDBD84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11.2.</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p>
    <w:p w14:paraId="21A42F8C">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p>
    <w:p w14:paraId="75AAD2E4">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p>
    <w:p w14:paraId="737ABAA2">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3D93F9">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11.3.1开标一览表（报价表）；</w:t>
      </w:r>
    </w:p>
    <w:p w14:paraId="2BDB0CA6">
      <w:pPr>
        <w:pStyle w:val="3"/>
        <w:snapToGrid w:val="0"/>
        <w:spacing w:line="360" w:lineRule="auto"/>
        <w:ind w:left="0" w:firstLine="960" w:firstLineChars="400"/>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szCs w:val="24"/>
          <w:highlight w:val="none"/>
          <w:lang w:val="en-US"/>
        </w:rPr>
        <w:t>11.3.</w:t>
      </w:r>
      <w:r>
        <w:rPr>
          <w:rFonts w:hint="eastAsia" w:ascii="宋体" w:hAnsi="宋体" w:eastAsia="宋体" w:cs="宋体"/>
          <w:b w:val="0"/>
          <w:bCs w:val="0"/>
          <w:color w:val="auto"/>
          <w:sz w:val="24"/>
          <w:szCs w:val="24"/>
          <w:highlight w:val="none"/>
          <w:lang w:val="en-US" w:eastAsia="zh-CN"/>
        </w:rPr>
        <w:t>2</w:t>
      </w:r>
      <w:r>
        <w:rPr>
          <w:rFonts w:hint="eastAsia" w:ascii="宋体" w:hAnsi="宋体" w:eastAsia="宋体" w:cs="宋体"/>
          <w:b w:val="0"/>
          <w:bCs w:val="0"/>
          <w:color w:val="auto"/>
          <w:sz w:val="24"/>
          <w:szCs w:val="24"/>
          <w:highlight w:val="none"/>
          <w:lang w:val="en-US"/>
        </w:rPr>
        <w:t xml:space="preserve"> </w:t>
      </w:r>
      <w:r>
        <w:rPr>
          <w:rFonts w:hint="eastAsia" w:ascii="宋体" w:hAnsi="宋体" w:eastAsia="宋体" w:cs="宋体"/>
          <w:b w:val="0"/>
          <w:bCs w:val="0"/>
          <w:color w:val="auto"/>
          <w:sz w:val="24"/>
          <w:highlight w:val="none"/>
        </w:rPr>
        <w:t>中小企业声明函。</w:t>
      </w:r>
    </w:p>
    <w:p w14:paraId="1DC36947">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投标文件含有采购人不能接受的附加条件的，投标无效；</w:t>
      </w:r>
    </w:p>
    <w:p w14:paraId="768BB57C">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投标人提供虚假材料投标的，投标无效。</w:t>
      </w:r>
    </w:p>
    <w:p w14:paraId="0F02E42D">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投标人应对投标文件中材料的真实性、合法性负责。投标人可事先在公开官网查询、核对相关证书和报告内容，确保投标（响应）文件资料准确无误。</w:t>
      </w:r>
    </w:p>
    <w:p w14:paraId="30120E37">
      <w:pPr>
        <w:pStyle w:val="131"/>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投标文件的编制</w:t>
      </w:r>
    </w:p>
    <w:p w14:paraId="5599684A">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14:paraId="344919A0">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499FF374">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616CD10A">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13.投标文件的签署、盖章</w:t>
      </w:r>
    </w:p>
    <w:p w14:paraId="3B93CB6D">
      <w:pPr>
        <w:pStyle w:val="131"/>
        <w:snapToGrid w:val="0"/>
        <w:spacing w:before="0"/>
        <w:ind w:firstLine="480"/>
        <w:rPr>
          <w:rFonts w:ascii="宋体" w:hAnsi="宋体" w:cs="宋体"/>
          <w:b/>
          <w:color w:val="auto"/>
          <w:highlight w:val="none"/>
        </w:rPr>
      </w:pPr>
      <w:r>
        <w:rPr>
          <w:rFonts w:hint="eastAsia" w:ascii="宋体" w:hAnsi="宋体" w:cs="宋体"/>
          <w:color w:val="auto"/>
          <w:szCs w:val="24"/>
          <w:highlight w:val="none"/>
        </w:rPr>
        <w:t>13.1投标文件按照招标文件第六部分格式要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▲投标人的投标文件未按照招标文件要求签署、盖章的，其投标无效</w:t>
      </w:r>
      <w:r>
        <w:rPr>
          <w:rFonts w:hint="eastAsia" w:ascii="宋体" w:hAnsi="宋体" w:cs="宋体"/>
          <w:color w:val="auto"/>
          <w:szCs w:val="24"/>
          <w:highlight w:val="none"/>
        </w:rPr>
        <w:t>。</w:t>
      </w:r>
    </w:p>
    <w:p w14:paraId="286B4080">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13.2为确保网上操作合法、有效和安全，投标人应当在投标截止时间前完成在“政府采购云平台”的身份认证，确保在电子投标过程中能够对相关数据电文进行加密和使用电子签名。</w:t>
      </w:r>
    </w:p>
    <w:p w14:paraId="2F65C72E">
      <w:pPr>
        <w:pStyle w:val="131"/>
        <w:snapToGrid w:val="0"/>
        <w:spacing w:before="0"/>
        <w:ind w:firstLine="480"/>
        <w:rPr>
          <w:rFonts w:ascii="宋体" w:hAnsi="宋体" w:cs="宋体"/>
          <w:color w:val="auto"/>
          <w:szCs w:val="24"/>
          <w:highlight w:val="none"/>
        </w:rPr>
      </w:pPr>
      <w:r>
        <w:rPr>
          <w:rFonts w:hint="eastAsia" w:ascii="宋体" w:hAnsi="宋体" w:cs="宋体"/>
          <w:color w:val="auto"/>
          <w:highlight w:val="none"/>
        </w:rPr>
        <w:t>13.3招标文件对投标文件签署、盖章的要求适用于电子签名。</w:t>
      </w:r>
    </w:p>
    <w:p w14:paraId="348BCF79">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投标文件的提交、补充、修改、撤回</w:t>
      </w:r>
    </w:p>
    <w:p w14:paraId="45BCDF5B">
      <w:pPr>
        <w:pStyle w:val="131"/>
        <w:ind w:firstLine="480"/>
        <w:rPr>
          <w:rFonts w:ascii="宋体" w:hAnsi="宋体" w:cs="宋体"/>
          <w:color w:val="auto"/>
          <w:szCs w:val="24"/>
          <w:highlight w:val="none"/>
        </w:rPr>
      </w:pPr>
      <w:r>
        <w:rPr>
          <w:rFonts w:hint="eastAsia" w:ascii="宋体" w:hAnsi="宋体" w:cs="宋体"/>
          <w:color w:val="auto"/>
          <w:szCs w:val="24"/>
          <w:highlight w:val="none"/>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D029645">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14.2电子交易平台收到投标文件，将妥善保存并即时向供应商发出确认回执通知。在投标截止时间前，除供应商补充、修改或者撤回投标文件外，任何单位和个人不得解密或提取投标文件。</w:t>
      </w:r>
    </w:p>
    <w:p w14:paraId="2C0FF7C3">
      <w:pPr>
        <w:pStyle w:val="131"/>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可以视情况延长投标文件提交的截止时间。在上述情况下，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与投标人以前在投标截止期方面的全部权利、责任和义务，将适用于延长至新的投标截止期。</w:t>
      </w:r>
    </w:p>
    <w:p w14:paraId="1CFFFBD8">
      <w:pPr>
        <w:pStyle w:val="32"/>
        <w:spacing w:line="360" w:lineRule="auto"/>
        <w:rPr>
          <w:rFonts w:hAnsi="宋体" w:cs="宋体"/>
          <w:b/>
          <w:color w:val="auto"/>
          <w:sz w:val="24"/>
          <w:szCs w:val="24"/>
          <w:highlight w:val="none"/>
        </w:rPr>
      </w:pPr>
      <w:r>
        <w:rPr>
          <w:rFonts w:hint="eastAsia" w:hAnsi="宋体" w:cs="宋体"/>
          <w:b/>
          <w:color w:val="auto"/>
          <w:sz w:val="24"/>
          <w:szCs w:val="24"/>
          <w:highlight w:val="none"/>
        </w:rPr>
        <w:t>15.备份投标文件</w:t>
      </w:r>
    </w:p>
    <w:p w14:paraId="42A04E0C">
      <w:pPr>
        <w:pStyle w:val="32"/>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15.1投标人在电子交易平台传输递交投标文件后，还可以在投标截止时间前直接提交或者以邮政快递方式递交备份投标文件1份，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不强制或变相强制投标人提交备份投标文件。</w:t>
      </w:r>
    </w:p>
    <w:p w14:paraId="45B22E94">
      <w:pPr>
        <w:pStyle w:val="32"/>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15.2备份投标文件须在“政采云投标客户端”制作生成，并储存在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存储、密封规定的备份投标文件将被视为无效或者被拒绝接收。</w:t>
      </w:r>
    </w:p>
    <w:p w14:paraId="17435F7A">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15.3直接提交备份投标文件的，投标人应于投标截止时间前在招标公告中载明的开标地点将备份投标文件提交给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w:t>
      </w:r>
    </w:p>
    <w:p w14:paraId="343F0A03">
      <w:pPr>
        <w:pStyle w:val="32"/>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color w:val="auto"/>
          <w:sz w:val="24"/>
          <w:szCs w:val="24"/>
          <w:highlight w:val="none"/>
        </w:rPr>
        <w:t>招标文件第二部分投标人须知前附表规定的备份投标文件送达地点；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将拒绝接受逾期送达的备份投标文件。邮寄过程中，电子备份投标文件发生泄露、遗失、损坏或延期送达等情况的，由投标人自行负责。</w:t>
      </w:r>
    </w:p>
    <w:p w14:paraId="251A884F">
      <w:pPr>
        <w:pStyle w:val="32"/>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15.5投标人仅提交备份投标文件，未在电子交易平台传输递交投标文件的，投标无效。</w:t>
      </w:r>
    </w:p>
    <w:p w14:paraId="6DB60A0B">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16.投标文件的无效处理</w:t>
      </w:r>
    </w:p>
    <w:p w14:paraId="074E5FFB">
      <w:pPr>
        <w:pStyle w:val="24"/>
        <w:spacing w:line="360" w:lineRule="auto"/>
        <w:ind w:firstLine="360" w:firstLineChars="150"/>
        <w:rPr>
          <w:rFonts w:cs="宋体"/>
          <w:color w:val="auto"/>
          <w:szCs w:val="21"/>
          <w:highlight w:val="none"/>
        </w:rPr>
      </w:pPr>
      <w:r>
        <w:rPr>
          <w:rFonts w:hint="eastAsia" w:cs="宋体"/>
          <w:color w:val="auto"/>
          <w:szCs w:val="21"/>
          <w:highlight w:val="none"/>
        </w:rPr>
        <w:t>有招标文件第四部分</w:t>
      </w:r>
      <w:r>
        <w:rPr>
          <w:rFonts w:cs="宋体"/>
          <w:color w:val="auto"/>
          <w:szCs w:val="21"/>
          <w:highlight w:val="none"/>
        </w:rPr>
        <w:t>4.2规定</w:t>
      </w:r>
      <w:r>
        <w:rPr>
          <w:rFonts w:hint="eastAsia" w:cs="宋体"/>
          <w:color w:val="auto"/>
          <w:szCs w:val="21"/>
          <w:highlight w:val="none"/>
        </w:rPr>
        <w:t>的情形之一的，投标无效：</w:t>
      </w:r>
    </w:p>
    <w:p w14:paraId="77669CCC">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17.投标有效期</w:t>
      </w:r>
    </w:p>
    <w:p w14:paraId="4E78CE15">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17.1投标有效期为从提交投标文件的截止之日起90天。▲</w:t>
      </w:r>
      <w:r>
        <w:rPr>
          <w:rFonts w:hint="eastAsia" w:ascii="宋体" w:hAnsi="宋体" w:cs="宋体"/>
          <w:b/>
          <w:color w:val="auto"/>
          <w:sz w:val="24"/>
          <w:szCs w:val="20"/>
          <w:highlight w:val="none"/>
        </w:rPr>
        <w:t>投标人的投标文件中承</w:t>
      </w:r>
      <w:r>
        <w:rPr>
          <w:rFonts w:hint="eastAsia" w:ascii="宋体" w:hAnsi="宋体" w:cs="宋体"/>
          <w:b/>
          <w:color w:val="auto"/>
          <w:sz w:val="24"/>
          <w:szCs w:val="21"/>
          <w:highlight w:val="none"/>
        </w:rPr>
        <w:t>诺的投标有效期少于招标文件中载明的投标有效期的，投标无效。</w:t>
      </w:r>
    </w:p>
    <w:p w14:paraId="159A5936">
      <w:pPr>
        <w:pStyle w:val="131"/>
        <w:spacing w:before="0"/>
        <w:ind w:firstLine="480"/>
        <w:rPr>
          <w:rFonts w:ascii="宋体" w:hAnsi="宋体" w:cs="宋体"/>
          <w:color w:val="auto"/>
          <w:highlight w:val="none"/>
        </w:rPr>
      </w:pPr>
      <w:r>
        <w:rPr>
          <w:rFonts w:hint="eastAsia" w:ascii="宋体" w:hAnsi="宋体" w:cs="宋体"/>
          <w:color w:val="auto"/>
          <w:highlight w:val="none"/>
        </w:rPr>
        <w:t>17.2投标文件合格投递后，自投标截止日期起，在投标有效期内有效。</w:t>
      </w:r>
    </w:p>
    <w:p w14:paraId="0B27342F">
      <w:pPr>
        <w:pStyle w:val="131"/>
        <w:spacing w:before="0"/>
        <w:ind w:firstLine="480"/>
        <w:rPr>
          <w:rFonts w:ascii="宋体" w:hAnsi="宋体" w:cs="宋体"/>
          <w:color w:val="auto"/>
          <w:highlight w:val="none"/>
        </w:rPr>
      </w:pPr>
      <w:r>
        <w:rPr>
          <w:rFonts w:hint="eastAsia" w:ascii="宋体" w:hAnsi="宋体" w:cs="宋体"/>
          <w:color w:val="auto"/>
          <w:highlight w:val="none"/>
        </w:rPr>
        <w:t>17.3在原定投标有效期满之前，如果出现特殊情况，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可以以书面形式通知投标人延长投标有效期。投标人同意延长的，不得要求或被允许修改其投标文件，投标人拒绝延长的，其投标无效。</w:t>
      </w:r>
    </w:p>
    <w:p w14:paraId="2B060547">
      <w:pPr>
        <w:pStyle w:val="131"/>
        <w:spacing w:before="0"/>
        <w:ind w:firstLine="643"/>
        <w:rPr>
          <w:rFonts w:ascii="宋体" w:hAnsi="宋体" w:cs="宋体"/>
          <w:b/>
          <w:color w:val="auto"/>
          <w:sz w:val="32"/>
          <w:highlight w:val="none"/>
        </w:rPr>
      </w:pPr>
    </w:p>
    <w:p w14:paraId="28CE659A">
      <w:pPr>
        <w:pStyle w:val="131"/>
        <w:spacing w:before="0"/>
        <w:ind w:firstLine="1928" w:firstLineChars="600"/>
        <w:rPr>
          <w:rFonts w:hint="eastAsia" w:ascii="宋体" w:hAnsi="宋体" w:cs="宋体"/>
          <w:b/>
          <w:color w:val="auto"/>
          <w:sz w:val="32"/>
          <w:highlight w:val="none"/>
        </w:rPr>
        <w:sectPr>
          <w:pgSz w:w="11906" w:h="16838"/>
          <w:pgMar w:top="680" w:right="1418" w:bottom="468" w:left="1418" w:header="851" w:footer="992" w:gutter="0"/>
          <w:cols w:space="720" w:num="1"/>
          <w:titlePg/>
          <w:docGrid w:linePitch="312" w:charSpace="0"/>
        </w:sectPr>
      </w:pPr>
    </w:p>
    <w:p w14:paraId="25870E80">
      <w:pPr>
        <w:pStyle w:val="131"/>
        <w:spacing w:before="0"/>
        <w:ind w:firstLine="1928" w:firstLineChars="600"/>
        <w:rPr>
          <w:rFonts w:ascii="宋体" w:hAnsi="宋体" w:cs="宋体"/>
          <w:b/>
          <w:color w:val="auto"/>
          <w:sz w:val="32"/>
          <w:highlight w:val="none"/>
        </w:rPr>
      </w:pPr>
      <w:r>
        <w:rPr>
          <w:rFonts w:hint="eastAsia" w:ascii="宋体" w:hAnsi="宋体" w:cs="宋体"/>
          <w:b/>
          <w:color w:val="auto"/>
          <w:sz w:val="32"/>
          <w:highlight w:val="none"/>
        </w:rPr>
        <w:t>四、开标、资格审查与信用信息查询</w:t>
      </w:r>
    </w:p>
    <w:p w14:paraId="1D3F69FE">
      <w:pPr>
        <w:pStyle w:val="557"/>
        <w:spacing w:before="0" w:line="360" w:lineRule="auto"/>
        <w:ind w:left="0" w:firstLine="241" w:firstLineChars="100"/>
        <w:contextualSpacing/>
        <w:rPr>
          <w:rFonts w:ascii="宋体" w:hAnsi="宋体" w:cs="宋体"/>
          <w:color w:val="auto"/>
          <w:sz w:val="24"/>
          <w:highlight w:val="none"/>
        </w:rPr>
      </w:pPr>
      <w:r>
        <w:rPr>
          <w:rFonts w:hint="eastAsia" w:ascii="宋体" w:hAnsi="宋体" w:cs="宋体"/>
          <w:b/>
          <w:color w:val="auto"/>
          <w:sz w:val="24"/>
          <w:szCs w:val="24"/>
          <w:highlight w:val="none"/>
        </w:rPr>
        <w:t>18.开标</w:t>
      </w:r>
      <w:r>
        <w:rPr>
          <w:rFonts w:hint="eastAsia" w:ascii="宋体" w:hAnsi="宋体" w:cs="宋体"/>
          <w:color w:val="auto"/>
          <w:sz w:val="24"/>
          <w:highlight w:val="none"/>
        </w:rPr>
        <w:t xml:space="preserve"> </w:t>
      </w:r>
    </w:p>
    <w:p w14:paraId="6B6042C8">
      <w:pPr>
        <w:pStyle w:val="557"/>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按照招标文件规定的时间通过电子交易平台组织开标，所有投标人均应当准时在线参加。投标人不足3家的，不得开标。</w:t>
      </w:r>
    </w:p>
    <w:p w14:paraId="75EC8592">
      <w:pPr>
        <w:pStyle w:val="557"/>
        <w:spacing w:before="0" w:line="360" w:lineRule="auto"/>
        <w:ind w:left="0" w:firstLine="240" w:firstLineChars="100"/>
        <w:contextualSpacing/>
        <w:rPr>
          <w:rFonts w:ascii="宋体" w:hAnsi="宋体" w:cs="宋体"/>
          <w:color w:val="auto"/>
          <w:sz w:val="24"/>
          <w:highlight w:val="none"/>
        </w:rPr>
      </w:pPr>
      <w:r>
        <w:rPr>
          <w:rFonts w:hint="eastAsia" w:ascii="宋体" w:hAnsi="宋体" w:cs="宋体"/>
          <w:color w:val="auto"/>
          <w:sz w:val="24"/>
          <w:highlight w:val="none"/>
        </w:rPr>
        <w:t>　18.2开标时，电子交易平台按开标时间自动提取所有投标文件。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依托电子交易平台发起开始解密指令，投标人按照平台提示和招标文件的规定在半小时内完成在线解密。</w:t>
      </w:r>
    </w:p>
    <w:p w14:paraId="2E1B55E9">
      <w:pPr>
        <w:pStyle w:val="557"/>
        <w:spacing w:before="0" w:line="360" w:lineRule="auto"/>
        <w:ind w:left="0" w:firstLine="240" w:firstLineChars="100"/>
        <w:contextualSpacing/>
        <w:rPr>
          <w:rFonts w:ascii="宋体" w:hAnsi="宋体" w:cs="宋体"/>
          <w:b/>
          <w:color w:val="auto"/>
          <w:sz w:val="24"/>
          <w:highlight w:val="none"/>
        </w:rPr>
      </w:pPr>
      <w:r>
        <w:rPr>
          <w:rFonts w:hint="eastAsia" w:ascii="宋体" w:hAnsi="宋体" w:cs="宋体"/>
          <w:color w:val="auto"/>
          <w:sz w:val="24"/>
          <w:highlight w:val="none"/>
        </w:rPr>
        <w:t>　18.3</w:t>
      </w:r>
      <w:r>
        <w:rPr>
          <w:rFonts w:hint="eastAsia" w:ascii="宋体" w:hAnsi="宋体" w:cs="宋体"/>
          <w:b/>
          <w:color w:val="auto"/>
          <w:sz w:val="24"/>
          <w:highlight w:val="none"/>
        </w:rPr>
        <w:t>投标文件未按时解密，投标人提供了备份投标文件的，以备份投标文件作为依据，否则视为投标文件撤回。投标文件已按时解密的，备份投标文件自动失效。</w:t>
      </w:r>
    </w:p>
    <w:p w14:paraId="7CBE3002">
      <w:pPr>
        <w:widowControl/>
        <w:spacing w:before="100" w:beforeAutospacing="1" w:after="240" w:line="360" w:lineRule="auto"/>
        <w:jc w:val="left"/>
        <w:rPr>
          <w:rFonts w:ascii="宋体" w:hAnsi="宋体" w:cs="宋体"/>
          <w:b/>
          <w:color w:val="auto"/>
          <w:sz w:val="24"/>
          <w:szCs w:val="20"/>
          <w:highlight w:val="none"/>
        </w:rPr>
      </w:pPr>
      <w:r>
        <w:rPr>
          <w:rFonts w:hint="eastAsia" w:ascii="宋体" w:hAnsi="宋体" w:cs="宋体"/>
          <w:b/>
          <w:color w:val="auto"/>
          <w:sz w:val="24"/>
          <w:szCs w:val="20"/>
          <w:highlight w:val="none"/>
        </w:rPr>
        <w:t>　19、资格审查</w:t>
      </w:r>
    </w:p>
    <w:p w14:paraId="5023066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采购人或</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依据法律法规和招标文件的规定，对投标人的资格进行审查。</w:t>
      </w:r>
    </w:p>
    <w:p w14:paraId="7ECDA655">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投标人未按照招标文件要求提供与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投标人不具备招标文件中规定的资格要求，其投标无效。</w:t>
      </w:r>
    </w:p>
    <w:p w14:paraId="58AA200A">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对未通过资格审查的投标人，采购人或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3869969E">
      <w:pPr>
        <w:pStyle w:val="131"/>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合格投标人不足3家的，不再评标。</w:t>
      </w:r>
    </w:p>
    <w:p w14:paraId="56CCE8D2">
      <w:pPr>
        <w:pStyle w:val="131"/>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385E7C5D">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将在资格审查时通过“信用中国”网站(www.creditchina.gov.cn)、中国政府采购网(www.ccgp.gov.cn)渠道查询投标人接受资格时的信用记录。</w:t>
      </w:r>
    </w:p>
    <w:p w14:paraId="1F25F72F">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20.2信用信息查询记录和证据留存的具体方式：现场查询的投标人的信用记录、查询结果经确认后将与采购文件一起存档。</w:t>
      </w:r>
    </w:p>
    <w:p w14:paraId="5987AE4E">
      <w:pPr>
        <w:pStyle w:val="131"/>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20.3信用信息的使用规则：经查询列入失信被执行人名单、重大税收违法案件当事人名单、政府采购严重违法失信行为记录名单的投标人将被拒绝参与政府采购活动。</w:t>
      </w:r>
    </w:p>
    <w:p w14:paraId="7E3A0A42">
      <w:pPr>
        <w:pStyle w:val="131"/>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018D73C6">
      <w:pPr>
        <w:pStyle w:val="131"/>
        <w:spacing w:before="0"/>
        <w:ind w:firstLine="0" w:firstLineChars="0"/>
        <w:rPr>
          <w:rFonts w:ascii="宋体" w:hAnsi="宋体" w:cs="宋体"/>
          <w:color w:val="auto"/>
          <w:kern w:val="0"/>
          <w:szCs w:val="24"/>
          <w:highlight w:val="none"/>
        </w:rPr>
      </w:pPr>
    </w:p>
    <w:p w14:paraId="09AB3219">
      <w:pPr>
        <w:snapToGrid w:val="0"/>
        <w:spacing w:line="360" w:lineRule="auto"/>
        <w:jc w:val="center"/>
        <w:outlineLvl w:val="0"/>
        <w:rPr>
          <w:rFonts w:hint="eastAsia" w:ascii="宋体" w:hAnsi="宋体" w:cs="宋体"/>
          <w:b/>
          <w:color w:val="auto"/>
          <w:sz w:val="36"/>
          <w:szCs w:val="36"/>
          <w:highlight w:val="none"/>
        </w:rPr>
        <w:sectPr>
          <w:pgSz w:w="11906" w:h="16838"/>
          <w:pgMar w:top="680" w:right="1418" w:bottom="468" w:left="1418" w:header="851" w:footer="992" w:gutter="0"/>
          <w:cols w:space="720" w:num="1"/>
          <w:titlePg/>
          <w:docGrid w:linePitch="312" w:charSpace="0"/>
        </w:sectPr>
      </w:pPr>
    </w:p>
    <w:p w14:paraId="46D47E96">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五、评标</w:t>
      </w:r>
    </w:p>
    <w:p w14:paraId="11FD2421">
      <w:pPr>
        <w:spacing w:line="360" w:lineRule="auto"/>
        <w:rPr>
          <w:rFonts w:ascii="宋体" w:hAnsi="宋体" w:cs="宋体"/>
          <w:b/>
          <w:color w:val="auto"/>
          <w:sz w:val="24"/>
          <w:highlight w:val="none"/>
        </w:rPr>
      </w:pPr>
      <w:bookmarkStart w:id="13"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highlight w:val="none"/>
        </w:rPr>
        <w:t>详见招标文件第四部分评标办法。</w:t>
      </w:r>
    </w:p>
    <w:p w14:paraId="0DC5F1C0">
      <w:pPr>
        <w:spacing w:line="360" w:lineRule="auto"/>
        <w:rPr>
          <w:rFonts w:ascii="宋体" w:hAnsi="宋体" w:cs="宋体"/>
          <w:b/>
          <w:color w:val="auto"/>
          <w:sz w:val="24"/>
          <w:highlight w:val="none"/>
        </w:rPr>
      </w:pPr>
    </w:p>
    <w:p w14:paraId="7F0911B2">
      <w:pPr>
        <w:snapToGrid w:val="0"/>
        <w:spacing w:line="360" w:lineRule="auto"/>
        <w:jc w:val="center"/>
        <w:outlineLvl w:val="0"/>
        <w:rPr>
          <w:rFonts w:hint="eastAsia" w:ascii="宋体" w:hAnsi="宋体" w:cs="宋体"/>
          <w:b/>
          <w:color w:val="auto"/>
          <w:sz w:val="36"/>
          <w:szCs w:val="36"/>
          <w:highlight w:val="none"/>
        </w:rPr>
        <w:sectPr>
          <w:pgSz w:w="11906" w:h="16838"/>
          <w:pgMar w:top="680" w:right="1418" w:bottom="468" w:left="1418" w:header="851" w:footer="992" w:gutter="0"/>
          <w:cols w:space="720" w:num="1"/>
          <w:titlePg/>
          <w:docGrid w:linePitch="312" w:charSpace="0"/>
        </w:sectPr>
      </w:pPr>
    </w:p>
    <w:p w14:paraId="53E6E205">
      <w:pPr>
        <w:snapToGrid w:val="0"/>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36"/>
          <w:szCs w:val="36"/>
          <w:highlight w:val="none"/>
        </w:rPr>
        <w:t>六、定 标</w:t>
      </w:r>
    </w:p>
    <w:p w14:paraId="1F2C2BB3">
      <w:pPr>
        <w:pStyle w:val="24"/>
        <w:spacing w:line="360" w:lineRule="auto"/>
        <w:ind w:left="479" w:hanging="479" w:hangingChars="199"/>
        <w:rPr>
          <w:rFonts w:cs="宋体"/>
          <w:b/>
          <w:color w:val="auto"/>
          <w:highlight w:val="none"/>
        </w:rPr>
      </w:pPr>
      <w:r>
        <w:rPr>
          <w:rFonts w:hint="eastAsia" w:cs="宋体"/>
          <w:b/>
          <w:color w:val="auto"/>
          <w:highlight w:val="none"/>
        </w:rPr>
        <w:t>22. 确定中标供应商</w:t>
      </w:r>
    </w:p>
    <w:p w14:paraId="724C3DA6">
      <w:pPr>
        <w:pStyle w:val="131"/>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5FA0F692">
      <w:pPr>
        <w:pStyle w:val="131"/>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中标通知与中标结果公告</w:t>
      </w:r>
    </w:p>
    <w:p w14:paraId="76E71B6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23.1自中标人确定之日起2个工作日内，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通过电子交易平台向中标人发出中标通知书，同时编制发布采购结果公告。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也可以以纸质形式进行中标通知。</w:t>
      </w:r>
    </w:p>
    <w:p w14:paraId="681D7DB4">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23.2中标结果公告内容包括采购人及其委托的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color w:val="auto"/>
          <w:sz w:val="24"/>
          <w:highlight w:val="none"/>
        </w:rPr>
        <w:t>资格审查情况、评审专家抽取规则、符合性审查情况、</w:t>
      </w:r>
      <w:bookmarkEnd w:id="14"/>
      <w:r>
        <w:rPr>
          <w:rFonts w:hint="eastAsia" w:ascii="宋体" w:hAnsi="宋体" w:cs="宋体"/>
          <w:color w:val="auto"/>
          <w:sz w:val="24"/>
          <w:highlight w:val="none"/>
        </w:rPr>
        <w:t>未中标情况说明、中标公告期限以及评审专家名单、评分汇总及明细。</w:t>
      </w:r>
    </w:p>
    <w:p w14:paraId="63BD62E0">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7BEABF55">
      <w:pPr>
        <w:pStyle w:val="131"/>
        <w:adjustRightInd w:val="0"/>
        <w:snapToGrid w:val="0"/>
        <w:spacing w:before="0"/>
        <w:ind w:firstLine="482" w:firstLineChars="200"/>
        <w:rPr>
          <w:rStyle w:val="78"/>
          <w:color w:val="auto"/>
          <w:highlight w:val="none"/>
        </w:rPr>
      </w:pPr>
      <w:r>
        <w:rPr>
          <w:rFonts w:hint="eastAsia" w:ascii="宋体" w:hAnsi="宋体" w:cs="宋体"/>
          <w:b/>
          <w:color w:val="auto"/>
          <w:szCs w:val="24"/>
          <w:highlight w:val="none"/>
          <w:lang w:val="en-US" w:eastAsia="zh-CN"/>
        </w:rPr>
        <w:t xml:space="preserve">23.4 </w:t>
      </w:r>
      <w:r>
        <w:rPr>
          <w:rFonts w:hint="eastAsia" w:ascii="宋体" w:hAnsi="宋体" w:cs="宋体"/>
          <w:b w:val="0"/>
          <w:bCs/>
          <w:color w:val="auto"/>
          <w:szCs w:val="24"/>
          <w:highlight w:val="none"/>
        </w:rPr>
        <w:t>由于</w:t>
      </w:r>
      <w:r>
        <w:rPr>
          <w:rFonts w:hint="eastAsia" w:ascii="宋体" w:hAnsi="宋体" w:cs="宋体"/>
          <w:bCs/>
          <w:color w:val="auto"/>
          <w:szCs w:val="24"/>
          <w:highlight w:val="none"/>
        </w:rPr>
        <w:t>中标、成交供应商原因导致重新采购的，应当承担支付代理费和专家评审费等费用在内的赔偿责任。</w:t>
      </w:r>
    </w:p>
    <w:p w14:paraId="45E8376F">
      <w:pPr>
        <w:pStyle w:val="80"/>
        <w:rPr>
          <w:color w:val="auto"/>
          <w:highlight w:val="none"/>
        </w:rPr>
      </w:pPr>
    </w:p>
    <w:p w14:paraId="618C358E">
      <w:pPr>
        <w:snapToGrid w:val="0"/>
        <w:spacing w:line="360" w:lineRule="auto"/>
        <w:ind w:left="120" w:leftChars="57" w:firstLine="482" w:firstLineChars="150"/>
        <w:jc w:val="center"/>
        <w:rPr>
          <w:rFonts w:ascii="宋体" w:hAnsi="宋体" w:cs="宋体"/>
          <w:b/>
          <w:color w:val="auto"/>
          <w:sz w:val="32"/>
          <w:highlight w:val="none"/>
        </w:rPr>
      </w:pPr>
    </w:p>
    <w:p w14:paraId="37EC1065">
      <w:pPr>
        <w:snapToGrid w:val="0"/>
        <w:spacing w:line="360" w:lineRule="auto"/>
        <w:ind w:left="120" w:leftChars="57" w:firstLine="482" w:firstLineChars="150"/>
        <w:jc w:val="center"/>
        <w:rPr>
          <w:rFonts w:hint="eastAsia" w:ascii="宋体" w:hAnsi="宋体" w:cs="宋体"/>
          <w:b/>
          <w:color w:val="auto"/>
          <w:sz w:val="32"/>
          <w:highlight w:val="none"/>
        </w:rPr>
        <w:sectPr>
          <w:pgSz w:w="11906" w:h="16838"/>
          <w:pgMar w:top="680" w:right="1418" w:bottom="468" w:left="1418" w:header="851" w:footer="992" w:gutter="0"/>
          <w:cols w:space="720" w:num="1"/>
          <w:titlePg/>
          <w:docGrid w:linePitch="312" w:charSpace="0"/>
        </w:sectPr>
      </w:pPr>
    </w:p>
    <w:p w14:paraId="0F58D648">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七、合同授予</w:t>
      </w:r>
    </w:p>
    <w:p w14:paraId="3BB7C477">
      <w:pPr>
        <w:pStyle w:val="24"/>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216AA38D">
      <w:pPr>
        <w:pStyle w:val="24"/>
        <w:spacing w:line="360" w:lineRule="auto"/>
        <w:ind w:left="479" w:hanging="479" w:hangingChars="199"/>
        <w:rPr>
          <w:rFonts w:cs="宋体"/>
          <w:b/>
          <w:color w:val="auto"/>
          <w:highlight w:val="none"/>
        </w:rPr>
      </w:pPr>
      <w:r>
        <w:rPr>
          <w:rFonts w:hint="eastAsia" w:cs="宋体"/>
          <w:b/>
          <w:color w:val="auto"/>
          <w:highlight w:val="none"/>
        </w:rPr>
        <w:t>25. 合同的签订</w:t>
      </w:r>
    </w:p>
    <w:p w14:paraId="6670DD70">
      <w:pPr>
        <w:widowControl/>
        <w:shd w:val="clear" w:color="auto" w:fill="FFFFFF"/>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54482F7">
      <w:pPr>
        <w:pStyle w:val="131"/>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25.2中标人按规定的日期、时间、地点，由法定代表人或其授权代表与采购人代表签订合同。如中标人为联合体的，由联合体成员各方法定代表人或其授权代表与采购人代表签订合同。</w:t>
      </w:r>
    </w:p>
    <w:p w14:paraId="12A0FF6F">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6FE73C7B">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25.4中标供应商拒绝与采购人签订合同的，采购人可以按照评审报告推荐的中标或者成交候选人名单排序，确定下一候选人为中标供应商，也可以重新开展政府采购活动。</w:t>
      </w:r>
    </w:p>
    <w:p w14:paraId="0E217D3C">
      <w:pPr>
        <w:pStyle w:val="131"/>
        <w:snapToGrid w:val="0"/>
        <w:spacing w:before="0" w:after="120"/>
        <w:ind w:firstLine="480"/>
        <w:rPr>
          <w:rFonts w:ascii="宋体" w:hAnsi="宋体" w:cs="宋体"/>
          <w:color w:val="auto"/>
          <w:highlight w:val="none"/>
        </w:rPr>
      </w:pPr>
      <w:r>
        <w:rPr>
          <w:rFonts w:hint="eastAsia" w:ascii="宋体" w:hAnsi="宋体" w:cs="宋体"/>
          <w:color w:val="auto"/>
          <w:highlight w:val="none"/>
        </w:rPr>
        <w:t>25.5采购合同由采购人与中标供应商根据招标文件、投标文件等内容通过政府采购电子交易平台在线签订，自动备案。</w:t>
      </w:r>
    </w:p>
    <w:p w14:paraId="686FF9F0">
      <w:pPr>
        <w:pStyle w:val="24"/>
        <w:spacing w:line="360" w:lineRule="auto"/>
        <w:ind w:left="479" w:hanging="479" w:hangingChars="199"/>
        <w:rPr>
          <w:rFonts w:cs="宋体"/>
          <w:b/>
          <w:color w:val="auto"/>
          <w:highlight w:val="none"/>
        </w:rPr>
      </w:pPr>
      <w:r>
        <w:rPr>
          <w:rFonts w:hint="eastAsia" w:cs="宋体"/>
          <w:b/>
          <w:color w:val="auto"/>
          <w:highlight w:val="none"/>
        </w:rPr>
        <w:t>26. 履约保证金</w:t>
      </w:r>
    </w:p>
    <w:p w14:paraId="5155207B">
      <w:pPr>
        <w:tabs>
          <w:tab w:val="left" w:pos="0"/>
        </w:tabs>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拟签订的合同文本要求中标供应商提交履约保证金的，供应商应当以支票、汇票、本票或者金融机构、担保机构出具的保函等非现金形式提交</w:t>
      </w:r>
      <w:r>
        <w:rPr>
          <w:rFonts w:hint="eastAsia" w:ascii="宋体" w:hAnsi="宋体" w:cs="宋体"/>
          <w:color w:val="auto"/>
          <w:sz w:val="24"/>
          <w:highlight w:val="none"/>
        </w:rPr>
        <w:t>。履约保证金的数额不得超过政府采购合同金额的</w:t>
      </w:r>
      <w:r>
        <w:rPr>
          <w:rFonts w:ascii="宋体" w:hAnsi="宋体" w:cs="宋体"/>
          <w:color w:val="auto"/>
          <w:sz w:val="24"/>
          <w:highlight w:val="none"/>
        </w:rPr>
        <w:t>1</w:t>
      </w:r>
      <w:r>
        <w:rPr>
          <w:rFonts w:hint="eastAsia" w:ascii="宋体" w:hAnsi="宋体" w:cs="宋体"/>
          <w:color w:val="auto"/>
          <w:sz w:val="24"/>
          <w:highlight w:val="none"/>
        </w:rPr>
        <w:t>%，鼓励根据项目特点、供应商诚信等因素免收履约保证金或降低缴纳比例。鼓励和支持供应商以银行、保险公司出具的保函形式提供履约保证金。采购人不得拒收履约保函，项目验收结束后应及时退还，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4068AD04">
      <w:pPr>
        <w:pStyle w:val="3"/>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3C939F7B">
      <w:pPr>
        <w:pStyle w:val="3"/>
        <w:rPr>
          <w:color w:val="auto"/>
          <w:highlight w:val="none"/>
        </w:rPr>
      </w:pPr>
      <w:r>
        <w:rPr>
          <w:rFonts w:ascii="宋体" w:hAnsi="宋体" w:eastAsia="宋体"/>
          <w:b/>
          <w:bCs/>
          <w:color w:val="auto"/>
          <w:sz w:val="24"/>
          <w:szCs w:val="32"/>
          <w:highlight w:val="none"/>
          <w:lang w:val="en-US"/>
        </w:rPr>
        <w:t>27.预付款</w:t>
      </w:r>
    </w:p>
    <w:p w14:paraId="02CAFB67">
      <w:pPr>
        <w:adjustRightInd/>
        <w:spacing w:line="360" w:lineRule="auto"/>
        <w:ind w:firstLine="480" w:firstLineChars="200"/>
        <w:rPr>
          <w:color w:val="auto"/>
          <w:highlight w:val="none"/>
        </w:rPr>
      </w:pPr>
      <w:r>
        <w:rPr>
          <w:rFonts w:hint="eastAsia" w:ascii="宋体" w:hAnsi="宋体"/>
          <w:color w:val="auto"/>
          <w:sz w:val="24"/>
          <w:highlight w:val="none"/>
        </w:rPr>
        <w:t>采购单位应当在政府采购合同中约定预付款，对中小企业合同预付款比例原则上不低于合同金额的</w:t>
      </w:r>
      <w:r>
        <w:rPr>
          <w:rFonts w:ascii="宋体" w:hAnsi="宋体"/>
          <w:color w:val="auto"/>
          <w:sz w:val="24"/>
          <w:highlight w:val="none"/>
        </w:rPr>
        <w:t>40％</w:t>
      </w:r>
      <w:r>
        <w:rPr>
          <w:rFonts w:hint="eastAsia" w:ascii="宋体" w:hAnsi="宋体"/>
          <w:color w:val="auto"/>
          <w:sz w:val="24"/>
          <w:highlight w:val="none"/>
        </w:rPr>
        <w:t>，不高于合同金额的</w:t>
      </w:r>
      <w:r>
        <w:rPr>
          <w:rFonts w:ascii="宋体" w:hAnsi="宋体"/>
          <w:color w:val="auto"/>
          <w:sz w:val="24"/>
          <w:highlight w:val="none"/>
        </w:rPr>
        <w:t>70%；项目分年安排预算的，每年预付款比例</w:t>
      </w:r>
      <w:r>
        <w:rPr>
          <w:rFonts w:hint="eastAsia" w:ascii="宋体" w:hAnsi="宋体"/>
          <w:color w:val="auto"/>
          <w:sz w:val="24"/>
          <w:highlight w:val="none"/>
        </w:rPr>
        <w:t>不低于</w:t>
      </w:r>
      <w:r>
        <w:rPr>
          <w:rFonts w:ascii="宋体" w:hAnsi="宋体"/>
          <w:color w:val="auto"/>
          <w:sz w:val="24"/>
          <w:highlight w:val="none"/>
        </w:rPr>
        <w:t>项目年度计划支付资金额的40％</w:t>
      </w:r>
      <w:r>
        <w:rPr>
          <w:rFonts w:hint="eastAsia" w:ascii="宋体" w:hAnsi="宋体"/>
          <w:color w:val="auto"/>
          <w:sz w:val="24"/>
          <w:highlight w:val="none"/>
        </w:rPr>
        <w:t>，不高于合同金额的</w:t>
      </w:r>
      <w:r>
        <w:rPr>
          <w:rFonts w:ascii="宋体" w:hAnsi="宋体"/>
          <w:color w:val="auto"/>
          <w:sz w:val="24"/>
          <w:highlight w:val="none"/>
        </w:rPr>
        <w:t>70%；采购项目实施以人工投入为主的，</w:t>
      </w:r>
      <w:r>
        <w:rPr>
          <w:rFonts w:hint="eastAsia" w:ascii="宋体" w:hAnsi="宋体"/>
          <w:color w:val="auto"/>
          <w:sz w:val="24"/>
          <w:highlight w:val="none"/>
        </w:rPr>
        <w:t>可适当降低预付款比例，但不得低于</w:t>
      </w:r>
      <w:r>
        <w:rPr>
          <w:rFonts w:ascii="宋体" w:hAnsi="宋体"/>
          <w:color w:val="auto"/>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olor w:val="auto"/>
          <w:sz w:val="24"/>
          <w:highlight w:val="none"/>
        </w:rPr>
        <w:t>供应商</w:t>
      </w:r>
      <w:r>
        <w:rPr>
          <w:rFonts w:ascii="宋体" w:hAnsi="宋体"/>
          <w:color w:val="auto"/>
          <w:sz w:val="24"/>
          <w:highlight w:val="none"/>
        </w:rPr>
        <w:t>明确表示无需预付款或者主动要求降低预付款比例的，</w:t>
      </w:r>
      <w:r>
        <w:rPr>
          <w:rFonts w:hint="eastAsia" w:ascii="宋体" w:hAnsi="宋体"/>
          <w:color w:val="auto"/>
          <w:sz w:val="24"/>
          <w:highlight w:val="none"/>
        </w:rPr>
        <w:t>采购单位</w:t>
      </w:r>
      <w:r>
        <w:rPr>
          <w:rFonts w:ascii="宋体" w:hAnsi="宋体"/>
          <w:color w:val="auto"/>
          <w:sz w:val="24"/>
          <w:highlight w:val="none"/>
        </w:rPr>
        <w:t>可不适用前述规定。</w:t>
      </w:r>
      <w:r>
        <w:rPr>
          <w:rFonts w:hint="eastAsia" w:ascii="宋体" w:hAnsi="宋体"/>
          <w:color w:val="auto"/>
          <w:sz w:val="24"/>
          <w:highlight w:val="none"/>
        </w:rPr>
        <w:t>采购单位</w:t>
      </w:r>
      <w:r>
        <w:rPr>
          <w:rFonts w:ascii="宋体" w:hAnsi="宋体"/>
          <w:color w:val="auto"/>
          <w:sz w:val="24"/>
          <w:highlight w:val="none"/>
        </w:rPr>
        <w:t>根据项目特点、供应商诚信等因素，可以要求</w:t>
      </w:r>
      <w:r>
        <w:rPr>
          <w:rFonts w:hint="eastAsia" w:ascii="宋体" w:hAnsi="宋体"/>
          <w:color w:val="auto"/>
          <w:sz w:val="24"/>
          <w:highlight w:val="none"/>
        </w:rPr>
        <w:t>供应商</w:t>
      </w:r>
      <w:r>
        <w:rPr>
          <w:rFonts w:ascii="宋体" w:hAnsi="宋体"/>
          <w:color w:val="auto"/>
          <w:sz w:val="24"/>
          <w:highlight w:val="none"/>
        </w:rPr>
        <w:t>提交银行、保险公司等金融机构出具的预付款保函或其他担保措施。政府采购预付款应在合同生效以及具备实施条件后5个工作日内支付。</w:t>
      </w:r>
      <w:r>
        <w:rPr>
          <w:rFonts w:hint="eastAsia" w:ascii="宋体" w:hAnsi="宋体"/>
          <w:color w:val="auto"/>
          <w:sz w:val="24"/>
          <w:highlight w:val="none"/>
        </w:rPr>
        <w:t>政府采购工程以及与工程建设有关的货物、服务，采用招标方式采购的，预付款从其相关规定。供应商可登录政采云前台大厅选择金融服务</w:t>
      </w:r>
      <w:r>
        <w:rPr>
          <w:rFonts w:ascii="宋体" w:hAnsi="宋体"/>
          <w:color w:val="auto"/>
          <w:sz w:val="24"/>
          <w:highlight w:val="none"/>
        </w:rPr>
        <w:t xml:space="preserve"> - </w:t>
      </w:r>
      <w:r>
        <w:rPr>
          <w:rFonts w:hint="eastAsia" w:ascii="宋体" w:hAnsi="宋体"/>
          <w:color w:val="auto"/>
          <w:sz w:val="24"/>
          <w:highlight w:val="none"/>
        </w:rPr>
        <w:t>【保函保险服务】出具预付款保函，具体步骤：选择产品—填写供应商信息—选择中标项目—确认信息—等待保险</w:t>
      </w:r>
      <w:r>
        <w:rPr>
          <w:rFonts w:ascii="宋体" w:hAnsi="宋体"/>
          <w:color w:val="auto"/>
          <w:sz w:val="24"/>
          <w:highlight w:val="none"/>
        </w:rPr>
        <w:t>/保函受理—确认保单—支付保费—成功出单。政</w:t>
      </w:r>
      <w:r>
        <w:rPr>
          <w:rFonts w:hint="eastAsia" w:ascii="宋体" w:hAnsi="宋体"/>
          <w:color w:val="auto"/>
          <w:sz w:val="24"/>
          <w:highlight w:val="none"/>
        </w:rPr>
        <w:t>采云金融专线</w:t>
      </w:r>
      <w:r>
        <w:rPr>
          <w:rFonts w:hint="eastAsia" w:ascii="宋体" w:hAnsi="宋体"/>
          <w:color w:val="auto"/>
          <w:sz w:val="24"/>
          <w:highlight w:val="none"/>
          <w:lang w:val="en-US" w:eastAsia="zh-CN"/>
        </w:rPr>
        <w:t>95763</w:t>
      </w:r>
      <w:r>
        <w:rPr>
          <w:rFonts w:ascii="宋体" w:hAnsi="宋体"/>
          <w:color w:val="auto"/>
          <w:sz w:val="24"/>
          <w:highlight w:val="none"/>
        </w:rPr>
        <w:t>。</w:t>
      </w:r>
    </w:p>
    <w:p w14:paraId="3E18607F">
      <w:pPr>
        <w:rPr>
          <w:color w:val="auto"/>
          <w:highlight w:val="none"/>
        </w:rPr>
      </w:pPr>
    </w:p>
    <w:p w14:paraId="6CF853D2">
      <w:pPr>
        <w:snapToGrid w:val="0"/>
        <w:spacing w:line="360" w:lineRule="auto"/>
        <w:ind w:firstLine="3357" w:firstLineChars="1045"/>
        <w:rPr>
          <w:rFonts w:ascii="宋体" w:hAnsi="宋体" w:cs="宋体"/>
          <w:b/>
          <w:color w:val="auto"/>
          <w:sz w:val="32"/>
          <w:highlight w:val="none"/>
        </w:rPr>
      </w:pPr>
    </w:p>
    <w:p w14:paraId="47E420A5">
      <w:pPr>
        <w:snapToGrid w:val="0"/>
        <w:spacing w:line="360" w:lineRule="auto"/>
        <w:ind w:firstLine="3357" w:firstLineChars="1045"/>
        <w:rPr>
          <w:rFonts w:hint="eastAsia" w:ascii="宋体" w:hAnsi="宋体" w:cs="宋体"/>
          <w:b/>
          <w:color w:val="auto"/>
          <w:sz w:val="32"/>
          <w:highlight w:val="none"/>
        </w:rPr>
        <w:sectPr>
          <w:pgSz w:w="11906" w:h="16838"/>
          <w:pgMar w:top="680" w:right="1418" w:bottom="468" w:left="1418" w:header="851" w:footer="992" w:gutter="0"/>
          <w:cols w:space="720" w:num="1"/>
          <w:titlePg/>
          <w:docGrid w:linePitch="312" w:charSpace="0"/>
        </w:sectPr>
      </w:pPr>
    </w:p>
    <w:p w14:paraId="3C901466">
      <w:pPr>
        <w:snapToGrid w:val="0"/>
        <w:spacing w:line="360" w:lineRule="auto"/>
        <w:ind w:firstLine="3357" w:firstLineChars="1045"/>
        <w:rPr>
          <w:rFonts w:ascii="宋体" w:hAnsi="宋体" w:cs="宋体"/>
          <w:b/>
          <w:color w:val="auto"/>
          <w:sz w:val="24"/>
          <w:highlight w:val="none"/>
        </w:rPr>
      </w:pPr>
      <w:r>
        <w:rPr>
          <w:rFonts w:hint="eastAsia" w:ascii="宋体" w:hAnsi="宋体" w:cs="宋体"/>
          <w:b/>
          <w:color w:val="auto"/>
          <w:sz w:val="32"/>
          <w:highlight w:val="none"/>
        </w:rPr>
        <w:t>八、电子交易活动的中止</w:t>
      </w:r>
    </w:p>
    <w:p w14:paraId="26658814">
      <w:pPr>
        <w:pStyle w:val="131"/>
        <w:snapToGrid w:val="0"/>
        <w:spacing w:before="0"/>
        <w:ind w:firstLine="0" w:firstLineChars="0"/>
        <w:rPr>
          <w:rFonts w:ascii="宋体" w:hAnsi="宋体" w:cs="宋体"/>
          <w:color w:val="auto"/>
          <w:highlight w:val="none"/>
        </w:rPr>
      </w:pPr>
      <w:r>
        <w:rPr>
          <w:rFonts w:ascii="宋体" w:hAnsi="宋体" w:cs="宋体"/>
          <w:b/>
          <w:bCs/>
          <w:color w:val="auto"/>
          <w:sz w:val="24"/>
          <w:szCs w:val="20"/>
          <w:highlight w:val="none"/>
        </w:rPr>
        <w:t>2</w:t>
      </w:r>
      <w:r>
        <w:rPr>
          <w:rFonts w:ascii="宋体" w:hAnsi="宋体" w:cs="宋体"/>
          <w:b/>
          <w:bCs/>
          <w:color w:val="auto"/>
          <w:sz w:val="24"/>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B73C079">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3E46E7D4">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7FAC8CC">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5FD1FB31">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0C80746A">
      <w:pPr>
        <w:pStyle w:val="131"/>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45181751">
      <w:pPr>
        <w:pStyle w:val="131"/>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3F4F139C">
      <w:pPr>
        <w:tabs>
          <w:tab w:val="left" w:pos="0"/>
        </w:tabs>
        <w:spacing w:line="360" w:lineRule="auto"/>
        <w:ind w:firstLine="480"/>
        <w:rPr>
          <w:rFonts w:ascii="宋体" w:hAnsi="宋体" w:cs="宋体"/>
          <w:color w:val="auto"/>
          <w:sz w:val="24"/>
          <w:highlight w:val="none"/>
        </w:rPr>
      </w:pPr>
    </w:p>
    <w:p w14:paraId="3C9797EE">
      <w:pPr>
        <w:snapToGrid w:val="0"/>
        <w:spacing w:line="360" w:lineRule="auto"/>
        <w:ind w:left="120" w:leftChars="57" w:firstLine="482" w:firstLineChars="150"/>
        <w:jc w:val="center"/>
        <w:rPr>
          <w:rFonts w:hint="eastAsia" w:ascii="宋体" w:hAnsi="宋体" w:cs="宋体"/>
          <w:b/>
          <w:color w:val="auto"/>
          <w:sz w:val="32"/>
          <w:highlight w:val="none"/>
        </w:rPr>
        <w:sectPr>
          <w:pgSz w:w="11906" w:h="16838"/>
          <w:pgMar w:top="680" w:right="1418" w:bottom="468" w:left="1418" w:header="851" w:footer="992" w:gutter="0"/>
          <w:cols w:space="720" w:num="1"/>
          <w:titlePg/>
          <w:docGrid w:linePitch="312" w:charSpace="0"/>
        </w:sectPr>
      </w:pPr>
    </w:p>
    <w:p w14:paraId="652757CD">
      <w:pPr>
        <w:snapToGrid w:val="0"/>
        <w:spacing w:line="360" w:lineRule="auto"/>
        <w:ind w:left="120" w:leftChars="57" w:firstLine="482" w:firstLineChars="150"/>
        <w:jc w:val="center"/>
        <w:rPr>
          <w:rFonts w:ascii="宋体" w:hAnsi="宋体" w:cs="宋体"/>
          <w:b/>
          <w:color w:val="auto"/>
          <w:sz w:val="32"/>
          <w:highlight w:val="none"/>
        </w:rPr>
      </w:pPr>
      <w:r>
        <w:rPr>
          <w:rFonts w:hint="eastAsia" w:ascii="宋体" w:hAnsi="宋体" w:cs="宋体"/>
          <w:b/>
          <w:color w:val="auto"/>
          <w:sz w:val="32"/>
          <w:highlight w:val="none"/>
        </w:rPr>
        <w:t>九、验收</w:t>
      </w:r>
    </w:p>
    <w:p w14:paraId="3E32013D">
      <w:pPr>
        <w:pStyle w:val="24"/>
        <w:spacing w:line="360" w:lineRule="auto"/>
        <w:ind w:firstLine="0" w:firstLineChars="0"/>
        <w:rPr>
          <w:rFonts w:cs="宋体"/>
          <w:b/>
          <w:color w:val="auto"/>
          <w:highlight w:val="none"/>
        </w:rPr>
      </w:pPr>
      <w:r>
        <w:rPr>
          <w:rFonts w:hint="eastAsia" w:cs="宋体"/>
          <w:b/>
          <w:color w:val="auto"/>
          <w:highlight w:val="none"/>
        </w:rPr>
        <w:t>30.验收</w:t>
      </w:r>
    </w:p>
    <w:p w14:paraId="76A3AA3B">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29E4F8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30.2采购人可以邀请参加本项目的其他投标人或者第三方机构参与验收。参与验收的投标人或者第三方机构的意见作为验收书的参考资料一并存档。</w:t>
      </w:r>
    </w:p>
    <w:p w14:paraId="1658F911">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425485AF">
      <w:pPr>
        <w:tabs>
          <w:tab w:val="left" w:pos="0"/>
        </w:tabs>
        <w:spacing w:line="360" w:lineRule="auto"/>
        <w:ind w:firstLine="480"/>
        <w:rPr>
          <w:rFonts w:hint="eastAsia"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46515D65">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411DFA42">
      <w:pPr>
        <w:pStyle w:val="80"/>
        <w:rPr>
          <w:color w:val="auto"/>
          <w:highlight w:val="none"/>
        </w:rPr>
      </w:pPr>
    </w:p>
    <w:bookmarkEnd w:id="13"/>
    <w:p w14:paraId="4A7945A2">
      <w:pPr>
        <w:tabs>
          <w:tab w:val="left" w:pos="0"/>
        </w:tabs>
        <w:spacing w:line="360" w:lineRule="auto"/>
        <w:ind w:firstLine="480"/>
        <w:rPr>
          <w:rFonts w:ascii="宋体" w:hAnsi="宋体" w:cs="宋体"/>
          <w:color w:val="auto"/>
          <w:kern w:val="0"/>
          <w:sz w:val="24"/>
          <w:highlight w:val="none"/>
        </w:rPr>
        <w:sectPr>
          <w:pgSz w:w="11906" w:h="16838"/>
          <w:pgMar w:top="680" w:right="1418" w:bottom="468" w:left="1418" w:header="851" w:footer="992" w:gutter="0"/>
          <w:cols w:space="720" w:num="1"/>
          <w:titlePg/>
          <w:docGrid w:linePitch="312" w:charSpace="0"/>
        </w:sectPr>
      </w:pPr>
      <w:bookmarkStart w:id="15" w:name="_Hlt74730295"/>
      <w:bookmarkEnd w:id="15"/>
      <w:bookmarkStart w:id="16" w:name="_Hlt68073093"/>
      <w:bookmarkEnd w:id="16"/>
      <w:bookmarkStart w:id="17" w:name="_Hlt68072990"/>
      <w:bookmarkEnd w:id="17"/>
      <w:bookmarkStart w:id="18" w:name="_Hlt68072998"/>
      <w:bookmarkEnd w:id="18"/>
      <w:bookmarkStart w:id="19" w:name="_Hlt74714665"/>
      <w:bookmarkEnd w:id="19"/>
      <w:bookmarkStart w:id="20" w:name="_Hlt68057669"/>
      <w:bookmarkEnd w:id="20"/>
      <w:bookmarkStart w:id="21" w:name="_Hlt75236011"/>
      <w:bookmarkEnd w:id="21"/>
      <w:bookmarkStart w:id="22" w:name="_Hlt75236101"/>
      <w:bookmarkEnd w:id="22"/>
      <w:bookmarkStart w:id="23" w:name="_Hlt74729768"/>
      <w:bookmarkEnd w:id="23"/>
      <w:bookmarkStart w:id="24" w:name="_Hlt68403820"/>
      <w:bookmarkEnd w:id="24"/>
      <w:bookmarkStart w:id="25" w:name="_Hlt75236290"/>
      <w:bookmarkEnd w:id="25"/>
      <w:bookmarkStart w:id="26" w:name="_Hlt74707468"/>
      <w:bookmarkEnd w:id="26"/>
    </w:p>
    <w:bookmarkEnd w:id="11"/>
    <w:bookmarkEnd w:id="12"/>
    <w:p w14:paraId="5EB35967">
      <w:pPr>
        <w:spacing w:line="360" w:lineRule="auto"/>
        <w:jc w:val="center"/>
        <w:outlineLvl w:val="0"/>
        <w:rPr>
          <w:rFonts w:ascii="宋体" w:hAnsi="宋体" w:cs="宋体"/>
          <w:b/>
          <w:color w:val="auto"/>
          <w:sz w:val="36"/>
          <w:szCs w:val="36"/>
          <w:highlight w:val="none"/>
        </w:rPr>
      </w:pPr>
      <w:bookmarkStart w:id="27" w:name="第四部分"/>
      <w:r>
        <w:rPr>
          <w:rFonts w:hint="eastAsia" w:ascii="宋体" w:hAnsi="宋体" w:cs="宋体"/>
          <w:b/>
          <w:color w:val="auto"/>
          <w:sz w:val="36"/>
          <w:szCs w:val="36"/>
          <w:highlight w:val="none"/>
        </w:rPr>
        <w:t>第三部分   采购需求</w:t>
      </w:r>
    </w:p>
    <w:p w14:paraId="45B8055A">
      <w:pPr>
        <w:pStyle w:val="4"/>
        <w:pageBreakBefore w:val="0"/>
        <w:widowControl w:val="0"/>
        <w:kinsoku/>
        <w:wordWrap/>
        <w:overflowPunct/>
        <w:topLinePunct w:val="0"/>
        <w:autoSpaceDE/>
        <w:autoSpaceDN/>
        <w:bidi w:val="0"/>
        <w:snapToGrid/>
        <w:spacing w:line="360"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一、项目介绍</w:t>
      </w:r>
    </w:p>
    <w:p w14:paraId="6908F89C">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本项目为西湖区财政局非税和票据管理一体化系统运维项目，提供“浙江省非税和票据管理一体化系统”、“统发工资”、“政府综合财务报告”、“部门决算系统”等应用的新年度系统实施运维服务。</w:t>
      </w:r>
    </w:p>
    <w:p w14:paraId="2E47156C">
      <w:pPr>
        <w:pStyle w:val="4"/>
        <w:pageBreakBefore w:val="0"/>
        <w:widowControl w:val="0"/>
        <w:numPr>
          <w:ilvl w:val="0"/>
          <w:numId w:val="0"/>
        </w:numPr>
        <w:kinsoku/>
        <w:wordWrap/>
        <w:overflowPunct/>
        <w:topLinePunct w:val="0"/>
        <w:autoSpaceDE/>
        <w:autoSpaceDN/>
        <w:bidi w:val="0"/>
        <w:snapToGrid/>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二、服务内容</w:t>
      </w:r>
    </w:p>
    <w:p w14:paraId="6C2D457D">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确保“浙江省非税和票据管理一体化系统”、“统发工资”、“政府综合财务报告”、“部门决算系统”等应用相关业务正常运转，主要服务内容包括：</w:t>
      </w:r>
    </w:p>
    <w:p w14:paraId="332487CB">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1.非税征收核定管理运维</w:t>
      </w:r>
    </w:p>
    <w:p w14:paraId="7C321118">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非税征收核定管理主要涉及单位管理、单位领用证管理、单位项目管理、电子票据开通管理、电子票据赋码管理、内部开票点管理等相关业务管理。需要提供以下相关服务内容：</w:t>
      </w:r>
    </w:p>
    <w:p w14:paraId="7CFBC751">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（1）协助财政部门初始化涉及电子票据的相关工作，包括执收码对应电子票据种类、电子票据购领证、财政电子签章等。</w:t>
      </w:r>
    </w:p>
    <w:p w14:paraId="52B8B61F">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（2）保障财政部门受理单位提交的开通申请审核、赋码审核、项目新增审核等非税和票据系统电子票据业务。</w:t>
      </w:r>
    </w:p>
    <w:p w14:paraId="01BE4739">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（3）保障单位用户正常使用电子票据开通申请、领用证申领、年度核验管理、内部开票点管理、电子票据赋码申请、项目新增申请等业务。</w:t>
      </w:r>
    </w:p>
    <w:p w14:paraId="1F090B47">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2.非税电子化收缴运维</w:t>
      </w:r>
    </w:p>
    <w:p w14:paraId="19F6BD0B">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非税电子化收缴主要涉及缴款单管理、付款码支付业务、刷卡支付业务、商户管理、来源渠道管理、办理事项维护、电子票据开具、电子票据冲红、电子票据汇缴（缴款通知书）等相关业务管理，需要提供以下相关服务内容：</w:t>
      </w:r>
    </w:p>
    <w:p w14:paraId="4C3AF4FE">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（1）保障由统一公共支付平台推送给非税和票据系统的缴款凭证数据及时、完整。</w:t>
      </w:r>
    </w:p>
    <w:p w14:paraId="0D473353">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（2）保障财政部门非税和票据系统与统一公共支付平台的对账业务正常有序开展，如遇无法下载统一公共支付平台对账文件时，及时和统一公共支付平台承建商沟通处理。</w:t>
      </w:r>
    </w:p>
    <w:p w14:paraId="3758A08C">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（3）保障财政部门从非税和票据系统生成的会计核算凭证数据的完整性、准确性，当执收码或会计科目有调整时，及时调整对应的凭证规则。</w:t>
      </w:r>
    </w:p>
    <w:p w14:paraId="10DF6555">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（4）协助财政部门在非税收入管理平台新增商户和来源渠道，保障数据的一致性。</w:t>
      </w:r>
    </w:p>
    <w:p w14:paraId="776E86DB">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（5）处理执收单位人员使用过程中遇到的关于电子缴款相关问题，如无法开具缴款单、批量导入缴款单失败、发送短信失败、电子缴款退款申请失败等问题。</w:t>
      </w:r>
    </w:p>
    <w:p w14:paraId="74152500">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（6）协助执收单位人员设置单位缴款单模板、自助填单模板等电子缴款涉及的缴费和打印相关模板。</w:t>
      </w:r>
    </w:p>
    <w:p w14:paraId="2A7F9083">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（7）处理单位mispos支付时预到的非税征管侧的相关问题。</w:t>
      </w:r>
    </w:p>
    <w:p w14:paraId="51FC9DE6">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（8）处理单位使用付款码业务无法支付等问题。</w:t>
      </w:r>
    </w:p>
    <w:p w14:paraId="30634B3A">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3.代理银行结报清算运维</w:t>
      </w:r>
    </w:p>
    <w:p w14:paraId="447CA694">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代理银行结报清算主要涉及基础数据业务、对账清算业务、文件服务等相关业务管理，需要提供以下相关服务内容：</w:t>
      </w:r>
    </w:p>
    <w:p w14:paraId="523E7C3F">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（1）保障与非税代理银行间的通道畅通，能及时、准确的接收和发送数据。</w:t>
      </w:r>
    </w:p>
    <w:p w14:paraId="05D435FF">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（2）协助财政部门完成代理银行新增、库存账户新增等相关配置。</w:t>
      </w:r>
    </w:p>
    <w:p w14:paraId="03CFA036">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（3）保障和代理银行涉及的相关接口正常稳定运行，包括获取基础资料、资金结报交易、开始清算交易、清算完成交易等接口。</w:t>
      </w:r>
    </w:p>
    <w:p w14:paraId="66C9B115">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（4）当各交易出现数据层码的问题，经财政部门确认后，必要时进行数据的修改调整。</w:t>
      </w:r>
    </w:p>
    <w:p w14:paraId="01FDB567">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4.非税和票据公共服务平台运维</w:t>
      </w:r>
    </w:p>
    <w:p w14:paraId="774F9E1C">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非税和票据公共服务平台主要涉及票据查验、业务办理、政务事项办理、通知公告查看、政策制度查看、媒体报道查看、财政票据领用证办理、电子票据赋码申请、开票项目申请、电子票据记账、电子票据核销等相关业务，需要提供以下这些服务内容：</w:t>
      </w:r>
    </w:p>
    <w:p w14:paraId="57253B37">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1）处理社会团体、基金会、民办非企业等通过非税和票据公共服务平台的进行票据查验、政务事项办理、通知公告查看、政策制度查看、媒体报道查看、财政票据领用证办理等业务反馈的问题；</w:t>
      </w:r>
    </w:p>
    <w:p w14:paraId="3B37658C">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2）处理单位用户在使用非税和票据公共服务平台电子票据开具、电子票据冲红、电子票据查询、电子票据赋码申请、项目新增申请、电子票据核销等业务。</w:t>
      </w:r>
    </w:p>
    <w:p w14:paraId="18E94220">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5.浙政钉非税和票据管理系统运维</w:t>
      </w:r>
    </w:p>
    <w:p w14:paraId="0E7D2E7D">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浙政钉非税和票据管理系统主要涉及基础信息管理、收缴管理、专项业务、电子票据管理、查询统计、票据单位管理、纸质票据管理、统计分析、其他功能等相关业务，需要提供以下相关服务内容：</w:t>
      </w:r>
    </w:p>
    <w:p w14:paraId="5FD3358B">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（一）非税和票据管理（单位端）</w:t>
      </w:r>
    </w:p>
    <w:p w14:paraId="3040CBB5">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（1）协助执收单位用户通过应用发起账号和权限申请。</w:t>
      </w:r>
    </w:p>
    <w:p w14:paraId="452815C2">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（2）协助财政部门对于新增用户进行授权。</w:t>
      </w:r>
    </w:p>
    <w:p w14:paraId="4E12E7C0">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（3）协助执收单位通过应用完成电子票据开具、电子票据汇缴、电子票据冲红、电子票据赋码申请等电子票据相关业务。</w:t>
      </w:r>
    </w:p>
    <w:p w14:paraId="470D4651">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（4）协助执收单位通过应用完成缴款单填开、自助填单、信息处理费收缴、交通罚没收缴、现金收缴、支付宝扫码付收缴等电子缴款业务。</w:t>
      </w:r>
    </w:p>
    <w:p w14:paraId="79A6F583">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（二）浙江财政非税票据（财政端）</w:t>
      </w:r>
    </w:p>
    <w:p w14:paraId="29E84A6F">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（1）保障浙政钉端浙江财政非税票据应用正常稳定运行，并及时更新最新版本或相关补丁。</w:t>
      </w:r>
    </w:p>
    <w:p w14:paraId="6599F4D5">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（2）协助财政部门获取应用使用权限，与非税和票据系统账号绑定配置。</w:t>
      </w:r>
    </w:p>
    <w:p w14:paraId="1BD6002A">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（3）协助财政部门对于新增用户进行授权。</w:t>
      </w:r>
    </w:p>
    <w:p w14:paraId="4D07A957">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（4）协助财政部门通过应用完成单位项目审核、票据赋码审核、医疗票据赋码审核、已用票据核销审核等电子票据管理业务。</w:t>
      </w:r>
    </w:p>
    <w:p w14:paraId="44B278AD">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（5）协助财政部门通过应用完成领用证申领审核、电子票据开通审核、领用证年度核验、领用证挂失/停用审核、单位信息变更审核、单位用户授权审核等票据单位管理业务。</w:t>
      </w:r>
    </w:p>
    <w:p w14:paraId="360E8D40">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（6）协助财政部门通过应用完成印制单审核、承印单审核、付印单审核、票据销毁审核、票据遗失审核等纸质票据管理业务。</w:t>
      </w:r>
    </w:p>
    <w:p w14:paraId="64D0C5E2">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（7）处理财政部门在使用浙江财政电子票据统计、非税报表分析等统计分析时遇到的问题。</w:t>
      </w:r>
    </w:p>
    <w:p w14:paraId="18EE771B">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6.政务服务网票据事项办理运维</w:t>
      </w:r>
    </w:p>
    <w:p w14:paraId="5C43410B">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政务服务网票据事项办理主要涉及浙江省财政票据购领证申请、浙江省财政票据用票单位信息变更申请、浙江省财政票据购领证遗失公告申请、浙江省财政票据印制申请、浙江省财政票据领用申请、浙江省财政票据核销申请、浙江省财政票据开具项目申请、浙江省财政票据遗失公告申请、浙江省电子票据赋码申请、浙江省电子票据开通申请、财政电子票据入账报销登记、财政电子票据无纸化报销登记等相关业务，需要提供以下相关服务内容：</w:t>
      </w:r>
    </w:p>
    <w:p w14:paraId="28A4A3A7">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协助单位在政务服务网办理浙江省财政票据购领证申请、浙江省财政票据用票单位信息变更申请、浙江省财政票据购领证遗失公告申请、浙江省财政票据印制申请、浙江省财政票据领用申请、浙江省财政票据核销申请、浙江省财政票据开具项目申请、浙江省财政票据遗失公告申请、浙江省电子票据赋码申请、浙江省电子票据开通申请、财政电子票据入账报销登记、财政电子票据无纸化报销登记等政务事项时的遇到的相关问题和咨询；</w:t>
      </w:r>
    </w:p>
    <w:p w14:paraId="68A22D08">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（2）协助财政部门对单位提交的政务网事项的审批工作；</w:t>
      </w:r>
    </w:p>
    <w:p w14:paraId="27E30408">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（3）保障单位提交政务网办理事项后，财政及时受理办结，避免超期。</w:t>
      </w:r>
    </w:p>
    <w:p w14:paraId="59B1C955">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7.电子凭证库拨款及缴库业务运维</w:t>
      </w:r>
    </w:p>
    <w:p w14:paraId="247A22ED">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电子凭证库拨款及缴库业务主要涉及资金退付、资金返还、资金上解、资金下拨、资金缴库、电子拨款单、电子凭证生成、电子凭证拨款、电子凭证缴库等相关业务，需要提供以下相关服务内容：</w:t>
      </w:r>
    </w:p>
    <w:p w14:paraId="56FB7AE0">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（1）协助财政部门对于电子凭证库相关基础工作的配置，包括电子印章设置、凭证参数设置、待办事项推送配置；</w:t>
      </w:r>
    </w:p>
    <w:p w14:paraId="4DA606DF">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（2）协助财政部门通过电子凭证库申请财务章和领导章；</w:t>
      </w:r>
    </w:p>
    <w:p w14:paraId="1E78CF1E">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（3）协助财政部门完成业务审核、生成拨款单、生成电子凭证、签财务章和领导章、发送拨款等业务流程；</w:t>
      </w:r>
    </w:p>
    <w:p w14:paraId="09CEE8B9">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（4）保障拨款指令能及时、准确的通过电子凭证库发送至代理银行；</w:t>
      </w:r>
    </w:p>
    <w:p w14:paraId="26B51B40">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（5）协助财政部门处理代理银行拨款异常而需要退回时的相关问题；</w:t>
      </w:r>
    </w:p>
    <w:p w14:paraId="4B76033E">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（6）保障财政部门和执收单位完成非税收入退付、往来款返还、缴上级、缴本级、划拨下级、缴库相关流程，使得业务通过电子凭证进行流转；</w:t>
      </w:r>
    </w:p>
    <w:p w14:paraId="69AAFBB4">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（7）保障电子凭证库涉及的专户拨款和缴库相关业务能正确的生成会计凭证至核算软件。</w:t>
      </w:r>
    </w:p>
    <w:p w14:paraId="38AEC761">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8.会计核算（非税收入账套）业务运维</w:t>
      </w:r>
    </w:p>
    <w:p w14:paraId="33F0AA7E">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会计核算（非税收入账套）业务主要涉及会计凭证生成、账本查询、余额表查询、报表管理、经费拨款、库维护、非税缴库、年终结转等相关业务，需要提供以下相关服务内容：</w:t>
      </w:r>
    </w:p>
    <w:p w14:paraId="6D3C8B0F">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（1）协助财政部门在非税和票据平台中设置自动凭证规则，保障数据能及时、完整的生成至BS版会计核算非税收入账套中。</w:t>
      </w:r>
    </w:p>
    <w:p w14:paraId="10C479A1">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（2）协助财政部门设置或调整非税收入账套相关基础数据，包括会计科目、单位银行账号、账套属性等。</w:t>
      </w:r>
    </w:p>
    <w:p w14:paraId="691C7DF7">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（3）保障财政部门完成非税收入账套相关业务操作，包括新增凭证、审核凭证、登账、反登账等。</w:t>
      </w:r>
    </w:p>
    <w:p w14:paraId="112DD691">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（4）保障财政部门通过BS版会计核算非税收入账套按时完成缴库。</w:t>
      </w:r>
    </w:p>
    <w:p w14:paraId="37C905A5">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（5）保障财政部门能完整的打印报表、凭证。</w:t>
      </w:r>
    </w:p>
    <w:p w14:paraId="1F7146C4">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（6）协助财政部门做好BS版会计核算非税收入账套年终结转工作。</w:t>
      </w:r>
    </w:p>
    <w:p w14:paraId="4BE6B3FC">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9.统发工资维护</w:t>
      </w:r>
    </w:p>
    <w:p w14:paraId="0319C3FE">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统发工资系统模块用于财政部门统发工资信息管理。满足日常工资数据管理，全流程跟踪工资款项支付，工资代发银行发放等各环节信息的要求。通过分析各预算单位人员支出相关执行数据、每月工资的支付汇总信息,财政部门可以及时掌握各预算单位人员工资发放数据，预计发放数及测算指标缺口数据。系统主要包含系统设置、工资管理、账务管理、查询打印等相关功能模块，需要提供以下相关服务内容：</w:t>
      </w:r>
    </w:p>
    <w:p w14:paraId="281B3FD9">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（1）解决人员工资数据导入导出过程中数据出错操作问题，由于系统设置引起的软件故障，查找问题发生原因，提供解决方案。</w:t>
      </w:r>
    </w:p>
    <w:p w14:paraId="07044047">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（2）解决因业务调整需要新增工资类型、修改工资栏目设置，指标追加减，科目变更等系统配置更改。</w:t>
      </w:r>
    </w:p>
    <w:p w14:paraId="67100BB5">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（3）保证系统正常运行，系统日常问题的处理，跟踪分析软件BUG，重现软件故障及修正代码。</w:t>
      </w:r>
    </w:p>
    <w:p w14:paraId="20D11CF8">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（4）分析后台数据库，查询数据异常。</w:t>
      </w:r>
    </w:p>
    <w:p w14:paraId="45079DBB">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（5）修订由于操作系统版本升级引起的运行缺陷。</w:t>
      </w:r>
    </w:p>
    <w:p w14:paraId="089D2331">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（6）日常维护系统运行环境保证软件可靠性、运行效率，提升用户工作效率。</w:t>
      </w:r>
    </w:p>
    <w:p w14:paraId="013D0B75">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（7）进行年度数据结转、上下年度功能科目、经济分类、单位合并等引发的系统设置变化的数据检查，提供修改技术支持及维护。</w:t>
      </w:r>
    </w:p>
    <w:p w14:paraId="3C99DB15">
      <w:pPr>
        <w:pStyle w:val="61"/>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kern w:val="2"/>
          <w:sz w:val="24"/>
          <w:szCs w:val="24"/>
          <w:lang w:val="en-US" w:eastAsia="zh-CN" w:bidi="ar-SA"/>
        </w:rPr>
        <w:t>10.政府综合财务报告服务内容包括：</w:t>
      </w:r>
    </w:p>
    <w:p w14:paraId="0D859ABC">
      <w:pPr>
        <w:pStyle w:val="61"/>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（1）协助用户完成单位封面修改、数据填报、审核校验、往来对账、差额调整、生成报表、报表审核、报告编辑、报告编写指导、报表及报告上报的日常运维；</w:t>
      </w:r>
    </w:p>
    <w:p w14:paraId="4758C418">
      <w:pPr>
        <w:pStyle w:val="61"/>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（2）协助用户方进行全区用户信息新增及变更、权限变更配置；</w:t>
      </w:r>
    </w:p>
    <w:p w14:paraId="18A7850A">
      <w:pPr>
        <w:pStyle w:val="61"/>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（3）指导用户处理数据、指导用户操作使用；</w:t>
      </w:r>
    </w:p>
    <w:p w14:paraId="3580A3DC">
      <w:pPr>
        <w:pStyle w:val="61"/>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（4）日常维护协调：及时有效地解决用户日常使用系统碰到的问题，解答用户系统使用疑问，对于疑难问题及时协调相关方解决；</w:t>
      </w:r>
    </w:p>
    <w:p w14:paraId="270CDA80">
      <w:pPr>
        <w:pStyle w:val="61"/>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（5）协助用户进行错误数据查询，以及因单位要素、会计核算数据提取、科目调整等变更而需进行的数据处理；</w:t>
      </w:r>
    </w:p>
    <w:p w14:paraId="101CEB63">
      <w:pPr>
        <w:pStyle w:val="61"/>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（6）协助财政完成总会计报表填报、比对财报和资产年报数据、调整资产核对表数据、审核单位上报的报告、和单位的对账差异处理；</w:t>
      </w:r>
    </w:p>
    <w:p w14:paraId="6E0BE9DC">
      <w:pPr>
        <w:pStyle w:val="61"/>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11.部门决算系统服务内容包括：</w:t>
      </w:r>
    </w:p>
    <w:p w14:paraId="7B0ACD35">
      <w:pPr>
        <w:pStyle w:val="61"/>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（1）协助用户完成年度决算任务、核对任务、审定任务、批复任务、公开任务的发布；</w:t>
      </w:r>
    </w:p>
    <w:p w14:paraId="5495E870">
      <w:pPr>
        <w:pStyle w:val="61"/>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（2）根据用户提供的单位变动情况进行单位树调整；</w:t>
      </w:r>
    </w:p>
    <w:p w14:paraId="76DF0B16">
      <w:pPr>
        <w:pStyle w:val="61"/>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（3）协助用户方进行用户信息、权限配置管理，支持用户方业务要素的调整；</w:t>
      </w:r>
    </w:p>
    <w:p w14:paraId="5832976E">
      <w:pPr>
        <w:pStyle w:val="61"/>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（4）日常维护协调：及时有效地解决用户日常使用系统碰到的问题，解答用户系统使用疑问，对于疑难问题及时协调相关方解决；</w:t>
      </w:r>
    </w:p>
    <w:p w14:paraId="312535A4">
      <w:pPr>
        <w:pStyle w:val="61"/>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（5）协助用户进行错误数据查询，以及因单位要素、参数变更而需进行的数据处理；</w:t>
      </w:r>
    </w:p>
    <w:p w14:paraId="21382961">
      <w:pPr>
        <w:pStyle w:val="61"/>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（6）协助财政完成全区核对表整理及导入、单位变更及账号变更收集、审核单位上报的报告、解决决算批复及公开遇到的问题；</w:t>
      </w:r>
    </w:p>
    <w:p w14:paraId="53B04769">
      <w:pPr>
        <w:pStyle w:val="61"/>
        <w:pageBreakBefore w:val="0"/>
        <w:widowControl w:val="0"/>
        <w:kinsoku/>
        <w:wordWrap/>
        <w:overflowPunct/>
        <w:topLinePunct w:val="0"/>
        <w:autoSpaceDE/>
        <w:autoSpaceDN/>
        <w:bidi w:val="0"/>
        <w:snapToGrid/>
        <w:spacing w:line="360" w:lineRule="auto"/>
        <w:ind w:left="0" w:leftChars="0"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（7）指导解答单位及财政本年的决算报表变化及做本年度的手工从核算系统取数手册、自动取数等操作手册；</w:t>
      </w:r>
    </w:p>
    <w:p w14:paraId="65BDB0DD">
      <w:pPr>
        <w:pStyle w:val="4"/>
        <w:pageBreakBefore w:val="0"/>
        <w:widowControl w:val="0"/>
        <w:kinsoku/>
        <w:wordWrap/>
        <w:overflowPunct/>
        <w:topLinePunct w:val="0"/>
        <w:autoSpaceDE/>
        <w:autoSpaceDN/>
        <w:bidi w:val="0"/>
        <w:snapToGrid/>
        <w:spacing w:line="360"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三、具体服务要求</w:t>
      </w:r>
    </w:p>
    <w:p w14:paraId="1DF71174">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电话及在线维护：用户在工作时间可拨打专线服务电话（其他时间可拨打24小时移动电话咨询），运维方安排专业从事财政系统咨询维护的高级技术工程师接听并处理用户的应用咨询；根据用户的需求及计算机掌握程度，也可利用网络资源网上处理用户的应用咨询。如即时通讯、远程协助工具等。</w:t>
      </w:r>
    </w:p>
    <w:p w14:paraId="04450F47">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现场技术服务：提供1名技术人员进行驻场服务，驻场人员必须有参与预算管理一体化、非税和票据管理平台、金财工程、统发工资、政府综合财务报告、部门决算系统等相关项目服务的工作经验，由采购人进行业务能力考核，满足要求才能上岗，否则采购人有权利要求更换人员或者终止合作。</w:t>
      </w:r>
    </w:p>
    <w:p w14:paraId="7B8F396F">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服务时间：提供每周7*24小时的服务咨询及技术支持。</w:t>
      </w:r>
    </w:p>
    <w:p w14:paraId="08932BF6">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技术支持类问题响应标准：在2小时之内给予明确的解决方案，并保证在4小时之内解决问题。</w:t>
      </w:r>
    </w:p>
    <w:p w14:paraId="336EAA8C">
      <w:pPr>
        <w:pageBreakBefore w:val="0"/>
        <w:widowControl w:val="0"/>
        <w:kinsoku/>
        <w:wordWrap/>
        <w:overflowPunct/>
        <w:topLinePunct w:val="0"/>
        <w:autoSpaceDE/>
        <w:autoSpaceDN/>
        <w:bidi w:val="0"/>
        <w:snapToGrid/>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投标人应提供具体的售后服务方案，提供售后服务具体措施、应急措施以及组织结构等。</w:t>
      </w:r>
    </w:p>
    <w:p w14:paraId="063ACD2C">
      <w:pPr>
        <w:pStyle w:val="4"/>
        <w:pageBreakBefore w:val="0"/>
        <w:widowControl w:val="0"/>
        <w:kinsoku/>
        <w:wordWrap/>
        <w:overflowPunct/>
        <w:topLinePunct w:val="0"/>
        <w:autoSpaceDE/>
        <w:autoSpaceDN/>
        <w:bidi w:val="0"/>
        <w:snapToGrid/>
        <w:spacing w:line="360" w:lineRule="auto"/>
        <w:ind w:left="0" w:leftChars="0" w:firstLine="0" w:firstLineChars="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四、商务要求</w:t>
      </w:r>
    </w:p>
    <w:p w14:paraId="4BB152DB">
      <w:pPr>
        <w:pStyle w:val="5"/>
        <w:keepLines/>
        <w:pageBreakBefore w:val="0"/>
        <w:widowControl w:val="0"/>
        <w:kinsoku/>
        <w:wordWrap/>
        <w:overflowPunct/>
        <w:topLinePunct w:val="0"/>
        <w:autoSpaceDE w:val="0"/>
        <w:autoSpaceDN w:val="0"/>
        <w:bidi w:val="0"/>
        <w:adjustRightInd w:val="0"/>
        <w:snapToGrid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1、付款方式</w:t>
      </w:r>
    </w:p>
    <w:p w14:paraId="35627B58">
      <w:pPr>
        <w:keepLines/>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合同签订后</w:t>
      </w:r>
      <w:r>
        <w:rPr>
          <w:rFonts w:hint="eastAsia" w:asciiTheme="minorEastAsia" w:hAnsiTheme="minorEastAsia" w:eastAsiaTheme="minorEastAsia" w:cstheme="minorEastAsia"/>
          <w:sz w:val="24"/>
          <w:szCs w:val="24"/>
          <w:lang w:val="en-US" w:eastAsia="zh-CN"/>
        </w:rPr>
        <w:t>且具备实施条件后5</w:t>
      </w:r>
      <w:r>
        <w:rPr>
          <w:rFonts w:hint="eastAsia" w:asciiTheme="minorEastAsia" w:hAnsiTheme="minorEastAsia" w:eastAsiaTheme="minorEastAsia" w:cstheme="minorEastAsia"/>
          <w:sz w:val="24"/>
          <w:szCs w:val="24"/>
        </w:rPr>
        <w:t>个工作日内支合同总价付</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0%，项目验收</w:t>
      </w:r>
      <w:r>
        <w:rPr>
          <w:rFonts w:hint="eastAsia" w:asciiTheme="minorEastAsia" w:hAnsiTheme="minorEastAsia" w:eastAsiaTheme="minorEastAsia" w:cstheme="minorEastAsia"/>
          <w:sz w:val="24"/>
          <w:szCs w:val="24"/>
          <w:lang w:val="en-US" w:eastAsia="zh-CN"/>
        </w:rPr>
        <w:t>合格且达到支付条件</w:t>
      </w:r>
      <w:r>
        <w:rPr>
          <w:rFonts w:hint="eastAsia" w:asciiTheme="minorEastAsia" w:hAnsiTheme="minorEastAsia" w:eastAsiaTheme="minorEastAsia" w:cstheme="minorEastAsia"/>
          <w:sz w:val="24"/>
          <w:szCs w:val="24"/>
        </w:rPr>
        <w:t>后</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个工作日内支付</w:t>
      </w:r>
      <w:r>
        <w:rPr>
          <w:rFonts w:hint="eastAsia" w:asciiTheme="minorEastAsia" w:hAnsiTheme="minorEastAsia" w:eastAsiaTheme="minorEastAsia" w:cstheme="minorEastAsia"/>
          <w:sz w:val="24"/>
          <w:szCs w:val="24"/>
          <w:lang w:val="en-US" w:eastAsia="zh-CN"/>
        </w:rPr>
        <w:t>剩余款项。</w:t>
      </w:r>
    </w:p>
    <w:p w14:paraId="293DCBDE">
      <w:pPr>
        <w:pStyle w:val="5"/>
        <w:keepLines/>
        <w:pageBreakBefore w:val="0"/>
        <w:widowControl w:val="0"/>
        <w:kinsoku/>
        <w:wordWrap/>
        <w:overflowPunct/>
        <w:topLinePunct w:val="0"/>
        <w:autoSpaceDE w:val="0"/>
        <w:autoSpaceDN w:val="0"/>
        <w:bidi w:val="0"/>
        <w:adjustRightInd w:val="0"/>
        <w:snapToGrid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2、履约保证金</w:t>
      </w:r>
    </w:p>
    <w:p w14:paraId="63F84709">
      <w:pPr>
        <w:keepLines/>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无</w:t>
      </w:r>
    </w:p>
    <w:p w14:paraId="2AD1368A">
      <w:pPr>
        <w:pStyle w:val="5"/>
        <w:keepLines/>
        <w:pageBreakBefore w:val="0"/>
        <w:widowControl w:val="0"/>
        <w:numPr>
          <w:ilvl w:val="0"/>
          <w:numId w:val="0"/>
        </w:numPr>
        <w:kinsoku/>
        <w:wordWrap/>
        <w:overflowPunct/>
        <w:topLinePunct w:val="0"/>
        <w:autoSpaceDE w:val="0"/>
        <w:autoSpaceDN w:val="0"/>
        <w:bidi w:val="0"/>
        <w:adjustRightInd w:val="0"/>
        <w:snapToGrid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3、服务期</w:t>
      </w:r>
    </w:p>
    <w:p w14:paraId="3CADFFE4">
      <w:pPr>
        <w:keepLines/>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一年</w:t>
      </w:r>
    </w:p>
    <w:p w14:paraId="3E2E5FC5">
      <w:pPr>
        <w:pStyle w:val="5"/>
        <w:keepLines/>
        <w:pageBreakBefore w:val="0"/>
        <w:widowControl w:val="0"/>
        <w:kinsoku/>
        <w:wordWrap/>
        <w:overflowPunct/>
        <w:topLinePunct w:val="0"/>
        <w:autoSpaceDE w:val="0"/>
        <w:autoSpaceDN w:val="0"/>
        <w:bidi w:val="0"/>
        <w:adjustRightInd w:val="0"/>
        <w:snapToGrid w:val="0"/>
        <w:spacing w:line="360" w:lineRule="auto"/>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4、验收要求</w:t>
      </w:r>
    </w:p>
    <w:p w14:paraId="1484CD63">
      <w:pPr>
        <w:keepLines/>
        <w:pageBreakBefore w:val="0"/>
        <w:widowControl w:val="0"/>
        <w:kinsoku/>
        <w:wordWrap/>
        <w:overflowPunct/>
        <w:topLinePunct w:val="0"/>
        <w:autoSpaceDE w:val="0"/>
        <w:autoSpaceDN w:val="0"/>
        <w:bidi w:val="0"/>
        <w:adjustRightInd w:val="0"/>
        <w:snapToGrid w:val="0"/>
        <w:spacing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1</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合同乙方应保质保量按时按约完成项目合同规定的各项工作，并于完成时按要求递交相关成果及佐证材料等。</w:t>
      </w:r>
    </w:p>
    <w:p w14:paraId="22D638ED">
      <w:pPr>
        <w:keepLines/>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完成项目内容后，合同乙方应及时向合同甲方发出书面验收申请，合同甲方在收到合同乙方书面验收申请后，组织实施验收和履约评价。</w:t>
      </w:r>
    </w:p>
    <w:p w14:paraId="2C9ACC60">
      <w:pPr>
        <w:keepLines/>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3</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合同甲方将对合同乙方的项目质量进行客观评估。验收小组完成验收后出具验收（评审）意见。</w:t>
      </w:r>
    </w:p>
    <w:p w14:paraId="54DE5184">
      <w:pPr>
        <w:keepLines/>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4</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对验收通过的项目，合同甲方将按照合同如期支付合同款。</w:t>
      </w:r>
    </w:p>
    <w:p w14:paraId="32F8DCF7">
      <w:pPr>
        <w:keepLines/>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5</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对验收未通过的项目，将按合同约定要求供应商限期整改。对无法整改或整改后仍未达到合同要求的项目，将按验收不通过处理。</w:t>
      </w:r>
    </w:p>
    <w:p w14:paraId="18088CF5">
      <w:pPr>
        <w:keepLines/>
        <w:pageBreakBefore w:val="0"/>
        <w:widowControl w:val="0"/>
        <w:kinsoku/>
        <w:wordWrap/>
        <w:overflowPunct/>
        <w:topLinePunct w:val="0"/>
        <w:autoSpaceDE w:val="0"/>
        <w:autoSpaceDN w:val="0"/>
        <w:bidi w:val="0"/>
        <w:adjustRightInd w:val="0"/>
        <w:snapToGrid w:val="0"/>
        <w:spacing w:line="360" w:lineRule="auto"/>
        <w:ind w:firstLine="480" w:firstLineChars="200"/>
        <w:textAlignment w:val="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lang w:val="en-US" w:eastAsia="zh-CN"/>
        </w:rPr>
        <w:t>6</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验收组织、验收方式、验收程序按《浙江省财政厅关于印发浙江省政府采购合同暂行办法的通知》（浙财采监〔2017〕11号）规定执行。</w:t>
      </w:r>
    </w:p>
    <w:p w14:paraId="16A70E79">
      <w:pPr>
        <w:keepLines/>
        <w:pageBreakBefore w:val="0"/>
        <w:widowControl w:val="0"/>
        <w:kinsoku/>
        <w:wordWrap/>
        <w:overflowPunct/>
        <w:topLinePunct w:val="0"/>
        <w:autoSpaceDE w:val="0"/>
        <w:autoSpaceDN w:val="0"/>
        <w:bidi w:val="0"/>
        <w:adjustRightInd w:val="0"/>
        <w:snapToGrid w:val="0"/>
        <w:spacing w:line="360" w:lineRule="auto"/>
        <w:textAlignment w:val="auto"/>
        <w:rPr>
          <w:rFonts w:ascii="宋体" w:hAnsi="宋体" w:cs="宋体"/>
          <w:color w:val="auto"/>
          <w:sz w:val="24"/>
          <w:highlight w:val="none"/>
        </w:rPr>
      </w:pPr>
    </w:p>
    <w:p w14:paraId="78FEAA71">
      <w:pPr>
        <w:widowControl/>
        <w:ind w:firstLine="720" w:firstLineChars="300"/>
        <w:jc w:val="left"/>
        <w:rPr>
          <w:rFonts w:ascii="宋体" w:hAnsi="宋体" w:cs="宋体"/>
          <w:bCs/>
          <w:color w:val="auto"/>
          <w:sz w:val="24"/>
          <w:highlight w:val="none"/>
        </w:rPr>
      </w:pPr>
    </w:p>
    <w:p w14:paraId="6D636660">
      <w:pPr>
        <w:rPr>
          <w:rFonts w:ascii="宋体" w:hAnsi="宋体" w:cs="宋体"/>
          <w:snapToGrid w:val="0"/>
          <w:color w:val="auto"/>
          <w:kern w:val="0"/>
          <w:sz w:val="24"/>
          <w:highlight w:val="none"/>
        </w:rPr>
      </w:pPr>
    </w:p>
    <w:p w14:paraId="7D18B210">
      <w:pPr>
        <w:spacing w:line="360" w:lineRule="auto"/>
        <w:jc w:val="center"/>
        <w:outlineLvl w:val="0"/>
        <w:rPr>
          <w:rFonts w:ascii="宋体" w:hAnsi="宋体" w:cs="宋体"/>
          <w:b/>
          <w:color w:val="auto"/>
          <w:sz w:val="36"/>
          <w:szCs w:val="36"/>
          <w:highlight w:val="none"/>
        </w:rPr>
      </w:pPr>
      <w:r>
        <w:rPr>
          <w:rFonts w:hint="eastAsia" w:ascii="宋体" w:hAnsi="宋体" w:cs="宋体"/>
          <w:b/>
          <w:color w:val="auto"/>
          <w:sz w:val="24"/>
          <w:highlight w:val="none"/>
        </w:rPr>
        <w:br w:type="page"/>
      </w:r>
      <w:r>
        <w:rPr>
          <w:rFonts w:hint="eastAsia" w:ascii="宋体" w:hAnsi="宋体" w:cs="宋体"/>
          <w:b/>
          <w:color w:val="auto"/>
          <w:sz w:val="36"/>
          <w:szCs w:val="36"/>
          <w:highlight w:val="none"/>
        </w:rPr>
        <w:t xml:space="preserve">第四部分   </w:t>
      </w:r>
      <w:bookmarkStart w:id="28" w:name="_Toc184313264"/>
      <w:bookmarkEnd w:id="28"/>
      <w:bookmarkStart w:id="29" w:name="_Toc184312082"/>
      <w:bookmarkEnd w:id="29"/>
      <w:bookmarkStart w:id="30" w:name="_Toc184313272"/>
      <w:bookmarkEnd w:id="30"/>
      <w:bookmarkStart w:id="31" w:name="_Toc184312093"/>
      <w:bookmarkEnd w:id="31"/>
      <w:bookmarkStart w:id="32" w:name="_Toc184313250"/>
      <w:bookmarkEnd w:id="32"/>
      <w:bookmarkStart w:id="33" w:name="_Toc184308067"/>
      <w:bookmarkEnd w:id="33"/>
      <w:bookmarkStart w:id="34" w:name="_Toc184314481"/>
      <w:bookmarkEnd w:id="34"/>
      <w:bookmarkStart w:id="35" w:name="_Toc184313256"/>
      <w:bookmarkEnd w:id="35"/>
      <w:bookmarkStart w:id="36" w:name="_Toc184314424"/>
      <w:bookmarkEnd w:id="36"/>
      <w:bookmarkStart w:id="37" w:name="_Toc184312070"/>
      <w:bookmarkEnd w:id="37"/>
      <w:bookmarkStart w:id="38" w:name="_Toc184308077"/>
      <w:bookmarkEnd w:id="38"/>
      <w:bookmarkStart w:id="39" w:name="_Toc184312107"/>
      <w:bookmarkEnd w:id="39"/>
      <w:bookmarkStart w:id="40" w:name="_Toc184313295"/>
      <w:bookmarkEnd w:id="40"/>
      <w:bookmarkStart w:id="41" w:name="_Toc184308092"/>
      <w:bookmarkEnd w:id="41"/>
      <w:bookmarkStart w:id="42" w:name="_Toc184314425"/>
      <w:bookmarkEnd w:id="42"/>
      <w:bookmarkStart w:id="43" w:name="_Toc184310321"/>
      <w:bookmarkEnd w:id="43"/>
      <w:bookmarkStart w:id="44" w:name="_Toc184308097"/>
      <w:bookmarkEnd w:id="44"/>
      <w:bookmarkStart w:id="45" w:name="_Toc184312138"/>
      <w:bookmarkEnd w:id="45"/>
      <w:bookmarkStart w:id="46" w:name="_Toc184313239"/>
      <w:bookmarkEnd w:id="46"/>
      <w:bookmarkStart w:id="47" w:name="_Toc184310288"/>
      <w:bookmarkEnd w:id="47"/>
      <w:bookmarkStart w:id="48" w:name="_Toc184312086"/>
      <w:bookmarkEnd w:id="48"/>
      <w:bookmarkStart w:id="49" w:name="_Toc184313266"/>
      <w:bookmarkEnd w:id="49"/>
      <w:bookmarkStart w:id="50" w:name="_Toc184308102"/>
      <w:bookmarkEnd w:id="50"/>
      <w:bookmarkStart w:id="51" w:name="_Toc184314419"/>
      <w:bookmarkEnd w:id="51"/>
      <w:bookmarkStart w:id="52" w:name="_Toc184308082"/>
      <w:bookmarkEnd w:id="52"/>
      <w:bookmarkStart w:id="53" w:name="_Toc184310322"/>
      <w:bookmarkEnd w:id="53"/>
      <w:bookmarkStart w:id="54" w:name="_Toc184308054"/>
      <w:bookmarkEnd w:id="54"/>
      <w:bookmarkStart w:id="55" w:name="_Toc184312112"/>
      <w:bookmarkEnd w:id="55"/>
      <w:bookmarkStart w:id="56" w:name="_Toc184313306"/>
      <w:bookmarkEnd w:id="56"/>
      <w:bookmarkStart w:id="57" w:name="_Toc184313267"/>
      <w:bookmarkEnd w:id="57"/>
      <w:bookmarkStart w:id="58" w:name="_Toc184313280"/>
      <w:bookmarkEnd w:id="58"/>
      <w:bookmarkStart w:id="59" w:name="_Toc184313300"/>
      <w:bookmarkEnd w:id="59"/>
      <w:bookmarkStart w:id="60" w:name="_Toc184308085"/>
      <w:bookmarkEnd w:id="60"/>
      <w:bookmarkStart w:id="61" w:name="_Toc184313242"/>
      <w:bookmarkEnd w:id="61"/>
      <w:bookmarkStart w:id="62" w:name="_Toc184310313"/>
      <w:bookmarkEnd w:id="62"/>
      <w:bookmarkStart w:id="63" w:name="_Toc184314456"/>
      <w:bookmarkEnd w:id="63"/>
      <w:bookmarkStart w:id="64" w:name="_Toc184314463"/>
      <w:bookmarkEnd w:id="64"/>
      <w:bookmarkStart w:id="65" w:name="_Toc184308086"/>
      <w:bookmarkEnd w:id="65"/>
      <w:bookmarkStart w:id="66" w:name="_Toc184314451"/>
      <w:bookmarkEnd w:id="66"/>
      <w:bookmarkStart w:id="67" w:name="_Toc184312125"/>
      <w:bookmarkEnd w:id="67"/>
      <w:bookmarkStart w:id="68" w:name="_Toc184314467"/>
      <w:bookmarkEnd w:id="68"/>
      <w:bookmarkStart w:id="69" w:name="_Toc184313285"/>
      <w:bookmarkEnd w:id="69"/>
      <w:bookmarkStart w:id="70" w:name="_Toc184313292"/>
      <w:bookmarkEnd w:id="70"/>
      <w:bookmarkStart w:id="71" w:name="_Toc184312105"/>
      <w:bookmarkEnd w:id="71"/>
      <w:bookmarkStart w:id="72" w:name="_Toc184308057"/>
      <w:bookmarkEnd w:id="72"/>
      <w:bookmarkStart w:id="73" w:name="_Toc184313248"/>
      <w:bookmarkEnd w:id="73"/>
      <w:bookmarkStart w:id="74" w:name="_Toc184310276"/>
      <w:bookmarkEnd w:id="74"/>
      <w:bookmarkStart w:id="75" w:name="_Toc184312067"/>
      <w:bookmarkEnd w:id="75"/>
      <w:bookmarkStart w:id="76" w:name="_Toc184313249"/>
      <w:bookmarkEnd w:id="76"/>
      <w:bookmarkStart w:id="77" w:name="_Toc184310284"/>
      <w:bookmarkEnd w:id="77"/>
      <w:bookmarkStart w:id="78" w:name="_Toc184314420"/>
      <w:bookmarkEnd w:id="78"/>
      <w:bookmarkStart w:id="79" w:name="_Toc184313290"/>
      <w:bookmarkEnd w:id="79"/>
      <w:bookmarkStart w:id="80" w:name="_Toc184313297"/>
      <w:bookmarkEnd w:id="80"/>
      <w:bookmarkStart w:id="81" w:name="_Toc184312090"/>
      <w:bookmarkEnd w:id="81"/>
      <w:bookmarkStart w:id="82" w:name="_Toc184313296"/>
      <w:bookmarkEnd w:id="82"/>
      <w:bookmarkStart w:id="83" w:name="_Toc184312129"/>
      <w:bookmarkEnd w:id="83"/>
      <w:bookmarkStart w:id="84" w:name="_Toc184310306"/>
      <w:bookmarkEnd w:id="84"/>
      <w:bookmarkStart w:id="85" w:name="_Toc184308060"/>
      <w:bookmarkEnd w:id="85"/>
      <w:bookmarkStart w:id="86" w:name="_Toc184312095"/>
      <w:bookmarkEnd w:id="86"/>
      <w:bookmarkStart w:id="87" w:name="_Toc184314437"/>
      <w:bookmarkEnd w:id="87"/>
      <w:bookmarkStart w:id="88" w:name="_Toc184314447"/>
      <w:bookmarkEnd w:id="88"/>
      <w:bookmarkStart w:id="89" w:name="_Toc184308044"/>
      <w:bookmarkEnd w:id="89"/>
      <w:bookmarkStart w:id="90" w:name="_Toc184308069"/>
      <w:bookmarkEnd w:id="90"/>
      <w:bookmarkStart w:id="91" w:name="_Toc184310285"/>
      <w:bookmarkEnd w:id="91"/>
      <w:bookmarkStart w:id="92" w:name="_Toc184312077"/>
      <w:bookmarkEnd w:id="92"/>
      <w:bookmarkStart w:id="93" w:name="_Toc184308084"/>
      <w:bookmarkEnd w:id="93"/>
      <w:bookmarkStart w:id="94" w:name="_Toc184312121"/>
      <w:bookmarkEnd w:id="94"/>
      <w:bookmarkStart w:id="95" w:name="_Toc184308075"/>
      <w:bookmarkEnd w:id="95"/>
      <w:bookmarkStart w:id="96" w:name="_Toc184308081"/>
      <w:bookmarkEnd w:id="96"/>
      <w:bookmarkStart w:id="97" w:name="_Toc184310312"/>
      <w:bookmarkEnd w:id="97"/>
      <w:bookmarkStart w:id="98" w:name="_Toc184308106"/>
      <w:bookmarkEnd w:id="98"/>
      <w:bookmarkStart w:id="99" w:name="_Toc184310274"/>
      <w:bookmarkEnd w:id="99"/>
      <w:bookmarkStart w:id="100" w:name="_Toc184313268"/>
      <w:bookmarkEnd w:id="100"/>
      <w:bookmarkStart w:id="101" w:name="_Toc184313302"/>
      <w:bookmarkEnd w:id="101"/>
      <w:bookmarkStart w:id="102" w:name="_Toc184312123"/>
      <w:bookmarkEnd w:id="102"/>
      <w:bookmarkStart w:id="103" w:name="_Toc184313257"/>
      <w:bookmarkEnd w:id="103"/>
      <w:bookmarkStart w:id="104" w:name="_Toc184313275"/>
      <w:bookmarkEnd w:id="104"/>
      <w:bookmarkStart w:id="105" w:name="_Toc184314439"/>
      <w:bookmarkEnd w:id="105"/>
      <w:bookmarkStart w:id="106" w:name="_Toc184308096"/>
      <w:bookmarkEnd w:id="106"/>
      <w:bookmarkStart w:id="107" w:name="_Toc184312094"/>
      <w:bookmarkEnd w:id="107"/>
      <w:bookmarkStart w:id="108" w:name="_Toc184313260"/>
      <w:bookmarkEnd w:id="108"/>
      <w:bookmarkStart w:id="109" w:name="_Toc184314454"/>
      <w:bookmarkEnd w:id="109"/>
      <w:bookmarkStart w:id="110" w:name="_Toc184314476"/>
      <w:bookmarkEnd w:id="110"/>
      <w:bookmarkStart w:id="111" w:name="_Toc184312108"/>
      <w:bookmarkEnd w:id="111"/>
      <w:bookmarkStart w:id="112" w:name="_Toc184314443"/>
      <w:bookmarkEnd w:id="112"/>
      <w:bookmarkStart w:id="113" w:name="_Toc184308073"/>
      <w:bookmarkEnd w:id="113"/>
      <w:bookmarkStart w:id="114" w:name="_Toc184312096"/>
      <w:bookmarkEnd w:id="114"/>
      <w:bookmarkStart w:id="115" w:name="_Toc184310332"/>
      <w:bookmarkEnd w:id="115"/>
      <w:bookmarkStart w:id="116" w:name="_Toc184314411"/>
      <w:bookmarkEnd w:id="116"/>
      <w:bookmarkStart w:id="117" w:name="_Toc184313244"/>
      <w:bookmarkEnd w:id="117"/>
      <w:bookmarkStart w:id="118" w:name="_Toc184310309"/>
      <w:bookmarkEnd w:id="118"/>
      <w:bookmarkStart w:id="119" w:name="_Toc184310294"/>
      <w:bookmarkEnd w:id="119"/>
      <w:bookmarkStart w:id="120" w:name="_Toc184312098"/>
      <w:bookmarkEnd w:id="120"/>
      <w:bookmarkStart w:id="121" w:name="_Toc184310301"/>
      <w:bookmarkEnd w:id="121"/>
      <w:bookmarkStart w:id="122" w:name="_Toc184310327"/>
      <w:bookmarkEnd w:id="122"/>
      <w:bookmarkStart w:id="123" w:name="_Toc184310291"/>
      <w:bookmarkEnd w:id="123"/>
      <w:bookmarkStart w:id="124" w:name="_Toc184310300"/>
      <w:bookmarkEnd w:id="124"/>
      <w:bookmarkStart w:id="125" w:name="_Toc184312072"/>
      <w:bookmarkEnd w:id="125"/>
      <w:bookmarkStart w:id="126" w:name="_Toc184312104"/>
      <w:bookmarkEnd w:id="126"/>
      <w:bookmarkStart w:id="127" w:name="_Toc184312099"/>
      <w:bookmarkEnd w:id="127"/>
      <w:bookmarkStart w:id="128" w:name="_Toc184308071"/>
      <w:bookmarkEnd w:id="128"/>
      <w:bookmarkStart w:id="129" w:name="_Toc184314429"/>
      <w:bookmarkEnd w:id="129"/>
      <w:bookmarkStart w:id="130" w:name="_Toc184313288"/>
      <w:bookmarkEnd w:id="130"/>
      <w:bookmarkStart w:id="131" w:name="_Toc184308065"/>
      <w:bookmarkEnd w:id="131"/>
      <w:bookmarkStart w:id="132" w:name="_Toc184310277"/>
      <w:bookmarkEnd w:id="132"/>
      <w:bookmarkStart w:id="133" w:name="_Toc184310342"/>
      <w:bookmarkEnd w:id="133"/>
      <w:bookmarkStart w:id="134" w:name="_Toc184310279"/>
      <w:bookmarkEnd w:id="134"/>
      <w:bookmarkStart w:id="135" w:name="_Toc184310289"/>
      <w:bookmarkEnd w:id="135"/>
      <w:bookmarkStart w:id="136" w:name="_Toc184313282"/>
      <w:bookmarkEnd w:id="136"/>
      <w:bookmarkStart w:id="137" w:name="_Toc184314448"/>
      <w:bookmarkEnd w:id="137"/>
      <w:bookmarkStart w:id="138" w:name="_Toc184313247"/>
      <w:bookmarkEnd w:id="138"/>
      <w:bookmarkStart w:id="139" w:name="_Toc184310303"/>
      <w:bookmarkEnd w:id="139"/>
      <w:bookmarkStart w:id="140" w:name="_Toc184312122"/>
      <w:bookmarkEnd w:id="140"/>
      <w:bookmarkStart w:id="141" w:name="_Toc184310283"/>
      <w:bookmarkEnd w:id="141"/>
      <w:bookmarkStart w:id="142" w:name="_Toc184310304"/>
      <w:bookmarkEnd w:id="142"/>
      <w:bookmarkStart w:id="143" w:name="_Toc184314475"/>
      <w:bookmarkEnd w:id="143"/>
      <w:bookmarkStart w:id="144" w:name="_Toc184313307"/>
      <w:bookmarkEnd w:id="144"/>
      <w:bookmarkStart w:id="145" w:name="_Toc184314410"/>
      <w:bookmarkEnd w:id="145"/>
      <w:bookmarkStart w:id="146" w:name="_Toc184308049"/>
      <w:bookmarkEnd w:id="146"/>
      <w:bookmarkStart w:id="147" w:name="_Toc184308107"/>
      <w:bookmarkEnd w:id="147"/>
      <w:bookmarkStart w:id="148" w:name="_Toc184314421"/>
      <w:bookmarkEnd w:id="148"/>
      <w:bookmarkStart w:id="149" w:name="_Toc184314431"/>
      <w:bookmarkEnd w:id="149"/>
      <w:bookmarkStart w:id="150" w:name="_Toc184310316"/>
      <w:bookmarkEnd w:id="150"/>
      <w:bookmarkStart w:id="151" w:name="_Toc184310317"/>
      <w:bookmarkEnd w:id="151"/>
      <w:bookmarkStart w:id="152" w:name="_Toc184312117"/>
      <w:bookmarkEnd w:id="152"/>
      <w:bookmarkStart w:id="153" w:name="_Toc184310314"/>
      <w:bookmarkEnd w:id="153"/>
      <w:bookmarkStart w:id="154" w:name="_Toc184312111"/>
      <w:bookmarkEnd w:id="154"/>
      <w:bookmarkStart w:id="155" w:name="_Toc184313308"/>
      <w:bookmarkEnd w:id="155"/>
      <w:bookmarkStart w:id="156" w:name="_Toc184314441"/>
      <w:bookmarkEnd w:id="156"/>
      <w:bookmarkStart w:id="157" w:name="_Toc184314477"/>
      <w:bookmarkEnd w:id="157"/>
      <w:bookmarkStart w:id="158" w:name="_Toc184312100"/>
      <w:bookmarkEnd w:id="158"/>
      <w:bookmarkStart w:id="159" w:name="_Toc184314466"/>
      <w:bookmarkEnd w:id="159"/>
      <w:bookmarkStart w:id="160" w:name="_Toc184313277"/>
      <w:bookmarkEnd w:id="160"/>
      <w:bookmarkStart w:id="161" w:name="_Toc184313253"/>
      <w:bookmarkEnd w:id="161"/>
      <w:bookmarkStart w:id="162" w:name="_Toc184308089"/>
      <w:bookmarkEnd w:id="162"/>
      <w:bookmarkStart w:id="163" w:name="_Toc184308105"/>
      <w:bookmarkEnd w:id="163"/>
      <w:bookmarkStart w:id="164" w:name="_Toc184313252"/>
      <w:bookmarkEnd w:id="164"/>
      <w:bookmarkStart w:id="165" w:name="_Toc184314472"/>
      <w:bookmarkEnd w:id="165"/>
      <w:bookmarkStart w:id="166" w:name="_Toc184314449"/>
      <w:bookmarkEnd w:id="166"/>
      <w:bookmarkStart w:id="167" w:name="_Toc184308093"/>
      <w:bookmarkEnd w:id="167"/>
      <w:bookmarkStart w:id="168" w:name="_Toc184308052"/>
      <w:bookmarkEnd w:id="168"/>
      <w:bookmarkStart w:id="169" w:name="_Toc184308100"/>
      <w:bookmarkEnd w:id="169"/>
      <w:bookmarkStart w:id="170" w:name="_Toc184308066"/>
      <w:bookmarkEnd w:id="170"/>
      <w:bookmarkStart w:id="171" w:name="_Toc184308103"/>
      <w:bookmarkEnd w:id="171"/>
      <w:bookmarkStart w:id="172" w:name="_Toc184313283"/>
      <w:bookmarkEnd w:id="172"/>
      <w:bookmarkStart w:id="173" w:name="_Toc184308056"/>
      <w:bookmarkEnd w:id="173"/>
      <w:bookmarkStart w:id="174" w:name="_Toc184310302"/>
      <w:bookmarkEnd w:id="174"/>
      <w:bookmarkStart w:id="175" w:name="_Toc184312139"/>
      <w:bookmarkEnd w:id="175"/>
      <w:bookmarkStart w:id="176" w:name="_Toc184313286"/>
      <w:bookmarkEnd w:id="176"/>
      <w:bookmarkStart w:id="177" w:name="_Toc184312071"/>
      <w:bookmarkEnd w:id="177"/>
      <w:bookmarkStart w:id="178" w:name="_Toc184312085"/>
      <w:bookmarkEnd w:id="178"/>
      <w:bookmarkStart w:id="179" w:name="_Toc184312128"/>
      <w:bookmarkEnd w:id="179"/>
      <w:bookmarkStart w:id="180" w:name="_Toc184308062"/>
      <w:bookmarkEnd w:id="180"/>
      <w:bookmarkStart w:id="181" w:name="_Toc184314457"/>
      <w:bookmarkEnd w:id="181"/>
      <w:bookmarkStart w:id="182" w:name="_Toc184312120"/>
      <w:bookmarkEnd w:id="182"/>
      <w:bookmarkStart w:id="183" w:name="_Toc184312127"/>
      <w:bookmarkEnd w:id="183"/>
      <w:bookmarkStart w:id="184" w:name="_Toc184308059"/>
      <w:bookmarkEnd w:id="184"/>
      <w:bookmarkStart w:id="185" w:name="_Toc184310273"/>
      <w:bookmarkEnd w:id="185"/>
      <w:bookmarkStart w:id="186" w:name="_Toc184312092"/>
      <w:bookmarkEnd w:id="186"/>
      <w:bookmarkStart w:id="187" w:name="_Toc184314423"/>
      <w:bookmarkEnd w:id="187"/>
      <w:bookmarkStart w:id="188" w:name="_Toc184313291"/>
      <w:bookmarkEnd w:id="188"/>
      <w:bookmarkStart w:id="189" w:name="_Toc184310295"/>
      <w:bookmarkEnd w:id="189"/>
      <w:bookmarkStart w:id="190" w:name="_Toc184310280"/>
      <w:bookmarkEnd w:id="190"/>
      <w:bookmarkStart w:id="191" w:name="_Toc184314468"/>
      <w:bookmarkEnd w:id="191"/>
      <w:bookmarkStart w:id="192" w:name="_Toc184312119"/>
      <w:bookmarkEnd w:id="192"/>
      <w:bookmarkStart w:id="193" w:name="_Toc184312136"/>
      <w:bookmarkEnd w:id="193"/>
      <w:bookmarkStart w:id="194" w:name="_Toc184308036"/>
      <w:bookmarkEnd w:id="194"/>
      <w:bookmarkStart w:id="195" w:name="_Toc184313294"/>
      <w:bookmarkEnd w:id="195"/>
      <w:bookmarkStart w:id="196" w:name="_Toc184313301"/>
      <w:bookmarkEnd w:id="196"/>
      <w:bookmarkStart w:id="197" w:name="_Toc184310307"/>
      <w:bookmarkEnd w:id="197"/>
      <w:bookmarkStart w:id="198" w:name="_Toc184312078"/>
      <w:bookmarkEnd w:id="198"/>
      <w:bookmarkStart w:id="199" w:name="_Toc184310308"/>
      <w:bookmarkEnd w:id="199"/>
      <w:bookmarkStart w:id="200" w:name="_Toc184313305"/>
      <w:bookmarkEnd w:id="200"/>
      <w:bookmarkStart w:id="201" w:name="_Toc184312131"/>
      <w:bookmarkEnd w:id="201"/>
      <w:bookmarkStart w:id="202" w:name="_Toc184313261"/>
      <w:bookmarkEnd w:id="202"/>
      <w:bookmarkStart w:id="203" w:name="_Toc184313263"/>
      <w:bookmarkEnd w:id="203"/>
      <w:bookmarkStart w:id="204" w:name="_Toc184308095"/>
      <w:bookmarkEnd w:id="204"/>
      <w:bookmarkStart w:id="205" w:name="_Toc184313270"/>
      <w:bookmarkEnd w:id="205"/>
      <w:bookmarkStart w:id="206" w:name="_Toc184314458"/>
      <w:bookmarkEnd w:id="206"/>
      <w:bookmarkStart w:id="207" w:name="_Toc184310334"/>
      <w:bookmarkEnd w:id="207"/>
      <w:bookmarkStart w:id="208" w:name="_Toc184313281"/>
      <w:bookmarkEnd w:id="208"/>
      <w:bookmarkStart w:id="209" w:name="_Toc184314430"/>
      <w:bookmarkEnd w:id="209"/>
      <w:bookmarkStart w:id="210" w:name="_Toc184310320"/>
      <w:bookmarkEnd w:id="210"/>
      <w:bookmarkStart w:id="211" w:name="_Toc184314422"/>
      <w:bookmarkEnd w:id="211"/>
      <w:bookmarkStart w:id="212" w:name="_Toc184314442"/>
      <w:bookmarkEnd w:id="212"/>
      <w:bookmarkStart w:id="213" w:name="_Toc184314446"/>
      <w:bookmarkEnd w:id="213"/>
      <w:bookmarkStart w:id="214" w:name="_Toc184314440"/>
      <w:bookmarkEnd w:id="214"/>
      <w:bookmarkStart w:id="215" w:name="_Toc184314459"/>
      <w:bookmarkEnd w:id="215"/>
      <w:bookmarkStart w:id="216" w:name="_Toc184312091"/>
      <w:bookmarkEnd w:id="216"/>
      <w:bookmarkStart w:id="217" w:name="_Toc184310330"/>
      <w:bookmarkEnd w:id="217"/>
      <w:bookmarkStart w:id="218" w:name="_Toc184314434"/>
      <w:bookmarkEnd w:id="218"/>
      <w:bookmarkStart w:id="219" w:name="_Toc184313238"/>
      <w:bookmarkEnd w:id="219"/>
      <w:bookmarkStart w:id="220" w:name="_Toc184312126"/>
      <w:bookmarkEnd w:id="220"/>
      <w:bookmarkStart w:id="221" w:name="_Toc184313259"/>
      <w:bookmarkEnd w:id="221"/>
      <w:bookmarkStart w:id="222" w:name="_Toc184308053"/>
      <w:bookmarkEnd w:id="222"/>
      <w:bookmarkStart w:id="223" w:name="_Toc184312097"/>
      <w:bookmarkEnd w:id="223"/>
      <w:bookmarkStart w:id="224" w:name="_Toc184313303"/>
      <w:bookmarkEnd w:id="224"/>
      <w:bookmarkStart w:id="225" w:name="_Toc184310287"/>
      <w:bookmarkEnd w:id="225"/>
      <w:bookmarkStart w:id="226" w:name="_Toc184313309"/>
      <w:bookmarkEnd w:id="226"/>
      <w:bookmarkStart w:id="227" w:name="_Toc184310296"/>
      <w:bookmarkEnd w:id="227"/>
      <w:bookmarkStart w:id="228" w:name="_Toc184313273"/>
      <w:bookmarkEnd w:id="228"/>
      <w:bookmarkStart w:id="229" w:name="_Toc184310343"/>
      <w:bookmarkEnd w:id="229"/>
      <w:bookmarkStart w:id="230" w:name="_Toc184314462"/>
      <w:bookmarkEnd w:id="230"/>
      <w:bookmarkStart w:id="231" w:name="_Toc184314482"/>
      <w:bookmarkEnd w:id="231"/>
      <w:bookmarkStart w:id="232" w:name="_Toc184308087"/>
      <w:bookmarkEnd w:id="232"/>
      <w:bookmarkStart w:id="233" w:name="_Toc184312074"/>
      <w:bookmarkEnd w:id="233"/>
      <w:bookmarkStart w:id="234" w:name="_Toc184310281"/>
      <w:bookmarkEnd w:id="234"/>
      <w:bookmarkStart w:id="235" w:name="_Toc184308061"/>
      <w:bookmarkEnd w:id="235"/>
      <w:bookmarkStart w:id="236" w:name="_Toc184308072"/>
      <w:bookmarkEnd w:id="236"/>
      <w:bookmarkStart w:id="237" w:name="_Toc184313279"/>
      <w:bookmarkEnd w:id="237"/>
      <w:bookmarkStart w:id="238" w:name="_Toc184312081"/>
      <w:bookmarkEnd w:id="238"/>
      <w:bookmarkStart w:id="239" w:name="_Toc184313262"/>
      <w:bookmarkEnd w:id="239"/>
      <w:bookmarkStart w:id="240" w:name="_Toc184308098"/>
      <w:bookmarkEnd w:id="240"/>
      <w:bookmarkStart w:id="241" w:name="_Toc184308080"/>
      <w:bookmarkEnd w:id="241"/>
      <w:bookmarkStart w:id="242" w:name="_Toc184310275"/>
      <w:bookmarkEnd w:id="242"/>
      <w:bookmarkStart w:id="243" w:name="_Toc184312115"/>
      <w:bookmarkEnd w:id="243"/>
      <w:bookmarkStart w:id="244" w:name="_Toc184314415"/>
      <w:bookmarkEnd w:id="244"/>
      <w:bookmarkStart w:id="245" w:name="_Toc184308045"/>
      <w:bookmarkEnd w:id="245"/>
      <w:bookmarkStart w:id="246" w:name="_Toc184313276"/>
      <w:bookmarkEnd w:id="246"/>
      <w:bookmarkStart w:id="247" w:name="_Toc184308046"/>
      <w:bookmarkEnd w:id="247"/>
      <w:bookmarkStart w:id="248" w:name="_Toc184314480"/>
      <w:bookmarkEnd w:id="248"/>
      <w:bookmarkStart w:id="249" w:name="_Toc184314478"/>
      <w:bookmarkEnd w:id="249"/>
      <w:bookmarkStart w:id="250" w:name="_Toc184308094"/>
      <w:bookmarkEnd w:id="250"/>
      <w:bookmarkStart w:id="251" w:name="_Toc184313299"/>
      <w:bookmarkEnd w:id="251"/>
      <w:bookmarkStart w:id="252" w:name="_Toc184310319"/>
      <w:bookmarkEnd w:id="252"/>
      <w:bookmarkStart w:id="253" w:name="_Toc184312084"/>
      <w:bookmarkEnd w:id="253"/>
      <w:bookmarkStart w:id="254" w:name="_Toc184312113"/>
      <w:bookmarkEnd w:id="254"/>
      <w:bookmarkStart w:id="255" w:name="_Toc184310326"/>
      <w:bookmarkEnd w:id="255"/>
      <w:bookmarkStart w:id="256" w:name="_Toc184312083"/>
      <w:bookmarkEnd w:id="256"/>
      <w:bookmarkStart w:id="257" w:name="_Toc184308040"/>
      <w:bookmarkEnd w:id="257"/>
      <w:bookmarkStart w:id="258" w:name="_Toc184313269"/>
      <w:bookmarkEnd w:id="258"/>
      <w:bookmarkStart w:id="259" w:name="_Toc184313274"/>
      <w:bookmarkEnd w:id="259"/>
      <w:bookmarkStart w:id="260" w:name="_Toc184314474"/>
      <w:bookmarkEnd w:id="260"/>
      <w:bookmarkStart w:id="261" w:name="_Toc184314436"/>
      <w:bookmarkEnd w:id="261"/>
      <w:bookmarkStart w:id="262" w:name="_Toc184310282"/>
      <w:bookmarkEnd w:id="262"/>
      <w:bookmarkStart w:id="263" w:name="_Toc184314417"/>
      <w:bookmarkEnd w:id="263"/>
      <w:bookmarkStart w:id="264" w:name="_Toc184313245"/>
      <w:bookmarkEnd w:id="264"/>
      <w:bookmarkStart w:id="265" w:name="_Toc184310278"/>
      <w:bookmarkEnd w:id="265"/>
      <w:bookmarkStart w:id="266" w:name="_Toc184312106"/>
      <w:bookmarkEnd w:id="266"/>
      <w:bookmarkStart w:id="267" w:name="_Toc184312076"/>
      <w:bookmarkEnd w:id="267"/>
      <w:bookmarkStart w:id="268" w:name="_Toc184312079"/>
      <w:bookmarkEnd w:id="268"/>
      <w:bookmarkStart w:id="269" w:name="_Toc184308039"/>
      <w:bookmarkEnd w:id="269"/>
      <w:bookmarkStart w:id="270" w:name="_Toc184310315"/>
      <w:bookmarkEnd w:id="270"/>
      <w:bookmarkStart w:id="271" w:name="_Toc184312137"/>
      <w:bookmarkEnd w:id="271"/>
      <w:bookmarkStart w:id="272" w:name="_Toc184314445"/>
      <w:bookmarkEnd w:id="272"/>
      <w:bookmarkStart w:id="273" w:name="_Toc184310286"/>
      <w:bookmarkEnd w:id="273"/>
      <w:bookmarkStart w:id="274" w:name="_Toc184314473"/>
      <w:bookmarkEnd w:id="274"/>
      <w:bookmarkStart w:id="275" w:name="_Toc184313284"/>
      <w:bookmarkEnd w:id="275"/>
      <w:bookmarkStart w:id="276" w:name="_Toc184312103"/>
      <w:bookmarkEnd w:id="276"/>
      <w:bookmarkStart w:id="277" w:name="_Toc184312109"/>
      <w:bookmarkEnd w:id="277"/>
      <w:bookmarkStart w:id="278" w:name="_Toc184310272"/>
      <w:bookmarkEnd w:id="278"/>
      <w:bookmarkStart w:id="279" w:name="_Toc184310344"/>
      <w:bookmarkEnd w:id="279"/>
      <w:bookmarkStart w:id="280" w:name="_Toc184312110"/>
      <w:bookmarkEnd w:id="280"/>
      <w:bookmarkStart w:id="281" w:name="_Toc184313251"/>
      <w:bookmarkEnd w:id="281"/>
      <w:bookmarkStart w:id="282" w:name="_Toc184312130"/>
      <w:bookmarkEnd w:id="282"/>
      <w:bookmarkStart w:id="283" w:name="_Toc184313265"/>
      <w:bookmarkEnd w:id="283"/>
      <w:bookmarkStart w:id="284" w:name="_Toc184312069"/>
      <w:bookmarkEnd w:id="284"/>
      <w:bookmarkStart w:id="285" w:name="_Toc184310337"/>
      <w:bookmarkEnd w:id="285"/>
      <w:bookmarkStart w:id="286" w:name="_Toc184308108"/>
      <w:bookmarkEnd w:id="286"/>
      <w:bookmarkStart w:id="287" w:name="_Toc184312075"/>
      <w:bookmarkEnd w:id="287"/>
      <w:bookmarkStart w:id="288" w:name="_Toc184314455"/>
      <w:bookmarkEnd w:id="288"/>
      <w:bookmarkStart w:id="289" w:name="_Toc184314453"/>
      <w:bookmarkEnd w:id="289"/>
      <w:bookmarkStart w:id="290" w:name="_Toc184310324"/>
      <w:bookmarkEnd w:id="290"/>
      <w:bookmarkStart w:id="291" w:name="_Toc184308076"/>
      <w:bookmarkEnd w:id="291"/>
      <w:bookmarkStart w:id="292" w:name="_Toc184308074"/>
      <w:bookmarkEnd w:id="292"/>
      <w:bookmarkStart w:id="293" w:name="_Toc184310329"/>
      <w:bookmarkEnd w:id="293"/>
      <w:bookmarkStart w:id="294" w:name="_Toc184308078"/>
      <w:bookmarkEnd w:id="294"/>
      <w:bookmarkStart w:id="295" w:name="_Toc184313278"/>
      <w:bookmarkEnd w:id="295"/>
      <w:bookmarkStart w:id="296" w:name="_Toc184314469"/>
      <w:bookmarkEnd w:id="296"/>
      <w:bookmarkStart w:id="297" w:name="_Toc184312088"/>
      <w:bookmarkEnd w:id="297"/>
      <w:bookmarkStart w:id="298" w:name="_Toc184313310"/>
      <w:bookmarkEnd w:id="298"/>
      <w:bookmarkStart w:id="299" w:name="_Toc184313293"/>
      <w:bookmarkEnd w:id="299"/>
      <w:bookmarkStart w:id="300" w:name="_Toc184308104"/>
      <w:bookmarkEnd w:id="300"/>
      <w:bookmarkStart w:id="301" w:name="_Toc184312114"/>
      <w:bookmarkEnd w:id="301"/>
      <w:bookmarkStart w:id="302" w:name="_Toc184308064"/>
      <w:bookmarkEnd w:id="302"/>
      <w:bookmarkStart w:id="303" w:name="_Toc184310331"/>
      <w:bookmarkEnd w:id="303"/>
      <w:bookmarkStart w:id="304" w:name="_Toc184310293"/>
      <w:bookmarkEnd w:id="304"/>
      <w:bookmarkStart w:id="305" w:name="_Toc184314426"/>
      <w:bookmarkEnd w:id="305"/>
      <w:bookmarkStart w:id="306" w:name="_Toc184313271"/>
      <w:bookmarkEnd w:id="306"/>
      <w:bookmarkStart w:id="307" w:name="_Toc184314470"/>
      <w:bookmarkEnd w:id="307"/>
      <w:bookmarkStart w:id="308" w:name="_Toc184312101"/>
      <w:bookmarkEnd w:id="308"/>
      <w:bookmarkStart w:id="309" w:name="_Toc184308068"/>
      <w:bookmarkEnd w:id="309"/>
      <w:bookmarkStart w:id="310" w:name="_Toc184308101"/>
      <w:bookmarkEnd w:id="310"/>
      <w:bookmarkStart w:id="311" w:name="_Toc184310323"/>
      <w:bookmarkEnd w:id="311"/>
      <w:bookmarkStart w:id="312" w:name="_Toc184313287"/>
      <w:bookmarkEnd w:id="312"/>
      <w:bookmarkStart w:id="313" w:name="_Toc184310310"/>
      <w:bookmarkEnd w:id="313"/>
      <w:bookmarkStart w:id="314" w:name="_Toc184310292"/>
      <w:bookmarkEnd w:id="314"/>
      <w:bookmarkStart w:id="315" w:name="_Toc184312134"/>
      <w:bookmarkEnd w:id="315"/>
      <w:bookmarkStart w:id="316" w:name="_Toc184314452"/>
      <w:bookmarkEnd w:id="316"/>
      <w:bookmarkStart w:id="317" w:name="_Toc184312118"/>
      <w:bookmarkEnd w:id="317"/>
      <w:bookmarkStart w:id="318" w:name="_Toc184310335"/>
      <w:bookmarkEnd w:id="318"/>
      <w:bookmarkStart w:id="319" w:name="_Toc184310311"/>
      <w:bookmarkEnd w:id="319"/>
      <w:bookmarkStart w:id="320" w:name="_Toc184310341"/>
      <w:bookmarkEnd w:id="320"/>
      <w:bookmarkStart w:id="321" w:name="_Toc184308041"/>
      <w:bookmarkEnd w:id="321"/>
      <w:bookmarkStart w:id="322" w:name="_Toc184314428"/>
      <w:bookmarkEnd w:id="322"/>
      <w:bookmarkStart w:id="323" w:name="_Toc184314427"/>
      <w:bookmarkEnd w:id="323"/>
      <w:bookmarkStart w:id="324" w:name="_Toc184314471"/>
      <w:bookmarkEnd w:id="324"/>
      <w:bookmarkStart w:id="325" w:name="_Toc184314433"/>
      <w:bookmarkEnd w:id="325"/>
      <w:bookmarkStart w:id="326" w:name="_Toc184308042"/>
      <w:bookmarkEnd w:id="326"/>
      <w:bookmarkStart w:id="327" w:name="_Toc184308070"/>
      <w:bookmarkEnd w:id="327"/>
      <w:bookmarkStart w:id="328" w:name="_Toc184312087"/>
      <w:bookmarkEnd w:id="328"/>
      <w:bookmarkStart w:id="329" w:name="_Toc184313246"/>
      <w:bookmarkEnd w:id="329"/>
      <w:bookmarkStart w:id="330" w:name="_Toc184308048"/>
      <w:bookmarkEnd w:id="330"/>
      <w:bookmarkStart w:id="331" w:name="_Toc184308088"/>
      <w:bookmarkEnd w:id="331"/>
      <w:bookmarkStart w:id="332" w:name="_Toc184314444"/>
      <w:bookmarkEnd w:id="332"/>
      <w:bookmarkStart w:id="333" w:name="_Toc184314412"/>
      <w:bookmarkEnd w:id="333"/>
      <w:bookmarkStart w:id="334" w:name="_Toc184314460"/>
      <w:bookmarkEnd w:id="334"/>
      <w:bookmarkStart w:id="335" w:name="_Toc184310290"/>
      <w:bookmarkEnd w:id="335"/>
      <w:bookmarkStart w:id="336" w:name="_Toc184308058"/>
      <w:bookmarkEnd w:id="336"/>
      <w:bookmarkStart w:id="337" w:name="_Toc184308055"/>
      <w:bookmarkEnd w:id="337"/>
      <w:bookmarkStart w:id="338" w:name="_Toc184312080"/>
      <w:bookmarkEnd w:id="338"/>
      <w:bookmarkStart w:id="339" w:name="_Toc184308063"/>
      <w:bookmarkEnd w:id="339"/>
      <w:bookmarkStart w:id="340" w:name="_Toc184312132"/>
      <w:bookmarkEnd w:id="340"/>
      <w:bookmarkStart w:id="341" w:name="_Toc184313255"/>
      <w:bookmarkEnd w:id="341"/>
      <w:bookmarkStart w:id="342" w:name="_Toc184314435"/>
      <w:bookmarkEnd w:id="342"/>
      <w:bookmarkStart w:id="343" w:name="_Toc184310338"/>
      <w:bookmarkEnd w:id="343"/>
      <w:bookmarkStart w:id="344" w:name="_Toc184308090"/>
      <w:bookmarkEnd w:id="344"/>
      <w:bookmarkStart w:id="345" w:name="_Toc184310305"/>
      <w:bookmarkEnd w:id="345"/>
      <w:bookmarkStart w:id="346" w:name="_Toc184314432"/>
      <w:bookmarkEnd w:id="346"/>
      <w:bookmarkStart w:id="347" w:name="_Toc184308099"/>
      <w:bookmarkEnd w:id="347"/>
      <w:bookmarkStart w:id="348" w:name="_Toc184308038"/>
      <w:bookmarkEnd w:id="348"/>
      <w:bookmarkStart w:id="349" w:name="_Toc184313304"/>
      <w:bookmarkEnd w:id="349"/>
      <w:bookmarkStart w:id="350" w:name="_Toc184310339"/>
      <w:bookmarkEnd w:id="350"/>
      <w:bookmarkStart w:id="351" w:name="_Toc184310336"/>
      <w:bookmarkEnd w:id="351"/>
      <w:bookmarkStart w:id="352" w:name="_Toc184314416"/>
      <w:bookmarkEnd w:id="352"/>
      <w:bookmarkStart w:id="353" w:name="_Toc184314465"/>
      <w:bookmarkEnd w:id="353"/>
      <w:bookmarkStart w:id="354" w:name="_Toc184312135"/>
      <w:bookmarkEnd w:id="354"/>
      <w:bookmarkStart w:id="355" w:name="_Toc184310333"/>
      <w:bookmarkEnd w:id="355"/>
      <w:bookmarkStart w:id="356" w:name="_Toc184313243"/>
      <w:bookmarkEnd w:id="356"/>
      <w:bookmarkStart w:id="357" w:name="_Toc184314450"/>
      <w:bookmarkEnd w:id="357"/>
      <w:bookmarkStart w:id="358" w:name="_Toc184313258"/>
      <w:bookmarkEnd w:id="358"/>
      <w:bookmarkStart w:id="359" w:name="_Toc184308043"/>
      <w:bookmarkEnd w:id="359"/>
      <w:bookmarkStart w:id="360" w:name="_Toc184314464"/>
      <w:bookmarkEnd w:id="360"/>
      <w:bookmarkStart w:id="361" w:name="_Toc184312133"/>
      <w:bookmarkEnd w:id="361"/>
      <w:bookmarkStart w:id="362" w:name="_Toc184314438"/>
      <w:bookmarkEnd w:id="362"/>
      <w:bookmarkStart w:id="363" w:name="_Toc184312116"/>
      <w:bookmarkEnd w:id="363"/>
      <w:bookmarkStart w:id="364" w:name="_Toc184308091"/>
      <w:bookmarkEnd w:id="364"/>
      <w:bookmarkStart w:id="365" w:name="_Toc184308050"/>
      <w:bookmarkEnd w:id="365"/>
      <w:bookmarkStart w:id="366" w:name="_Toc184310340"/>
      <w:bookmarkEnd w:id="366"/>
      <w:bookmarkStart w:id="367" w:name="_Toc184310328"/>
      <w:bookmarkEnd w:id="367"/>
      <w:bookmarkStart w:id="368" w:name="_Toc184310325"/>
      <w:bookmarkEnd w:id="368"/>
      <w:bookmarkStart w:id="369" w:name="_Toc184310298"/>
      <w:bookmarkEnd w:id="369"/>
      <w:bookmarkStart w:id="370" w:name="_Toc184313240"/>
      <w:bookmarkEnd w:id="370"/>
      <w:bookmarkStart w:id="371" w:name="_Toc184312124"/>
      <w:bookmarkEnd w:id="371"/>
      <w:bookmarkStart w:id="372" w:name="_Toc184314413"/>
      <w:bookmarkEnd w:id="372"/>
      <w:bookmarkStart w:id="373" w:name="_Toc184312089"/>
      <w:bookmarkEnd w:id="373"/>
      <w:bookmarkStart w:id="374" w:name="_Toc184313289"/>
      <w:bookmarkEnd w:id="374"/>
      <w:bookmarkStart w:id="375" w:name="_Toc184310318"/>
      <w:bookmarkEnd w:id="375"/>
      <w:bookmarkStart w:id="376" w:name="_Toc184314418"/>
      <w:bookmarkEnd w:id="376"/>
      <w:bookmarkStart w:id="377" w:name="_Toc184308047"/>
      <w:bookmarkEnd w:id="377"/>
      <w:bookmarkStart w:id="378" w:name="_Toc184314461"/>
      <w:bookmarkEnd w:id="378"/>
      <w:bookmarkStart w:id="379" w:name="_Toc184312102"/>
      <w:bookmarkEnd w:id="379"/>
      <w:bookmarkStart w:id="380" w:name="_Toc184313254"/>
      <w:bookmarkEnd w:id="380"/>
      <w:bookmarkStart w:id="381" w:name="_Toc184308051"/>
      <w:bookmarkEnd w:id="381"/>
      <w:bookmarkStart w:id="382" w:name="_Toc184313241"/>
      <w:bookmarkEnd w:id="382"/>
      <w:bookmarkStart w:id="383" w:name="_Toc184308083"/>
      <w:bookmarkEnd w:id="383"/>
      <w:bookmarkStart w:id="384" w:name="_Toc184310299"/>
      <w:bookmarkEnd w:id="384"/>
      <w:bookmarkStart w:id="385" w:name="_Toc184308037"/>
      <w:bookmarkEnd w:id="385"/>
      <w:bookmarkStart w:id="386" w:name="_Toc184312073"/>
      <w:bookmarkEnd w:id="386"/>
      <w:bookmarkStart w:id="387" w:name="_Toc184308079"/>
      <w:bookmarkEnd w:id="387"/>
      <w:bookmarkStart w:id="388" w:name="_Toc184314414"/>
      <w:bookmarkEnd w:id="388"/>
      <w:bookmarkStart w:id="389" w:name="_Toc184310297"/>
      <w:bookmarkEnd w:id="389"/>
      <w:bookmarkStart w:id="390" w:name="_Toc184312068"/>
      <w:bookmarkEnd w:id="390"/>
      <w:bookmarkStart w:id="391" w:name="_Toc184314479"/>
      <w:bookmarkEnd w:id="391"/>
      <w:bookmarkStart w:id="392" w:name="_Toc184313298"/>
      <w:bookmarkEnd w:id="392"/>
      <w:r>
        <w:rPr>
          <w:rFonts w:hint="eastAsia" w:ascii="宋体" w:hAnsi="宋体" w:cs="宋体"/>
          <w:b/>
          <w:color w:val="auto"/>
          <w:sz w:val="36"/>
          <w:szCs w:val="36"/>
          <w:highlight w:val="none"/>
        </w:rPr>
        <w:t>评标办法</w:t>
      </w:r>
    </w:p>
    <w:p w14:paraId="3362E634">
      <w:pPr>
        <w:snapToGrid w:val="0"/>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一、评标方法</w:t>
      </w:r>
    </w:p>
    <w:p w14:paraId="3FF64587">
      <w:pPr>
        <w:adjustRightInd/>
        <w:spacing w:line="360" w:lineRule="auto"/>
        <w:ind w:firstLine="472" w:firstLineChars="196"/>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1.本项目采用综合评分法。</w:t>
      </w:r>
      <w:r>
        <w:rPr>
          <w:rFonts w:hint="eastAsia" w:asciiTheme="minorEastAsia" w:hAnsiTheme="minorEastAsia" w:eastAsiaTheme="minorEastAsia" w:cstheme="minorEastAsia"/>
          <w:color w:val="auto"/>
          <w:kern w:val="0"/>
          <w:sz w:val="24"/>
          <w:szCs w:val="24"/>
          <w:highlight w:val="none"/>
        </w:rPr>
        <w:t>综合评分法，是指投标文件满足招标文件全部实质性要求，且按照评审因素的量化指标评审得分最高的投标人为中标候选人的评标方法。</w:t>
      </w:r>
    </w:p>
    <w:p w14:paraId="1C6E23D6">
      <w:pPr>
        <w:spacing w:line="360" w:lineRule="auto"/>
        <w:ind w:firstLine="420"/>
        <w:rPr>
          <w:rFonts w:hint="eastAsia" w:ascii="宋体" w:hAnsi="宋体" w:cs="宋体"/>
          <w:color w:val="auto"/>
          <w:sz w:val="24"/>
          <w:highlight w:val="none"/>
        </w:rPr>
      </w:pPr>
      <w:r>
        <w:rPr>
          <w:rFonts w:hint="eastAsia" w:ascii="宋体" w:hAnsi="宋体" w:cs="宋体"/>
          <w:color w:val="auto"/>
          <w:sz w:val="24"/>
          <w:highlight w:val="none"/>
          <w:lang w:val="en-US" w:eastAsia="zh-CN"/>
        </w:rPr>
        <w:t>2.</w:t>
      </w:r>
      <w:r>
        <w:rPr>
          <w:rFonts w:hint="eastAsia" w:ascii="宋体" w:hAnsi="宋体" w:cs="宋体"/>
          <w:color w:val="auto"/>
          <w:sz w:val="24"/>
          <w:highlight w:val="none"/>
        </w:rPr>
        <w:t>评标委员会根据本评审办法进行评审，对各供应商的价格、商务、技术等评分因素在分值范围内进行各自打分。</w:t>
      </w:r>
    </w:p>
    <w:p w14:paraId="05F4D53F">
      <w:pPr>
        <w:spacing w:before="120" w:beforeLines="50" w:after="120" w:afterLines="50" w:line="360" w:lineRule="auto"/>
        <w:ind w:firstLine="480" w:firstLineChars="200"/>
        <w:rPr>
          <w:rFonts w:hint="eastAsia"/>
        </w:rPr>
      </w:pPr>
      <w:r>
        <w:rPr>
          <w:rFonts w:hint="eastAsia" w:ascii="宋体" w:hAnsi="宋体" w:cs="宋体"/>
          <w:color w:val="auto"/>
          <w:sz w:val="24"/>
          <w:highlight w:val="none"/>
          <w:lang w:val="en-US" w:eastAsia="zh-CN"/>
        </w:rPr>
        <w:t>2.</w:t>
      </w:r>
      <w:r>
        <w:rPr>
          <w:rFonts w:hint="eastAsia" w:ascii="宋体" w:hAnsi="宋体" w:eastAsia="宋体" w:cs="仿宋_GB2312"/>
          <w:sz w:val="24"/>
          <w:lang w:val="en-US" w:eastAsia="zh-CN"/>
        </w:rPr>
        <w:t>本次评审采用综合评分法，总分为100分</w:t>
      </w:r>
      <w:r>
        <w:rPr>
          <w:rFonts w:hint="eastAsia" w:ascii="宋体" w:hAnsi="宋体" w:cs="仿宋_GB2312"/>
          <w:sz w:val="24"/>
          <w:lang w:val="en-US" w:eastAsia="zh-CN"/>
        </w:rPr>
        <w:t>，</w:t>
      </w:r>
      <w:r>
        <w:rPr>
          <w:rFonts w:hint="eastAsia" w:ascii="宋体" w:hAnsi="宋体" w:eastAsia="宋体" w:cs="仿宋_GB2312"/>
          <w:sz w:val="24"/>
          <w:lang w:val="en-US" w:eastAsia="zh-CN"/>
        </w:rPr>
        <w:t>评分过程中采用四舍五入法，并保留小数2位。</w:t>
      </w:r>
    </w:p>
    <w:p w14:paraId="16DECDE5">
      <w:pPr>
        <w:adjustRightInd/>
        <w:spacing w:line="360" w:lineRule="auto"/>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sz w:val="24"/>
          <w:szCs w:val="24"/>
          <w:highlight w:val="none"/>
        </w:rPr>
        <w:t>二、评标标准</w:t>
      </w:r>
    </w:p>
    <w:tbl>
      <w:tblPr>
        <w:tblStyle w:val="63"/>
        <w:tblW w:w="10050" w:type="dxa"/>
        <w:tblInd w:w="-7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1190"/>
        <w:gridCol w:w="5465"/>
        <w:gridCol w:w="1259"/>
        <w:gridCol w:w="1289"/>
      </w:tblGrid>
      <w:tr w14:paraId="56C7D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5BA2E5E1">
            <w:pPr>
              <w:bidi w:val="0"/>
              <w:spacing w:line="360" w:lineRule="auto"/>
              <w:ind w:left="0" w:leftChars="0" w:firstLine="0" w:firstLineChars="0"/>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序号</w:t>
            </w:r>
          </w:p>
        </w:tc>
        <w:tc>
          <w:tcPr>
            <w:tcW w:w="1190" w:type="dxa"/>
            <w:vAlign w:val="center"/>
          </w:tcPr>
          <w:p w14:paraId="668AE2A3">
            <w:pPr>
              <w:bidi w:val="0"/>
              <w:spacing w:line="360" w:lineRule="auto"/>
              <w:ind w:left="0" w:leftChars="0" w:firstLine="0" w:firstLineChars="0"/>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评分类型</w:t>
            </w:r>
          </w:p>
        </w:tc>
        <w:tc>
          <w:tcPr>
            <w:tcW w:w="5465" w:type="dxa"/>
            <w:vAlign w:val="center"/>
          </w:tcPr>
          <w:p w14:paraId="0C16C3D6">
            <w:pPr>
              <w:bidi w:val="0"/>
              <w:spacing w:line="360" w:lineRule="auto"/>
              <w:ind w:left="0" w:leftChars="0" w:firstLine="0" w:firstLineChars="0"/>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评分标准</w:t>
            </w:r>
          </w:p>
        </w:tc>
        <w:tc>
          <w:tcPr>
            <w:tcW w:w="1259" w:type="dxa"/>
            <w:vAlign w:val="center"/>
          </w:tcPr>
          <w:p w14:paraId="7B532D60">
            <w:pPr>
              <w:bidi w:val="0"/>
              <w:spacing w:line="360" w:lineRule="auto"/>
              <w:ind w:left="0" w:leftChars="0" w:firstLine="0" w:firstLineChars="0"/>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分值范围</w:t>
            </w:r>
          </w:p>
        </w:tc>
        <w:tc>
          <w:tcPr>
            <w:tcW w:w="1289" w:type="dxa"/>
            <w:vAlign w:val="center"/>
          </w:tcPr>
          <w:p w14:paraId="49ED2CD4">
            <w:pPr>
              <w:bidi w:val="0"/>
              <w:spacing w:line="360" w:lineRule="auto"/>
              <w:ind w:left="0" w:leftChars="0" w:firstLine="0" w:firstLineChars="0"/>
              <w:jc w:val="center"/>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eastAsia="zh-CN"/>
              </w:rPr>
              <w:t>评分</w:t>
            </w:r>
            <w:r>
              <w:rPr>
                <w:rFonts w:hint="eastAsia" w:asciiTheme="minorEastAsia" w:hAnsiTheme="minorEastAsia" w:eastAsiaTheme="minorEastAsia" w:cstheme="minorEastAsia"/>
                <w:b/>
                <w:bCs/>
                <w:sz w:val="24"/>
                <w:szCs w:val="24"/>
              </w:rPr>
              <w:t>属性</w:t>
            </w:r>
          </w:p>
        </w:tc>
      </w:tr>
      <w:tr w14:paraId="2846A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41BE241A">
            <w:pPr>
              <w:bidi w:val="0"/>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w:t>
            </w:r>
          </w:p>
        </w:tc>
        <w:tc>
          <w:tcPr>
            <w:tcW w:w="1190" w:type="dxa"/>
            <w:vAlign w:val="center"/>
          </w:tcPr>
          <w:p w14:paraId="69F15201">
            <w:pPr>
              <w:bidi w:val="0"/>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w:t>
            </w:r>
          </w:p>
        </w:tc>
        <w:tc>
          <w:tcPr>
            <w:tcW w:w="5465" w:type="dxa"/>
            <w:vAlign w:val="center"/>
          </w:tcPr>
          <w:p w14:paraId="648867DC">
            <w:pPr>
              <w:bidi w:val="0"/>
              <w:spacing w:line="360" w:lineRule="auto"/>
              <w:ind w:left="0" w:leftChars="0" w:firstLine="0" w:firstLineChars="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价格分采用低价优先法计算，即</w:t>
            </w:r>
            <w:r>
              <w:rPr>
                <w:rFonts w:hint="eastAsia" w:asciiTheme="minorEastAsia" w:hAnsiTheme="minorEastAsia" w:eastAsiaTheme="minorEastAsia" w:cstheme="minorEastAsia"/>
                <w:sz w:val="24"/>
                <w:szCs w:val="24"/>
              </w:rPr>
              <w:t>有效</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rPr>
              <w:t>报价的最低价</w:t>
            </w:r>
            <w:r>
              <w:rPr>
                <w:rFonts w:hint="eastAsia" w:asciiTheme="minorEastAsia" w:hAnsiTheme="minorEastAsia" w:eastAsiaTheme="minorEastAsia" w:cstheme="minorEastAsia"/>
                <w:sz w:val="24"/>
                <w:szCs w:val="24"/>
                <w:lang w:eastAsia="zh-CN"/>
              </w:rPr>
              <w:t>为</w:t>
            </w:r>
            <w:r>
              <w:rPr>
                <w:rFonts w:hint="eastAsia" w:asciiTheme="minorEastAsia" w:hAnsiTheme="minorEastAsia" w:eastAsiaTheme="minorEastAsia" w:cstheme="minorEastAsia"/>
                <w:sz w:val="24"/>
                <w:szCs w:val="24"/>
                <w:lang w:val="en-US" w:eastAsia="zh-CN"/>
              </w:rPr>
              <w:t>评审</w:t>
            </w:r>
            <w:r>
              <w:rPr>
                <w:rFonts w:hint="eastAsia" w:asciiTheme="minorEastAsia" w:hAnsiTheme="minorEastAsia" w:eastAsiaTheme="minorEastAsia" w:cstheme="minorEastAsia"/>
                <w:sz w:val="24"/>
                <w:szCs w:val="24"/>
                <w:lang w:eastAsia="zh-CN"/>
              </w:rPr>
              <w:t>基准价，</w:t>
            </w:r>
            <w:r>
              <w:rPr>
                <w:rFonts w:hint="eastAsia" w:asciiTheme="minorEastAsia" w:hAnsiTheme="minorEastAsia" w:eastAsiaTheme="minorEastAsia" w:cstheme="minorEastAsia"/>
                <w:sz w:val="24"/>
                <w:szCs w:val="24"/>
              </w:rPr>
              <w:t>其最低报价为满分</w:t>
            </w:r>
            <w:r>
              <w:rPr>
                <w:rFonts w:hint="eastAsia" w:asciiTheme="minorEastAsia" w:hAnsiTheme="minorEastAsia" w:eastAsiaTheme="minorEastAsia" w:cstheme="minorEastAsia"/>
                <w:sz w:val="24"/>
                <w:szCs w:val="24"/>
                <w:lang w:eastAsia="zh-CN"/>
              </w:rPr>
              <w:t>。其他</w:t>
            </w:r>
            <w:r>
              <w:rPr>
                <w:rFonts w:hint="eastAsia" w:asciiTheme="minorEastAsia" w:hAnsiTheme="minorEastAsia" w:eastAsiaTheme="minorEastAsia" w:cstheme="minorEastAsia"/>
                <w:sz w:val="24"/>
                <w:szCs w:val="24"/>
                <w:lang w:val="en-US" w:eastAsia="zh-CN"/>
              </w:rPr>
              <w:t>投标人</w:t>
            </w:r>
            <w:r>
              <w:rPr>
                <w:rFonts w:hint="eastAsia" w:asciiTheme="minorEastAsia" w:hAnsiTheme="minorEastAsia" w:eastAsiaTheme="minorEastAsia" w:cstheme="minorEastAsia"/>
                <w:sz w:val="24"/>
                <w:szCs w:val="24"/>
                <w:lang w:eastAsia="zh-CN"/>
              </w:rPr>
              <w:t>的</w:t>
            </w:r>
            <w:r>
              <w:rPr>
                <w:rFonts w:hint="eastAsia" w:asciiTheme="minorEastAsia" w:hAnsiTheme="minorEastAsia" w:eastAsiaTheme="minorEastAsia" w:cstheme="minorEastAsia"/>
                <w:sz w:val="24"/>
                <w:szCs w:val="24"/>
                <w:lang w:val="en-US" w:eastAsia="zh-CN"/>
              </w:rPr>
              <w:t>报价</w:t>
            </w:r>
            <w:r>
              <w:rPr>
                <w:rFonts w:hint="eastAsia" w:asciiTheme="minorEastAsia" w:hAnsiTheme="minorEastAsia" w:eastAsiaTheme="minorEastAsia" w:cstheme="minorEastAsia"/>
                <w:sz w:val="24"/>
                <w:szCs w:val="24"/>
                <w:lang w:eastAsia="zh-CN"/>
              </w:rPr>
              <w:t>分统一按照下列公式计算：</w:t>
            </w:r>
          </w:p>
          <w:p w14:paraId="719D5C33">
            <w:pPr>
              <w:bidi w:val="0"/>
              <w:spacing w:line="360" w:lineRule="auto"/>
              <w:ind w:left="0" w:leftChars="0" w:firstLine="0" w:firstLineChars="0"/>
              <w:jc w:val="lef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报价得分=（</w:t>
            </w:r>
            <w:r>
              <w:rPr>
                <w:rFonts w:hint="eastAsia" w:asciiTheme="minorEastAsia" w:hAnsiTheme="minorEastAsia" w:eastAsiaTheme="minorEastAsia" w:cstheme="minorEastAsia"/>
                <w:sz w:val="24"/>
                <w:szCs w:val="24"/>
                <w:lang w:val="en-US" w:eastAsia="zh-CN"/>
              </w:rPr>
              <w:t>评审</w:t>
            </w:r>
            <w:r>
              <w:rPr>
                <w:rFonts w:hint="eastAsia" w:asciiTheme="minorEastAsia" w:hAnsiTheme="minorEastAsia" w:eastAsiaTheme="minorEastAsia" w:cstheme="minorEastAsia"/>
                <w:sz w:val="24"/>
                <w:szCs w:val="24"/>
                <w:lang w:eastAsia="zh-CN"/>
              </w:rPr>
              <w:t>基准价/投标报价）</w:t>
            </w:r>
            <w:r>
              <w:rPr>
                <w:rFonts w:hint="eastAsia" w:asciiTheme="minorEastAsia" w:hAnsiTheme="minorEastAsia" w:eastAsiaTheme="minorEastAsia" w:cstheme="minorEastAsia"/>
                <w:sz w:val="24"/>
                <w:szCs w:val="24"/>
                <w:lang w:val="en-US" w:eastAsia="zh-CN"/>
              </w:rPr>
              <w:t>*10</w:t>
            </w:r>
          </w:p>
          <w:p w14:paraId="6B352756">
            <w:pPr>
              <w:spacing w:line="360" w:lineRule="auto"/>
              <w:ind w:left="0" w:leftChars="0"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color w:val="auto"/>
                <w:sz w:val="24"/>
                <w:szCs w:val="24"/>
                <w:highlight w:val="none"/>
              </w:rPr>
              <w:t>已</w:t>
            </w:r>
            <w:r>
              <w:rPr>
                <w:rFonts w:hint="eastAsia" w:asciiTheme="minorEastAsia" w:hAnsiTheme="minorEastAsia" w:eastAsiaTheme="minorEastAsia" w:cstheme="minorEastAsia"/>
                <w:b/>
                <w:bCs/>
                <w:color w:val="auto"/>
                <w:sz w:val="24"/>
                <w:szCs w:val="24"/>
                <w:highlight w:val="none"/>
                <w:lang w:eastAsia="zh-CN"/>
              </w:rPr>
              <w:t>预留份额</w:t>
            </w:r>
            <w:r>
              <w:rPr>
                <w:rFonts w:hint="eastAsia" w:asciiTheme="minorEastAsia" w:hAnsiTheme="minorEastAsia" w:eastAsiaTheme="minorEastAsia" w:cstheme="minorEastAsia"/>
                <w:b/>
                <w:bCs/>
                <w:color w:val="auto"/>
                <w:sz w:val="24"/>
                <w:szCs w:val="24"/>
                <w:highlight w:val="none"/>
              </w:rPr>
              <w:t>专门面向中小微企业采购的项目，不再执行价格评审优惠的扶持政策。</w:t>
            </w:r>
          </w:p>
        </w:tc>
        <w:tc>
          <w:tcPr>
            <w:tcW w:w="1259" w:type="dxa"/>
            <w:vAlign w:val="center"/>
          </w:tcPr>
          <w:p w14:paraId="780ED02B">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zh-CN"/>
              </w:rPr>
              <w:t>0-</w:t>
            </w: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val="zh-CN"/>
              </w:rPr>
              <w:t>分</w:t>
            </w:r>
          </w:p>
        </w:tc>
        <w:tc>
          <w:tcPr>
            <w:tcW w:w="1289" w:type="dxa"/>
            <w:vAlign w:val="center"/>
          </w:tcPr>
          <w:p w14:paraId="0B3E5393">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客观分</w:t>
            </w:r>
          </w:p>
        </w:tc>
      </w:tr>
      <w:tr w14:paraId="15B60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1936640">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p>
        </w:tc>
        <w:tc>
          <w:tcPr>
            <w:tcW w:w="1190" w:type="dxa"/>
            <w:vAlign w:val="center"/>
          </w:tcPr>
          <w:p w14:paraId="03B1C255">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商务</w:t>
            </w:r>
          </w:p>
        </w:tc>
        <w:tc>
          <w:tcPr>
            <w:tcW w:w="5465" w:type="dxa"/>
            <w:vAlign w:val="center"/>
          </w:tcPr>
          <w:p w14:paraId="0B0949ED">
            <w:pPr>
              <w:spacing w:line="360" w:lineRule="auto"/>
              <w:ind w:left="0" w:leftChars="0" w:firstLine="0" w:firstLineChars="0"/>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sz w:val="24"/>
                <w:szCs w:val="24"/>
              </w:rPr>
              <w:t>供应商自202</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月份以来承接过同类项目业绩，每个得</w:t>
            </w:r>
            <w:r>
              <w:rPr>
                <w:rFonts w:hint="eastAsia" w:asciiTheme="minorEastAsia" w:hAnsiTheme="minorEastAsia" w:eastAsiaTheme="minorEastAsia" w:cstheme="minorEastAsia"/>
                <w:sz w:val="24"/>
                <w:szCs w:val="24"/>
                <w:lang w:val="en-US" w:eastAsia="zh-CN"/>
              </w:rPr>
              <w:t>0.5</w:t>
            </w:r>
            <w:r>
              <w:rPr>
                <w:rFonts w:hint="eastAsia" w:asciiTheme="minorEastAsia" w:hAnsiTheme="minorEastAsia" w:eastAsiaTheme="minorEastAsia" w:cstheme="minorEastAsia"/>
                <w:sz w:val="24"/>
                <w:szCs w:val="24"/>
              </w:rPr>
              <w:t>分，最高得</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分；（业绩必须提供相应的证明文件（合同复印件），时间以合同签订时间为准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否则不得分</w:t>
            </w:r>
            <w:r>
              <w:rPr>
                <w:rFonts w:hint="eastAsia" w:asciiTheme="minorEastAsia" w:hAnsiTheme="minorEastAsia" w:eastAsiaTheme="minorEastAsia" w:cstheme="minorEastAsia"/>
                <w:sz w:val="24"/>
                <w:szCs w:val="24"/>
              </w:rPr>
              <w:t>。）</w:t>
            </w:r>
          </w:p>
        </w:tc>
        <w:tc>
          <w:tcPr>
            <w:tcW w:w="1259" w:type="dxa"/>
            <w:vAlign w:val="center"/>
          </w:tcPr>
          <w:p w14:paraId="7F187022">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zh-CN" w:eastAsia="zh-CN"/>
              </w:rPr>
              <w:t>0-</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lang w:val="zh-CN" w:eastAsia="zh-CN"/>
              </w:rPr>
              <w:t>分</w:t>
            </w:r>
          </w:p>
        </w:tc>
        <w:tc>
          <w:tcPr>
            <w:tcW w:w="1289" w:type="dxa"/>
            <w:vAlign w:val="center"/>
          </w:tcPr>
          <w:p w14:paraId="4E2D3ECD">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客观分</w:t>
            </w:r>
          </w:p>
        </w:tc>
      </w:tr>
      <w:tr w14:paraId="1F7D1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3076DC5">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p>
        </w:tc>
        <w:tc>
          <w:tcPr>
            <w:tcW w:w="1190" w:type="dxa"/>
            <w:vAlign w:val="center"/>
          </w:tcPr>
          <w:p w14:paraId="75FF6EA7">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技术</w:t>
            </w:r>
          </w:p>
        </w:tc>
        <w:tc>
          <w:tcPr>
            <w:tcW w:w="5465" w:type="dxa"/>
            <w:vAlign w:val="center"/>
          </w:tcPr>
          <w:p w14:paraId="15A5FFA6">
            <w:pPr>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投标人对本项目</w:t>
            </w:r>
            <w:r>
              <w:rPr>
                <w:rFonts w:hint="eastAsia" w:asciiTheme="minorEastAsia" w:hAnsiTheme="minorEastAsia" w:eastAsiaTheme="minorEastAsia" w:cstheme="minorEastAsia"/>
                <w:sz w:val="24"/>
                <w:szCs w:val="24"/>
                <w:lang w:val="en-US" w:eastAsia="zh-CN"/>
              </w:rPr>
              <w:t>需求的理解分析</w:t>
            </w:r>
            <w:r>
              <w:rPr>
                <w:rFonts w:hint="eastAsia" w:asciiTheme="minorEastAsia" w:hAnsiTheme="minorEastAsia" w:eastAsiaTheme="minorEastAsia" w:cstheme="minorEastAsia"/>
                <w:sz w:val="24"/>
                <w:szCs w:val="24"/>
              </w:rPr>
              <w:t>程度 0-</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评分范围：5，4，3，2，1，0</w:t>
            </w:r>
            <w:r>
              <w:rPr>
                <w:rFonts w:hint="eastAsia" w:asciiTheme="minorEastAsia" w:hAnsiTheme="minorEastAsia" w:eastAsiaTheme="minorEastAsia" w:cstheme="minorEastAsia"/>
                <w:sz w:val="24"/>
                <w:szCs w:val="24"/>
                <w:lang w:eastAsia="zh-CN"/>
              </w:rPr>
              <w:t>）</w:t>
            </w:r>
          </w:p>
        </w:tc>
        <w:tc>
          <w:tcPr>
            <w:tcW w:w="1259" w:type="dxa"/>
            <w:vAlign w:val="center"/>
          </w:tcPr>
          <w:p w14:paraId="7760E405">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zh-CN" w:eastAsia="zh-CN"/>
              </w:rPr>
              <w:t>0-</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lang w:val="zh-CN" w:eastAsia="zh-CN"/>
              </w:rPr>
              <w:t>分</w:t>
            </w:r>
          </w:p>
        </w:tc>
        <w:tc>
          <w:tcPr>
            <w:tcW w:w="1289" w:type="dxa"/>
            <w:vAlign w:val="center"/>
          </w:tcPr>
          <w:p w14:paraId="796A891C">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主观分</w:t>
            </w:r>
          </w:p>
        </w:tc>
      </w:tr>
      <w:tr w14:paraId="09714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26C4B28">
            <w:pPr>
              <w:bidi w:val="0"/>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4</w:t>
            </w:r>
          </w:p>
        </w:tc>
        <w:tc>
          <w:tcPr>
            <w:tcW w:w="1190" w:type="dxa"/>
            <w:vAlign w:val="center"/>
          </w:tcPr>
          <w:p w14:paraId="3CC8925C">
            <w:pPr>
              <w:bidi w:val="0"/>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技术</w:t>
            </w:r>
          </w:p>
        </w:tc>
        <w:tc>
          <w:tcPr>
            <w:tcW w:w="5465" w:type="dxa"/>
            <w:vAlign w:val="center"/>
          </w:tcPr>
          <w:p w14:paraId="534B18B1">
            <w:pPr>
              <w:spacing w:line="360" w:lineRule="auto"/>
              <w:ind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rPr>
              <w:t>对本项目的难点、要点的理解分析0-</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评分范围：5，4，3，2，1，0</w:t>
            </w:r>
            <w:r>
              <w:rPr>
                <w:rFonts w:hint="eastAsia" w:asciiTheme="minorEastAsia" w:hAnsiTheme="minorEastAsia" w:eastAsiaTheme="minorEastAsia" w:cstheme="minorEastAsia"/>
                <w:sz w:val="24"/>
                <w:szCs w:val="24"/>
                <w:lang w:eastAsia="zh-CN"/>
              </w:rPr>
              <w:t>）</w:t>
            </w:r>
          </w:p>
        </w:tc>
        <w:tc>
          <w:tcPr>
            <w:tcW w:w="1259" w:type="dxa"/>
            <w:vAlign w:val="center"/>
          </w:tcPr>
          <w:p w14:paraId="21B9914A">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zh-CN" w:eastAsia="zh-CN"/>
              </w:rPr>
              <w:t>0-5分</w:t>
            </w:r>
          </w:p>
        </w:tc>
        <w:tc>
          <w:tcPr>
            <w:tcW w:w="1289" w:type="dxa"/>
            <w:vAlign w:val="center"/>
          </w:tcPr>
          <w:p w14:paraId="4337A40C">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主观分</w:t>
            </w:r>
          </w:p>
        </w:tc>
      </w:tr>
      <w:tr w14:paraId="579F8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4FBF492">
            <w:pPr>
              <w:bidi w:val="0"/>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5</w:t>
            </w:r>
          </w:p>
        </w:tc>
        <w:tc>
          <w:tcPr>
            <w:tcW w:w="1190" w:type="dxa"/>
            <w:vAlign w:val="center"/>
          </w:tcPr>
          <w:p w14:paraId="0384D1EF">
            <w:pPr>
              <w:bidi w:val="0"/>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技术</w:t>
            </w:r>
          </w:p>
        </w:tc>
        <w:tc>
          <w:tcPr>
            <w:tcW w:w="5465" w:type="dxa"/>
            <w:vAlign w:val="center"/>
          </w:tcPr>
          <w:p w14:paraId="7DD63699">
            <w:pPr>
              <w:pStyle w:val="60"/>
              <w:spacing w:line="360" w:lineRule="auto"/>
              <w:ind w:left="0" w:leftChars="0" w:firstLine="480" w:firstLineChars="200"/>
              <w:rPr>
                <w:rFonts w:hint="eastAsia" w:asciiTheme="minorEastAsia" w:hAnsiTheme="minorEastAsia" w:eastAsiaTheme="minorEastAsia" w:cstheme="minorEastAsia"/>
                <w:snapToGrid/>
                <w:kern w:val="2"/>
                <w:sz w:val="24"/>
                <w:szCs w:val="24"/>
                <w:lang w:val="en-US" w:eastAsia="zh-CN" w:bidi="ar-SA"/>
              </w:rPr>
            </w:pPr>
            <w:r>
              <w:rPr>
                <w:rFonts w:hint="eastAsia" w:asciiTheme="minorEastAsia" w:hAnsiTheme="minorEastAsia" w:eastAsiaTheme="minorEastAsia" w:cstheme="minorEastAsia"/>
                <w:sz w:val="24"/>
                <w:szCs w:val="24"/>
                <w:lang w:val="en-US" w:eastAsia="zh-CN" w:bidi="ar"/>
              </w:rPr>
              <w:t>总体运维服务方案0-5分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评分范围：5，4，3，2，1，0</w:t>
            </w:r>
            <w:r>
              <w:rPr>
                <w:rFonts w:hint="eastAsia" w:asciiTheme="minorEastAsia" w:hAnsiTheme="minorEastAsia" w:eastAsiaTheme="minorEastAsia" w:cstheme="minorEastAsia"/>
                <w:sz w:val="24"/>
                <w:szCs w:val="24"/>
                <w:lang w:eastAsia="zh-CN"/>
              </w:rPr>
              <w:t>）</w:t>
            </w:r>
          </w:p>
        </w:tc>
        <w:tc>
          <w:tcPr>
            <w:tcW w:w="1259" w:type="dxa"/>
            <w:vAlign w:val="center"/>
          </w:tcPr>
          <w:p w14:paraId="005C099C">
            <w:pPr>
              <w:bidi w:val="0"/>
              <w:spacing w:line="360" w:lineRule="auto"/>
              <w:ind w:left="0" w:leftChars="0" w:firstLine="0" w:firstLineChars="0"/>
              <w:jc w:val="center"/>
              <w:rPr>
                <w:rFonts w:hint="eastAsia" w:asciiTheme="minorEastAsia" w:hAnsiTheme="minorEastAsia" w:eastAsiaTheme="minorEastAsia" w:cstheme="minorEastAsia"/>
                <w:sz w:val="24"/>
                <w:szCs w:val="24"/>
                <w:lang w:val="zh-CN" w:eastAsia="zh-CN"/>
              </w:rPr>
            </w:pPr>
            <w:r>
              <w:rPr>
                <w:rFonts w:hint="eastAsia" w:asciiTheme="minorEastAsia" w:hAnsiTheme="minorEastAsia" w:eastAsiaTheme="minorEastAsia" w:cstheme="minorEastAsia"/>
                <w:sz w:val="24"/>
                <w:szCs w:val="24"/>
                <w:lang w:val="zh-CN" w:eastAsia="zh-CN"/>
              </w:rPr>
              <w:t>0-5分</w:t>
            </w:r>
          </w:p>
        </w:tc>
        <w:tc>
          <w:tcPr>
            <w:tcW w:w="1289" w:type="dxa"/>
            <w:vAlign w:val="center"/>
          </w:tcPr>
          <w:p w14:paraId="50F34982">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主观分</w:t>
            </w:r>
          </w:p>
        </w:tc>
      </w:tr>
      <w:tr w14:paraId="4310D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035CD12C">
            <w:pPr>
              <w:bidi w:val="0"/>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6</w:t>
            </w:r>
          </w:p>
        </w:tc>
        <w:tc>
          <w:tcPr>
            <w:tcW w:w="1190" w:type="dxa"/>
            <w:vAlign w:val="center"/>
          </w:tcPr>
          <w:p w14:paraId="33209514">
            <w:pPr>
              <w:bidi w:val="0"/>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技术</w:t>
            </w:r>
          </w:p>
        </w:tc>
        <w:tc>
          <w:tcPr>
            <w:tcW w:w="5465" w:type="dxa"/>
            <w:vAlign w:val="center"/>
          </w:tcPr>
          <w:p w14:paraId="3C1C99EC">
            <w:pPr>
              <w:pStyle w:val="60"/>
              <w:spacing w:line="360" w:lineRule="auto"/>
              <w:ind w:left="0" w:leftChars="0" w:firstLine="480" w:firstLineChars="200"/>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非税征收核定管理运维服务方案0-4分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评分范围：4，3，2，1，0</w:t>
            </w:r>
            <w:r>
              <w:rPr>
                <w:rFonts w:hint="eastAsia" w:asciiTheme="minorEastAsia" w:hAnsiTheme="minorEastAsia" w:eastAsiaTheme="minorEastAsia" w:cstheme="minorEastAsia"/>
                <w:sz w:val="24"/>
                <w:szCs w:val="24"/>
                <w:lang w:eastAsia="zh-CN"/>
              </w:rPr>
              <w:t>）</w:t>
            </w:r>
          </w:p>
        </w:tc>
        <w:tc>
          <w:tcPr>
            <w:tcW w:w="1259" w:type="dxa"/>
            <w:vAlign w:val="center"/>
          </w:tcPr>
          <w:p w14:paraId="098EED9F">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bidi="ar"/>
              </w:rPr>
              <w:t>0-4分</w:t>
            </w:r>
          </w:p>
        </w:tc>
        <w:tc>
          <w:tcPr>
            <w:tcW w:w="1289" w:type="dxa"/>
            <w:vAlign w:val="center"/>
          </w:tcPr>
          <w:p w14:paraId="6E2148D3">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主观分</w:t>
            </w:r>
          </w:p>
        </w:tc>
      </w:tr>
      <w:tr w14:paraId="481D8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4C959FC1">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p>
        </w:tc>
        <w:tc>
          <w:tcPr>
            <w:tcW w:w="1190" w:type="dxa"/>
            <w:vAlign w:val="center"/>
          </w:tcPr>
          <w:p w14:paraId="70267C0D">
            <w:pPr>
              <w:bidi w:val="0"/>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技术</w:t>
            </w:r>
          </w:p>
        </w:tc>
        <w:tc>
          <w:tcPr>
            <w:tcW w:w="5465" w:type="dxa"/>
            <w:vAlign w:val="center"/>
          </w:tcPr>
          <w:p w14:paraId="04226B81">
            <w:pPr>
              <w:pStyle w:val="60"/>
              <w:spacing w:line="360" w:lineRule="auto"/>
              <w:ind w:left="0" w:leftChars="0" w:firstLine="480" w:firstLineChars="200"/>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非税电子化收缴运维服务方案0-4分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评分范围：4，3，2，1，0</w:t>
            </w:r>
            <w:r>
              <w:rPr>
                <w:rFonts w:hint="eastAsia" w:asciiTheme="minorEastAsia" w:hAnsiTheme="minorEastAsia" w:eastAsiaTheme="minorEastAsia" w:cstheme="minorEastAsia"/>
                <w:sz w:val="24"/>
                <w:szCs w:val="24"/>
                <w:lang w:eastAsia="zh-CN"/>
              </w:rPr>
              <w:t>）</w:t>
            </w:r>
          </w:p>
        </w:tc>
        <w:tc>
          <w:tcPr>
            <w:tcW w:w="1259" w:type="dxa"/>
            <w:vAlign w:val="center"/>
          </w:tcPr>
          <w:p w14:paraId="20662F91">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bidi="ar"/>
              </w:rPr>
              <w:t>0-4分</w:t>
            </w:r>
          </w:p>
        </w:tc>
        <w:tc>
          <w:tcPr>
            <w:tcW w:w="1289" w:type="dxa"/>
            <w:vAlign w:val="center"/>
          </w:tcPr>
          <w:p w14:paraId="0392B0E1">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主观分</w:t>
            </w:r>
          </w:p>
        </w:tc>
      </w:tr>
      <w:tr w14:paraId="47531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509EA1AF">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c>
          <w:tcPr>
            <w:tcW w:w="1190" w:type="dxa"/>
            <w:vAlign w:val="center"/>
          </w:tcPr>
          <w:p w14:paraId="5899093E">
            <w:pPr>
              <w:bidi w:val="0"/>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技术</w:t>
            </w:r>
          </w:p>
        </w:tc>
        <w:tc>
          <w:tcPr>
            <w:tcW w:w="5465" w:type="dxa"/>
            <w:vAlign w:val="center"/>
          </w:tcPr>
          <w:p w14:paraId="5DD5369B">
            <w:pPr>
              <w:pStyle w:val="60"/>
              <w:spacing w:line="360" w:lineRule="auto"/>
              <w:ind w:left="0" w:leftChars="0" w:firstLine="480" w:firstLineChars="200"/>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代理银行结报清算运维服务方案0-4分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评分范围：4，3，2，1，0</w:t>
            </w:r>
            <w:r>
              <w:rPr>
                <w:rFonts w:hint="eastAsia" w:asciiTheme="minorEastAsia" w:hAnsiTheme="minorEastAsia" w:eastAsiaTheme="minorEastAsia" w:cstheme="minorEastAsia"/>
                <w:sz w:val="24"/>
                <w:szCs w:val="24"/>
                <w:lang w:eastAsia="zh-CN"/>
              </w:rPr>
              <w:t>）</w:t>
            </w:r>
          </w:p>
        </w:tc>
        <w:tc>
          <w:tcPr>
            <w:tcW w:w="1259" w:type="dxa"/>
            <w:vAlign w:val="center"/>
          </w:tcPr>
          <w:p w14:paraId="51260BDE">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bidi="ar"/>
              </w:rPr>
              <w:t>0-4分</w:t>
            </w:r>
          </w:p>
        </w:tc>
        <w:tc>
          <w:tcPr>
            <w:tcW w:w="1289" w:type="dxa"/>
            <w:vAlign w:val="center"/>
          </w:tcPr>
          <w:p w14:paraId="0F7F1778">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主观分</w:t>
            </w:r>
          </w:p>
        </w:tc>
      </w:tr>
      <w:tr w14:paraId="04D80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358015DC">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p>
        </w:tc>
        <w:tc>
          <w:tcPr>
            <w:tcW w:w="1190" w:type="dxa"/>
            <w:vAlign w:val="center"/>
          </w:tcPr>
          <w:p w14:paraId="02E019D1">
            <w:pPr>
              <w:bidi w:val="0"/>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技术</w:t>
            </w:r>
          </w:p>
        </w:tc>
        <w:tc>
          <w:tcPr>
            <w:tcW w:w="5465" w:type="dxa"/>
            <w:vAlign w:val="center"/>
          </w:tcPr>
          <w:p w14:paraId="228901FB">
            <w:pPr>
              <w:pStyle w:val="60"/>
              <w:spacing w:line="360" w:lineRule="auto"/>
              <w:ind w:left="0" w:leftChars="0" w:firstLine="480" w:firstLineChars="200"/>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非税和票据公共服务平台运维服务方案0-4分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评分范围：4，3，2，1，0</w:t>
            </w:r>
            <w:r>
              <w:rPr>
                <w:rFonts w:hint="eastAsia" w:asciiTheme="minorEastAsia" w:hAnsiTheme="minorEastAsia" w:eastAsiaTheme="minorEastAsia" w:cstheme="minorEastAsia"/>
                <w:sz w:val="24"/>
                <w:szCs w:val="24"/>
                <w:lang w:eastAsia="zh-CN"/>
              </w:rPr>
              <w:t>）</w:t>
            </w:r>
          </w:p>
        </w:tc>
        <w:tc>
          <w:tcPr>
            <w:tcW w:w="1259" w:type="dxa"/>
            <w:vAlign w:val="center"/>
          </w:tcPr>
          <w:p w14:paraId="5E638CCB">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bidi="ar"/>
              </w:rPr>
              <w:t>0-4分</w:t>
            </w:r>
          </w:p>
        </w:tc>
        <w:tc>
          <w:tcPr>
            <w:tcW w:w="1289" w:type="dxa"/>
            <w:vAlign w:val="center"/>
          </w:tcPr>
          <w:p w14:paraId="7DFF51F3">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主观分</w:t>
            </w:r>
          </w:p>
        </w:tc>
      </w:tr>
      <w:tr w14:paraId="4955D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421D8900">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p>
        </w:tc>
        <w:tc>
          <w:tcPr>
            <w:tcW w:w="1190" w:type="dxa"/>
            <w:vAlign w:val="center"/>
          </w:tcPr>
          <w:p w14:paraId="3735BA79">
            <w:pPr>
              <w:bidi w:val="0"/>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技术</w:t>
            </w:r>
          </w:p>
        </w:tc>
        <w:tc>
          <w:tcPr>
            <w:tcW w:w="5465" w:type="dxa"/>
            <w:vAlign w:val="center"/>
          </w:tcPr>
          <w:p w14:paraId="2914A1B4">
            <w:pPr>
              <w:pStyle w:val="60"/>
              <w:spacing w:line="360" w:lineRule="auto"/>
              <w:ind w:left="0" w:leftChars="0" w:firstLine="480" w:firstLineChars="200"/>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浙政钉非税和票据管理系统服务方案0-4分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评分范围：4，3，2，1，0</w:t>
            </w:r>
            <w:r>
              <w:rPr>
                <w:rFonts w:hint="eastAsia" w:asciiTheme="minorEastAsia" w:hAnsiTheme="minorEastAsia" w:eastAsiaTheme="minorEastAsia" w:cstheme="minorEastAsia"/>
                <w:sz w:val="24"/>
                <w:szCs w:val="24"/>
                <w:lang w:eastAsia="zh-CN"/>
              </w:rPr>
              <w:t>）</w:t>
            </w:r>
          </w:p>
        </w:tc>
        <w:tc>
          <w:tcPr>
            <w:tcW w:w="1259" w:type="dxa"/>
            <w:vAlign w:val="center"/>
          </w:tcPr>
          <w:p w14:paraId="195DA839">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bidi="ar"/>
              </w:rPr>
              <w:t>0-4分</w:t>
            </w:r>
          </w:p>
        </w:tc>
        <w:tc>
          <w:tcPr>
            <w:tcW w:w="1289" w:type="dxa"/>
            <w:vAlign w:val="center"/>
          </w:tcPr>
          <w:p w14:paraId="5B1AFD48">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主观分</w:t>
            </w:r>
          </w:p>
        </w:tc>
      </w:tr>
      <w:tr w14:paraId="05424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7D6409B4">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11</w:t>
            </w:r>
          </w:p>
        </w:tc>
        <w:tc>
          <w:tcPr>
            <w:tcW w:w="1190" w:type="dxa"/>
            <w:vAlign w:val="center"/>
          </w:tcPr>
          <w:p w14:paraId="360FCDAA">
            <w:pPr>
              <w:bidi w:val="0"/>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技术</w:t>
            </w:r>
          </w:p>
        </w:tc>
        <w:tc>
          <w:tcPr>
            <w:tcW w:w="5465" w:type="dxa"/>
            <w:vAlign w:val="center"/>
          </w:tcPr>
          <w:p w14:paraId="2352D1AC">
            <w:pPr>
              <w:pStyle w:val="60"/>
              <w:spacing w:line="360" w:lineRule="auto"/>
              <w:ind w:left="0" w:leftChars="0" w:firstLine="480" w:firstLineChars="200"/>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政务服务网票据事项办理运维服务方案0-4分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评分范围：4，3，2，1，0</w:t>
            </w:r>
            <w:r>
              <w:rPr>
                <w:rFonts w:hint="eastAsia" w:asciiTheme="minorEastAsia" w:hAnsiTheme="minorEastAsia" w:eastAsiaTheme="minorEastAsia" w:cstheme="minorEastAsia"/>
                <w:sz w:val="24"/>
                <w:szCs w:val="24"/>
                <w:lang w:eastAsia="zh-CN"/>
              </w:rPr>
              <w:t>）</w:t>
            </w:r>
          </w:p>
        </w:tc>
        <w:tc>
          <w:tcPr>
            <w:tcW w:w="1259" w:type="dxa"/>
            <w:vAlign w:val="center"/>
          </w:tcPr>
          <w:p w14:paraId="3EF424B7">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bidi="ar"/>
              </w:rPr>
              <w:t>0-4分</w:t>
            </w:r>
          </w:p>
        </w:tc>
        <w:tc>
          <w:tcPr>
            <w:tcW w:w="1289" w:type="dxa"/>
            <w:vAlign w:val="center"/>
          </w:tcPr>
          <w:p w14:paraId="2B74D7F6">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主观分</w:t>
            </w:r>
          </w:p>
        </w:tc>
      </w:tr>
      <w:tr w14:paraId="0CB0F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3736B919">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12</w:t>
            </w:r>
          </w:p>
        </w:tc>
        <w:tc>
          <w:tcPr>
            <w:tcW w:w="1190" w:type="dxa"/>
            <w:vAlign w:val="center"/>
          </w:tcPr>
          <w:p w14:paraId="5F2B0B00">
            <w:pPr>
              <w:bidi w:val="0"/>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技术</w:t>
            </w:r>
          </w:p>
        </w:tc>
        <w:tc>
          <w:tcPr>
            <w:tcW w:w="5465" w:type="dxa"/>
            <w:vAlign w:val="center"/>
          </w:tcPr>
          <w:p w14:paraId="63EFEBEE">
            <w:pPr>
              <w:pStyle w:val="60"/>
              <w:spacing w:line="360" w:lineRule="auto"/>
              <w:ind w:left="0" w:leftChars="0" w:firstLine="480" w:firstLineChars="200"/>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电子凭证库拨款及缴库业务运维服务方案0-4分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评分范围：4，3，2，1，0</w:t>
            </w:r>
            <w:r>
              <w:rPr>
                <w:rFonts w:hint="eastAsia" w:asciiTheme="minorEastAsia" w:hAnsiTheme="minorEastAsia" w:eastAsiaTheme="minorEastAsia" w:cstheme="minorEastAsia"/>
                <w:sz w:val="24"/>
                <w:szCs w:val="24"/>
                <w:lang w:eastAsia="zh-CN"/>
              </w:rPr>
              <w:t>）</w:t>
            </w:r>
          </w:p>
        </w:tc>
        <w:tc>
          <w:tcPr>
            <w:tcW w:w="1259" w:type="dxa"/>
            <w:vAlign w:val="center"/>
          </w:tcPr>
          <w:p w14:paraId="0D3095E0">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bidi="ar"/>
              </w:rPr>
              <w:t>0-4分</w:t>
            </w:r>
          </w:p>
        </w:tc>
        <w:tc>
          <w:tcPr>
            <w:tcW w:w="1289" w:type="dxa"/>
            <w:vAlign w:val="center"/>
          </w:tcPr>
          <w:p w14:paraId="5CE44DAF">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主观分</w:t>
            </w:r>
          </w:p>
        </w:tc>
      </w:tr>
      <w:tr w14:paraId="3827E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1A31ED55">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13</w:t>
            </w:r>
          </w:p>
        </w:tc>
        <w:tc>
          <w:tcPr>
            <w:tcW w:w="1190" w:type="dxa"/>
            <w:vAlign w:val="center"/>
          </w:tcPr>
          <w:p w14:paraId="141DD751">
            <w:pPr>
              <w:bidi w:val="0"/>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技术</w:t>
            </w:r>
          </w:p>
        </w:tc>
        <w:tc>
          <w:tcPr>
            <w:tcW w:w="5465" w:type="dxa"/>
            <w:vAlign w:val="center"/>
          </w:tcPr>
          <w:p w14:paraId="05B3B70D">
            <w:pPr>
              <w:pStyle w:val="60"/>
              <w:spacing w:line="360" w:lineRule="auto"/>
              <w:ind w:left="0" w:leftChars="0" w:firstLine="480" w:firstLineChars="200"/>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会计核算（非税收入账套）业务运维服务方案0-4分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评分范围：4，3，2，1，0</w:t>
            </w:r>
            <w:r>
              <w:rPr>
                <w:rFonts w:hint="eastAsia" w:asciiTheme="minorEastAsia" w:hAnsiTheme="minorEastAsia" w:eastAsiaTheme="minorEastAsia" w:cstheme="minorEastAsia"/>
                <w:sz w:val="24"/>
                <w:szCs w:val="24"/>
                <w:lang w:eastAsia="zh-CN"/>
              </w:rPr>
              <w:t>）</w:t>
            </w:r>
          </w:p>
        </w:tc>
        <w:tc>
          <w:tcPr>
            <w:tcW w:w="1259" w:type="dxa"/>
            <w:vAlign w:val="center"/>
          </w:tcPr>
          <w:p w14:paraId="63A6DDC1">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bidi="ar"/>
              </w:rPr>
              <w:t>0-4分</w:t>
            </w:r>
          </w:p>
        </w:tc>
        <w:tc>
          <w:tcPr>
            <w:tcW w:w="1289" w:type="dxa"/>
            <w:vAlign w:val="center"/>
          </w:tcPr>
          <w:p w14:paraId="48C5C74E">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主观分</w:t>
            </w:r>
          </w:p>
        </w:tc>
      </w:tr>
      <w:tr w14:paraId="229B9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35EB4807">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14</w:t>
            </w:r>
          </w:p>
        </w:tc>
        <w:tc>
          <w:tcPr>
            <w:tcW w:w="1190" w:type="dxa"/>
            <w:vAlign w:val="center"/>
          </w:tcPr>
          <w:p w14:paraId="545F6CCE">
            <w:pPr>
              <w:bidi w:val="0"/>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技术</w:t>
            </w:r>
          </w:p>
        </w:tc>
        <w:tc>
          <w:tcPr>
            <w:tcW w:w="5465" w:type="dxa"/>
            <w:vAlign w:val="center"/>
          </w:tcPr>
          <w:p w14:paraId="6039BBC4">
            <w:pPr>
              <w:pStyle w:val="60"/>
              <w:spacing w:line="360" w:lineRule="auto"/>
              <w:ind w:left="0" w:leftChars="0" w:firstLine="480" w:firstLineChars="200"/>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统发工资维护运维服务方案0-4分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评分范围：4，3，2，1，0</w:t>
            </w:r>
            <w:r>
              <w:rPr>
                <w:rFonts w:hint="eastAsia" w:asciiTheme="minorEastAsia" w:hAnsiTheme="minorEastAsia" w:eastAsiaTheme="minorEastAsia" w:cstheme="minorEastAsia"/>
                <w:sz w:val="24"/>
                <w:szCs w:val="24"/>
                <w:lang w:eastAsia="zh-CN"/>
              </w:rPr>
              <w:t>）</w:t>
            </w:r>
          </w:p>
        </w:tc>
        <w:tc>
          <w:tcPr>
            <w:tcW w:w="1259" w:type="dxa"/>
            <w:vAlign w:val="center"/>
          </w:tcPr>
          <w:p w14:paraId="37202746">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bidi="ar"/>
              </w:rPr>
              <w:t>0-4分</w:t>
            </w:r>
          </w:p>
        </w:tc>
        <w:tc>
          <w:tcPr>
            <w:tcW w:w="1289" w:type="dxa"/>
            <w:vAlign w:val="center"/>
          </w:tcPr>
          <w:p w14:paraId="5614B41E">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主观分</w:t>
            </w:r>
          </w:p>
        </w:tc>
      </w:tr>
      <w:tr w14:paraId="53D42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shd w:val="clear" w:color="auto" w:fill="auto"/>
            <w:vAlign w:val="center"/>
          </w:tcPr>
          <w:p w14:paraId="4BE58A79">
            <w:pPr>
              <w:bidi w:val="0"/>
              <w:spacing w:line="360" w:lineRule="auto"/>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15</w:t>
            </w:r>
          </w:p>
        </w:tc>
        <w:tc>
          <w:tcPr>
            <w:tcW w:w="1190" w:type="dxa"/>
            <w:shd w:val="clear" w:color="auto" w:fill="auto"/>
            <w:vAlign w:val="center"/>
          </w:tcPr>
          <w:p w14:paraId="5A0C613C">
            <w:pPr>
              <w:bidi w:val="0"/>
              <w:spacing w:line="360" w:lineRule="auto"/>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技术</w:t>
            </w:r>
          </w:p>
        </w:tc>
        <w:tc>
          <w:tcPr>
            <w:tcW w:w="5465" w:type="dxa"/>
            <w:vAlign w:val="center"/>
          </w:tcPr>
          <w:p w14:paraId="3DA6B06F">
            <w:pPr>
              <w:pStyle w:val="60"/>
              <w:spacing w:line="360" w:lineRule="auto"/>
              <w:ind w:left="0" w:leftChars="0" w:firstLine="480" w:firstLineChars="200"/>
              <w:rPr>
                <w:rFonts w:hint="default" w:asciiTheme="minorEastAsia" w:hAnsiTheme="minorEastAsia" w:eastAsiaTheme="minorEastAsia" w:cstheme="minorEastAsia"/>
                <w:sz w:val="24"/>
                <w:szCs w:val="24"/>
                <w:lang w:val="en-US" w:eastAsia="zh-CN" w:bidi="ar"/>
              </w:rPr>
            </w:pPr>
            <w:r>
              <w:rPr>
                <w:rFonts w:hint="eastAsia" w:ascii="Times New Roman" w:hAnsi="Times New Roman" w:eastAsia="宋体" w:cs="Times New Roman"/>
                <w:kern w:val="2"/>
                <w:sz w:val="24"/>
                <w:szCs w:val="24"/>
                <w:lang w:val="en-US" w:eastAsia="zh-CN" w:bidi="ar-SA"/>
              </w:rPr>
              <w:t>政府综合财务报告</w:t>
            </w:r>
            <w:r>
              <w:rPr>
                <w:rFonts w:hint="default" w:ascii="Times New Roman" w:hAnsi="Times New Roman" w:eastAsia="宋体" w:cs="Times New Roman"/>
                <w:kern w:val="2"/>
                <w:sz w:val="24"/>
                <w:szCs w:val="24"/>
                <w:lang w:val="en-US" w:eastAsia="zh-CN" w:bidi="ar-SA"/>
              </w:rPr>
              <w:t>服务</w:t>
            </w:r>
            <w:r>
              <w:rPr>
                <w:rFonts w:hint="eastAsia" w:ascii="Times New Roman" w:hAnsi="Times New Roman" w:cs="Times New Roman"/>
                <w:kern w:val="2"/>
                <w:sz w:val="24"/>
                <w:szCs w:val="24"/>
                <w:lang w:val="en-US" w:eastAsia="zh-CN" w:bidi="ar-SA"/>
              </w:rPr>
              <w:t>工作方案</w:t>
            </w:r>
            <w:r>
              <w:rPr>
                <w:rFonts w:hint="eastAsia" w:asciiTheme="minorEastAsia" w:hAnsiTheme="minorEastAsia" w:eastAsiaTheme="minorEastAsia" w:cstheme="minorEastAsia"/>
                <w:sz w:val="24"/>
                <w:szCs w:val="24"/>
                <w:lang w:val="en-US" w:eastAsia="zh-CN" w:bidi="ar"/>
              </w:rPr>
              <w:t>0-3分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评分范围：3，2，1，0</w:t>
            </w:r>
            <w:r>
              <w:rPr>
                <w:rFonts w:hint="eastAsia" w:asciiTheme="minorEastAsia" w:hAnsiTheme="minorEastAsia" w:eastAsiaTheme="minorEastAsia" w:cstheme="minorEastAsia"/>
                <w:sz w:val="24"/>
                <w:szCs w:val="24"/>
                <w:lang w:eastAsia="zh-CN"/>
              </w:rPr>
              <w:t>）</w:t>
            </w:r>
          </w:p>
        </w:tc>
        <w:tc>
          <w:tcPr>
            <w:tcW w:w="1259" w:type="dxa"/>
            <w:shd w:val="clear" w:color="auto" w:fill="auto"/>
            <w:vAlign w:val="center"/>
          </w:tcPr>
          <w:p w14:paraId="3D0FB2CF">
            <w:pPr>
              <w:bidi w:val="0"/>
              <w:spacing w:line="360" w:lineRule="auto"/>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bidi="ar"/>
              </w:rPr>
              <w:t>0-3分</w:t>
            </w:r>
          </w:p>
        </w:tc>
        <w:tc>
          <w:tcPr>
            <w:tcW w:w="1289" w:type="dxa"/>
            <w:shd w:val="clear" w:color="auto" w:fill="auto"/>
            <w:vAlign w:val="center"/>
          </w:tcPr>
          <w:p w14:paraId="61A9EC88">
            <w:pPr>
              <w:bidi w:val="0"/>
              <w:spacing w:line="360" w:lineRule="auto"/>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主观分</w:t>
            </w:r>
          </w:p>
        </w:tc>
      </w:tr>
      <w:tr w14:paraId="0D3BD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shd w:val="clear" w:color="auto" w:fill="auto"/>
            <w:vAlign w:val="center"/>
          </w:tcPr>
          <w:p w14:paraId="1A51D5AE">
            <w:pPr>
              <w:bidi w:val="0"/>
              <w:spacing w:line="360" w:lineRule="auto"/>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16</w:t>
            </w:r>
          </w:p>
        </w:tc>
        <w:tc>
          <w:tcPr>
            <w:tcW w:w="1190" w:type="dxa"/>
            <w:shd w:val="clear" w:color="auto" w:fill="auto"/>
            <w:vAlign w:val="center"/>
          </w:tcPr>
          <w:p w14:paraId="1E385795">
            <w:pPr>
              <w:bidi w:val="0"/>
              <w:spacing w:line="360" w:lineRule="auto"/>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技术</w:t>
            </w:r>
          </w:p>
        </w:tc>
        <w:tc>
          <w:tcPr>
            <w:tcW w:w="5465" w:type="dxa"/>
            <w:vAlign w:val="center"/>
          </w:tcPr>
          <w:p w14:paraId="146C3B02">
            <w:pPr>
              <w:pStyle w:val="60"/>
              <w:spacing w:line="360" w:lineRule="auto"/>
              <w:ind w:left="0" w:leftChars="0" w:firstLine="480" w:firstLineChars="200"/>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部门决算系统服务</w:t>
            </w:r>
            <w:r>
              <w:rPr>
                <w:rFonts w:hint="eastAsia" w:ascii="Times New Roman" w:hAnsi="Times New Roman" w:cs="Times New Roman"/>
                <w:kern w:val="2"/>
                <w:sz w:val="24"/>
                <w:szCs w:val="24"/>
                <w:lang w:val="en-US" w:eastAsia="zh-CN" w:bidi="ar-SA"/>
              </w:rPr>
              <w:t>工作方案</w:t>
            </w:r>
            <w:r>
              <w:rPr>
                <w:rFonts w:hint="eastAsia" w:asciiTheme="minorEastAsia" w:hAnsiTheme="minorEastAsia" w:eastAsiaTheme="minorEastAsia" w:cstheme="minorEastAsia"/>
                <w:sz w:val="24"/>
                <w:szCs w:val="24"/>
                <w:lang w:val="en-US" w:eastAsia="zh-CN" w:bidi="ar"/>
              </w:rPr>
              <w:t>0-3分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评分范围：3，2，1，0</w:t>
            </w:r>
            <w:r>
              <w:rPr>
                <w:rFonts w:hint="eastAsia" w:asciiTheme="minorEastAsia" w:hAnsiTheme="minorEastAsia" w:eastAsiaTheme="minorEastAsia" w:cstheme="minorEastAsia"/>
                <w:sz w:val="24"/>
                <w:szCs w:val="24"/>
                <w:lang w:eastAsia="zh-CN"/>
              </w:rPr>
              <w:t>）</w:t>
            </w:r>
          </w:p>
        </w:tc>
        <w:tc>
          <w:tcPr>
            <w:tcW w:w="1259" w:type="dxa"/>
            <w:shd w:val="clear" w:color="auto" w:fill="auto"/>
            <w:vAlign w:val="center"/>
          </w:tcPr>
          <w:p w14:paraId="0CEE6279">
            <w:pPr>
              <w:bidi w:val="0"/>
              <w:spacing w:line="360" w:lineRule="auto"/>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bidi="ar"/>
              </w:rPr>
              <w:t>0-3分</w:t>
            </w:r>
          </w:p>
        </w:tc>
        <w:tc>
          <w:tcPr>
            <w:tcW w:w="1289" w:type="dxa"/>
            <w:shd w:val="clear" w:color="auto" w:fill="auto"/>
            <w:vAlign w:val="center"/>
          </w:tcPr>
          <w:p w14:paraId="62934972">
            <w:pPr>
              <w:bidi w:val="0"/>
              <w:spacing w:line="360" w:lineRule="auto"/>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主观分</w:t>
            </w:r>
          </w:p>
        </w:tc>
      </w:tr>
      <w:tr w14:paraId="5A5C0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shd w:val="clear" w:color="auto" w:fill="auto"/>
            <w:vAlign w:val="center"/>
          </w:tcPr>
          <w:p w14:paraId="0474C78B">
            <w:pPr>
              <w:bidi w:val="0"/>
              <w:spacing w:line="360" w:lineRule="auto"/>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17</w:t>
            </w:r>
          </w:p>
        </w:tc>
        <w:tc>
          <w:tcPr>
            <w:tcW w:w="1190" w:type="dxa"/>
            <w:shd w:val="clear" w:color="auto" w:fill="auto"/>
            <w:vAlign w:val="center"/>
          </w:tcPr>
          <w:p w14:paraId="23FFC240">
            <w:pPr>
              <w:bidi w:val="0"/>
              <w:spacing w:line="360" w:lineRule="auto"/>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技术</w:t>
            </w:r>
          </w:p>
        </w:tc>
        <w:tc>
          <w:tcPr>
            <w:tcW w:w="5465" w:type="dxa"/>
            <w:vAlign w:val="center"/>
          </w:tcPr>
          <w:p w14:paraId="608C72A1">
            <w:pPr>
              <w:pStyle w:val="60"/>
              <w:spacing w:line="360" w:lineRule="auto"/>
              <w:ind w:left="0" w:leftChars="0" w:firstLine="480" w:firstLineChars="200"/>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电话及在线维护服务方案</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评分范围：5，4，3，2，1，0</w:t>
            </w:r>
            <w:r>
              <w:rPr>
                <w:rFonts w:hint="eastAsia" w:asciiTheme="minorEastAsia" w:hAnsiTheme="minorEastAsia" w:eastAsiaTheme="minorEastAsia" w:cstheme="minorEastAsia"/>
                <w:sz w:val="24"/>
                <w:szCs w:val="24"/>
                <w:lang w:eastAsia="zh-CN"/>
              </w:rPr>
              <w:t>）</w:t>
            </w:r>
          </w:p>
        </w:tc>
        <w:tc>
          <w:tcPr>
            <w:tcW w:w="1259" w:type="dxa"/>
            <w:vAlign w:val="center"/>
          </w:tcPr>
          <w:p w14:paraId="71DE3BF4">
            <w:pPr>
              <w:bidi w:val="0"/>
              <w:spacing w:line="360" w:lineRule="auto"/>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bidi="ar"/>
              </w:rPr>
              <w:t>0-5分</w:t>
            </w:r>
          </w:p>
        </w:tc>
        <w:tc>
          <w:tcPr>
            <w:tcW w:w="1289" w:type="dxa"/>
            <w:vAlign w:val="center"/>
          </w:tcPr>
          <w:p w14:paraId="4522A0B1">
            <w:pPr>
              <w:bidi w:val="0"/>
              <w:spacing w:line="360" w:lineRule="auto"/>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主观分</w:t>
            </w:r>
          </w:p>
        </w:tc>
      </w:tr>
      <w:tr w14:paraId="7DD0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shd w:val="clear" w:color="auto" w:fill="auto"/>
            <w:vAlign w:val="center"/>
          </w:tcPr>
          <w:p w14:paraId="03BD2D9A">
            <w:pPr>
              <w:bidi w:val="0"/>
              <w:spacing w:line="360" w:lineRule="auto"/>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18</w:t>
            </w:r>
          </w:p>
        </w:tc>
        <w:tc>
          <w:tcPr>
            <w:tcW w:w="1190" w:type="dxa"/>
            <w:shd w:val="clear" w:color="auto" w:fill="auto"/>
            <w:vAlign w:val="center"/>
          </w:tcPr>
          <w:p w14:paraId="59BFA693">
            <w:pPr>
              <w:bidi w:val="0"/>
              <w:spacing w:line="360" w:lineRule="auto"/>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技术</w:t>
            </w:r>
          </w:p>
        </w:tc>
        <w:tc>
          <w:tcPr>
            <w:tcW w:w="5465" w:type="dxa"/>
            <w:vAlign w:val="center"/>
          </w:tcPr>
          <w:p w14:paraId="3BE27A5C">
            <w:pPr>
              <w:pStyle w:val="60"/>
              <w:spacing w:line="360" w:lineRule="auto"/>
              <w:ind w:left="0" w:leftChars="0" w:firstLine="480" w:firstLineChars="200"/>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现场技术服务服务方案</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评分范围：5，4，3，2，1，0</w:t>
            </w:r>
            <w:r>
              <w:rPr>
                <w:rFonts w:hint="eastAsia" w:asciiTheme="minorEastAsia" w:hAnsiTheme="minorEastAsia" w:eastAsiaTheme="minorEastAsia" w:cstheme="minorEastAsia"/>
                <w:sz w:val="24"/>
                <w:szCs w:val="24"/>
                <w:lang w:eastAsia="zh-CN"/>
              </w:rPr>
              <w:t>）</w:t>
            </w:r>
          </w:p>
        </w:tc>
        <w:tc>
          <w:tcPr>
            <w:tcW w:w="1259" w:type="dxa"/>
            <w:vAlign w:val="center"/>
          </w:tcPr>
          <w:p w14:paraId="6E8935F8">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bidi="ar"/>
              </w:rPr>
              <w:t>0-5分</w:t>
            </w:r>
          </w:p>
        </w:tc>
        <w:tc>
          <w:tcPr>
            <w:tcW w:w="1289" w:type="dxa"/>
            <w:vAlign w:val="center"/>
          </w:tcPr>
          <w:p w14:paraId="6CD201A0">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主观分</w:t>
            </w:r>
          </w:p>
        </w:tc>
      </w:tr>
      <w:tr w14:paraId="07552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shd w:val="clear" w:color="auto" w:fill="auto"/>
            <w:vAlign w:val="center"/>
          </w:tcPr>
          <w:p w14:paraId="63E0AC7E">
            <w:pPr>
              <w:bidi w:val="0"/>
              <w:spacing w:line="360" w:lineRule="auto"/>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20</w:t>
            </w:r>
          </w:p>
        </w:tc>
        <w:tc>
          <w:tcPr>
            <w:tcW w:w="1190" w:type="dxa"/>
            <w:shd w:val="clear" w:color="auto" w:fill="auto"/>
            <w:vAlign w:val="center"/>
          </w:tcPr>
          <w:p w14:paraId="51984910">
            <w:pPr>
              <w:bidi w:val="0"/>
              <w:spacing w:line="360" w:lineRule="auto"/>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技术</w:t>
            </w:r>
          </w:p>
        </w:tc>
        <w:tc>
          <w:tcPr>
            <w:tcW w:w="5465" w:type="dxa"/>
            <w:vAlign w:val="center"/>
          </w:tcPr>
          <w:p w14:paraId="02338EBE">
            <w:pPr>
              <w:pStyle w:val="60"/>
              <w:spacing w:line="360" w:lineRule="auto"/>
              <w:ind w:left="0" w:leftChars="0" w:firstLine="480" w:firstLineChars="200"/>
              <w:rPr>
                <w:rFonts w:hint="eastAsia" w:asciiTheme="minorEastAsia" w:hAnsiTheme="minorEastAsia" w:eastAsiaTheme="minorEastAsia" w:cstheme="minorEastAsia"/>
                <w:snapToGrid/>
                <w:kern w:val="2"/>
                <w:sz w:val="24"/>
                <w:szCs w:val="24"/>
                <w:lang w:val="en-US" w:eastAsia="zh-CN" w:bidi="ar-SA"/>
              </w:rPr>
            </w:pPr>
            <w:r>
              <w:rPr>
                <w:rFonts w:hint="eastAsia" w:asciiTheme="minorEastAsia" w:hAnsiTheme="minorEastAsia" w:eastAsiaTheme="minorEastAsia" w:cstheme="minorEastAsia"/>
                <w:sz w:val="24"/>
                <w:szCs w:val="24"/>
                <w:lang w:bidi="ar"/>
              </w:rPr>
              <w:t>运维目标实现的质量保证措施</w:t>
            </w:r>
            <w:r>
              <w:rPr>
                <w:rFonts w:hint="eastAsia" w:asciiTheme="minorEastAsia" w:hAnsiTheme="minorEastAsia" w:eastAsiaTheme="minorEastAsia" w:cstheme="minorEastAsia"/>
                <w:sz w:val="24"/>
                <w:szCs w:val="24"/>
                <w:lang w:val="en-US" w:eastAsia="zh-CN" w:bidi="ar"/>
              </w:rPr>
              <w:t>方案</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评分范围：5，4，3，2，1，0</w:t>
            </w:r>
            <w:r>
              <w:rPr>
                <w:rFonts w:hint="eastAsia" w:asciiTheme="minorEastAsia" w:hAnsiTheme="minorEastAsia" w:eastAsiaTheme="minorEastAsia" w:cstheme="minorEastAsia"/>
                <w:sz w:val="24"/>
                <w:szCs w:val="24"/>
                <w:lang w:eastAsia="zh-CN"/>
              </w:rPr>
              <w:t>）</w:t>
            </w:r>
          </w:p>
        </w:tc>
        <w:tc>
          <w:tcPr>
            <w:tcW w:w="1259" w:type="dxa"/>
            <w:vAlign w:val="center"/>
          </w:tcPr>
          <w:p w14:paraId="52C6A8A9">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zh-CN" w:eastAsia="zh-CN" w:bidi="ar"/>
              </w:rPr>
              <w:t>0-5分</w:t>
            </w:r>
          </w:p>
        </w:tc>
        <w:tc>
          <w:tcPr>
            <w:tcW w:w="1289" w:type="dxa"/>
            <w:vAlign w:val="center"/>
          </w:tcPr>
          <w:p w14:paraId="6BBC7560">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主观分</w:t>
            </w:r>
          </w:p>
        </w:tc>
      </w:tr>
      <w:tr w14:paraId="66225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shd w:val="clear" w:color="auto" w:fill="auto"/>
            <w:vAlign w:val="center"/>
          </w:tcPr>
          <w:p w14:paraId="62AC0653">
            <w:pPr>
              <w:bidi w:val="0"/>
              <w:spacing w:line="360" w:lineRule="auto"/>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21</w:t>
            </w:r>
          </w:p>
        </w:tc>
        <w:tc>
          <w:tcPr>
            <w:tcW w:w="1190" w:type="dxa"/>
            <w:shd w:val="clear" w:color="auto" w:fill="auto"/>
            <w:vAlign w:val="center"/>
          </w:tcPr>
          <w:p w14:paraId="0BABBE52">
            <w:pPr>
              <w:bidi w:val="0"/>
              <w:spacing w:line="360" w:lineRule="auto"/>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技术</w:t>
            </w:r>
          </w:p>
        </w:tc>
        <w:tc>
          <w:tcPr>
            <w:tcW w:w="5465" w:type="dxa"/>
            <w:vAlign w:val="center"/>
          </w:tcPr>
          <w:p w14:paraId="714F17B2">
            <w:pPr>
              <w:snapToGrid w:val="0"/>
              <w:spacing w:line="360" w:lineRule="auto"/>
              <w:ind w:left="0" w:leftChars="0" w:firstLine="480" w:firstLineChars="200"/>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bidi="ar"/>
              </w:rPr>
              <w:t>保密承诺及提供运维数据保密方案</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评分范围：4，3，2，1，0</w:t>
            </w:r>
            <w:r>
              <w:rPr>
                <w:rFonts w:hint="eastAsia" w:asciiTheme="minorEastAsia" w:hAnsiTheme="minorEastAsia" w:eastAsiaTheme="minorEastAsia" w:cstheme="minorEastAsia"/>
                <w:sz w:val="24"/>
                <w:szCs w:val="24"/>
                <w:lang w:eastAsia="zh-CN"/>
              </w:rPr>
              <w:t>）</w:t>
            </w:r>
          </w:p>
        </w:tc>
        <w:tc>
          <w:tcPr>
            <w:tcW w:w="1259" w:type="dxa"/>
            <w:vAlign w:val="center"/>
          </w:tcPr>
          <w:p w14:paraId="7DF6454B">
            <w:pPr>
              <w:bidi w:val="0"/>
              <w:spacing w:line="360" w:lineRule="auto"/>
              <w:ind w:left="0" w:leftChars="0" w:firstLine="0" w:firstLineChars="0"/>
              <w:jc w:val="center"/>
              <w:rPr>
                <w:rFonts w:hint="eastAsia" w:asciiTheme="minorEastAsia" w:hAnsiTheme="minorEastAsia" w:eastAsiaTheme="minorEastAsia" w:cstheme="minorEastAsia"/>
                <w:sz w:val="24"/>
                <w:szCs w:val="24"/>
                <w:lang w:val="zh-CN" w:eastAsia="zh-CN" w:bidi="ar"/>
              </w:rPr>
            </w:pPr>
            <w:r>
              <w:rPr>
                <w:rFonts w:hint="eastAsia" w:asciiTheme="minorEastAsia" w:hAnsiTheme="minorEastAsia" w:eastAsiaTheme="minorEastAsia" w:cstheme="minorEastAsia"/>
                <w:sz w:val="24"/>
                <w:szCs w:val="24"/>
                <w:lang w:val="zh-CN" w:eastAsia="zh-CN" w:bidi="ar"/>
              </w:rPr>
              <w:t>0-</w:t>
            </w:r>
            <w:r>
              <w:rPr>
                <w:rFonts w:hint="eastAsia" w:asciiTheme="minorEastAsia" w:hAnsiTheme="minorEastAsia" w:eastAsiaTheme="minorEastAsia" w:cstheme="minorEastAsia"/>
                <w:sz w:val="24"/>
                <w:szCs w:val="24"/>
                <w:lang w:val="en-US" w:eastAsia="zh-CN" w:bidi="ar"/>
              </w:rPr>
              <w:t>4</w:t>
            </w:r>
            <w:r>
              <w:rPr>
                <w:rFonts w:hint="eastAsia" w:asciiTheme="minorEastAsia" w:hAnsiTheme="minorEastAsia" w:eastAsiaTheme="minorEastAsia" w:cstheme="minorEastAsia"/>
                <w:sz w:val="24"/>
                <w:szCs w:val="24"/>
                <w:lang w:val="zh-CN" w:eastAsia="zh-CN" w:bidi="ar"/>
              </w:rPr>
              <w:t>分</w:t>
            </w:r>
          </w:p>
        </w:tc>
        <w:tc>
          <w:tcPr>
            <w:tcW w:w="1289" w:type="dxa"/>
            <w:vAlign w:val="center"/>
          </w:tcPr>
          <w:p w14:paraId="0ABB1A54">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zh-CN" w:eastAsia="zh-CN" w:bidi="ar"/>
              </w:rPr>
              <w:t>主观分</w:t>
            </w:r>
          </w:p>
        </w:tc>
      </w:tr>
      <w:tr w14:paraId="318F97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4D3862EF">
            <w:pPr>
              <w:bidi w:val="0"/>
              <w:spacing w:line="360" w:lineRule="auto"/>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22</w:t>
            </w:r>
          </w:p>
        </w:tc>
        <w:tc>
          <w:tcPr>
            <w:tcW w:w="1190" w:type="dxa"/>
            <w:vAlign w:val="center"/>
          </w:tcPr>
          <w:p w14:paraId="58AA8860">
            <w:pPr>
              <w:bidi w:val="0"/>
              <w:spacing w:line="360" w:lineRule="auto"/>
              <w:ind w:left="0" w:leftChars="0" w:firstLine="0" w:firstLineChars="0"/>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eastAsia="zh-CN"/>
              </w:rPr>
              <w:t>技术</w:t>
            </w:r>
          </w:p>
        </w:tc>
        <w:tc>
          <w:tcPr>
            <w:tcW w:w="5465" w:type="dxa"/>
            <w:vAlign w:val="center"/>
          </w:tcPr>
          <w:p w14:paraId="0B9CF827">
            <w:pPr>
              <w:pStyle w:val="60"/>
              <w:spacing w:line="360" w:lineRule="auto"/>
              <w:ind w:left="0" w:leftChars="0" w:firstLine="480" w:firstLineChars="200"/>
              <w:rPr>
                <w:rFonts w:hint="eastAsia" w:asciiTheme="minorEastAsia" w:hAnsiTheme="minorEastAsia" w:eastAsiaTheme="minorEastAsia" w:cstheme="minorEastAsia"/>
                <w:snapToGrid/>
                <w:kern w:val="2"/>
                <w:sz w:val="24"/>
                <w:szCs w:val="24"/>
                <w:lang w:val="en-US" w:eastAsia="zh-CN" w:bidi="ar-SA"/>
              </w:rPr>
            </w:pPr>
            <w:r>
              <w:rPr>
                <w:rFonts w:hint="eastAsia" w:asciiTheme="minorEastAsia" w:hAnsiTheme="minorEastAsia" w:eastAsiaTheme="minorEastAsia" w:cstheme="minorEastAsia"/>
                <w:sz w:val="24"/>
                <w:szCs w:val="24"/>
                <w:lang w:bidi="ar"/>
              </w:rPr>
              <w:t>针对本项目对用户故障的响应、处理</w:t>
            </w:r>
            <w:r>
              <w:rPr>
                <w:rFonts w:hint="eastAsia" w:asciiTheme="minorEastAsia" w:hAnsiTheme="minorEastAsia" w:eastAsiaTheme="minorEastAsia" w:cstheme="minorEastAsia"/>
                <w:sz w:val="24"/>
                <w:szCs w:val="24"/>
                <w:lang w:eastAsia="zh-CN" w:bidi="ar"/>
              </w:rPr>
              <w:t>、</w:t>
            </w:r>
            <w:r>
              <w:rPr>
                <w:rFonts w:hint="eastAsia" w:asciiTheme="minorEastAsia" w:hAnsiTheme="minorEastAsia" w:eastAsiaTheme="minorEastAsia" w:cstheme="minorEastAsia"/>
                <w:sz w:val="24"/>
                <w:szCs w:val="24"/>
                <w:lang w:val="en-US" w:eastAsia="zh-CN" w:bidi="ar"/>
              </w:rPr>
              <w:t>突发事件的应急处理方案</w:t>
            </w:r>
            <w:r>
              <w:rPr>
                <w:rFonts w:hint="eastAsia" w:asciiTheme="minorEastAsia" w:hAnsiTheme="minorEastAsia" w:eastAsiaTheme="minorEastAsia" w:cstheme="minorEastAsia"/>
                <w:sz w:val="24"/>
                <w:szCs w:val="24"/>
                <w:lang w:bidi="ar"/>
              </w:rPr>
              <w:t>等情况的售后服务方案</w:t>
            </w:r>
            <w:r>
              <w:rPr>
                <w:rFonts w:hint="eastAsia" w:asciiTheme="minorEastAsia" w:hAnsiTheme="minorEastAsia" w:eastAsiaTheme="minorEastAsia" w:cstheme="minorEastAsia"/>
                <w:sz w:val="24"/>
                <w:szCs w:val="24"/>
              </w:rPr>
              <w:t>0-</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评分范围：5，4，3，2，1，0</w:t>
            </w:r>
            <w:r>
              <w:rPr>
                <w:rFonts w:hint="eastAsia" w:asciiTheme="minorEastAsia" w:hAnsiTheme="minorEastAsia" w:eastAsiaTheme="minorEastAsia" w:cstheme="minorEastAsia"/>
                <w:sz w:val="24"/>
                <w:szCs w:val="24"/>
                <w:lang w:eastAsia="zh-CN"/>
              </w:rPr>
              <w:t>）</w:t>
            </w:r>
          </w:p>
        </w:tc>
        <w:tc>
          <w:tcPr>
            <w:tcW w:w="1259" w:type="dxa"/>
            <w:vAlign w:val="center"/>
          </w:tcPr>
          <w:p w14:paraId="363D14B8">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zh-CN" w:eastAsia="zh-CN" w:bidi="ar"/>
              </w:rPr>
              <w:t>0-</w:t>
            </w:r>
            <w:r>
              <w:rPr>
                <w:rFonts w:hint="eastAsia" w:asciiTheme="minorEastAsia" w:hAnsiTheme="minorEastAsia" w:eastAsiaTheme="minorEastAsia" w:cstheme="minorEastAsia"/>
                <w:sz w:val="24"/>
                <w:szCs w:val="24"/>
                <w:lang w:val="en-US" w:eastAsia="zh-CN" w:bidi="ar"/>
              </w:rPr>
              <w:t>5</w:t>
            </w:r>
            <w:r>
              <w:rPr>
                <w:rFonts w:hint="eastAsia" w:asciiTheme="minorEastAsia" w:hAnsiTheme="minorEastAsia" w:eastAsiaTheme="minorEastAsia" w:cstheme="minorEastAsia"/>
                <w:sz w:val="24"/>
                <w:szCs w:val="24"/>
                <w:lang w:val="zh-CN" w:eastAsia="zh-CN" w:bidi="ar"/>
              </w:rPr>
              <w:t>分</w:t>
            </w:r>
          </w:p>
        </w:tc>
        <w:tc>
          <w:tcPr>
            <w:tcW w:w="1289" w:type="dxa"/>
            <w:vAlign w:val="center"/>
          </w:tcPr>
          <w:p w14:paraId="0C94FF0A">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主观分</w:t>
            </w:r>
          </w:p>
        </w:tc>
      </w:tr>
      <w:tr w14:paraId="020AA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7" w:type="dxa"/>
            <w:vAlign w:val="center"/>
          </w:tcPr>
          <w:p w14:paraId="26621946">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23</w:t>
            </w:r>
          </w:p>
        </w:tc>
        <w:tc>
          <w:tcPr>
            <w:tcW w:w="1190" w:type="dxa"/>
            <w:vAlign w:val="center"/>
          </w:tcPr>
          <w:p w14:paraId="35E16280">
            <w:pPr>
              <w:bidi w:val="0"/>
              <w:spacing w:line="360" w:lineRule="auto"/>
              <w:ind w:left="0" w:leftChars="0" w:firstLine="0" w:firstLineChars="0"/>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技术</w:t>
            </w:r>
          </w:p>
        </w:tc>
        <w:tc>
          <w:tcPr>
            <w:tcW w:w="5465" w:type="dxa"/>
            <w:vAlign w:val="center"/>
          </w:tcPr>
          <w:p w14:paraId="64CB6E4A">
            <w:pPr>
              <w:numPr>
                <w:ilvl w:val="-1"/>
                <w:numId w:val="0"/>
              </w:numPr>
              <w:snapToGrid w:val="0"/>
              <w:spacing w:line="360" w:lineRule="auto"/>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color w:val="000000"/>
                <w:kern w:val="0"/>
                <w:sz w:val="24"/>
                <w:szCs w:val="24"/>
                <w:lang w:val="zh-CN"/>
              </w:rPr>
              <w:t>项目团队力量</w:t>
            </w:r>
            <w:r>
              <w:rPr>
                <w:rFonts w:hint="eastAsia" w:asciiTheme="minorEastAsia" w:hAnsiTheme="minorEastAsia" w:eastAsiaTheme="minorEastAsia" w:cstheme="minorEastAsia"/>
                <w:kern w:val="0"/>
                <w:sz w:val="24"/>
                <w:szCs w:val="24"/>
                <w:lang w:val="zh-CN"/>
              </w:rPr>
              <w:t>（提供</w:t>
            </w:r>
            <w:r>
              <w:rPr>
                <w:rFonts w:hint="eastAsia" w:asciiTheme="minorEastAsia" w:hAnsiTheme="minorEastAsia" w:eastAsiaTheme="minorEastAsia" w:cstheme="minorEastAsia"/>
                <w:kern w:val="0"/>
                <w:sz w:val="24"/>
                <w:szCs w:val="24"/>
                <w:lang w:val="en-US" w:eastAsia="zh-CN"/>
              </w:rPr>
              <w:t>投标单位为其人员缴纳的</w:t>
            </w:r>
            <w:r>
              <w:rPr>
                <w:rFonts w:hint="eastAsia" w:asciiTheme="minorEastAsia" w:hAnsiTheme="minorEastAsia" w:eastAsiaTheme="minorEastAsia" w:cstheme="minorEastAsia"/>
                <w:kern w:val="0"/>
                <w:sz w:val="24"/>
                <w:szCs w:val="24"/>
                <w:lang w:val="zh-CN"/>
              </w:rPr>
              <w:t>近3个月</w:t>
            </w:r>
            <w:r>
              <w:rPr>
                <w:rFonts w:hint="eastAsia" w:asciiTheme="minorEastAsia" w:hAnsiTheme="minorEastAsia" w:eastAsiaTheme="minorEastAsia" w:cstheme="minorEastAsia"/>
                <w:kern w:val="0"/>
                <w:sz w:val="24"/>
                <w:szCs w:val="24"/>
                <w:lang w:val="en-US" w:eastAsia="zh-CN"/>
              </w:rPr>
              <w:t>内任意一个月的</w:t>
            </w:r>
            <w:r>
              <w:rPr>
                <w:rFonts w:hint="eastAsia" w:asciiTheme="minorEastAsia" w:hAnsiTheme="minorEastAsia" w:eastAsiaTheme="minorEastAsia" w:cstheme="minorEastAsia"/>
                <w:kern w:val="0"/>
                <w:sz w:val="24"/>
                <w:szCs w:val="24"/>
                <w:lang w:val="zh-CN"/>
              </w:rPr>
              <w:t>社保</w:t>
            </w:r>
            <w:r>
              <w:rPr>
                <w:rFonts w:hint="eastAsia" w:asciiTheme="minorEastAsia" w:hAnsiTheme="minorEastAsia" w:eastAsiaTheme="minorEastAsia" w:cstheme="minorEastAsia"/>
                <w:kern w:val="0"/>
                <w:sz w:val="24"/>
                <w:szCs w:val="24"/>
                <w:lang w:val="en-US" w:eastAsia="zh-CN"/>
              </w:rPr>
              <w:t>证明或与其签订的劳动合同</w:t>
            </w:r>
            <w:r>
              <w:rPr>
                <w:rFonts w:hint="eastAsia" w:asciiTheme="minorEastAsia" w:hAnsiTheme="minorEastAsia" w:eastAsiaTheme="minorEastAsia" w:cstheme="minorEastAsia"/>
                <w:kern w:val="0"/>
                <w:sz w:val="24"/>
                <w:szCs w:val="24"/>
                <w:lang w:val="zh-CN"/>
              </w:rPr>
              <w:t>，不提供</w:t>
            </w:r>
            <w:r>
              <w:rPr>
                <w:rFonts w:hint="eastAsia" w:asciiTheme="minorEastAsia" w:hAnsiTheme="minorEastAsia" w:eastAsiaTheme="minorEastAsia" w:cstheme="minorEastAsia"/>
                <w:kern w:val="0"/>
                <w:sz w:val="24"/>
                <w:szCs w:val="24"/>
                <w:lang w:val="en-US" w:eastAsia="zh-CN"/>
              </w:rPr>
              <w:t>的</w:t>
            </w:r>
            <w:r>
              <w:rPr>
                <w:rFonts w:hint="eastAsia" w:asciiTheme="minorEastAsia" w:hAnsiTheme="minorEastAsia" w:eastAsiaTheme="minorEastAsia" w:cstheme="minorEastAsia"/>
                <w:kern w:val="0"/>
                <w:sz w:val="24"/>
                <w:szCs w:val="24"/>
                <w:lang w:val="zh-CN"/>
              </w:rPr>
              <w:t>不得分）</w:t>
            </w:r>
          </w:p>
          <w:p w14:paraId="75346705">
            <w:pPr>
              <w:numPr>
                <w:ilvl w:val="0"/>
                <w:numId w:val="0"/>
              </w:numPr>
              <w:snapToGrid w:val="0"/>
              <w:spacing w:line="360" w:lineRule="auto"/>
              <w:rPr>
                <w:rFonts w:hint="eastAsia" w:asciiTheme="minorEastAsia" w:hAnsiTheme="minorEastAsia" w:eastAsiaTheme="minorEastAsia" w:cstheme="minorEastAsia"/>
                <w:sz w:val="24"/>
                <w:szCs w:val="24"/>
                <w:lang w:bidi="ar"/>
              </w:rPr>
            </w:pPr>
            <w:r>
              <w:rPr>
                <w:rFonts w:hint="eastAsia" w:asciiTheme="minorEastAsia" w:hAnsiTheme="minorEastAsia" w:eastAsiaTheme="minorEastAsia" w:cstheme="minorEastAsia"/>
                <w:sz w:val="24"/>
                <w:szCs w:val="24"/>
                <w:lang w:val="en-US" w:eastAsia="zh-CN" w:bidi="ar"/>
              </w:rPr>
              <w:t>1、</w:t>
            </w:r>
            <w:r>
              <w:rPr>
                <w:rFonts w:hint="eastAsia" w:asciiTheme="minorEastAsia" w:hAnsiTheme="minorEastAsia" w:eastAsiaTheme="minorEastAsia" w:cstheme="minorEastAsia"/>
                <w:sz w:val="24"/>
                <w:szCs w:val="24"/>
                <w:lang w:bidi="ar"/>
              </w:rPr>
              <w:t>项目负责人具有计算机或信息化专业的高级职称的，得</w:t>
            </w:r>
            <w:r>
              <w:rPr>
                <w:rFonts w:hint="eastAsia" w:asciiTheme="minorEastAsia" w:hAnsiTheme="minorEastAsia" w:eastAsiaTheme="minorEastAsia" w:cstheme="minorEastAsia"/>
                <w:sz w:val="24"/>
                <w:szCs w:val="24"/>
                <w:lang w:val="en-US" w:eastAsia="zh-CN" w:bidi="ar"/>
              </w:rPr>
              <w:t>3</w:t>
            </w:r>
            <w:r>
              <w:rPr>
                <w:rFonts w:hint="eastAsia" w:asciiTheme="minorEastAsia" w:hAnsiTheme="minorEastAsia" w:eastAsiaTheme="minorEastAsia" w:cstheme="minorEastAsia"/>
                <w:sz w:val="24"/>
                <w:szCs w:val="24"/>
                <w:lang w:bidi="ar"/>
              </w:rPr>
              <w:t>分，中级职称得1分（提供相关证明材料，不提供不得分。）</w:t>
            </w:r>
          </w:p>
          <w:p w14:paraId="6AAE898C">
            <w:pPr>
              <w:numPr>
                <w:ilvl w:val="-1"/>
                <w:numId w:val="0"/>
              </w:numPr>
              <w:snapToGrid w:val="0"/>
              <w:spacing w:line="360" w:lineRule="auto"/>
              <w:ind w:left="0" w:leftChars="0" w:firstLine="0" w:firstLineChars="0"/>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2、驻场人员情况0-3分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评分范围：3，2，1，0</w:t>
            </w:r>
            <w:r>
              <w:rPr>
                <w:rFonts w:hint="eastAsia" w:asciiTheme="minorEastAsia" w:hAnsiTheme="minorEastAsia" w:eastAsiaTheme="minorEastAsia" w:cstheme="minorEastAsia"/>
                <w:sz w:val="24"/>
                <w:szCs w:val="24"/>
                <w:lang w:eastAsia="zh-CN"/>
              </w:rPr>
              <w:t>）</w:t>
            </w:r>
          </w:p>
          <w:p w14:paraId="2D1C2459">
            <w:pPr>
              <w:numPr>
                <w:ilvl w:val="0"/>
                <w:numId w:val="0"/>
              </w:numPr>
              <w:snapToGrid w:val="0"/>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bidi="ar"/>
              </w:rPr>
              <w:t>3、</w:t>
            </w:r>
            <w:r>
              <w:rPr>
                <w:rFonts w:hint="eastAsia" w:asciiTheme="minorEastAsia" w:hAnsiTheme="minorEastAsia" w:eastAsiaTheme="minorEastAsia" w:cstheme="minorEastAsia"/>
                <w:sz w:val="24"/>
                <w:szCs w:val="24"/>
                <w:lang w:bidi="ar"/>
              </w:rPr>
              <w:t>服务团队</w:t>
            </w:r>
            <w:r>
              <w:rPr>
                <w:rFonts w:hint="eastAsia" w:asciiTheme="minorEastAsia" w:hAnsiTheme="minorEastAsia" w:eastAsiaTheme="minorEastAsia" w:cstheme="minorEastAsia"/>
                <w:sz w:val="24"/>
                <w:szCs w:val="24"/>
                <w:lang w:val="en-US" w:eastAsia="zh-CN" w:bidi="ar"/>
              </w:rPr>
              <w:t>人员情况（除项目负责人以及驻场人员外）0-2分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评分范围：2，1，0.5，0</w:t>
            </w:r>
            <w:r>
              <w:rPr>
                <w:rFonts w:hint="eastAsia" w:asciiTheme="minorEastAsia" w:hAnsiTheme="minorEastAsia" w:eastAsiaTheme="minorEastAsia" w:cstheme="minorEastAsia"/>
                <w:sz w:val="24"/>
                <w:szCs w:val="24"/>
                <w:lang w:eastAsia="zh-CN"/>
              </w:rPr>
              <w:t>）</w:t>
            </w:r>
          </w:p>
        </w:tc>
        <w:tc>
          <w:tcPr>
            <w:tcW w:w="1259" w:type="dxa"/>
            <w:vAlign w:val="center"/>
          </w:tcPr>
          <w:p w14:paraId="7C9954D4">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zh-CN" w:eastAsia="zh-CN" w:bidi="ar"/>
              </w:rPr>
              <w:t>0-</w:t>
            </w:r>
            <w:r>
              <w:rPr>
                <w:rFonts w:hint="eastAsia" w:asciiTheme="minorEastAsia" w:hAnsiTheme="minorEastAsia" w:eastAsiaTheme="minorEastAsia" w:cstheme="minorEastAsia"/>
                <w:sz w:val="24"/>
                <w:szCs w:val="24"/>
                <w:lang w:val="en-US" w:eastAsia="zh-CN" w:bidi="ar"/>
              </w:rPr>
              <w:t>8</w:t>
            </w:r>
            <w:r>
              <w:rPr>
                <w:rFonts w:hint="eastAsia" w:asciiTheme="minorEastAsia" w:hAnsiTheme="minorEastAsia" w:eastAsiaTheme="minorEastAsia" w:cstheme="minorEastAsia"/>
                <w:sz w:val="24"/>
                <w:szCs w:val="24"/>
                <w:lang w:val="zh-CN" w:eastAsia="zh-CN" w:bidi="ar"/>
              </w:rPr>
              <w:t>分</w:t>
            </w:r>
          </w:p>
        </w:tc>
        <w:tc>
          <w:tcPr>
            <w:tcW w:w="1289" w:type="dxa"/>
            <w:vAlign w:val="center"/>
          </w:tcPr>
          <w:p w14:paraId="6C87AD53">
            <w:pPr>
              <w:bidi w:val="0"/>
              <w:spacing w:line="360" w:lineRule="auto"/>
              <w:ind w:left="0" w:leftChars="0" w:firstLine="0" w:firstLineChars="0"/>
              <w:jc w:val="center"/>
              <w:rPr>
                <w:rFonts w:hint="eastAsia" w:asciiTheme="minorEastAsia" w:hAnsiTheme="minorEastAsia" w:eastAsiaTheme="minorEastAsia" w:cstheme="minorEastAsia"/>
                <w:sz w:val="24"/>
                <w:szCs w:val="24"/>
                <w:lang w:val="en-US" w:eastAsia="zh-CN" w:bidi="ar"/>
              </w:rPr>
            </w:pPr>
            <w:r>
              <w:rPr>
                <w:rFonts w:hint="eastAsia" w:asciiTheme="minorEastAsia" w:hAnsiTheme="minorEastAsia" w:eastAsiaTheme="minorEastAsia" w:cstheme="minorEastAsia"/>
                <w:sz w:val="24"/>
                <w:szCs w:val="24"/>
                <w:lang w:val="en-US" w:eastAsia="zh-CN" w:bidi="ar"/>
              </w:rPr>
              <w:t>1客观分，2、3主观分</w:t>
            </w:r>
          </w:p>
        </w:tc>
      </w:tr>
    </w:tbl>
    <w:p w14:paraId="3C614794">
      <w:pPr>
        <w:widowControl/>
        <w:spacing w:line="360" w:lineRule="auto"/>
        <w:ind w:left="0" w:leftChars="0" w:firstLine="0" w:firstLineChars="0"/>
        <w:rPr>
          <w:rFonts w:hint="eastAsia" w:ascii="宋体" w:hAnsi="宋体" w:eastAsia="宋体" w:cs="仿宋_GB2312"/>
          <w:sz w:val="24"/>
          <w:lang w:val="en-US" w:eastAsia="zh-CN"/>
        </w:rPr>
      </w:pPr>
      <w:r>
        <w:rPr>
          <w:rFonts w:hint="eastAsia" w:ascii="宋体" w:hAnsi="宋体" w:cs="仿宋_GB2312"/>
          <w:sz w:val="24"/>
          <w:lang w:val="en-US" w:eastAsia="zh-CN"/>
        </w:rPr>
        <w:t>备注：（1）</w:t>
      </w:r>
      <w:r>
        <w:rPr>
          <w:rFonts w:hint="eastAsia" w:ascii="宋体" w:hAnsi="宋体" w:eastAsia="宋体" w:cs="仿宋_GB2312"/>
          <w:sz w:val="24"/>
          <w:lang w:val="en-US" w:eastAsia="zh-CN"/>
        </w:rPr>
        <w:t>商务分、技术分按照</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小组成员的独立评分结果汇总后的算术平均分计算，计算公式为：商务分、技术分=</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小组所有成员评分合计数/</w:t>
      </w:r>
      <w:r>
        <w:rPr>
          <w:rFonts w:hint="eastAsia" w:ascii="宋体" w:hAnsi="宋体" w:cs="仿宋_GB2312"/>
          <w:sz w:val="24"/>
          <w:lang w:val="en-US" w:eastAsia="zh-CN"/>
        </w:rPr>
        <w:t>评审</w:t>
      </w:r>
      <w:r>
        <w:rPr>
          <w:rFonts w:hint="eastAsia" w:ascii="宋体" w:hAnsi="宋体" w:eastAsia="宋体" w:cs="仿宋_GB2312"/>
          <w:sz w:val="24"/>
          <w:lang w:val="en-US" w:eastAsia="zh-CN"/>
        </w:rPr>
        <w:t>小组成员组成人数。</w:t>
      </w:r>
    </w:p>
    <w:p w14:paraId="2EBC53A7">
      <w:pPr>
        <w:pStyle w:val="60"/>
        <w:spacing w:line="360" w:lineRule="auto"/>
        <w:rPr>
          <w:rFonts w:hint="eastAsia" w:asciiTheme="minorEastAsia" w:hAnsiTheme="minorEastAsia" w:eastAsiaTheme="minorEastAsia" w:cstheme="minorEastAsia"/>
          <w:sz w:val="24"/>
          <w:szCs w:val="24"/>
        </w:rPr>
      </w:pPr>
      <w:r>
        <w:rPr>
          <w:rFonts w:hint="eastAsia" w:ascii="宋体" w:hAnsi="宋体" w:cs="仿宋_GB2312"/>
          <w:sz w:val="24"/>
          <w:lang w:val="en-US" w:eastAsia="zh-CN"/>
        </w:rPr>
        <w:t>（2）投标人</w:t>
      </w:r>
      <w:r>
        <w:rPr>
          <w:rFonts w:hint="eastAsia" w:ascii="宋体" w:hAnsi="宋体" w:eastAsia="宋体" w:cs="仿宋_GB2312"/>
          <w:sz w:val="24"/>
          <w:lang w:val="en-US" w:eastAsia="zh-CN"/>
        </w:rPr>
        <w:t>评审综合得分=商务分+技术分+</w:t>
      </w:r>
      <w:r>
        <w:rPr>
          <w:rFonts w:hint="eastAsia" w:ascii="宋体" w:hAnsi="宋体" w:cs="仿宋_GB2312"/>
          <w:sz w:val="24"/>
          <w:lang w:val="en-US" w:eastAsia="zh-CN"/>
        </w:rPr>
        <w:t>报价</w:t>
      </w:r>
      <w:r>
        <w:rPr>
          <w:rFonts w:hint="eastAsia" w:ascii="宋体" w:hAnsi="宋体" w:eastAsia="宋体" w:cs="仿宋_GB2312"/>
          <w:sz w:val="24"/>
          <w:lang w:val="en-US" w:eastAsia="zh-CN"/>
        </w:rPr>
        <w:t>分</w:t>
      </w:r>
    </w:p>
    <w:p w14:paraId="72F4DF3D">
      <w:pPr>
        <w:spacing w:line="360" w:lineRule="auto"/>
        <w:outlineLvl w:val="0"/>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三、评标程序</w:t>
      </w:r>
    </w:p>
    <w:p w14:paraId="67153BC6">
      <w:pPr>
        <w:spacing w:line="360" w:lineRule="auto"/>
        <w:ind w:firstLine="472" w:firstLineChars="196"/>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3.1符合性审查。</w:t>
      </w:r>
      <w:r>
        <w:rPr>
          <w:rFonts w:hint="eastAsia" w:asciiTheme="minorEastAsia" w:hAnsiTheme="minorEastAsia" w:eastAsiaTheme="minorEastAsia" w:cstheme="minorEastAsia"/>
          <w:color w:val="auto"/>
          <w:kern w:val="0"/>
          <w:sz w:val="24"/>
          <w:szCs w:val="24"/>
          <w:highlight w:val="none"/>
        </w:rPr>
        <w:t>评标委员会应当对符合资格的投标人的投标文件进行符合性审查，以确定其是否满足招标文件的实质性要求。不满足招标文件的实质性要求的，投标无效。</w:t>
      </w:r>
    </w:p>
    <w:p w14:paraId="454B5607">
      <w:pPr>
        <w:spacing w:line="360" w:lineRule="auto"/>
        <w:ind w:firstLine="472" w:firstLineChars="196"/>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3.2 比较与评价。</w:t>
      </w:r>
      <w:r>
        <w:rPr>
          <w:rFonts w:hint="eastAsia" w:asciiTheme="minorEastAsia" w:hAnsiTheme="minorEastAsia" w:eastAsiaTheme="minorEastAsia" w:cstheme="minorEastAsia"/>
          <w:color w:val="auto"/>
          <w:kern w:val="0"/>
          <w:sz w:val="24"/>
          <w:szCs w:val="24"/>
          <w:highlight w:val="none"/>
        </w:rPr>
        <w:t>评标委员会应当按照招标文件中规定的评标方法和标准，对符合性审查合格的投标文件进行商务和技术评估，综合比较与评价。</w:t>
      </w:r>
    </w:p>
    <w:p w14:paraId="0F9E20F5">
      <w:pPr>
        <w:spacing w:line="360" w:lineRule="auto"/>
        <w:ind w:firstLine="472" w:firstLineChars="196"/>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3.3汇总商务技术得分。</w:t>
      </w:r>
      <w:r>
        <w:rPr>
          <w:rFonts w:hint="eastAsia" w:asciiTheme="minorEastAsia" w:hAnsiTheme="minorEastAsia" w:eastAsiaTheme="minorEastAsia" w:cstheme="minorEastAsia"/>
          <w:color w:val="auto"/>
          <w:kern w:val="0"/>
          <w:sz w:val="24"/>
          <w:szCs w:val="24"/>
          <w:highlight w:val="none"/>
        </w:rPr>
        <w:t>评标委员会各成员应当独立对每个投标人的商务和技术文件进行评价，并汇总商务技术得分情况。</w:t>
      </w:r>
    </w:p>
    <w:p w14:paraId="71C988A2">
      <w:pPr>
        <w:spacing w:line="360" w:lineRule="auto"/>
        <w:ind w:firstLine="472" w:firstLineChars="196"/>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3.4报价评审。</w:t>
      </w:r>
    </w:p>
    <w:p w14:paraId="3131978F">
      <w:pPr>
        <w:pStyle w:val="131"/>
        <w:spacing w:before="0" w:line="360" w:lineRule="auto"/>
        <w:ind w:firstLine="508" w:firstLineChars="212"/>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3.4.1投标文件报价出现前后不一致的，按照下列规定修正：</w:t>
      </w:r>
    </w:p>
    <w:p w14:paraId="49DA3F7B">
      <w:pPr>
        <w:pStyle w:val="131"/>
        <w:spacing w:before="0"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3.4.1.1投标文件中开标一览表(报价表)内容与投标文件中相应内容不一致的，以开标一览表(报价表)为准;</w:t>
      </w:r>
    </w:p>
    <w:p w14:paraId="639F5E79">
      <w:pPr>
        <w:pStyle w:val="131"/>
        <w:spacing w:before="0"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3.4.1.2大写金额和小写金额不一致的，以大写金额为准;</w:t>
      </w:r>
    </w:p>
    <w:p w14:paraId="785F5427">
      <w:pPr>
        <w:pStyle w:val="131"/>
        <w:spacing w:before="0"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3.4.1.3单价金额小数点或者百分比有明显错位的，以开标一览表的总价为准，并修改单价;</w:t>
      </w:r>
    </w:p>
    <w:p w14:paraId="323DAB6B">
      <w:pPr>
        <w:pStyle w:val="131"/>
        <w:spacing w:before="0"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3.4.1.4总价金额与按单价汇总金额不一致的，以单价金额计算结果为准。</w:t>
      </w:r>
    </w:p>
    <w:p w14:paraId="1AE627D3">
      <w:pPr>
        <w:pStyle w:val="131"/>
        <w:spacing w:before="0"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3.4.1.5同时出现两种以上不一致的，按照3.4.1规定的顺序修正。修正后的报价按照财政部第87号令 《政府采购货物和服务招标投标管理办法》第五十一条第二款的规定经投标人确认后产生约束力。</w:t>
      </w:r>
    </w:p>
    <w:p w14:paraId="1E4BF763">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3.4.2投标文件出现不是唯一的、有选择性投标报价的，投标无效。</w:t>
      </w:r>
    </w:p>
    <w:p w14:paraId="1ADF56ED">
      <w:pPr>
        <w:snapToGrid w:val="0"/>
        <w:spacing w:line="360" w:lineRule="auto"/>
        <w:ind w:firstLine="480" w:firstLineChars="20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3.4.3投标报价超过招标文件中规定的预算金额或者最高限价的，投标无效。</w:t>
      </w:r>
    </w:p>
    <w:p w14:paraId="28748C96">
      <w:pPr>
        <w:pStyle w:val="131"/>
        <w:spacing w:before="0"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66F6D6CF">
      <w:pPr>
        <w:pStyle w:val="131"/>
        <w:spacing w:before="0" w:line="360" w:lineRule="auto"/>
        <w:ind w:firstLine="48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3.4.5对于未预留份额专门面向中小企业的政府采购服务项目，以及预留份额政府采购服务项目中的非预留部分标项，对小型和微型企业的投标报价给予10%-20%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-6%的扣除，用扣除后的价格参加评审。组成联合体或者接受分包的小微企业与联合体内其他企业、分包企业之间存在直接控股、管理关系的，不享受价格扣除优惠政策。</w:t>
      </w:r>
    </w:p>
    <w:p w14:paraId="678AAB60">
      <w:pPr>
        <w:spacing w:line="360" w:lineRule="auto"/>
        <w:ind w:firstLine="482"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3.5排序与推荐。</w:t>
      </w:r>
      <w:r>
        <w:rPr>
          <w:rFonts w:hint="eastAsia" w:asciiTheme="minorEastAsia" w:hAnsiTheme="minorEastAsia" w:eastAsiaTheme="minorEastAsia" w:cstheme="minorEastAsia"/>
          <w:color w:val="auto"/>
          <w:kern w:val="0"/>
          <w:sz w:val="24"/>
          <w:szCs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r>
        <w:rPr>
          <w:rFonts w:hint="eastAsia" w:ascii="宋体" w:hAnsi="宋体" w:eastAsia="宋体" w:cs="仿宋_GB2312"/>
          <w:color w:val="auto"/>
          <w:sz w:val="24"/>
        </w:rPr>
        <w:t>中标候选人数量：有效投标供应商数量等于3家时，中标候选人数量为1家；有效投标供应商数量等于4家时，中标候选人数量为2家；有效投标供应商数量大于等于5家时，中标候选人数量为3家。</w:t>
      </w:r>
    </w:p>
    <w:p w14:paraId="1A32EC83">
      <w:pPr>
        <w:spacing w:line="360" w:lineRule="auto"/>
        <w:ind w:firstLine="480" w:firstLineChars="200"/>
        <w:rPr>
          <w:rFonts w:hint="eastAsia" w:asciiTheme="minorEastAsia" w:hAnsiTheme="minorEastAsia" w:eastAsiaTheme="minorEastAsia" w:cstheme="minorEastAsia"/>
          <w:b/>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48453077">
      <w:pPr>
        <w:spacing w:line="360" w:lineRule="auto"/>
        <w:ind w:firstLine="472" w:firstLineChars="196"/>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3.6编写评标报告。</w:t>
      </w:r>
      <w:r>
        <w:rPr>
          <w:rFonts w:hint="eastAsia" w:asciiTheme="minorEastAsia" w:hAnsiTheme="minorEastAsia" w:eastAsiaTheme="minorEastAsia" w:cstheme="minorEastAsia"/>
          <w:color w:val="auto"/>
          <w:kern w:val="0"/>
          <w:sz w:val="24"/>
          <w:szCs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3877921">
      <w:pPr>
        <w:widowControl/>
        <w:shd w:val="clear" w:color="auto" w:fill="FFFFFF"/>
        <w:adjustRightInd/>
        <w:spacing w:after="225" w:line="360" w:lineRule="auto"/>
        <w:jc w:val="left"/>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t>四、评标中的其他事项</w:t>
      </w:r>
    </w:p>
    <w:p w14:paraId="6CEA2D94">
      <w:pPr>
        <w:pStyle w:val="131"/>
        <w:spacing w:before="0" w:line="360" w:lineRule="auto"/>
        <w:ind w:firstLine="472" w:firstLineChars="196"/>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b/>
          <w:color w:val="auto"/>
          <w:kern w:val="0"/>
          <w:sz w:val="24"/>
          <w:szCs w:val="24"/>
          <w:highlight w:val="none"/>
        </w:rPr>
        <w:t>4.1投标人澄清、说明或者补正。</w:t>
      </w:r>
      <w:r>
        <w:rPr>
          <w:rFonts w:hint="eastAsia" w:asciiTheme="minorEastAsia" w:hAnsiTheme="minorEastAsia" w:eastAsiaTheme="minorEastAsia" w:cstheme="minorEastAsia"/>
          <w:color w:val="auto"/>
          <w:kern w:val="0"/>
          <w:sz w:val="24"/>
          <w:szCs w:val="24"/>
          <w:highlight w:val="none"/>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7CF1E573">
      <w:pPr>
        <w:pStyle w:val="24"/>
        <w:spacing w:line="360" w:lineRule="auto"/>
        <w:ind w:left="954" w:leftChars="226" w:hanging="479" w:firstLineChars="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kern w:val="0"/>
          <w:sz w:val="24"/>
          <w:szCs w:val="24"/>
          <w:highlight w:val="none"/>
        </w:rPr>
        <w:t>4.2投标无效。</w:t>
      </w:r>
      <w:r>
        <w:rPr>
          <w:rFonts w:hint="eastAsia" w:asciiTheme="minorEastAsia" w:hAnsiTheme="minorEastAsia" w:eastAsiaTheme="minorEastAsia" w:cstheme="minorEastAsia"/>
          <w:color w:val="auto"/>
          <w:sz w:val="24"/>
          <w:szCs w:val="24"/>
          <w:highlight w:val="none"/>
        </w:rPr>
        <w:t>有下列情形之一的，投标无效：</w:t>
      </w:r>
    </w:p>
    <w:p w14:paraId="513AD5BF">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4.2.1投标人不具备招标文件中规定的资格要求的（投标人未提供有效的资格文件的，视为投标人不具备招标文件中规定的资格要求）；</w:t>
      </w:r>
    </w:p>
    <w:p w14:paraId="3E7459F8">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4.2.2投标文件未按照招标文件要求签署、盖章的；</w:t>
      </w:r>
    </w:p>
    <w:p w14:paraId="5EDF0524">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4.2.3采购人拟采购的产品属于政府强制采购的节能产品品目清单范围的，投标人相应的投标产品未获得国家确定的认证机构出具的、处于有效期之内的节能产品认证证书的；</w:t>
      </w:r>
    </w:p>
    <w:p w14:paraId="60047CDF">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4.2.4投标文件含有采购人不能接受的附加条件的；</w:t>
      </w:r>
    </w:p>
    <w:p w14:paraId="21FF4B1D">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4.2.5投标文件中承诺的投标有效期少于招标文件中载明的投标有效期的；</w:t>
      </w:r>
    </w:p>
    <w:p w14:paraId="560148EF">
      <w:pPr>
        <w:snapToGrid w:val="0"/>
        <w:spacing w:line="360" w:lineRule="auto"/>
        <w:ind w:firstLine="120" w:firstLineChars="50"/>
        <w:jc w:val="left"/>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4.2.6投标文件出现不是唯一的、有选择性投标报价的;</w:t>
      </w:r>
    </w:p>
    <w:p w14:paraId="0856FA22">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4.2.7投标报价超过招标文件中规定的预算金额或者最高限价的;</w:t>
      </w:r>
    </w:p>
    <w:p w14:paraId="0B4AA017">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w:t>
      </w:r>
      <w:r>
        <w:rPr>
          <w:rFonts w:hint="eastAsia" w:asciiTheme="minorEastAsia" w:hAnsiTheme="minorEastAsia" w:eastAsiaTheme="minorEastAsia" w:cstheme="minorEastAsia"/>
          <w:color w:val="auto"/>
          <w:kern w:val="0"/>
          <w:sz w:val="24"/>
          <w:szCs w:val="24"/>
          <w:highlight w:val="none"/>
          <w:lang w:val="en-US" w:eastAsia="zh-CN"/>
        </w:rPr>
        <w:t>8</w:t>
      </w:r>
      <w:r>
        <w:rPr>
          <w:rFonts w:hint="eastAsia" w:asciiTheme="minorEastAsia" w:hAnsiTheme="minorEastAsia" w:eastAsiaTheme="minorEastAsia" w:cstheme="minorEastAsia"/>
          <w:color w:val="auto"/>
          <w:kern w:val="0"/>
          <w:sz w:val="24"/>
          <w:szCs w:val="24"/>
          <w:highlight w:val="none"/>
        </w:rPr>
        <w:t>投标人对根据修正原则修正后的报价不确认的；</w:t>
      </w:r>
    </w:p>
    <w:p w14:paraId="3AD93D1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rPr>
        <w:t>4.2.</w:t>
      </w:r>
      <w:r>
        <w:rPr>
          <w:rFonts w:hint="eastAsia" w:asciiTheme="minorEastAsia" w:hAnsiTheme="minorEastAsia" w:eastAsiaTheme="minorEastAsia" w:cstheme="minorEastAsia"/>
          <w:color w:val="auto"/>
          <w:kern w:val="0"/>
          <w:sz w:val="24"/>
          <w:szCs w:val="24"/>
          <w:highlight w:val="none"/>
          <w:lang w:val="en-US" w:eastAsia="zh-CN"/>
        </w:rPr>
        <w:t>9</w:t>
      </w:r>
      <w:r>
        <w:rPr>
          <w:rFonts w:hint="eastAsia" w:asciiTheme="minorEastAsia" w:hAnsiTheme="minorEastAsia" w:eastAsiaTheme="minorEastAsia" w:cstheme="minorEastAsia"/>
          <w:color w:val="auto"/>
          <w:kern w:val="0"/>
          <w:sz w:val="24"/>
          <w:szCs w:val="24"/>
          <w:highlight w:val="none"/>
        </w:rPr>
        <w:t>投标人提供虚假材料投标的；</w:t>
      </w:r>
    </w:p>
    <w:p w14:paraId="48FAF0B8">
      <w:pPr>
        <w:spacing w:line="360" w:lineRule="auto"/>
        <w:ind w:firstLine="240" w:firstLineChars="1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 xml:space="preserve">  4.2.1</w:t>
      </w:r>
      <w:r>
        <w:rPr>
          <w:rFonts w:hint="eastAsia" w:asciiTheme="minorEastAsia" w:hAnsiTheme="minorEastAsia" w:eastAsiaTheme="minorEastAsia" w:cstheme="minorEastAsia"/>
          <w:color w:val="auto"/>
          <w:kern w:val="0"/>
          <w:sz w:val="24"/>
          <w:szCs w:val="24"/>
          <w:highlight w:val="none"/>
          <w:lang w:val="en-US" w:eastAsia="zh-CN"/>
        </w:rPr>
        <w:t>0</w:t>
      </w:r>
      <w:r>
        <w:rPr>
          <w:rFonts w:hint="eastAsia" w:asciiTheme="minorEastAsia" w:hAnsiTheme="minorEastAsia" w:eastAsiaTheme="minorEastAsia" w:cstheme="minorEastAsia"/>
          <w:color w:val="auto"/>
          <w:kern w:val="0"/>
          <w:sz w:val="24"/>
          <w:szCs w:val="24"/>
          <w:highlight w:val="none"/>
        </w:rPr>
        <w:t>投标人有恶意串通、妨碍其他投标人的竞争行为、损害采购人或者其他投标人的合法权益情形的；</w:t>
      </w:r>
    </w:p>
    <w:p w14:paraId="14A9C99E">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rPr>
        <w:t>4.2.11 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p>
    <w:p w14:paraId="52541E97">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w:t>
      </w:r>
      <w:r>
        <w:rPr>
          <w:rFonts w:hint="eastAsia" w:asciiTheme="minorEastAsia" w:hAnsiTheme="minorEastAsia" w:eastAsiaTheme="minorEastAsia" w:cstheme="minorEastAsia"/>
          <w:color w:val="auto"/>
          <w:kern w:val="0"/>
          <w:sz w:val="24"/>
          <w:szCs w:val="24"/>
          <w:highlight w:val="none"/>
          <w:lang w:val="en-US" w:eastAsia="zh-CN"/>
        </w:rPr>
        <w:t>2</w:t>
      </w:r>
      <w:r>
        <w:rPr>
          <w:rFonts w:hint="eastAsia" w:asciiTheme="minorEastAsia" w:hAnsiTheme="minorEastAsia" w:eastAsiaTheme="minorEastAsia" w:cstheme="minorEastAsia"/>
          <w:color w:val="auto"/>
          <w:kern w:val="0"/>
          <w:sz w:val="24"/>
          <w:szCs w:val="24"/>
          <w:highlight w:val="none"/>
        </w:rPr>
        <w:t>投标人仅提交备份投标文件，未在电子交易平台传输递交投标文件的，投标无效；</w:t>
      </w:r>
    </w:p>
    <w:p w14:paraId="7AA3D7B1">
      <w:pPr>
        <w:pStyle w:val="3"/>
        <w:spacing w:line="360" w:lineRule="auto"/>
        <w:ind w:left="862" w:leftChars="205"/>
        <w:rPr>
          <w:rFonts w:hint="eastAsia" w:asciiTheme="minorEastAsia" w:hAnsiTheme="minorEastAsia" w:eastAsiaTheme="minorEastAsia" w:cstheme="minorEastAsia"/>
          <w:b w:val="0"/>
          <w:bCs w:val="0"/>
          <w:color w:val="auto"/>
          <w:kern w:val="0"/>
          <w:sz w:val="24"/>
          <w:szCs w:val="24"/>
          <w:highlight w:val="none"/>
          <w:lang w:val="en-US"/>
        </w:rPr>
      </w:pPr>
      <w:r>
        <w:rPr>
          <w:rFonts w:hint="eastAsia" w:asciiTheme="minorEastAsia" w:hAnsiTheme="minorEastAsia" w:eastAsiaTheme="minorEastAsia" w:cstheme="minorEastAsia"/>
          <w:b w:val="0"/>
          <w:bCs w:val="0"/>
          <w:color w:val="auto"/>
          <w:kern w:val="0"/>
          <w:sz w:val="24"/>
          <w:szCs w:val="24"/>
          <w:highlight w:val="none"/>
          <w:lang w:val="en-US"/>
        </w:rPr>
        <w:t>4.2.1</w:t>
      </w:r>
      <w:r>
        <w:rPr>
          <w:rFonts w:hint="eastAsia" w:asciiTheme="minorEastAsia" w:hAnsiTheme="minorEastAsia" w:eastAsiaTheme="minorEastAsia" w:cstheme="minorEastAsia"/>
          <w:b w:val="0"/>
          <w:bCs w:val="0"/>
          <w:color w:val="auto"/>
          <w:kern w:val="0"/>
          <w:sz w:val="24"/>
          <w:szCs w:val="24"/>
          <w:highlight w:val="none"/>
          <w:lang w:val="en-US" w:eastAsia="zh-CN"/>
        </w:rPr>
        <w:t>3</w:t>
      </w:r>
      <w:r>
        <w:rPr>
          <w:rFonts w:hint="eastAsia" w:asciiTheme="minorEastAsia" w:hAnsiTheme="minorEastAsia" w:eastAsiaTheme="minorEastAsia" w:cstheme="minorEastAsia"/>
          <w:b w:val="0"/>
          <w:bCs w:val="0"/>
          <w:color w:val="auto"/>
          <w:kern w:val="0"/>
          <w:sz w:val="24"/>
          <w:szCs w:val="24"/>
          <w:highlight w:val="none"/>
          <w:lang w:val="en-US"/>
        </w:rPr>
        <w:t xml:space="preserve"> 投标文件不满足招标文件的其它实质性要求的；</w:t>
      </w:r>
    </w:p>
    <w:p w14:paraId="66635920">
      <w:pPr>
        <w:spacing w:line="360" w:lineRule="auto"/>
        <w:ind w:firstLine="480" w:firstLineChars="200"/>
        <w:rPr>
          <w:rFonts w:hint="eastAsia" w:asciiTheme="minorEastAsia" w:hAnsiTheme="minorEastAsia" w:eastAsiaTheme="minorEastAsia" w:cstheme="minorEastAsia"/>
          <w:color w:val="auto"/>
          <w:kern w:val="0"/>
          <w:sz w:val="24"/>
          <w:szCs w:val="24"/>
          <w:highlight w:val="none"/>
        </w:rPr>
      </w:pPr>
      <w:r>
        <w:rPr>
          <w:rFonts w:hint="eastAsia" w:asciiTheme="minorEastAsia" w:hAnsiTheme="minorEastAsia" w:eastAsiaTheme="minorEastAsia" w:cstheme="minorEastAsia"/>
          <w:color w:val="auto"/>
          <w:kern w:val="0"/>
          <w:sz w:val="24"/>
          <w:szCs w:val="24"/>
          <w:highlight w:val="none"/>
        </w:rPr>
        <w:t>4.2.1</w:t>
      </w:r>
      <w:r>
        <w:rPr>
          <w:rFonts w:hint="eastAsia" w:asciiTheme="minorEastAsia" w:hAnsiTheme="minorEastAsia" w:eastAsiaTheme="minorEastAsia" w:cstheme="minorEastAsia"/>
          <w:color w:val="auto"/>
          <w:kern w:val="0"/>
          <w:sz w:val="24"/>
          <w:szCs w:val="24"/>
          <w:highlight w:val="none"/>
          <w:lang w:val="en-US" w:eastAsia="zh-CN"/>
        </w:rPr>
        <w:t>4</w:t>
      </w:r>
      <w:r>
        <w:rPr>
          <w:rFonts w:hint="eastAsia" w:asciiTheme="minorEastAsia" w:hAnsiTheme="minorEastAsia" w:eastAsiaTheme="minorEastAsia" w:cstheme="minorEastAsia"/>
          <w:color w:val="auto"/>
          <w:kern w:val="0"/>
          <w:sz w:val="24"/>
          <w:szCs w:val="24"/>
          <w:highlight w:val="none"/>
        </w:rPr>
        <w:t>法律、法规、规章（适用本市的）及省级以上规范性文件（适用本市的）规定的其他无效情形。</w:t>
      </w:r>
    </w:p>
    <w:p w14:paraId="3D4A9190">
      <w:pPr>
        <w:pStyle w:val="24"/>
        <w:snapToGrid w:val="0"/>
        <w:spacing w:line="360" w:lineRule="auto"/>
        <w:ind w:firstLine="472" w:firstLineChars="196"/>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5.废标。</w:t>
      </w:r>
      <w:r>
        <w:rPr>
          <w:rFonts w:hint="eastAsia" w:asciiTheme="minorEastAsia" w:hAnsiTheme="minorEastAsia" w:eastAsiaTheme="minorEastAsia" w:cstheme="minorEastAsia"/>
          <w:color w:val="auto"/>
          <w:sz w:val="24"/>
          <w:szCs w:val="24"/>
          <w:highlight w:val="none"/>
        </w:rPr>
        <w:t>根据《中华人民共和国政府采购法》第三十六条之规定，在采购中，出现下列情形之一的，应予废标：</w:t>
      </w:r>
    </w:p>
    <w:p w14:paraId="037FCDD3">
      <w:pPr>
        <w:pStyle w:val="24"/>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5.1符合专业条件的供应商或者对招标文件作实质响应的供应商不足3家的；</w:t>
      </w:r>
    </w:p>
    <w:p w14:paraId="436BE7F6">
      <w:pPr>
        <w:pStyle w:val="24"/>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5.2出现影响采购公正的违法、违规行为的；</w:t>
      </w:r>
    </w:p>
    <w:p w14:paraId="3861788E">
      <w:pPr>
        <w:pStyle w:val="24"/>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5.3投标人的报价均超过了采购预算，采购人不能支付的；</w:t>
      </w:r>
    </w:p>
    <w:p w14:paraId="2C8A1F44">
      <w:pPr>
        <w:pStyle w:val="24"/>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5.4因重大变故，采购任务取消的。</w:t>
      </w:r>
    </w:p>
    <w:p w14:paraId="0F20D232">
      <w:pPr>
        <w:pStyle w:val="24"/>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废标后，</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应当将废标理由通知所有投标人。</w:t>
      </w:r>
    </w:p>
    <w:p w14:paraId="728F5DB1">
      <w:pPr>
        <w:pStyle w:val="24"/>
        <w:snapToGrid w:val="0"/>
        <w:spacing w:line="360" w:lineRule="auto"/>
        <w:ind w:firstLine="590" w:firstLineChars="245"/>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sz w:val="24"/>
          <w:szCs w:val="24"/>
          <w:highlight w:val="none"/>
        </w:rPr>
        <w:t>6.修改招标文件，重新组织采购活动。</w:t>
      </w:r>
      <w:r>
        <w:rPr>
          <w:rFonts w:hint="eastAsia" w:asciiTheme="minorEastAsia" w:hAnsiTheme="minorEastAsia" w:eastAsiaTheme="minorEastAsia" w:cstheme="minorEastAsia"/>
          <w:color w:val="auto"/>
          <w:sz w:val="24"/>
          <w:szCs w:val="24"/>
          <w:highlight w:val="none"/>
        </w:rPr>
        <w:t>评标委员会发现招标文件存在歧义、重大缺陷导致评标工作无法进行，或者招标文件内容违反国家有关强制性规定的，将停止评标工作，并与采购人、</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沟通并作书面记录。采购人、</w:t>
      </w:r>
      <w:r>
        <w:rPr>
          <w:rFonts w:hint="eastAsia" w:asciiTheme="minorEastAsia" w:hAnsiTheme="minorEastAsia" w:eastAsiaTheme="minorEastAsia" w:cstheme="minorEastAsia"/>
          <w:color w:val="auto"/>
          <w:sz w:val="24"/>
          <w:szCs w:val="24"/>
          <w:highlight w:val="none"/>
          <w:lang w:eastAsia="zh-CN"/>
        </w:rPr>
        <w:t>采购代理机构</w:t>
      </w:r>
      <w:r>
        <w:rPr>
          <w:rFonts w:hint="eastAsia" w:asciiTheme="minorEastAsia" w:hAnsiTheme="minorEastAsia" w:eastAsiaTheme="minorEastAsia" w:cstheme="minorEastAsia"/>
          <w:color w:val="auto"/>
          <w:sz w:val="24"/>
          <w:szCs w:val="24"/>
          <w:highlight w:val="none"/>
        </w:rPr>
        <w:t>确认后，将修改招标文件，重新组织采购活动。</w:t>
      </w:r>
    </w:p>
    <w:p w14:paraId="4F2DA9DA">
      <w:pPr>
        <w:pStyle w:val="24"/>
        <w:snapToGrid w:val="0"/>
        <w:spacing w:line="360" w:lineRule="auto"/>
        <w:ind w:firstLine="482"/>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color w:val="auto"/>
          <w:kern w:val="0"/>
          <w:sz w:val="24"/>
          <w:szCs w:val="24"/>
          <w:highlight w:val="none"/>
        </w:rPr>
        <w:t>7.重新开展采购。</w:t>
      </w:r>
      <w:r>
        <w:rPr>
          <w:rFonts w:hint="eastAsia" w:asciiTheme="minorEastAsia" w:hAnsiTheme="minorEastAsia" w:eastAsiaTheme="minorEastAsia" w:cstheme="minorEastAsia"/>
          <w:color w:val="auto"/>
          <w:sz w:val="24"/>
          <w:szCs w:val="24"/>
          <w:highlight w:val="none"/>
        </w:rPr>
        <w:t>有政府采购法第七十一条、第七十二条规定的违法行为之一，影响或者可能影响中标结果的，依照下列规定处理：</w:t>
      </w:r>
    </w:p>
    <w:p w14:paraId="62D94D34">
      <w:pPr>
        <w:pStyle w:val="24"/>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7.1未确定中标供应商的，终止本次政府采购活动，重新开展政府采购活动。</w:t>
      </w:r>
    </w:p>
    <w:p w14:paraId="2169EE18">
      <w:pPr>
        <w:pStyle w:val="24"/>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7.2已确定中标供应商但尚未签订政府采购合同的，中标结果无效，从合格的中标候选人中另行确定中标供应商；没有合格的中标候选人的，重新开展政府采购活动。</w:t>
      </w:r>
    </w:p>
    <w:p w14:paraId="52BC1C79">
      <w:pPr>
        <w:pStyle w:val="24"/>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7.3政府采购合同已签订但尚未履行的，撤销合同，从合格的中标候选人中另行确定中标供应商；没有合格的中标候选人的，重新开展政府采购活动。</w:t>
      </w:r>
    </w:p>
    <w:p w14:paraId="0C0B7240">
      <w:pPr>
        <w:pStyle w:val="24"/>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7.4政府采购合同已经履行，给采购人、供应商造成损失的，由责任人承担赔偿责任。</w:t>
      </w:r>
    </w:p>
    <w:p w14:paraId="194896E4">
      <w:pPr>
        <w:pStyle w:val="24"/>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7.5政府采购当事人有其他违反政府采购法或者政府采购法实施条例等法律法规规定的行为，经改正后仍然影响或者可能影响中标结果或者依法被认定为中标无效的，依照7.1-7.4规定处理。</w:t>
      </w:r>
    </w:p>
    <w:p w14:paraId="146B1A3C">
      <w:pPr>
        <w:pStyle w:val="24"/>
        <w:snapToGrid w:val="0"/>
        <w:spacing w:line="360" w:lineRule="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val="en-US" w:eastAsia="zh-CN"/>
        </w:rPr>
        <w:t>8.</w:t>
      </w:r>
      <w:r>
        <w:rPr>
          <w:rFonts w:hint="eastAsia" w:asciiTheme="minorEastAsia" w:hAnsiTheme="minorEastAsia" w:eastAsiaTheme="minorEastAsia" w:cstheme="minorEastAsia"/>
          <w:b/>
          <w:bCs/>
          <w:color w:val="auto"/>
          <w:sz w:val="24"/>
          <w:szCs w:val="24"/>
          <w:highlight w:val="none"/>
        </w:rPr>
        <w:t xml:space="preserve">有下列情形之一的，视为投标人串通投标，其投标无效： </w:t>
      </w:r>
    </w:p>
    <w:p w14:paraId="238E685D">
      <w:pPr>
        <w:pStyle w:val="24"/>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8.1</w:t>
      </w:r>
      <w:r>
        <w:rPr>
          <w:rFonts w:hint="eastAsia" w:asciiTheme="minorEastAsia" w:hAnsiTheme="minorEastAsia" w:eastAsiaTheme="minorEastAsia" w:cstheme="minorEastAsia"/>
          <w:color w:val="auto"/>
          <w:sz w:val="24"/>
          <w:szCs w:val="24"/>
          <w:highlight w:val="none"/>
        </w:rPr>
        <w:t xml:space="preserve">不同投标人的投标文件由同一单位或者个人编制； </w:t>
      </w:r>
    </w:p>
    <w:p w14:paraId="4A496233">
      <w:pPr>
        <w:pStyle w:val="24"/>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8.2</w:t>
      </w:r>
      <w:r>
        <w:rPr>
          <w:rFonts w:hint="eastAsia" w:asciiTheme="minorEastAsia" w:hAnsiTheme="minorEastAsia" w:eastAsiaTheme="minorEastAsia" w:cstheme="minorEastAsia"/>
          <w:color w:val="auto"/>
          <w:sz w:val="24"/>
          <w:szCs w:val="24"/>
          <w:highlight w:val="none"/>
        </w:rPr>
        <w:t xml:space="preserve">不同投标人委托同一单位或者个人办理投标事宜； </w:t>
      </w:r>
    </w:p>
    <w:p w14:paraId="46422929">
      <w:pPr>
        <w:pStyle w:val="24"/>
        <w:snapToGrid w:val="0"/>
        <w:spacing w:line="360" w:lineRule="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val="en-US" w:eastAsia="zh-CN"/>
        </w:rPr>
        <w:t>8.3</w:t>
      </w:r>
      <w:r>
        <w:rPr>
          <w:rFonts w:hint="eastAsia" w:asciiTheme="minorEastAsia" w:hAnsiTheme="minorEastAsia" w:eastAsiaTheme="minorEastAsia" w:cstheme="minorEastAsia"/>
          <w:color w:val="auto"/>
          <w:sz w:val="24"/>
          <w:szCs w:val="24"/>
          <w:highlight w:val="none"/>
        </w:rPr>
        <w:t>不同投标人的投标文件载明的项目管理成员或者联系人员为同一人</w:t>
      </w:r>
      <w:r>
        <w:rPr>
          <w:rFonts w:hint="eastAsia" w:asciiTheme="minorEastAsia" w:hAnsiTheme="minorEastAsia" w:eastAsiaTheme="minorEastAsia" w:cstheme="minorEastAsia"/>
          <w:color w:val="auto"/>
          <w:sz w:val="24"/>
          <w:szCs w:val="24"/>
          <w:highlight w:val="none"/>
          <w:lang w:eastAsia="zh-CN"/>
        </w:rPr>
        <w:t>；</w:t>
      </w:r>
    </w:p>
    <w:p w14:paraId="19AA5A0B">
      <w:pPr>
        <w:pStyle w:val="24"/>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8.4</w:t>
      </w:r>
      <w:r>
        <w:rPr>
          <w:rFonts w:hint="eastAsia" w:asciiTheme="minorEastAsia" w:hAnsiTheme="minorEastAsia" w:eastAsiaTheme="minorEastAsia" w:cstheme="minorEastAsia"/>
          <w:color w:val="auto"/>
          <w:sz w:val="24"/>
          <w:szCs w:val="24"/>
          <w:highlight w:val="none"/>
        </w:rPr>
        <w:t xml:space="preserve">不同投标人的投标文件异常一致或者投标报价呈规律性差异； </w:t>
      </w:r>
    </w:p>
    <w:p w14:paraId="45820228">
      <w:pPr>
        <w:pStyle w:val="24"/>
        <w:snapToGrid w:val="0"/>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8.5</w:t>
      </w:r>
      <w:r>
        <w:rPr>
          <w:rFonts w:hint="eastAsia" w:asciiTheme="minorEastAsia" w:hAnsiTheme="minorEastAsia" w:eastAsiaTheme="minorEastAsia" w:cstheme="minorEastAsia"/>
          <w:color w:val="auto"/>
          <w:sz w:val="24"/>
          <w:szCs w:val="24"/>
          <w:highlight w:val="none"/>
        </w:rPr>
        <w:t>不同投标人的投标文件相互混装；</w:t>
      </w:r>
    </w:p>
    <w:bookmarkEnd w:id="27"/>
    <w:p w14:paraId="414513D2">
      <w:pPr>
        <w:spacing w:line="360" w:lineRule="auto"/>
        <w:ind w:left="720" w:leftChars="343" w:firstLine="1084" w:firstLineChars="300"/>
        <w:outlineLvl w:val="0"/>
        <w:rPr>
          <w:rFonts w:ascii="宋体" w:hAnsi="宋体" w:cs="宋体"/>
          <w:b/>
          <w:color w:val="auto"/>
          <w:sz w:val="36"/>
          <w:szCs w:val="36"/>
          <w:highlight w:val="none"/>
        </w:rPr>
      </w:pPr>
      <w:bookmarkStart w:id="393" w:name="第五部分"/>
      <w:bookmarkStart w:id="394" w:name="_Toc86217003"/>
    </w:p>
    <w:p w14:paraId="5F8611A8">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 xml:space="preserve">    </w:t>
      </w:r>
    </w:p>
    <w:p w14:paraId="3436DE59">
      <w:pPr>
        <w:spacing w:line="360" w:lineRule="auto"/>
        <w:ind w:left="720" w:leftChars="343" w:firstLine="1084" w:firstLineChars="300"/>
        <w:outlineLvl w:val="0"/>
        <w:rPr>
          <w:rFonts w:ascii="宋体" w:hAnsi="宋体" w:cs="宋体"/>
          <w:b/>
          <w:color w:val="auto"/>
          <w:sz w:val="36"/>
          <w:szCs w:val="36"/>
          <w:highlight w:val="none"/>
        </w:rPr>
      </w:pPr>
    </w:p>
    <w:p w14:paraId="6D25ECCD">
      <w:pPr>
        <w:spacing w:line="360" w:lineRule="auto"/>
        <w:ind w:left="720" w:leftChars="343" w:firstLine="1084" w:firstLineChars="300"/>
        <w:outlineLvl w:val="0"/>
        <w:rPr>
          <w:rFonts w:ascii="宋体" w:hAnsi="宋体" w:cs="宋体"/>
          <w:b/>
          <w:color w:val="auto"/>
          <w:sz w:val="36"/>
          <w:szCs w:val="36"/>
          <w:highlight w:val="none"/>
        </w:rPr>
      </w:pPr>
    </w:p>
    <w:p w14:paraId="2CC431D9">
      <w:pPr>
        <w:spacing w:line="360" w:lineRule="auto"/>
        <w:ind w:left="720" w:leftChars="343" w:firstLine="1084" w:firstLineChars="300"/>
        <w:outlineLvl w:val="0"/>
        <w:rPr>
          <w:rFonts w:ascii="宋体" w:hAnsi="宋体" w:cs="宋体"/>
          <w:b/>
          <w:color w:val="auto"/>
          <w:sz w:val="36"/>
          <w:szCs w:val="36"/>
          <w:highlight w:val="none"/>
        </w:rPr>
      </w:pPr>
    </w:p>
    <w:p w14:paraId="027BB869">
      <w:pPr>
        <w:spacing w:line="360" w:lineRule="auto"/>
        <w:ind w:left="720" w:leftChars="343" w:firstLine="1084" w:firstLineChars="300"/>
        <w:outlineLvl w:val="0"/>
        <w:rPr>
          <w:rFonts w:ascii="宋体" w:hAnsi="宋体" w:cs="宋体"/>
          <w:b/>
          <w:color w:val="auto"/>
          <w:sz w:val="36"/>
          <w:szCs w:val="36"/>
          <w:highlight w:val="none"/>
        </w:rPr>
      </w:pPr>
    </w:p>
    <w:p w14:paraId="6D191506">
      <w:pPr>
        <w:spacing w:line="360" w:lineRule="auto"/>
        <w:ind w:left="720" w:leftChars="343" w:firstLine="1084" w:firstLineChars="300"/>
        <w:outlineLvl w:val="0"/>
        <w:rPr>
          <w:rFonts w:ascii="宋体" w:hAnsi="宋体" w:cs="宋体"/>
          <w:b/>
          <w:color w:val="auto"/>
          <w:sz w:val="36"/>
          <w:szCs w:val="36"/>
          <w:highlight w:val="none"/>
        </w:rPr>
      </w:pPr>
    </w:p>
    <w:p w14:paraId="1100B8C1">
      <w:pPr>
        <w:widowControl/>
        <w:adjustRightInd/>
        <w:jc w:val="left"/>
        <w:rPr>
          <w:rFonts w:ascii="宋体" w:hAnsi="宋体" w:cs="宋体"/>
          <w:b/>
          <w:color w:val="auto"/>
          <w:sz w:val="36"/>
          <w:szCs w:val="36"/>
          <w:highlight w:val="none"/>
        </w:rPr>
      </w:pPr>
      <w:r>
        <w:rPr>
          <w:rFonts w:ascii="宋体" w:hAnsi="宋体" w:cs="宋体"/>
          <w:b/>
          <w:color w:val="auto"/>
          <w:sz w:val="36"/>
          <w:szCs w:val="36"/>
          <w:highlight w:val="none"/>
        </w:rPr>
        <w:br w:type="page"/>
      </w:r>
    </w:p>
    <w:p w14:paraId="3CEA968D">
      <w:pPr>
        <w:spacing w:line="360" w:lineRule="auto"/>
        <w:ind w:left="720" w:leftChars="343" w:firstLine="1084" w:firstLineChars="300"/>
        <w:outlineLvl w:val="0"/>
        <w:rPr>
          <w:rFonts w:ascii="宋体" w:hAnsi="宋体" w:cs="宋体"/>
          <w:b/>
          <w:color w:val="auto"/>
          <w:sz w:val="36"/>
          <w:szCs w:val="36"/>
          <w:highlight w:val="none"/>
        </w:rPr>
      </w:pPr>
      <w:r>
        <w:rPr>
          <w:rFonts w:hint="eastAsia" w:ascii="宋体" w:hAnsi="宋体" w:cs="宋体"/>
          <w:b/>
          <w:color w:val="auto"/>
          <w:sz w:val="36"/>
          <w:szCs w:val="36"/>
          <w:highlight w:val="none"/>
        </w:rPr>
        <w:t>第五部分 拟签订的合同文本</w:t>
      </w:r>
    </w:p>
    <w:p w14:paraId="3816F2F6">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14:paraId="570272BE">
      <w:pPr>
        <w:spacing w:line="480" w:lineRule="auto"/>
        <w:jc w:val="center"/>
        <w:rPr>
          <w:rFonts w:ascii="宋体" w:hAnsi="宋体" w:cs="宋体"/>
          <w:b/>
          <w:color w:val="auto"/>
          <w:sz w:val="28"/>
          <w:szCs w:val="28"/>
          <w:highlight w:val="none"/>
        </w:rPr>
      </w:pPr>
    </w:p>
    <w:p w14:paraId="4C9E886F">
      <w:pPr>
        <w:spacing w:line="480" w:lineRule="auto"/>
        <w:jc w:val="center"/>
        <w:rPr>
          <w:rFonts w:ascii="宋体" w:hAnsi="宋体" w:cs="宋体"/>
          <w:b/>
          <w:color w:val="auto"/>
          <w:sz w:val="24"/>
          <w:highlight w:val="none"/>
        </w:rPr>
      </w:pPr>
    </w:p>
    <w:p w14:paraId="6A210C03">
      <w:pPr>
        <w:spacing w:line="480" w:lineRule="auto"/>
        <w:jc w:val="center"/>
        <w:rPr>
          <w:rFonts w:ascii="宋体" w:hAnsi="宋体" w:cs="宋体"/>
          <w:b/>
          <w:color w:val="auto"/>
          <w:sz w:val="24"/>
          <w:highlight w:val="none"/>
        </w:rPr>
      </w:pPr>
    </w:p>
    <w:p w14:paraId="391DF66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14:paraId="511C89FD">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14:paraId="4419379D">
      <w:pPr>
        <w:pStyle w:val="702"/>
        <w:ind w:firstLine="2843" w:firstLineChars="1180"/>
        <w:rPr>
          <w:rFonts w:ascii="宋体" w:hAnsi="宋体" w:cs="宋体"/>
          <w:b/>
          <w:color w:val="auto"/>
          <w:szCs w:val="24"/>
          <w:highlight w:val="none"/>
        </w:rPr>
      </w:pPr>
      <w:r>
        <w:rPr>
          <w:rFonts w:hint="eastAsia" w:ascii="宋体" w:hAnsi="宋体" w:cs="宋体"/>
          <w:b/>
          <w:color w:val="auto"/>
          <w:szCs w:val="24"/>
          <w:highlight w:val="none"/>
        </w:rPr>
        <w:t>第一部分 合同书</w:t>
      </w:r>
    </w:p>
    <w:p w14:paraId="111642AA">
      <w:pPr>
        <w:spacing w:before="120" w:line="22" w:lineRule="atLeast"/>
        <w:rPr>
          <w:rFonts w:ascii="宋体" w:hAnsi="宋体" w:cs="宋体"/>
          <w:color w:val="auto"/>
          <w:sz w:val="24"/>
          <w:highlight w:val="none"/>
        </w:rPr>
      </w:pPr>
    </w:p>
    <w:p w14:paraId="4EB107E0">
      <w:pPr>
        <w:pStyle w:val="3"/>
        <w:rPr>
          <w:color w:val="auto"/>
          <w:highlight w:val="none"/>
        </w:rPr>
      </w:pPr>
    </w:p>
    <w:p w14:paraId="52C5A054">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14:paraId="6B902B2C">
      <w:pPr>
        <w:pStyle w:val="599"/>
        <w:spacing w:before="120" w:line="22" w:lineRule="atLeast"/>
        <w:rPr>
          <w:rFonts w:ascii="宋体" w:hAnsi="宋体" w:eastAsia="宋体" w:cs="宋体"/>
          <w:color w:val="auto"/>
          <w:szCs w:val="24"/>
          <w:highlight w:val="none"/>
        </w:rPr>
      </w:pPr>
    </w:p>
    <w:p w14:paraId="5912128F">
      <w:pPr>
        <w:pStyle w:val="599"/>
        <w:spacing w:before="120" w:line="22" w:lineRule="atLeast"/>
        <w:rPr>
          <w:rFonts w:ascii="宋体" w:hAnsi="宋体" w:eastAsia="宋体" w:cs="宋体"/>
          <w:color w:val="auto"/>
          <w:szCs w:val="24"/>
          <w:highlight w:val="none"/>
        </w:rPr>
      </w:pPr>
    </w:p>
    <w:p w14:paraId="5FE0C9E3">
      <w:pPr>
        <w:rPr>
          <w:rFonts w:ascii="宋体" w:hAnsi="宋体" w:cs="宋体"/>
          <w:color w:val="auto"/>
          <w:sz w:val="24"/>
          <w:highlight w:val="none"/>
        </w:rPr>
      </w:pPr>
    </w:p>
    <w:p w14:paraId="47A9008A">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14:paraId="0D3D1846">
      <w:pPr>
        <w:spacing w:before="120" w:line="22" w:lineRule="atLeast"/>
        <w:rPr>
          <w:rFonts w:ascii="宋体" w:hAnsi="宋体" w:cs="宋体"/>
          <w:color w:val="auto"/>
          <w:sz w:val="24"/>
          <w:highlight w:val="none"/>
        </w:rPr>
      </w:pPr>
    </w:p>
    <w:p w14:paraId="4F902F54">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14:paraId="15CA71C9">
      <w:pPr>
        <w:spacing w:before="120" w:line="22" w:lineRule="atLeast"/>
        <w:rPr>
          <w:rFonts w:ascii="宋体" w:hAnsi="宋体" w:cs="宋体"/>
          <w:color w:val="auto"/>
          <w:sz w:val="24"/>
          <w:highlight w:val="none"/>
        </w:rPr>
      </w:pPr>
    </w:p>
    <w:p w14:paraId="14015310">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14:paraId="70C1208B">
      <w:pPr>
        <w:spacing w:before="120" w:line="22" w:lineRule="atLeast"/>
        <w:rPr>
          <w:rFonts w:ascii="宋体" w:hAnsi="宋体" w:cs="宋体"/>
          <w:color w:val="auto"/>
          <w:sz w:val="24"/>
          <w:highlight w:val="none"/>
        </w:rPr>
      </w:pPr>
    </w:p>
    <w:p w14:paraId="3A8D1F64">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14:paraId="63FDA7BA">
      <w:pPr>
        <w:widowControl/>
        <w:jc w:val="left"/>
        <w:rPr>
          <w:rFonts w:ascii="宋体" w:hAnsi="宋体" w:cs="宋体"/>
          <w:color w:val="auto"/>
          <w:kern w:val="0"/>
          <w:sz w:val="24"/>
          <w:highlight w:val="none"/>
        </w:rPr>
        <w:sectPr>
          <w:pgSz w:w="11907" w:h="16840"/>
          <w:pgMar w:top="1474" w:right="1814" w:bottom="1474" w:left="1814" w:header="851" w:footer="851" w:gutter="0"/>
          <w:cols w:space="720" w:num="1"/>
        </w:sectPr>
      </w:pPr>
    </w:p>
    <w:p w14:paraId="719C4F9E">
      <w:pPr>
        <w:rPr>
          <w:rFonts w:ascii="宋体" w:hAnsi="宋体" w:cs="宋体"/>
          <w:b/>
          <w:color w:val="auto"/>
          <w:sz w:val="24"/>
          <w:highlight w:val="none"/>
        </w:rPr>
      </w:pPr>
    </w:p>
    <w:p w14:paraId="405B9D13">
      <w:pPr>
        <w:spacing w:line="560" w:lineRule="exact"/>
        <w:ind w:firstLine="480" w:firstLineChars="200"/>
        <w:rPr>
          <w:rFonts w:ascii="宋体" w:hAnsi="宋体"/>
          <w:color w:val="auto"/>
          <w:sz w:val="24"/>
          <w:highlight w:val="none"/>
        </w:rPr>
      </w:pPr>
      <w:r>
        <w:rPr>
          <w:rFonts w:ascii="宋体" w:hAnsi="宋体"/>
          <w:color w:val="auto"/>
          <w:sz w:val="24"/>
          <w:highlight w:val="none"/>
          <w:u w:val="single"/>
          <w:lang w:val="zh-CN"/>
        </w:rPr>
        <w:t xml:space="preserve">        </w:t>
      </w:r>
      <w:r>
        <w:rPr>
          <w:rFonts w:hint="eastAsia" w:ascii="宋体" w:hAnsi="宋体"/>
          <w:color w:val="auto"/>
          <w:sz w:val="24"/>
          <w:highlight w:val="none"/>
          <w:lang w:val="zh-CN"/>
        </w:rPr>
        <w:t>年</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月</w:t>
      </w:r>
      <w:r>
        <w:rPr>
          <w:rFonts w:ascii="宋体" w:hAnsi="宋体"/>
          <w:color w:val="auto"/>
          <w:sz w:val="24"/>
          <w:highlight w:val="none"/>
          <w:u w:val="single"/>
          <w:lang w:val="zh-CN"/>
        </w:rPr>
        <w:t xml:space="preserve">    </w:t>
      </w:r>
      <w:r>
        <w:rPr>
          <w:rFonts w:hint="eastAsia" w:ascii="宋体" w:hAnsi="宋体"/>
          <w:color w:val="auto"/>
          <w:sz w:val="24"/>
          <w:highlight w:val="none"/>
          <w:lang w:val="zh-CN"/>
        </w:rPr>
        <w:t>日</w:t>
      </w:r>
      <w:r>
        <w:rPr>
          <w:rFonts w:hint="eastAsia" w:ascii="宋体" w:hAnsi="宋体"/>
          <w:color w:val="auto"/>
          <w:sz w:val="24"/>
          <w:highlight w:val="none"/>
        </w:rPr>
        <w:t>，</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杭州市西湖区财政局</w:t>
      </w:r>
      <w:r>
        <w:rPr>
          <w:rFonts w:ascii="宋体" w:hAnsi="宋体"/>
          <w:color w:val="auto"/>
          <w:sz w:val="24"/>
          <w:highlight w:val="none"/>
          <w:u w:val="single"/>
        </w:rPr>
        <w:t xml:space="preserve">   </w:t>
      </w:r>
      <w:r>
        <w:rPr>
          <w:rFonts w:hint="eastAsia" w:ascii="宋体" w:hAnsi="宋体"/>
          <w:color w:val="auto"/>
          <w:sz w:val="24"/>
          <w:highlight w:val="none"/>
        </w:rPr>
        <w:t>以</w:t>
      </w:r>
      <w:r>
        <w:rPr>
          <w:rFonts w:ascii="宋体" w:hAnsi="宋体"/>
          <w:color w:val="auto"/>
          <w:sz w:val="24"/>
          <w:highlight w:val="none"/>
          <w:u w:val="single"/>
        </w:rPr>
        <w:t xml:space="preserve">   （政府采购方式）  </w:t>
      </w:r>
      <w:r>
        <w:rPr>
          <w:rFonts w:hint="eastAsia" w:ascii="宋体" w:hAnsi="宋体"/>
          <w:color w:val="auto"/>
          <w:sz w:val="24"/>
          <w:highlight w:val="none"/>
        </w:rPr>
        <w:t>对</w:t>
      </w:r>
      <w:r>
        <w:rPr>
          <w:rFonts w:ascii="宋体" w:hAnsi="宋体"/>
          <w:color w:val="auto"/>
          <w:sz w:val="24"/>
          <w:highlight w:val="none"/>
          <w:u w:val="single"/>
        </w:rPr>
        <w:t xml:space="preserve">  </w:t>
      </w:r>
      <w:r>
        <w:rPr>
          <w:rFonts w:hint="eastAsia" w:ascii="宋体" w:hAnsi="宋体" w:cs="宋体"/>
          <w:color w:val="auto"/>
          <w:sz w:val="24"/>
          <w:highlight w:val="none"/>
          <w:u w:val="single"/>
          <w:lang w:eastAsia="zh-CN"/>
        </w:rPr>
        <w:t xml:space="preserve">西湖区财政局非税和票据管理一体化系统运维项目 </w:t>
      </w:r>
      <w:r>
        <w:rPr>
          <w:rFonts w:hint="eastAsia" w:ascii="宋体" w:hAnsi="宋体" w:cs="宋体"/>
          <w:color w:val="auto"/>
          <w:sz w:val="24"/>
          <w:highlight w:val="none"/>
          <w:u w:val="single"/>
        </w:rPr>
        <w:t xml:space="preserve">  </w:t>
      </w:r>
      <w:r>
        <w:rPr>
          <w:rFonts w:ascii="宋体" w:hAnsi="宋体"/>
          <w:color w:val="auto"/>
          <w:sz w:val="24"/>
          <w:highlight w:val="none"/>
          <w:u w:val="single"/>
        </w:rPr>
        <w:t xml:space="preserve">  </w:t>
      </w:r>
      <w:r>
        <w:rPr>
          <w:rFonts w:hint="eastAsia" w:ascii="宋体" w:hAnsi="宋体"/>
          <w:color w:val="auto"/>
          <w:sz w:val="24"/>
          <w:highlight w:val="none"/>
        </w:rPr>
        <w:t>项目进行了采购。经</w:t>
      </w:r>
      <w:r>
        <w:rPr>
          <w:rFonts w:ascii="宋体" w:hAnsi="宋体"/>
          <w:color w:val="auto"/>
          <w:sz w:val="24"/>
          <w:highlight w:val="none"/>
          <w:u w:val="single"/>
        </w:rPr>
        <w:t xml:space="preserve">   （相关评定主体名称）   </w:t>
      </w:r>
      <w:r>
        <w:rPr>
          <w:rFonts w:hint="eastAsia" w:ascii="宋体" w:hAnsi="宋体"/>
          <w:color w:val="auto"/>
          <w:sz w:val="24"/>
          <w:highlight w:val="none"/>
        </w:rPr>
        <w:t>评定，</w:t>
      </w:r>
      <w:r>
        <w:rPr>
          <w:rFonts w:ascii="宋体" w:hAnsi="宋体"/>
          <w:color w:val="auto"/>
          <w:sz w:val="24"/>
          <w:highlight w:val="none"/>
          <w:u w:val="single"/>
        </w:rPr>
        <w:t xml:space="preserve">   （中标</w:t>
      </w:r>
      <w:r>
        <w:rPr>
          <w:rFonts w:hint="eastAsia" w:ascii="宋体" w:hAnsi="宋体"/>
          <w:color w:val="auto"/>
          <w:sz w:val="24"/>
          <w:highlight w:val="none"/>
          <w:u w:val="single"/>
        </w:rPr>
        <w:t>或者成交</w:t>
      </w:r>
      <w:r>
        <w:rPr>
          <w:rFonts w:ascii="宋体" w:hAnsi="宋体"/>
          <w:color w:val="auto"/>
          <w:sz w:val="24"/>
          <w:highlight w:val="none"/>
          <w:u w:val="single"/>
        </w:rPr>
        <w:t xml:space="preserve">供应商名称） </w:t>
      </w:r>
      <w:r>
        <w:rPr>
          <w:rFonts w:hint="eastAsia" w:ascii="宋体" w:hAnsi="宋体"/>
          <w:color w:val="auto"/>
          <w:sz w:val="24"/>
          <w:highlight w:val="none"/>
        </w:rPr>
        <w:t>为该项目</w:t>
      </w:r>
      <w:r>
        <w:rPr>
          <w:rFonts w:hint="eastAsia" w:ascii="宋体" w:hAnsi="宋体" w:cs="宋体"/>
          <w:color w:val="auto"/>
          <w:sz w:val="24"/>
          <w:highlight w:val="none"/>
        </w:rPr>
        <w:t>中标或者成交供应商</w:t>
      </w:r>
      <w:r>
        <w:rPr>
          <w:rFonts w:hint="eastAsia" w:ascii="宋体" w:hAnsi="宋体"/>
          <w:color w:val="auto"/>
          <w:sz w:val="24"/>
          <w:highlight w:val="none"/>
        </w:rPr>
        <w:t>。现于</w:t>
      </w:r>
      <w:r>
        <w:rPr>
          <w:rFonts w:hint="eastAsia" w:ascii="宋体" w:hAnsi="宋体" w:cs="宋体"/>
          <w:color w:val="auto"/>
          <w:sz w:val="24"/>
          <w:highlight w:val="none"/>
        </w:rPr>
        <w:t>中标或者成交通知书</w:t>
      </w:r>
      <w:r>
        <w:rPr>
          <w:rFonts w:hint="eastAsia" w:ascii="宋体" w:hAnsi="宋体"/>
          <w:color w:val="auto"/>
          <w:sz w:val="24"/>
          <w:highlight w:val="none"/>
        </w:rPr>
        <w:t>发出之日起10个工作日内，按照采购文件确定的事项签订本合同。</w:t>
      </w:r>
    </w:p>
    <w:p w14:paraId="1822E221">
      <w:pPr>
        <w:spacing w:line="560" w:lineRule="exact"/>
        <w:ind w:firstLine="480" w:firstLineChars="200"/>
        <w:rPr>
          <w:rFonts w:ascii="宋体" w:hAnsi="宋体"/>
          <w:color w:val="auto"/>
          <w:sz w:val="24"/>
          <w:highlight w:val="none"/>
        </w:rPr>
      </w:pPr>
      <w:r>
        <w:rPr>
          <w:rFonts w:hint="eastAsia" w:ascii="宋体" w:hAnsi="宋体"/>
          <w:color w:val="auto"/>
          <w:sz w:val="24"/>
          <w:highlight w:val="none"/>
          <w:lang w:val="zh-CN"/>
        </w:rPr>
        <w:t>根据《中华人民共和国民法典》《中华人民共和国政府采购法》等相关法律法规之规定，按照平等、自愿、公平和诚实信用的原则，经</w:t>
      </w:r>
      <w:r>
        <w:rPr>
          <w:rFonts w:ascii="宋体" w:hAnsi="宋体"/>
          <w:color w:val="auto"/>
          <w:sz w:val="24"/>
          <w:highlight w:val="none"/>
          <w:u w:val="single"/>
        </w:rPr>
        <w:t xml:space="preserve">   </w:t>
      </w:r>
      <w:r>
        <w:rPr>
          <w:rFonts w:hint="eastAsia" w:ascii="宋体" w:hAnsi="宋体"/>
          <w:color w:val="auto"/>
          <w:sz w:val="24"/>
          <w:highlight w:val="none"/>
          <w:u w:val="single"/>
          <w:lang w:eastAsia="zh-CN"/>
        </w:rPr>
        <w:t>杭州市西湖区财政局</w:t>
      </w:r>
      <w:r>
        <w:rPr>
          <w:rFonts w:ascii="宋体" w:hAnsi="宋体"/>
          <w:color w:val="auto"/>
          <w:sz w:val="24"/>
          <w:highlight w:val="none"/>
          <w:u w:val="single"/>
        </w:rPr>
        <w:t xml:space="preserve">   </w:t>
      </w:r>
      <w:r>
        <w:rPr>
          <w:rFonts w:ascii="宋体" w:hAnsi="宋体"/>
          <w:color w:val="auto"/>
          <w:sz w:val="24"/>
          <w:highlight w:val="none"/>
          <w:lang w:val="zh-CN"/>
        </w:rPr>
        <w:t>(以下简称：甲方)和</w:t>
      </w:r>
      <w:r>
        <w:rPr>
          <w:rFonts w:ascii="宋体" w:hAnsi="宋体"/>
          <w:color w:val="auto"/>
          <w:sz w:val="24"/>
          <w:highlight w:val="none"/>
          <w:u w:val="single"/>
        </w:rPr>
        <w:t xml:space="preserve">   （中</w:t>
      </w:r>
      <w:r>
        <w:rPr>
          <w:rFonts w:hint="eastAsia" w:ascii="宋体" w:hAnsi="宋体"/>
          <w:color w:val="auto"/>
          <w:sz w:val="24"/>
          <w:highlight w:val="none"/>
          <w:u w:val="single"/>
        </w:rPr>
        <w:t>或者成交</w:t>
      </w:r>
      <w:r>
        <w:rPr>
          <w:rFonts w:ascii="宋体" w:hAnsi="宋体"/>
          <w:color w:val="auto"/>
          <w:sz w:val="24"/>
          <w:highlight w:val="none"/>
          <w:u w:val="single"/>
        </w:rPr>
        <w:t xml:space="preserve">标供应商名称）   </w:t>
      </w:r>
      <w:r>
        <w:rPr>
          <w:rFonts w:ascii="宋体" w:hAnsi="宋体"/>
          <w:color w:val="auto"/>
          <w:sz w:val="24"/>
          <w:highlight w:val="none"/>
          <w:lang w:val="zh-CN"/>
        </w:rPr>
        <w:t>(以下简称：乙方)协商一致，约定以下合同</w:t>
      </w:r>
      <w:r>
        <w:rPr>
          <w:rFonts w:hint="eastAsia" w:ascii="宋体" w:hAnsi="宋体"/>
          <w:color w:val="auto"/>
          <w:sz w:val="24"/>
          <w:highlight w:val="none"/>
        </w:rPr>
        <w:t>条款，以兹共同遵守、全面履行。</w:t>
      </w:r>
    </w:p>
    <w:p w14:paraId="3B2A92E3">
      <w:pPr>
        <w:spacing w:line="560" w:lineRule="exact"/>
        <w:ind w:firstLine="482" w:firstLineChars="200"/>
        <w:outlineLvl w:val="0"/>
        <w:rPr>
          <w:rFonts w:ascii="宋体" w:hAnsi="宋体"/>
          <w:color w:val="auto"/>
          <w:sz w:val="24"/>
          <w:highlight w:val="none"/>
        </w:rPr>
      </w:pPr>
      <w:bookmarkStart w:id="395" w:name="_Toc20421"/>
      <w:bookmarkStart w:id="396" w:name="_Toc22967"/>
      <w:bookmarkStart w:id="397" w:name="_Toc15367"/>
      <w:bookmarkStart w:id="398" w:name="_Toc19273"/>
      <w:bookmarkStart w:id="399" w:name="_Toc28855"/>
      <w:r>
        <w:rPr>
          <w:rFonts w:ascii="宋体" w:hAnsi="宋体"/>
          <w:b/>
          <w:color w:val="auto"/>
          <w:sz w:val="24"/>
          <w:highlight w:val="none"/>
        </w:rPr>
        <w:t xml:space="preserve">1.1 </w:t>
      </w:r>
      <w:r>
        <w:rPr>
          <w:rFonts w:hint="eastAsia" w:ascii="宋体" w:hAnsi="宋体"/>
          <w:b/>
          <w:color w:val="auto"/>
          <w:sz w:val="24"/>
          <w:highlight w:val="none"/>
        </w:rPr>
        <w:t>合同组成部分</w:t>
      </w:r>
      <w:bookmarkEnd w:id="395"/>
      <w:bookmarkEnd w:id="396"/>
      <w:bookmarkEnd w:id="397"/>
      <w:bookmarkEnd w:id="398"/>
      <w:bookmarkEnd w:id="399"/>
    </w:p>
    <w:p w14:paraId="67759D55">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279FE5ED">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1.1.1 </w:t>
      </w:r>
      <w:r>
        <w:rPr>
          <w:rFonts w:hint="eastAsia" w:ascii="宋体" w:hAnsi="宋体"/>
          <w:color w:val="auto"/>
          <w:sz w:val="24"/>
          <w:highlight w:val="none"/>
        </w:rPr>
        <w:t>本合同及其补充合同、变更协议；</w:t>
      </w:r>
    </w:p>
    <w:p w14:paraId="2DA0E569">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1.1.2 </w:t>
      </w:r>
      <w:r>
        <w:rPr>
          <w:rFonts w:hint="eastAsia" w:ascii="宋体" w:hAnsi="宋体"/>
          <w:color w:val="auto"/>
          <w:sz w:val="24"/>
          <w:highlight w:val="none"/>
        </w:rPr>
        <w:t>中标或者成交通知书；</w:t>
      </w:r>
    </w:p>
    <w:p w14:paraId="6CE74DF2">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1.1.3 </w:t>
      </w:r>
      <w:r>
        <w:rPr>
          <w:rFonts w:hint="eastAsia" w:ascii="宋体" w:hAnsi="宋体"/>
          <w:color w:val="auto"/>
          <w:sz w:val="24"/>
          <w:highlight w:val="none"/>
        </w:rPr>
        <w:t>投标或者响应文件（含澄清或者说明文件）；</w:t>
      </w:r>
    </w:p>
    <w:p w14:paraId="0C254B5F">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1.1.4 </w:t>
      </w:r>
      <w:r>
        <w:rPr>
          <w:rFonts w:hint="eastAsia" w:ascii="宋体" w:hAnsi="宋体"/>
          <w:color w:val="auto"/>
          <w:sz w:val="24"/>
          <w:highlight w:val="none"/>
        </w:rPr>
        <w:t>采购文件（含澄清或者修改文件）；</w:t>
      </w:r>
    </w:p>
    <w:p w14:paraId="4DA2D315">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1.1.5 </w:t>
      </w:r>
      <w:r>
        <w:rPr>
          <w:rFonts w:hint="eastAsia" w:ascii="宋体" w:hAnsi="宋体"/>
          <w:color w:val="auto"/>
          <w:sz w:val="24"/>
          <w:highlight w:val="none"/>
        </w:rPr>
        <w:t>其他相关采购文件。</w:t>
      </w:r>
    </w:p>
    <w:p w14:paraId="03F2DA26">
      <w:pPr>
        <w:spacing w:line="560" w:lineRule="exact"/>
        <w:ind w:firstLine="482" w:firstLineChars="200"/>
        <w:outlineLvl w:val="0"/>
        <w:rPr>
          <w:rFonts w:ascii="宋体" w:hAnsi="宋体"/>
          <w:b/>
          <w:color w:val="auto"/>
          <w:sz w:val="24"/>
          <w:highlight w:val="none"/>
        </w:rPr>
      </w:pPr>
      <w:bookmarkStart w:id="400" w:name="_Toc2918"/>
      <w:bookmarkStart w:id="401" w:name="_Toc6311"/>
      <w:bookmarkStart w:id="402" w:name="_Toc18585"/>
      <w:bookmarkStart w:id="403" w:name="_Toc6773"/>
      <w:bookmarkStart w:id="404" w:name="_Toc22185"/>
      <w:r>
        <w:rPr>
          <w:rFonts w:ascii="宋体" w:hAnsi="宋体"/>
          <w:b/>
          <w:color w:val="auto"/>
          <w:sz w:val="24"/>
          <w:highlight w:val="none"/>
        </w:rPr>
        <w:t xml:space="preserve">1.2 </w:t>
      </w:r>
      <w:r>
        <w:rPr>
          <w:rFonts w:hint="eastAsia" w:ascii="宋体" w:hAnsi="宋体"/>
          <w:b/>
          <w:color w:val="auto"/>
          <w:sz w:val="24"/>
          <w:highlight w:val="none"/>
        </w:rPr>
        <w:t>标的</w:t>
      </w:r>
      <w:bookmarkEnd w:id="400"/>
      <w:bookmarkEnd w:id="401"/>
      <w:bookmarkEnd w:id="402"/>
      <w:bookmarkEnd w:id="403"/>
      <w:bookmarkEnd w:id="404"/>
    </w:p>
    <w:p w14:paraId="06BF8295">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1.2.1 </w:t>
      </w:r>
      <w:r>
        <w:rPr>
          <w:rFonts w:hint="eastAsia" w:ascii="宋体" w:hAnsi="宋体"/>
          <w:color w:val="auto"/>
          <w:sz w:val="24"/>
          <w:highlight w:val="none"/>
        </w:rPr>
        <w:t>服务内容</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7B02B5B6">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1.2.2 </w:t>
      </w:r>
      <w:r>
        <w:rPr>
          <w:rFonts w:hint="eastAsia" w:ascii="宋体" w:hAnsi="宋体"/>
          <w:color w:val="auto"/>
          <w:sz w:val="24"/>
          <w:highlight w:val="none"/>
        </w:rPr>
        <w:t>服务标准</w:t>
      </w:r>
      <w:r>
        <w:rPr>
          <w:rFonts w:ascii="宋体" w:hAnsi="宋体"/>
          <w:color w:val="auto"/>
          <w:sz w:val="24"/>
          <w:highlight w:val="none"/>
        </w:rPr>
        <w:t>：</w:t>
      </w:r>
      <w:r>
        <w:rPr>
          <w:rFonts w:ascii="宋体" w:hAnsi="宋体"/>
          <w:color w:val="auto"/>
          <w:sz w:val="24"/>
          <w:highlight w:val="none"/>
          <w:u w:val="single"/>
        </w:rPr>
        <w:t xml:space="preserve">                                                </w:t>
      </w:r>
      <w:r>
        <w:rPr>
          <w:rFonts w:hint="eastAsia" w:ascii="宋体" w:hAnsi="宋体"/>
          <w:color w:val="auto"/>
          <w:sz w:val="24"/>
          <w:highlight w:val="none"/>
        </w:rPr>
        <w:t>；</w:t>
      </w:r>
    </w:p>
    <w:p w14:paraId="04C0E35C">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 xml:space="preserve">1.2.3 </w:t>
      </w:r>
      <w:r>
        <w:rPr>
          <w:rFonts w:hint="eastAsia" w:ascii="宋体" w:hAnsi="宋体"/>
          <w:color w:val="auto"/>
          <w:sz w:val="24"/>
          <w:highlight w:val="none"/>
        </w:rPr>
        <w:t>技术保障：</w:t>
      </w:r>
      <w:r>
        <w:rPr>
          <w:rFonts w:ascii="宋体" w:hAnsi="宋体"/>
          <w:color w:val="auto"/>
          <w:sz w:val="24"/>
          <w:highlight w:val="none"/>
          <w:u w:val="single"/>
        </w:rPr>
        <w:t xml:space="preserve">　　　　　　　　　                      　      </w:t>
      </w:r>
      <w:r>
        <w:rPr>
          <w:rFonts w:hint="eastAsia" w:ascii="宋体" w:hAnsi="宋体"/>
          <w:color w:val="auto"/>
          <w:sz w:val="24"/>
          <w:highlight w:val="none"/>
          <w:u w:val="single"/>
        </w:rPr>
        <w:t>；</w:t>
      </w:r>
    </w:p>
    <w:p w14:paraId="11D1A823">
      <w:pPr>
        <w:spacing w:line="560" w:lineRule="exact"/>
        <w:ind w:firstLine="480" w:firstLineChars="200"/>
        <w:jc w:val="left"/>
        <w:rPr>
          <w:rFonts w:ascii="宋体" w:hAnsi="宋体"/>
          <w:color w:val="auto"/>
          <w:sz w:val="24"/>
          <w:highlight w:val="none"/>
        </w:rPr>
      </w:pPr>
      <w:r>
        <w:rPr>
          <w:rFonts w:hint="eastAsia" w:ascii="宋体" w:hAnsi="宋体"/>
          <w:color w:val="auto"/>
          <w:sz w:val="24"/>
          <w:highlight w:val="none"/>
        </w:rPr>
        <w:t>1.2.4 服务人员组成：</w:t>
      </w:r>
      <w:r>
        <w:rPr>
          <w:rFonts w:ascii="宋体" w:hAnsi="宋体"/>
          <w:color w:val="auto"/>
          <w:sz w:val="24"/>
          <w:highlight w:val="none"/>
          <w:u w:val="single"/>
        </w:rPr>
        <w:t xml:space="preserve">　　             　      </w:t>
      </w:r>
      <w:r>
        <w:rPr>
          <w:rFonts w:hint="eastAsia" w:ascii="宋体" w:hAnsi="宋体"/>
          <w:color w:val="auto"/>
          <w:sz w:val="24"/>
          <w:highlight w:val="none"/>
        </w:rPr>
        <w:t>；</w:t>
      </w:r>
    </w:p>
    <w:p w14:paraId="13AAC5AD">
      <w:pPr>
        <w:pStyle w:val="960"/>
        <w:spacing w:before="0" w:beforeAutospacing="0" w:after="0" w:afterAutospacing="0" w:line="360" w:lineRule="auto"/>
        <w:ind w:firstLine="480"/>
        <w:rPr>
          <w:color w:val="auto"/>
          <w:highlight w:val="none"/>
        </w:rPr>
      </w:pPr>
      <w:r>
        <w:rPr>
          <w:rFonts w:hint="eastAsia"/>
          <w:color w:val="auto"/>
          <w:highlight w:val="none"/>
        </w:rPr>
        <w:t>1.2.5合同</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否）涉及货物。若涉及货物的，则：</w:t>
      </w:r>
    </w:p>
    <w:p w14:paraId="266FDA7A">
      <w:pPr>
        <w:spacing w:line="560" w:lineRule="exact"/>
        <w:ind w:firstLine="480" w:firstLineChars="200"/>
        <w:rPr>
          <w:rFonts w:ascii="宋体" w:hAnsi="宋体" w:cs="宋体"/>
          <w:color w:val="auto"/>
          <w:sz w:val="24"/>
          <w:highlight w:val="none"/>
          <w:u w:val="single"/>
        </w:rPr>
      </w:pPr>
      <w:bookmarkStart w:id="405" w:name="_Toc21124"/>
      <w:bookmarkStart w:id="406" w:name="_Toc1386"/>
      <w:bookmarkStart w:id="407" w:name="_Toc4929"/>
      <w:bookmarkStart w:id="408" w:name="_Toc5635"/>
      <w:bookmarkStart w:id="409" w:name="_Toc13918"/>
      <w:r>
        <w:rPr>
          <w:rFonts w:hint="eastAsia" w:ascii="宋体" w:hAnsi="宋体" w:cs="宋体"/>
          <w:color w:val="auto"/>
          <w:sz w:val="24"/>
          <w:highlight w:val="none"/>
        </w:rPr>
        <w:t>1.2.5.1 货物名称、品牌、规格型号、花色：</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BD99C8C">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1.2.5.2 货物数量：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45AA7CDE">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1.2.5.3 货物质量：</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08DF0FB4">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1.3 价款</w:t>
      </w:r>
      <w:bookmarkEnd w:id="405"/>
      <w:bookmarkEnd w:id="406"/>
      <w:bookmarkEnd w:id="407"/>
      <w:bookmarkEnd w:id="408"/>
      <w:bookmarkEnd w:id="409"/>
    </w:p>
    <w:p w14:paraId="712B904F">
      <w:pPr>
        <w:spacing w:line="560" w:lineRule="exact"/>
        <w:ind w:firstLine="480" w:firstLineChars="200"/>
        <w:rPr>
          <w:rFonts w:ascii="宋体" w:hAnsi="宋体"/>
          <w:color w:val="auto"/>
          <w:sz w:val="24"/>
          <w:highlight w:val="none"/>
        </w:rPr>
      </w:pPr>
      <w:r>
        <w:rPr>
          <w:rFonts w:hint="eastAsia" w:ascii="宋体" w:hAnsi="宋体" w:cs="宋体"/>
          <w:color w:val="auto"/>
          <w:sz w:val="24"/>
          <w:highlight w:val="none"/>
        </w:rPr>
        <w:t>本项目采用以下第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条款规定的计价方式计价。</w:t>
      </w:r>
    </w:p>
    <w:p w14:paraId="443F9F2C">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1.3.1总价合同，</w:t>
      </w:r>
      <w:r>
        <w:rPr>
          <w:rFonts w:ascii="宋体" w:hAnsi="宋体"/>
          <w:color w:val="auto"/>
          <w:sz w:val="24"/>
          <w:highlight w:val="none"/>
        </w:rPr>
        <w:t>本合同总价</w:t>
      </w:r>
      <w:r>
        <w:rPr>
          <w:rFonts w:hint="eastAsia" w:ascii="宋体" w:hAnsi="宋体"/>
          <w:color w:val="auto"/>
          <w:sz w:val="24"/>
          <w:highlight w:val="none"/>
        </w:rPr>
        <w:t>（含税）</w:t>
      </w:r>
      <w:r>
        <w:rPr>
          <w:rFonts w:ascii="宋体" w:hAnsi="宋体"/>
          <w:color w:val="auto"/>
          <w:sz w:val="24"/>
          <w:highlight w:val="none"/>
        </w:rPr>
        <w:t>为</w:t>
      </w:r>
      <w:r>
        <w:rPr>
          <w:rFonts w:hint="eastAsia" w:ascii="宋体" w:hAnsi="宋体"/>
          <w:color w:val="auto"/>
          <w:sz w:val="24"/>
          <w:highlight w:val="none"/>
        </w:rPr>
        <w:t>：￥</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r>
        <w:rPr>
          <w:rFonts w:ascii="宋体" w:hAnsi="宋体"/>
          <w:color w:val="auto"/>
          <w:sz w:val="24"/>
          <w:highlight w:val="none"/>
        </w:rPr>
        <w:t>。</w:t>
      </w:r>
    </w:p>
    <w:p w14:paraId="2C903D77">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54867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211A261B">
            <w:pPr>
              <w:pStyle w:val="320"/>
              <w:spacing w:line="560" w:lineRule="exact"/>
              <w:jc w:val="center"/>
              <w:rPr>
                <w:rFonts w:hAnsi="宋体"/>
                <w:color w:val="auto"/>
                <w:sz w:val="24"/>
                <w:szCs w:val="24"/>
                <w:highlight w:val="none"/>
              </w:rPr>
            </w:pPr>
            <w:r>
              <w:rPr>
                <w:rFonts w:hAnsi="宋体"/>
                <w:color w:val="auto"/>
                <w:sz w:val="24"/>
                <w:szCs w:val="24"/>
                <w:highlight w:val="none"/>
              </w:rPr>
              <w:t>序号</w:t>
            </w:r>
          </w:p>
        </w:tc>
        <w:tc>
          <w:tcPr>
            <w:tcW w:w="3402" w:type="dxa"/>
            <w:vAlign w:val="center"/>
          </w:tcPr>
          <w:p w14:paraId="4576675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分项名称</w:t>
            </w:r>
          </w:p>
        </w:tc>
        <w:tc>
          <w:tcPr>
            <w:tcW w:w="2552" w:type="dxa"/>
            <w:vAlign w:val="center"/>
          </w:tcPr>
          <w:p w14:paraId="38665A0C">
            <w:pPr>
              <w:pStyle w:val="320"/>
              <w:spacing w:line="560" w:lineRule="exact"/>
              <w:jc w:val="center"/>
              <w:rPr>
                <w:rFonts w:hAnsi="宋体"/>
                <w:color w:val="auto"/>
                <w:sz w:val="24"/>
                <w:szCs w:val="24"/>
                <w:highlight w:val="none"/>
              </w:rPr>
            </w:pPr>
            <w:r>
              <w:rPr>
                <w:rFonts w:hAnsi="宋体"/>
                <w:color w:val="auto"/>
                <w:sz w:val="24"/>
                <w:szCs w:val="24"/>
                <w:highlight w:val="none"/>
              </w:rPr>
              <w:t>分项价格</w:t>
            </w:r>
          </w:p>
        </w:tc>
      </w:tr>
      <w:tr w14:paraId="4EBEC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43FD2410">
            <w:pPr>
              <w:pStyle w:val="320"/>
              <w:spacing w:line="560" w:lineRule="exact"/>
              <w:ind w:firstLine="200"/>
              <w:jc w:val="center"/>
              <w:rPr>
                <w:rFonts w:hAnsi="宋体"/>
                <w:color w:val="auto"/>
                <w:sz w:val="24"/>
                <w:szCs w:val="24"/>
                <w:highlight w:val="none"/>
              </w:rPr>
            </w:pPr>
          </w:p>
        </w:tc>
        <w:tc>
          <w:tcPr>
            <w:tcW w:w="3402" w:type="dxa"/>
            <w:vAlign w:val="center"/>
          </w:tcPr>
          <w:p w14:paraId="66BDB431">
            <w:pPr>
              <w:pStyle w:val="320"/>
              <w:spacing w:line="560" w:lineRule="exact"/>
              <w:ind w:firstLine="200"/>
              <w:jc w:val="center"/>
              <w:rPr>
                <w:rFonts w:hAnsi="宋体"/>
                <w:color w:val="auto"/>
                <w:sz w:val="24"/>
                <w:szCs w:val="24"/>
                <w:highlight w:val="none"/>
              </w:rPr>
            </w:pPr>
          </w:p>
        </w:tc>
        <w:tc>
          <w:tcPr>
            <w:tcW w:w="2552" w:type="dxa"/>
            <w:vAlign w:val="center"/>
          </w:tcPr>
          <w:p w14:paraId="0EC443E3">
            <w:pPr>
              <w:pStyle w:val="320"/>
              <w:spacing w:line="560" w:lineRule="exact"/>
              <w:ind w:firstLine="200"/>
              <w:jc w:val="center"/>
              <w:rPr>
                <w:rFonts w:hAnsi="宋体"/>
                <w:color w:val="auto"/>
                <w:sz w:val="24"/>
                <w:szCs w:val="24"/>
                <w:highlight w:val="none"/>
              </w:rPr>
            </w:pPr>
          </w:p>
        </w:tc>
      </w:tr>
      <w:tr w14:paraId="5BB01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5BF8131D">
            <w:pPr>
              <w:pStyle w:val="320"/>
              <w:spacing w:line="560" w:lineRule="exact"/>
              <w:ind w:firstLine="200"/>
              <w:jc w:val="center"/>
              <w:rPr>
                <w:rFonts w:hAnsi="宋体"/>
                <w:color w:val="auto"/>
                <w:sz w:val="24"/>
                <w:szCs w:val="24"/>
                <w:highlight w:val="none"/>
              </w:rPr>
            </w:pPr>
          </w:p>
        </w:tc>
        <w:tc>
          <w:tcPr>
            <w:tcW w:w="3402" w:type="dxa"/>
            <w:vAlign w:val="center"/>
          </w:tcPr>
          <w:p w14:paraId="26CA5BD6">
            <w:pPr>
              <w:pStyle w:val="320"/>
              <w:spacing w:line="560" w:lineRule="exact"/>
              <w:ind w:firstLine="200"/>
              <w:jc w:val="center"/>
              <w:rPr>
                <w:rFonts w:hAnsi="宋体"/>
                <w:color w:val="auto"/>
                <w:sz w:val="24"/>
                <w:szCs w:val="24"/>
                <w:highlight w:val="none"/>
              </w:rPr>
            </w:pPr>
          </w:p>
        </w:tc>
        <w:tc>
          <w:tcPr>
            <w:tcW w:w="2552" w:type="dxa"/>
            <w:vAlign w:val="center"/>
          </w:tcPr>
          <w:p w14:paraId="0258EB1E">
            <w:pPr>
              <w:pStyle w:val="320"/>
              <w:spacing w:line="560" w:lineRule="exact"/>
              <w:ind w:firstLine="200"/>
              <w:jc w:val="center"/>
              <w:rPr>
                <w:rFonts w:hAnsi="宋体"/>
                <w:color w:val="auto"/>
                <w:sz w:val="24"/>
                <w:szCs w:val="24"/>
                <w:highlight w:val="none"/>
              </w:rPr>
            </w:pPr>
          </w:p>
        </w:tc>
      </w:tr>
      <w:tr w14:paraId="1EF1D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7E146FB5">
            <w:pPr>
              <w:pStyle w:val="320"/>
              <w:spacing w:line="560" w:lineRule="exact"/>
              <w:ind w:firstLine="200"/>
              <w:jc w:val="center"/>
              <w:rPr>
                <w:rFonts w:hAnsi="宋体"/>
                <w:color w:val="auto"/>
                <w:sz w:val="24"/>
                <w:szCs w:val="24"/>
                <w:highlight w:val="none"/>
              </w:rPr>
            </w:pPr>
          </w:p>
        </w:tc>
        <w:tc>
          <w:tcPr>
            <w:tcW w:w="3402" w:type="dxa"/>
            <w:vAlign w:val="center"/>
          </w:tcPr>
          <w:p w14:paraId="637D5711">
            <w:pPr>
              <w:pStyle w:val="320"/>
              <w:spacing w:line="560" w:lineRule="exact"/>
              <w:ind w:firstLine="200"/>
              <w:jc w:val="center"/>
              <w:rPr>
                <w:rFonts w:hAnsi="宋体"/>
                <w:color w:val="auto"/>
                <w:sz w:val="24"/>
                <w:szCs w:val="24"/>
                <w:highlight w:val="none"/>
              </w:rPr>
            </w:pPr>
          </w:p>
        </w:tc>
        <w:tc>
          <w:tcPr>
            <w:tcW w:w="2552" w:type="dxa"/>
            <w:vAlign w:val="center"/>
          </w:tcPr>
          <w:p w14:paraId="42D0E712">
            <w:pPr>
              <w:pStyle w:val="320"/>
              <w:spacing w:line="560" w:lineRule="exact"/>
              <w:ind w:firstLine="200"/>
              <w:jc w:val="center"/>
              <w:rPr>
                <w:rFonts w:hAnsi="宋体"/>
                <w:color w:val="auto"/>
                <w:sz w:val="24"/>
                <w:szCs w:val="24"/>
                <w:highlight w:val="none"/>
              </w:rPr>
            </w:pPr>
          </w:p>
        </w:tc>
      </w:tr>
      <w:tr w14:paraId="4FCDF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14:paraId="0D093970">
            <w:pPr>
              <w:pStyle w:val="320"/>
              <w:spacing w:line="560" w:lineRule="exact"/>
              <w:ind w:firstLine="200"/>
              <w:jc w:val="center"/>
              <w:rPr>
                <w:rFonts w:hAnsi="宋体"/>
                <w:color w:val="auto"/>
                <w:sz w:val="24"/>
                <w:szCs w:val="24"/>
                <w:highlight w:val="none"/>
              </w:rPr>
            </w:pPr>
          </w:p>
        </w:tc>
        <w:tc>
          <w:tcPr>
            <w:tcW w:w="3402" w:type="dxa"/>
            <w:vAlign w:val="center"/>
          </w:tcPr>
          <w:p w14:paraId="14D192BB">
            <w:pPr>
              <w:pStyle w:val="320"/>
              <w:spacing w:line="560" w:lineRule="exact"/>
              <w:ind w:firstLine="200"/>
              <w:jc w:val="center"/>
              <w:rPr>
                <w:rFonts w:hAnsi="宋体"/>
                <w:color w:val="auto"/>
                <w:sz w:val="24"/>
                <w:szCs w:val="24"/>
                <w:highlight w:val="none"/>
              </w:rPr>
            </w:pPr>
          </w:p>
        </w:tc>
        <w:tc>
          <w:tcPr>
            <w:tcW w:w="2552" w:type="dxa"/>
            <w:vAlign w:val="center"/>
          </w:tcPr>
          <w:p w14:paraId="0E5769EB">
            <w:pPr>
              <w:pStyle w:val="320"/>
              <w:spacing w:line="560" w:lineRule="exact"/>
              <w:ind w:firstLine="200"/>
              <w:jc w:val="center"/>
              <w:rPr>
                <w:rFonts w:hAnsi="宋体"/>
                <w:color w:val="auto"/>
                <w:sz w:val="24"/>
                <w:szCs w:val="24"/>
                <w:highlight w:val="none"/>
              </w:rPr>
            </w:pPr>
          </w:p>
        </w:tc>
      </w:tr>
      <w:tr w14:paraId="1D618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14:paraId="294A6241">
            <w:pPr>
              <w:pStyle w:val="320"/>
              <w:spacing w:line="560" w:lineRule="exact"/>
              <w:ind w:firstLine="200"/>
              <w:jc w:val="center"/>
              <w:rPr>
                <w:rFonts w:hAnsi="宋体"/>
                <w:color w:val="auto"/>
                <w:sz w:val="24"/>
                <w:szCs w:val="24"/>
                <w:highlight w:val="none"/>
              </w:rPr>
            </w:pPr>
            <w:r>
              <w:rPr>
                <w:rFonts w:hint="eastAsia" w:hAnsi="宋体"/>
                <w:color w:val="auto"/>
                <w:sz w:val="24"/>
                <w:szCs w:val="24"/>
                <w:highlight w:val="none"/>
              </w:rPr>
              <w:t>总价</w:t>
            </w:r>
          </w:p>
        </w:tc>
        <w:tc>
          <w:tcPr>
            <w:tcW w:w="2552" w:type="dxa"/>
            <w:vAlign w:val="center"/>
          </w:tcPr>
          <w:p w14:paraId="355220FD">
            <w:pPr>
              <w:pStyle w:val="320"/>
              <w:spacing w:line="560" w:lineRule="exact"/>
              <w:ind w:firstLine="200"/>
              <w:jc w:val="center"/>
              <w:rPr>
                <w:rFonts w:hAnsi="宋体"/>
                <w:color w:val="auto"/>
                <w:sz w:val="24"/>
                <w:szCs w:val="24"/>
                <w:highlight w:val="none"/>
              </w:rPr>
            </w:pPr>
          </w:p>
        </w:tc>
      </w:tr>
    </w:tbl>
    <w:p w14:paraId="0A8B29F3">
      <w:pPr>
        <w:spacing w:line="560" w:lineRule="exact"/>
        <w:ind w:firstLine="480" w:firstLineChars="200"/>
        <w:rPr>
          <w:rFonts w:ascii="宋体" w:hAnsi="宋体"/>
          <w:color w:val="auto"/>
          <w:sz w:val="24"/>
          <w:highlight w:val="none"/>
        </w:rPr>
      </w:pPr>
      <w:bookmarkStart w:id="410" w:name="_Toc30506"/>
      <w:bookmarkStart w:id="411" w:name="_Toc3654"/>
      <w:bookmarkStart w:id="412" w:name="_Toc30158"/>
      <w:bookmarkStart w:id="413" w:name="_Toc14993"/>
      <w:bookmarkStart w:id="414" w:name="_Toc26916"/>
      <w:r>
        <w:rPr>
          <w:rFonts w:hint="eastAsia" w:ascii="宋体" w:hAnsi="宋体"/>
          <w:bCs/>
          <w:color w:val="auto"/>
          <w:sz w:val="24"/>
          <w:highlight w:val="none"/>
        </w:rPr>
        <w:t>1.3.2单价合同，本合同单价（含税）标准为：</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服务工作量的计量方式为：</w:t>
      </w:r>
      <w:r>
        <w:rPr>
          <w:rFonts w:hint="eastAsia" w:ascii="宋体" w:hAnsi="宋体"/>
          <w:bCs/>
          <w:color w:val="auto"/>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bCs/>
          <w:color w:val="auto"/>
          <w:sz w:val="24"/>
          <w:highlight w:val="none"/>
          <w:u w:val="single"/>
        </w:rPr>
        <w:t xml:space="preserve">     </w:t>
      </w:r>
      <w:r>
        <w:rPr>
          <w:rFonts w:ascii="宋体" w:hAnsi="宋体"/>
          <w:color w:val="auto"/>
          <w:sz w:val="24"/>
          <w:highlight w:val="none"/>
        </w:rPr>
        <w:t>。</w:t>
      </w:r>
      <w:r>
        <w:rPr>
          <w:rFonts w:hint="eastAsia" w:ascii="宋体" w:hAnsi="宋体"/>
          <w:color w:val="auto"/>
          <w:sz w:val="24"/>
          <w:highlight w:val="none"/>
        </w:rPr>
        <w:t>单价合同，在合同履行期间内，根据实际完成的工作量据实结算，但结算总价上限不得超过预算金额或者双方确定的金额￥</w:t>
      </w:r>
      <w:r>
        <w:rPr>
          <w:rFonts w:ascii="宋体" w:hAnsi="宋体"/>
          <w:color w:val="auto"/>
          <w:sz w:val="24"/>
          <w:highlight w:val="none"/>
          <w:u w:val="single"/>
        </w:rPr>
        <w:t xml:space="preserve">           </w:t>
      </w:r>
      <w:r>
        <w:rPr>
          <w:rFonts w:ascii="宋体" w:hAnsi="宋体"/>
          <w:color w:val="auto"/>
          <w:sz w:val="24"/>
          <w:highlight w:val="none"/>
        </w:rPr>
        <w:t>元</w:t>
      </w:r>
      <w:r>
        <w:rPr>
          <w:rFonts w:hint="eastAsia" w:ascii="宋体" w:hAnsi="宋体"/>
          <w:color w:val="auto"/>
          <w:sz w:val="24"/>
          <w:highlight w:val="none"/>
        </w:rPr>
        <w:t>（大写：</w:t>
      </w:r>
      <w:r>
        <w:rPr>
          <w:rFonts w:ascii="宋体" w:hAnsi="宋体"/>
          <w:color w:val="auto"/>
          <w:sz w:val="24"/>
          <w:highlight w:val="none"/>
          <w:u w:val="single"/>
        </w:rPr>
        <w:t xml:space="preserve">                 </w:t>
      </w:r>
      <w:r>
        <w:rPr>
          <w:rFonts w:hint="eastAsia" w:ascii="宋体" w:hAnsi="宋体"/>
          <w:color w:val="auto"/>
          <w:sz w:val="24"/>
          <w:highlight w:val="none"/>
        </w:rPr>
        <w:t>元人民币）。</w:t>
      </w:r>
    </w:p>
    <w:p w14:paraId="2BFFF984">
      <w:pPr>
        <w:pStyle w:val="3"/>
        <w:rPr>
          <w:color w:val="auto"/>
          <w:highlight w:val="none"/>
          <w:lang w:val="en-US"/>
        </w:rPr>
      </w:pPr>
      <w:r>
        <w:rPr>
          <w:rFonts w:hint="eastAsia" w:ascii="宋体" w:hAnsi="宋体"/>
          <w:color w:val="auto"/>
          <w:sz w:val="24"/>
          <w:highlight w:val="none"/>
          <w:lang w:val="en-US"/>
        </w:rPr>
        <w:t xml:space="preserve">    </w:t>
      </w:r>
      <w:r>
        <w:rPr>
          <w:rFonts w:hint="eastAsia" w:ascii="宋体" w:hAnsi="宋体" w:eastAsia="宋体" w:cs="宋体"/>
          <w:b w:val="0"/>
          <w:bCs w:val="0"/>
          <w:color w:val="auto"/>
          <w:sz w:val="24"/>
          <w:highlight w:val="none"/>
          <w:lang w:val="en-US"/>
        </w:rPr>
        <w:t>1.3.3其他计价方式：</w:t>
      </w:r>
      <w:r>
        <w:rPr>
          <w:rFonts w:hint="eastAsia" w:ascii="宋体" w:hAnsi="宋体" w:eastAsia="宋体" w:cs="宋体"/>
          <w:b w:val="0"/>
          <w:bCs w:val="0"/>
          <w:color w:val="auto"/>
          <w:sz w:val="24"/>
          <w:highlight w:val="none"/>
          <w:u w:val="single"/>
          <w:lang w:val="en-US"/>
        </w:rPr>
        <w:t xml:space="preserve">                   </w:t>
      </w:r>
      <w:r>
        <w:rPr>
          <w:rFonts w:hint="eastAsia" w:ascii="宋体" w:hAnsi="宋体" w:eastAsia="宋体" w:cs="宋体"/>
          <w:b w:val="0"/>
          <w:bCs w:val="0"/>
          <w:color w:val="auto"/>
          <w:sz w:val="24"/>
          <w:highlight w:val="none"/>
        </w:rPr>
        <w:t>。</w:t>
      </w:r>
    </w:p>
    <w:bookmarkEnd w:id="410"/>
    <w:bookmarkEnd w:id="411"/>
    <w:bookmarkEnd w:id="412"/>
    <w:bookmarkEnd w:id="413"/>
    <w:bookmarkEnd w:id="414"/>
    <w:p w14:paraId="2F5CCC91">
      <w:pPr>
        <w:pStyle w:val="960"/>
        <w:spacing w:before="0" w:beforeAutospacing="0" w:after="0" w:afterAutospacing="0" w:line="360" w:lineRule="auto"/>
        <w:ind w:firstLine="480"/>
        <w:rPr>
          <w:b/>
          <w:color w:val="auto"/>
          <w:highlight w:val="none"/>
        </w:rPr>
      </w:pPr>
      <w:bookmarkStart w:id="415" w:name="_Toc22618"/>
      <w:bookmarkStart w:id="416" w:name="_Toc1814"/>
      <w:bookmarkStart w:id="417" w:name="_Toc10340"/>
      <w:bookmarkStart w:id="418" w:name="_Toc8772"/>
      <w:bookmarkStart w:id="419" w:name="_Toc3625"/>
      <w:bookmarkStart w:id="420" w:name="_Toc4760"/>
      <w:bookmarkStart w:id="421" w:name="_Toc11108"/>
      <w:bookmarkStart w:id="422" w:name="_Toc31421"/>
      <w:r>
        <w:rPr>
          <w:rFonts w:hint="eastAsia"/>
          <w:b/>
          <w:color w:val="auto"/>
          <w:highlight w:val="none"/>
        </w:rPr>
        <w:t>1.4履约保证金</w:t>
      </w:r>
    </w:p>
    <w:p w14:paraId="74D47AFB">
      <w:pPr>
        <w:pStyle w:val="960"/>
        <w:spacing w:before="0" w:beforeAutospacing="0" w:after="0" w:afterAutospacing="0" w:line="360" w:lineRule="auto"/>
        <w:ind w:firstLine="480"/>
        <w:rPr>
          <w:color w:val="auto"/>
          <w:highlight w:val="none"/>
        </w:rPr>
      </w:pPr>
      <w:r>
        <w:rPr>
          <w:rFonts w:hint="eastAsia"/>
          <w:color w:val="auto"/>
          <w:highlight w:val="none"/>
        </w:rPr>
        <w:t>乙方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否）需要支付履约保证金。若需要支付履约保证金的，则：</w:t>
      </w:r>
    </w:p>
    <w:p w14:paraId="24C58F2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1.4.1履约保证金的比例为合同金额的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07C09E92">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1.4.2履约保证金支付方式详见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11554AC7">
      <w:pPr>
        <w:pStyle w:val="3"/>
        <w:tabs>
          <w:tab w:val="left" w:pos="0"/>
        </w:tabs>
        <w:spacing w:line="560" w:lineRule="exact"/>
        <w:ind w:left="0" w:firstLine="480" w:firstLineChars="200"/>
        <w:rPr>
          <w:color w:val="auto"/>
          <w:highlight w:val="none"/>
          <w:lang w:val="en-US"/>
        </w:rPr>
      </w:pPr>
      <w:r>
        <w:rPr>
          <w:rFonts w:hint="eastAsia" w:ascii="宋体" w:hAnsi="宋体" w:eastAsia="宋体" w:cs="宋体"/>
          <w:b w:val="0"/>
          <w:bCs w:val="0"/>
          <w:color w:val="auto"/>
          <w:kern w:val="0"/>
          <w:sz w:val="24"/>
          <w:szCs w:val="24"/>
          <w:highlight w:val="none"/>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2854E4FE">
      <w:pPr>
        <w:spacing w:line="560" w:lineRule="exact"/>
        <w:ind w:firstLine="480" w:firstLineChars="200"/>
        <w:outlineLvl w:val="0"/>
        <w:rPr>
          <w:rFonts w:ascii="宋体" w:hAnsi="宋体" w:cs="宋体"/>
          <w:color w:val="auto"/>
          <w:kern w:val="0"/>
          <w:sz w:val="24"/>
          <w:highlight w:val="none"/>
        </w:rPr>
      </w:pPr>
      <w:r>
        <w:rPr>
          <w:rFonts w:hint="eastAsia" w:ascii="宋体" w:hAnsi="宋体" w:cs="宋体"/>
          <w:color w:val="auto"/>
          <w:kern w:val="0"/>
          <w:sz w:val="24"/>
          <w:highlight w:val="none"/>
        </w:rPr>
        <w:t>1.4.4甲方在项目验收结束后及时退还履约保证金。甲方在项目通过验收之日起</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highlight w:val="none"/>
          <w:u w:val="single"/>
        </w:rPr>
        <w:t xml:space="preserve">  0.05（可根据情况修改）  </w:t>
      </w:r>
      <w:r>
        <w:rPr>
          <w:rFonts w:hint="eastAsia" w:ascii="宋体" w:hAnsi="宋体" w:cs="宋体"/>
          <w:color w:val="auto"/>
          <w:kern w:val="0"/>
          <w:sz w:val="24"/>
          <w:highlight w:val="none"/>
        </w:rPr>
        <w:t>%计算，最高限额为本合同履约保证金的</w:t>
      </w:r>
      <w:r>
        <w:rPr>
          <w:rFonts w:hint="eastAsia" w:ascii="宋体" w:hAnsi="宋体" w:cs="宋体"/>
          <w:color w:val="auto"/>
          <w:kern w:val="0"/>
          <w:sz w:val="24"/>
          <w:highlight w:val="none"/>
          <w:u w:val="single"/>
        </w:rPr>
        <w:t xml:space="preserve">  20  </w:t>
      </w:r>
      <w:r>
        <w:rPr>
          <w:rFonts w:hint="eastAsia" w:ascii="宋体" w:hAnsi="宋体" w:cs="宋体"/>
          <w:color w:val="auto"/>
          <w:kern w:val="0"/>
          <w:sz w:val="24"/>
          <w:highlight w:val="none"/>
        </w:rPr>
        <w:t xml:space="preserve"> %。</w:t>
      </w:r>
    </w:p>
    <w:p w14:paraId="472C46FA">
      <w:pPr>
        <w:spacing w:line="560" w:lineRule="exact"/>
        <w:ind w:firstLine="482" w:firstLineChars="200"/>
        <w:outlineLvl w:val="0"/>
        <w:rPr>
          <w:rFonts w:ascii="宋体" w:hAnsi="宋体" w:cs="宋体"/>
          <w:b/>
          <w:color w:val="auto"/>
          <w:sz w:val="24"/>
          <w:highlight w:val="none"/>
        </w:rPr>
      </w:pPr>
      <w:r>
        <w:rPr>
          <w:rFonts w:hint="eastAsia" w:ascii="宋体" w:hAnsi="宋体" w:cs="宋体"/>
          <w:b/>
          <w:color w:val="auto"/>
          <w:sz w:val="24"/>
          <w:highlight w:val="none"/>
        </w:rPr>
        <w:t>1.5</w:t>
      </w:r>
      <w:bookmarkEnd w:id="415"/>
      <w:bookmarkEnd w:id="416"/>
      <w:bookmarkEnd w:id="417"/>
      <w:r>
        <w:rPr>
          <w:rFonts w:hint="eastAsia" w:ascii="宋体" w:hAnsi="宋体" w:cs="宋体"/>
          <w:b/>
          <w:color w:val="auto"/>
          <w:sz w:val="24"/>
          <w:highlight w:val="none"/>
        </w:rPr>
        <w:t>预付款</w:t>
      </w:r>
    </w:p>
    <w:p w14:paraId="7C829B0B">
      <w:pPr>
        <w:pStyle w:val="960"/>
        <w:spacing w:before="0" w:beforeAutospacing="0" w:after="0" w:afterAutospacing="0" w:line="360" w:lineRule="auto"/>
        <w:ind w:firstLine="480"/>
        <w:rPr>
          <w:color w:val="auto"/>
          <w:highlight w:val="none"/>
        </w:rPr>
      </w:pPr>
      <w:r>
        <w:rPr>
          <w:rFonts w:hint="eastAsia"/>
          <w:color w:val="auto"/>
          <w:highlight w:val="none"/>
        </w:rPr>
        <w:t>甲方</w:t>
      </w:r>
      <w:r>
        <w:rPr>
          <w:rFonts w:hint="eastAsia"/>
          <w:color w:val="auto"/>
          <w:highlight w:val="none"/>
          <w:u w:val="single"/>
        </w:rPr>
        <w:t xml:space="preserve">     </w:t>
      </w:r>
      <w:r>
        <w:rPr>
          <w:rFonts w:hint="eastAsia"/>
          <w:color w:val="auto"/>
          <w:highlight w:val="none"/>
        </w:rPr>
        <w:t>（是</w:t>
      </w:r>
      <w:r>
        <w:rPr>
          <w:rFonts w:hint="eastAsia" w:ascii="仿宋" w:hAnsi="仿宋" w:eastAsia="仿宋" w:cs="仿宋"/>
          <w:color w:val="auto"/>
          <w:highlight w:val="none"/>
        </w:rPr>
        <w:t>/</w:t>
      </w:r>
      <w:r>
        <w:rPr>
          <w:rFonts w:hint="eastAsia"/>
          <w:color w:val="auto"/>
          <w:highlight w:val="none"/>
        </w:rPr>
        <w:t>否）需要支付预付款。若需要支付预付款的，则：</w:t>
      </w:r>
    </w:p>
    <w:p w14:paraId="318FD5B1">
      <w:pPr>
        <w:spacing w:line="560" w:lineRule="exact"/>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1.5.1预付款比例、支付方式、时间详见</w:t>
      </w:r>
      <w:r>
        <w:rPr>
          <w:rFonts w:hint="eastAsia" w:ascii="宋体" w:hAnsi="宋体" w:cs="宋体"/>
          <w:color w:val="auto"/>
          <w:kern w:val="0"/>
          <w:sz w:val="24"/>
          <w:highlight w:val="none"/>
          <w:u w:val="single"/>
        </w:rPr>
        <w:t xml:space="preserve">    </w:t>
      </w:r>
      <w:r>
        <w:rPr>
          <w:rFonts w:hint="eastAsia" w:ascii="宋体" w:hAnsi="宋体" w:cs="宋体"/>
          <w:b/>
          <w:i/>
          <w:color w:val="auto"/>
          <w:sz w:val="24"/>
          <w:highlight w:val="none"/>
          <w:u w:val="single"/>
        </w:rPr>
        <w:t>合同专用条款</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w:t>
      </w:r>
    </w:p>
    <w:p w14:paraId="71C02789">
      <w:pPr>
        <w:pStyle w:val="960"/>
        <w:spacing w:before="0" w:beforeAutospacing="0" w:after="0" w:afterAutospacing="0" w:line="360" w:lineRule="auto"/>
        <w:ind w:firstLine="480"/>
        <w:rPr>
          <w:color w:val="auto"/>
          <w:highlight w:val="none"/>
        </w:rPr>
      </w:pPr>
      <w:r>
        <w:rPr>
          <w:rFonts w:hint="eastAsia"/>
          <w:color w:val="auto"/>
          <w:highlight w:val="none"/>
        </w:rPr>
        <w:t>1.5.2预付款的扣回方式详见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79C41B41">
      <w:pPr>
        <w:pStyle w:val="960"/>
        <w:spacing w:before="0" w:beforeAutospacing="0" w:after="0" w:afterAutospacing="0" w:line="360" w:lineRule="auto"/>
        <w:ind w:firstLine="480"/>
        <w:rPr>
          <w:color w:val="auto"/>
          <w:highlight w:val="none"/>
          <w:u w:val="single"/>
        </w:rPr>
      </w:pPr>
      <w:r>
        <w:rPr>
          <w:rFonts w:hint="eastAsia"/>
          <w:color w:val="auto"/>
          <w:highlight w:val="none"/>
        </w:rPr>
        <w:t>1.5.3预付款的担保措施详见</w:t>
      </w:r>
      <w:r>
        <w:rPr>
          <w:rFonts w:hint="eastAsia"/>
          <w:color w:val="auto"/>
          <w:highlight w:val="none"/>
          <w:u w:val="single"/>
        </w:rPr>
        <w:t xml:space="preserve">    </w:t>
      </w:r>
      <w:r>
        <w:rPr>
          <w:rFonts w:hint="eastAsia"/>
          <w:b/>
          <w:i/>
          <w:color w:val="auto"/>
          <w:highlight w:val="none"/>
          <w:u w:val="single"/>
        </w:rPr>
        <w:t>合同专用条款</w:t>
      </w:r>
      <w:r>
        <w:rPr>
          <w:rFonts w:hint="eastAsia"/>
          <w:color w:val="auto"/>
          <w:highlight w:val="none"/>
          <w:u w:val="single"/>
        </w:rPr>
        <w:t xml:space="preserve">          </w:t>
      </w:r>
      <w:r>
        <w:rPr>
          <w:rFonts w:hint="eastAsia"/>
          <w:color w:val="auto"/>
          <w:highlight w:val="none"/>
        </w:rPr>
        <w:t>。</w:t>
      </w:r>
    </w:p>
    <w:p w14:paraId="0918A3AE">
      <w:pPr>
        <w:pStyle w:val="960"/>
        <w:spacing w:before="0" w:beforeAutospacing="0" w:after="0" w:afterAutospacing="0" w:line="360" w:lineRule="auto"/>
        <w:ind w:firstLine="480"/>
        <w:rPr>
          <w:b/>
          <w:bCs/>
          <w:color w:val="auto"/>
          <w:highlight w:val="none"/>
        </w:rPr>
      </w:pPr>
      <w:r>
        <w:rPr>
          <w:rFonts w:hint="eastAsia"/>
          <w:b/>
          <w:bCs/>
          <w:color w:val="auto"/>
          <w:highlight w:val="none"/>
        </w:rPr>
        <w:t>1.6资金支付</w:t>
      </w:r>
    </w:p>
    <w:p w14:paraId="48C046E0">
      <w:pPr>
        <w:pStyle w:val="960"/>
        <w:spacing w:before="0" w:beforeAutospacing="0" w:after="0" w:afterAutospacing="0" w:line="360" w:lineRule="auto"/>
        <w:ind w:firstLine="480"/>
        <w:rPr>
          <w:color w:val="auto"/>
          <w:highlight w:val="none"/>
        </w:rPr>
      </w:pPr>
      <w:r>
        <w:rPr>
          <w:rFonts w:hint="eastAsia"/>
          <w:color w:val="auto"/>
          <w:highlight w:val="none"/>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56B459AA">
      <w:pPr>
        <w:spacing w:line="560" w:lineRule="exact"/>
        <w:ind w:firstLine="480" w:firstLineChars="200"/>
        <w:outlineLvl w:val="0"/>
        <w:rPr>
          <w:rFonts w:ascii="宋体" w:hAnsi="宋体" w:cs="宋体"/>
          <w:color w:val="auto"/>
          <w:sz w:val="24"/>
          <w:highlight w:val="none"/>
        </w:rPr>
      </w:pPr>
      <w:r>
        <w:rPr>
          <w:rFonts w:hint="eastAsia" w:ascii="宋体" w:hAnsi="宋体" w:cs="宋体"/>
          <w:color w:val="auto"/>
          <w:sz w:val="24"/>
          <w:highlight w:val="none"/>
        </w:rPr>
        <w:t>1.6.2资金支付的方式、时间和条件详见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4FB13205">
      <w:pPr>
        <w:spacing w:line="560" w:lineRule="exact"/>
        <w:ind w:firstLine="482" w:firstLineChars="200"/>
        <w:outlineLvl w:val="0"/>
        <w:rPr>
          <w:rFonts w:ascii="宋体" w:hAnsi="宋体"/>
          <w:b/>
          <w:color w:val="auto"/>
          <w:sz w:val="24"/>
          <w:highlight w:val="none"/>
        </w:rPr>
      </w:pPr>
      <w:r>
        <w:rPr>
          <w:rFonts w:ascii="宋体" w:hAnsi="宋体"/>
          <w:b/>
          <w:color w:val="auto"/>
          <w:sz w:val="24"/>
          <w:highlight w:val="none"/>
        </w:rPr>
        <w:t>1.</w:t>
      </w:r>
      <w:r>
        <w:rPr>
          <w:rFonts w:hint="eastAsia" w:ascii="宋体" w:hAnsi="宋体"/>
          <w:b/>
          <w:color w:val="auto"/>
          <w:sz w:val="24"/>
          <w:highlight w:val="none"/>
        </w:rPr>
        <w:t>7</w:t>
      </w:r>
      <w:r>
        <w:rPr>
          <w:rFonts w:ascii="宋体" w:hAnsi="宋体"/>
          <w:b/>
          <w:color w:val="auto"/>
          <w:sz w:val="24"/>
          <w:highlight w:val="none"/>
        </w:rPr>
        <w:t xml:space="preserve"> 履行期限</w:t>
      </w:r>
      <w:r>
        <w:rPr>
          <w:rFonts w:hint="eastAsia" w:ascii="宋体" w:hAnsi="宋体"/>
          <w:b/>
          <w:color w:val="auto"/>
          <w:sz w:val="24"/>
          <w:highlight w:val="none"/>
        </w:rPr>
        <w:t>、地点和方式</w:t>
      </w:r>
      <w:bookmarkEnd w:id="418"/>
      <w:bookmarkEnd w:id="419"/>
      <w:bookmarkEnd w:id="420"/>
      <w:bookmarkEnd w:id="421"/>
      <w:bookmarkEnd w:id="422"/>
    </w:p>
    <w:p w14:paraId="15F44DB1">
      <w:pPr>
        <w:spacing w:line="560" w:lineRule="exact"/>
        <w:ind w:firstLine="480" w:firstLineChars="200"/>
        <w:rPr>
          <w:rFonts w:ascii="宋体" w:hAnsi="宋体"/>
          <w:color w:val="auto"/>
          <w:sz w:val="24"/>
          <w:highlight w:val="none"/>
          <w:u w:val="singl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.1 </w:t>
      </w:r>
      <w:r>
        <w:rPr>
          <w:rFonts w:hint="eastAsia" w:ascii="宋体" w:hAnsi="宋体"/>
          <w:color w:val="auto"/>
          <w:sz w:val="24"/>
          <w:highlight w:val="none"/>
        </w:rPr>
        <w:t>服务交付（实施）的时间（期限）</w:t>
      </w:r>
      <w:r>
        <w:rPr>
          <w:rFonts w:ascii="宋体" w:hAnsi="宋体"/>
          <w:color w:val="auto"/>
          <w:sz w:val="24"/>
          <w:highlight w:val="none"/>
        </w:rPr>
        <w:t>：</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70ECC6B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.2 </w:t>
      </w:r>
      <w:r>
        <w:rPr>
          <w:rFonts w:hint="eastAsia" w:ascii="宋体" w:hAnsi="宋体"/>
          <w:color w:val="auto"/>
          <w:sz w:val="24"/>
          <w:highlight w:val="none"/>
        </w:rPr>
        <w:t>服</w:t>
      </w:r>
      <w:r>
        <w:rPr>
          <w:rFonts w:hint="eastAsia" w:ascii="宋体" w:hAnsi="宋体" w:cs="宋体"/>
          <w:color w:val="auto"/>
          <w:sz w:val="24"/>
          <w:highlight w:val="none"/>
        </w:rPr>
        <w:t>务交付（实施）的地点（地域范围）：</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355123E6">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7</w:t>
      </w:r>
      <w:r>
        <w:rPr>
          <w:rFonts w:ascii="宋体" w:hAnsi="宋体"/>
          <w:color w:val="auto"/>
          <w:sz w:val="24"/>
          <w:highlight w:val="none"/>
        </w:rPr>
        <w:t xml:space="preserve">.3 </w:t>
      </w:r>
      <w:r>
        <w:rPr>
          <w:rFonts w:hint="eastAsia" w:ascii="宋体" w:hAnsi="宋体"/>
          <w:color w:val="auto"/>
          <w:sz w:val="24"/>
          <w:highlight w:val="none"/>
        </w:rPr>
        <w:t>服务交付（实施）的方式：</w:t>
      </w:r>
      <w:r>
        <w:rPr>
          <w:rFonts w:hint="eastAsia" w:ascii="宋体" w:hAnsi="宋体"/>
          <w:b/>
          <w:i/>
          <w:color w:val="auto"/>
          <w:sz w:val="24"/>
          <w:highlight w:val="none"/>
          <w:u w:val="single"/>
        </w:rPr>
        <w:t>合同专用条款</w:t>
      </w:r>
      <w:r>
        <w:rPr>
          <w:rFonts w:hint="eastAsia" w:ascii="宋体" w:hAnsi="宋体"/>
          <w:color w:val="auto"/>
          <w:sz w:val="24"/>
          <w:highlight w:val="none"/>
        </w:rPr>
        <w:t>。</w:t>
      </w:r>
    </w:p>
    <w:p w14:paraId="647271F2">
      <w:pPr>
        <w:spacing w:line="560" w:lineRule="exact"/>
        <w:ind w:firstLine="480" w:firstLineChars="200"/>
        <w:outlineLvl w:val="0"/>
        <w:rPr>
          <w:rFonts w:ascii="宋体" w:hAnsi="宋体"/>
          <w:bCs/>
          <w:color w:val="auto"/>
          <w:sz w:val="24"/>
          <w:highlight w:val="none"/>
        </w:rPr>
      </w:pPr>
      <w:bookmarkStart w:id="423" w:name="_Toc2375"/>
      <w:bookmarkStart w:id="424" w:name="_Toc3079"/>
      <w:bookmarkStart w:id="425" w:name="_Toc24662"/>
      <w:bookmarkStart w:id="426" w:name="_Toc5698"/>
      <w:bookmarkStart w:id="427" w:name="_Toc8586"/>
      <w:r>
        <w:rPr>
          <w:rFonts w:hint="eastAsia" w:ascii="宋体" w:hAnsi="宋体"/>
          <w:bCs/>
          <w:color w:val="auto"/>
          <w:sz w:val="24"/>
          <w:highlight w:val="none"/>
        </w:rPr>
        <w:t>1.7.4若服务</w:t>
      </w:r>
      <w:r>
        <w:rPr>
          <w:rFonts w:hint="eastAsia"/>
          <w:bCs/>
          <w:color w:val="auto"/>
          <w:sz w:val="24"/>
          <w:highlight w:val="none"/>
        </w:rPr>
        <w:t>涉及货物的，则货物的：</w:t>
      </w:r>
    </w:p>
    <w:p w14:paraId="44E129F3">
      <w:pPr>
        <w:spacing w:line="560" w:lineRule="exact"/>
        <w:ind w:firstLine="480" w:firstLineChars="200"/>
        <w:rPr>
          <w:rFonts w:ascii="宋体" w:hAnsi="宋体" w:cs="宋体"/>
          <w:color w:val="auto"/>
          <w:sz w:val="24"/>
          <w:highlight w:val="none"/>
          <w:u w:val="single"/>
        </w:rPr>
      </w:pPr>
      <w:r>
        <w:rPr>
          <w:rFonts w:hint="eastAsia" w:ascii="宋体" w:hAnsi="宋体" w:cs="宋体"/>
          <w:color w:val="auto"/>
          <w:sz w:val="24"/>
          <w:highlight w:val="none"/>
        </w:rPr>
        <w:t>1.7.4.1 交付期限：详见</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04B40865">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1.7.4.2 交付地点：</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1ECE1631">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1.7.4.3 交付方式：</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w:t>
      </w:r>
    </w:p>
    <w:p w14:paraId="2C42C51F">
      <w:pPr>
        <w:spacing w:line="560" w:lineRule="exact"/>
        <w:ind w:firstLine="482" w:firstLineChars="200"/>
        <w:outlineLvl w:val="0"/>
        <w:rPr>
          <w:rFonts w:ascii="宋体" w:hAnsi="宋体"/>
          <w:color w:val="auto"/>
          <w:sz w:val="24"/>
          <w:highlight w:val="none"/>
          <w:u w:val="single"/>
        </w:rPr>
      </w:pPr>
      <w:r>
        <w:rPr>
          <w:rFonts w:ascii="宋体" w:hAnsi="宋体"/>
          <w:b/>
          <w:color w:val="auto"/>
          <w:sz w:val="24"/>
          <w:highlight w:val="none"/>
        </w:rPr>
        <w:t>1.</w:t>
      </w:r>
      <w:r>
        <w:rPr>
          <w:rFonts w:hint="eastAsia" w:ascii="宋体" w:hAnsi="宋体"/>
          <w:b/>
          <w:color w:val="auto"/>
          <w:sz w:val="24"/>
          <w:highlight w:val="none"/>
        </w:rPr>
        <w:t>8违约责任</w:t>
      </w:r>
      <w:bookmarkEnd w:id="423"/>
      <w:bookmarkEnd w:id="424"/>
      <w:bookmarkEnd w:id="425"/>
      <w:bookmarkEnd w:id="426"/>
      <w:bookmarkEnd w:id="427"/>
    </w:p>
    <w:p w14:paraId="6879F767">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.1 除不可抗力外，如果乙方没有按照本合同约定的期限</w:t>
      </w:r>
      <w:r>
        <w:rPr>
          <w:rFonts w:hint="eastAsia" w:ascii="宋体" w:hAnsi="宋体"/>
          <w:color w:val="auto"/>
          <w:sz w:val="24"/>
          <w:highlight w:val="none"/>
        </w:rPr>
        <w:t>、</w:t>
      </w:r>
      <w:r>
        <w:rPr>
          <w:rFonts w:ascii="宋体" w:hAnsi="宋体"/>
          <w:color w:val="auto"/>
          <w:sz w:val="24"/>
          <w:highlight w:val="none"/>
        </w:rPr>
        <w:t>地点和方式</w:t>
      </w:r>
      <w:r>
        <w:rPr>
          <w:rFonts w:hint="eastAsia" w:ascii="宋体" w:hAnsi="宋体"/>
          <w:color w:val="auto"/>
          <w:sz w:val="24"/>
          <w:highlight w:val="none"/>
        </w:rPr>
        <w:t>交付服务成果或者实施服务</w:t>
      </w:r>
      <w:r>
        <w:rPr>
          <w:rFonts w:ascii="宋体" w:hAnsi="宋体"/>
          <w:color w:val="auto"/>
          <w:sz w:val="24"/>
          <w:highlight w:val="none"/>
        </w:rPr>
        <w:t>，那么甲方可要求乙方支付违约金</w:t>
      </w:r>
      <w:r>
        <w:rPr>
          <w:rFonts w:hint="eastAsia" w:ascii="宋体" w:hAnsi="宋体"/>
          <w:color w:val="auto"/>
          <w:sz w:val="24"/>
          <w:highlight w:val="none"/>
        </w:rPr>
        <w:t>，迟延履行</w:t>
      </w:r>
      <w:r>
        <w:rPr>
          <w:rFonts w:ascii="宋体" w:hAnsi="宋体"/>
          <w:color w:val="auto"/>
          <w:sz w:val="24"/>
          <w:highlight w:val="none"/>
        </w:rPr>
        <w:t>违约金按每迟延</w:t>
      </w:r>
      <w:r>
        <w:rPr>
          <w:rFonts w:hint="eastAsia" w:ascii="宋体" w:hAnsi="宋体"/>
          <w:color w:val="auto"/>
          <w:sz w:val="24"/>
          <w:highlight w:val="none"/>
        </w:rPr>
        <w:t>履行</w:t>
      </w:r>
      <w:r>
        <w:rPr>
          <w:rFonts w:ascii="宋体" w:hAnsi="宋体"/>
          <w:color w:val="auto"/>
          <w:sz w:val="24"/>
          <w:highlight w:val="none"/>
        </w:rPr>
        <w:t>一日的应提供而未</w:t>
      </w:r>
      <w:r>
        <w:rPr>
          <w:rFonts w:hint="eastAsia" w:ascii="宋体" w:hAnsi="宋体"/>
          <w:color w:val="auto"/>
          <w:sz w:val="24"/>
          <w:highlight w:val="none"/>
        </w:rPr>
        <w:t>提供</w:t>
      </w:r>
      <w:r>
        <w:rPr>
          <w:rFonts w:ascii="宋体" w:hAnsi="宋体"/>
          <w:color w:val="auto"/>
          <w:sz w:val="24"/>
          <w:highlight w:val="none"/>
        </w:rPr>
        <w:t>服务价格的</w:t>
      </w:r>
      <w:r>
        <w:rPr>
          <w:rFonts w:hint="eastAsia" w:ascii="宋体" w:hAnsi="宋体"/>
          <w:color w:val="auto"/>
          <w:sz w:val="24"/>
          <w:highlight w:val="none"/>
          <w:u w:val="single"/>
        </w:rPr>
        <w:t>0.05</w:t>
      </w:r>
      <w:r>
        <w:rPr>
          <w:rFonts w:ascii="宋体" w:hAnsi="宋体"/>
          <w:color w:val="auto"/>
          <w:sz w:val="24"/>
          <w:highlight w:val="none"/>
          <w:u w:val="single"/>
        </w:rPr>
        <w:t xml:space="preserve"> </w:t>
      </w:r>
      <w:r>
        <w:rPr>
          <w:rFonts w:ascii="宋体" w:hAnsi="宋体"/>
          <w:color w:val="auto"/>
          <w:sz w:val="24"/>
          <w:highlight w:val="none"/>
        </w:rPr>
        <w:t>%计算</w:t>
      </w:r>
      <w:r>
        <w:rPr>
          <w:rFonts w:hint="eastAsia" w:ascii="宋体" w:hAnsi="宋体"/>
          <w:color w:val="auto"/>
          <w:sz w:val="24"/>
          <w:highlight w:val="none"/>
        </w:rPr>
        <w:t>，</w:t>
      </w:r>
      <w:r>
        <w:rPr>
          <w:rFonts w:ascii="宋体" w:hAnsi="宋体"/>
          <w:color w:val="auto"/>
          <w:sz w:val="24"/>
          <w:highlight w:val="none"/>
        </w:rPr>
        <w:t>最高限额为</w:t>
      </w:r>
      <w:r>
        <w:rPr>
          <w:rFonts w:hint="eastAsia" w:ascii="宋体" w:hAnsi="宋体"/>
          <w:color w:val="auto"/>
          <w:sz w:val="24"/>
          <w:highlight w:val="none"/>
        </w:rPr>
        <w:t>本</w:t>
      </w:r>
      <w:r>
        <w:rPr>
          <w:rFonts w:ascii="宋体" w:hAnsi="宋体"/>
          <w:color w:val="auto"/>
          <w:sz w:val="24"/>
          <w:highlight w:val="none"/>
        </w:rPr>
        <w:t>合同总价的</w:t>
      </w:r>
      <w:r>
        <w:rPr>
          <w:rFonts w:ascii="宋体" w:hAnsi="宋体"/>
          <w:color w:val="auto"/>
          <w:sz w:val="24"/>
          <w:highlight w:val="none"/>
          <w:u w:val="single"/>
        </w:rPr>
        <w:t xml:space="preserve">  20   </w:t>
      </w:r>
      <w:r>
        <w:rPr>
          <w:rFonts w:ascii="宋体" w:hAnsi="宋体"/>
          <w:color w:val="auto"/>
          <w:sz w:val="24"/>
          <w:highlight w:val="none"/>
        </w:rPr>
        <w:t>%</w:t>
      </w:r>
      <w:r>
        <w:rPr>
          <w:rFonts w:hint="eastAsia" w:ascii="宋体" w:hAnsi="宋体"/>
          <w:color w:val="auto"/>
          <w:sz w:val="24"/>
          <w:highlight w:val="none"/>
        </w:rPr>
        <w:t>；</w:t>
      </w:r>
      <w:r>
        <w:rPr>
          <w:rFonts w:ascii="宋体" w:hAnsi="宋体"/>
          <w:color w:val="auto"/>
          <w:sz w:val="24"/>
          <w:highlight w:val="none"/>
        </w:rPr>
        <w:t>迟延</w:t>
      </w:r>
      <w:r>
        <w:rPr>
          <w:rFonts w:hint="eastAsia" w:ascii="宋体" w:hAnsi="宋体"/>
          <w:color w:val="auto"/>
          <w:sz w:val="24"/>
          <w:highlight w:val="none"/>
        </w:rPr>
        <w:t>履行</w:t>
      </w:r>
      <w:r>
        <w:rPr>
          <w:rFonts w:ascii="宋体" w:hAnsi="宋体"/>
          <w:color w:val="auto"/>
          <w:sz w:val="24"/>
          <w:highlight w:val="none"/>
        </w:rPr>
        <w:t>的违约金计算数额达到前述最高限额之日起</w:t>
      </w:r>
      <w:r>
        <w:rPr>
          <w:rFonts w:hint="eastAsia" w:ascii="宋体" w:hAnsi="宋体"/>
          <w:color w:val="auto"/>
          <w:sz w:val="24"/>
          <w:highlight w:val="none"/>
        </w:rPr>
        <w:t>，</w:t>
      </w:r>
      <w:r>
        <w:rPr>
          <w:rFonts w:ascii="宋体" w:hAnsi="宋体"/>
          <w:color w:val="auto"/>
          <w:sz w:val="24"/>
          <w:highlight w:val="none"/>
        </w:rPr>
        <w:t>甲方有权在要求乙方支付违约金的同时</w:t>
      </w:r>
      <w:r>
        <w:rPr>
          <w:rFonts w:hint="eastAsia" w:ascii="宋体" w:hAnsi="宋体"/>
          <w:color w:val="auto"/>
          <w:sz w:val="24"/>
          <w:highlight w:val="none"/>
        </w:rPr>
        <w:t>，书面通知乙方</w:t>
      </w:r>
      <w:r>
        <w:rPr>
          <w:rFonts w:ascii="宋体" w:hAnsi="宋体"/>
          <w:color w:val="auto"/>
          <w:sz w:val="24"/>
          <w:highlight w:val="none"/>
        </w:rPr>
        <w:t>解除本合同</w:t>
      </w:r>
      <w:r>
        <w:rPr>
          <w:rFonts w:hint="eastAsia" w:ascii="宋体" w:hAnsi="宋体"/>
          <w:color w:val="auto"/>
          <w:sz w:val="24"/>
          <w:highlight w:val="none"/>
        </w:rPr>
        <w:t>；</w:t>
      </w:r>
    </w:p>
    <w:p w14:paraId="31284810">
      <w:pPr>
        <w:pStyle w:val="3"/>
        <w:ind w:left="0" w:firstLine="480" w:firstLineChars="200"/>
        <w:rPr>
          <w:rFonts w:ascii="宋体" w:hAnsi="宋体" w:eastAsia="宋体" w:cs="宋体"/>
          <w:b w:val="0"/>
          <w:bCs w:val="0"/>
          <w:color w:val="auto"/>
          <w:sz w:val="24"/>
          <w:szCs w:val="24"/>
          <w:highlight w:val="none"/>
          <w:lang w:val="en-US"/>
        </w:rPr>
      </w:pPr>
      <w:r>
        <w:rPr>
          <w:rFonts w:hint="eastAsia" w:ascii="宋体" w:hAnsi="宋体" w:eastAsia="宋体" w:cs="宋体"/>
          <w:b w:val="0"/>
          <w:bCs w:val="0"/>
          <w:color w:val="auto"/>
          <w:sz w:val="24"/>
          <w:szCs w:val="24"/>
          <w:highlight w:val="none"/>
          <w:lang w:val="en-US"/>
        </w:rPr>
        <w:t>1.8.2服务中涉及的货物，除不可抗力外，如果乙方没有按照本合同约定的期限、地点和方式交付货物，那么甲方可要求乙方支付违约金，违约金按每迟延交付货物一日的应交付而未交付货物价格的</w:t>
      </w:r>
      <w:r>
        <w:rPr>
          <w:rFonts w:hint="eastAsia" w:ascii="宋体" w:hAnsi="宋体" w:eastAsia="宋体" w:cs="宋体"/>
          <w:b w:val="0"/>
          <w:bCs w:val="0"/>
          <w:color w:val="auto"/>
          <w:sz w:val="24"/>
          <w:szCs w:val="24"/>
          <w:highlight w:val="none"/>
          <w:u w:val="single"/>
          <w:lang w:val="en-US"/>
        </w:rPr>
        <w:t xml:space="preserve">  0.0</w:t>
      </w:r>
      <w:r>
        <w:rPr>
          <w:rFonts w:hint="eastAsia" w:ascii="宋体" w:hAnsi="宋体" w:eastAsia="宋体" w:cs="宋体"/>
          <w:b w:val="0"/>
          <w:bCs w:val="0"/>
          <w:color w:val="auto"/>
          <w:sz w:val="24"/>
          <w:szCs w:val="24"/>
          <w:highlight w:val="none"/>
          <w:lang w:val="en-US"/>
        </w:rPr>
        <w:t xml:space="preserve">5（可根据情况修改） </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%计算，最高限额为本合同总价的</w:t>
      </w:r>
      <w:r>
        <w:rPr>
          <w:rFonts w:hint="eastAsia" w:ascii="宋体" w:hAnsi="宋体" w:eastAsia="宋体" w:cs="宋体"/>
          <w:b w:val="0"/>
          <w:bCs w:val="0"/>
          <w:color w:val="auto"/>
          <w:sz w:val="24"/>
          <w:szCs w:val="24"/>
          <w:highlight w:val="none"/>
          <w:u w:val="single"/>
          <w:lang w:val="en-US"/>
        </w:rPr>
        <w:t xml:space="preserve">  20  </w:t>
      </w:r>
      <w:r>
        <w:rPr>
          <w:rFonts w:hint="eastAsia" w:ascii="宋体" w:hAnsi="宋体" w:eastAsia="宋体" w:cs="宋体"/>
          <w:b w:val="0"/>
          <w:bCs w:val="0"/>
          <w:color w:val="auto"/>
          <w:sz w:val="24"/>
          <w:szCs w:val="24"/>
          <w:highlight w:val="none"/>
          <w:lang w:val="en-US"/>
        </w:rPr>
        <w:t>%；迟延交付货物的违约金计算数额达到前述最高限额之日起，甲方有权在要求乙方支付违约金的同时，书面通知乙方解除本合同；</w:t>
      </w:r>
    </w:p>
    <w:p w14:paraId="04514514">
      <w:pPr>
        <w:spacing w:line="560" w:lineRule="exact"/>
        <w:ind w:firstLine="480" w:firstLineChars="200"/>
        <w:rPr>
          <w:rFonts w:ascii="宋体" w:hAnsi="宋体"/>
          <w:color w:val="auto"/>
          <w:sz w:val="24"/>
          <w:highlight w:val="none"/>
        </w:rPr>
      </w:pPr>
      <w:r>
        <w:rPr>
          <w:rFonts w:ascii="宋体" w:hAnsi="宋体"/>
          <w:color w:val="auto"/>
          <w:sz w:val="24"/>
          <w:highlight w:val="none"/>
        </w:rPr>
        <w:t>1.</w:t>
      </w:r>
      <w:r>
        <w:rPr>
          <w:rFonts w:hint="eastAsia" w:ascii="宋体" w:hAnsi="宋体"/>
          <w:color w:val="auto"/>
          <w:sz w:val="24"/>
          <w:highlight w:val="none"/>
        </w:rPr>
        <w:t>8</w:t>
      </w:r>
      <w:r>
        <w:rPr>
          <w:rFonts w:ascii="宋体" w:hAnsi="宋体"/>
          <w:color w:val="auto"/>
          <w:sz w:val="24"/>
          <w:highlight w:val="none"/>
        </w:rPr>
        <w:t>.</w:t>
      </w:r>
      <w:r>
        <w:rPr>
          <w:rFonts w:hint="eastAsia" w:ascii="宋体" w:hAnsi="宋体"/>
          <w:color w:val="auto"/>
          <w:sz w:val="24"/>
          <w:highlight w:val="none"/>
        </w:rPr>
        <w:t>3</w:t>
      </w:r>
      <w:r>
        <w:rPr>
          <w:rFonts w:hint="eastAsia" w:ascii="宋体" w:hAnsi="宋体" w:cs="宋体"/>
          <w:color w:val="auto"/>
          <w:sz w:val="24"/>
          <w:highlight w:val="none"/>
        </w:rPr>
        <w:t>除不可抗力外，如果甲方没有按照本合同约定的付款方式付款，那么乙方可要求甲方支付违约金，违约金按每迟延付款一日的应付而未付款的</w:t>
      </w:r>
      <w:r>
        <w:rPr>
          <w:rFonts w:hint="eastAsia" w:ascii="宋体" w:hAnsi="宋体" w:cs="宋体"/>
          <w:color w:val="auto"/>
          <w:sz w:val="24"/>
          <w:highlight w:val="none"/>
          <w:u w:val="single"/>
        </w:rPr>
        <w:t xml:space="preserve">   0.05   </w:t>
      </w:r>
      <w:r>
        <w:rPr>
          <w:rFonts w:hint="eastAsia" w:ascii="宋体" w:hAnsi="宋体" w:cs="宋体"/>
          <w:color w:val="auto"/>
          <w:sz w:val="24"/>
          <w:highlight w:val="none"/>
        </w:rPr>
        <w:t>%计算，最高限额为本合同总价的</w:t>
      </w:r>
      <w:r>
        <w:rPr>
          <w:rFonts w:hint="eastAsia" w:ascii="宋体" w:hAnsi="宋体" w:cs="宋体"/>
          <w:color w:val="auto"/>
          <w:sz w:val="24"/>
          <w:highlight w:val="none"/>
          <w:u w:val="single"/>
        </w:rPr>
        <w:t xml:space="preserve">   20</w:t>
      </w:r>
      <w:r>
        <w:rPr>
          <w:rFonts w:hint="eastAsia" w:ascii="宋体" w:hAnsi="宋体" w:cs="宋体"/>
          <w:color w:val="auto"/>
          <w:kern w:val="0"/>
          <w:sz w:val="24"/>
          <w:highlight w:val="none"/>
          <w:u w:val="single"/>
        </w:rPr>
        <w:t>（可根据情况修改）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%；迟延付款的违约金计算数额达到前述最高限额之日起，乙方有权在要求甲方支付违约金的同时，书面通知甲方解除本合同</w:t>
      </w:r>
      <w:r>
        <w:rPr>
          <w:rFonts w:hint="eastAsia" w:ascii="宋体" w:hAnsi="宋体"/>
          <w:color w:val="auto"/>
          <w:sz w:val="24"/>
          <w:highlight w:val="none"/>
        </w:rPr>
        <w:t>；</w:t>
      </w:r>
    </w:p>
    <w:p w14:paraId="767F4200">
      <w:pPr>
        <w:spacing w:line="560" w:lineRule="exact"/>
        <w:ind w:firstLine="480" w:firstLineChars="200"/>
        <w:rPr>
          <w:rFonts w:ascii="宋体" w:hAnsi="宋体" w:cs="宋体"/>
          <w:color w:val="auto"/>
          <w:sz w:val="24"/>
          <w:highlight w:val="none"/>
        </w:rPr>
      </w:pPr>
      <w:bookmarkStart w:id="428" w:name="_Toc32454"/>
      <w:bookmarkStart w:id="429" w:name="_Toc26807"/>
      <w:bookmarkStart w:id="430" w:name="_Toc9497"/>
      <w:bookmarkStart w:id="431" w:name="_Toc18683"/>
      <w:bookmarkStart w:id="432" w:name="_Toc30329"/>
      <w:r>
        <w:rPr>
          <w:rFonts w:hint="eastAsia" w:ascii="宋体" w:hAnsi="宋体" w:cs="宋体"/>
          <w:color w:val="auto"/>
          <w:sz w:val="24"/>
          <w:highlight w:val="none"/>
        </w:rPr>
        <w:t>1.8.4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2448717C">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1.8.5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3BBEC29">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1.8.6如果出现政府采购监督管理部门在处理投诉事项期间，书面通知甲方暂停采购活动的情形，或者询问或质疑事项可能影响中标或者成交结果的，导致甲方中止履行合同的情形，均不视为甲方违约。</w:t>
      </w:r>
    </w:p>
    <w:p w14:paraId="12EBBB79">
      <w:pPr>
        <w:spacing w:line="560" w:lineRule="exact"/>
        <w:ind w:right="-420" w:rightChars="-200" w:firstLine="480" w:firstLineChars="200"/>
        <w:rPr>
          <w:rFonts w:ascii="宋体" w:hAnsi="宋体" w:cs="宋体"/>
          <w:color w:val="auto"/>
          <w:highlight w:val="none"/>
        </w:rPr>
      </w:pPr>
      <w:r>
        <w:rPr>
          <w:rFonts w:hint="eastAsia" w:ascii="宋体" w:hAnsi="宋体" w:cs="宋体"/>
          <w:color w:val="auto"/>
          <w:sz w:val="24"/>
          <w:highlight w:val="none"/>
        </w:rPr>
        <w:t>1.8.7违约责任</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另有约定的，从其约定。</w:t>
      </w:r>
    </w:p>
    <w:bookmarkEnd w:id="428"/>
    <w:bookmarkEnd w:id="429"/>
    <w:bookmarkEnd w:id="430"/>
    <w:bookmarkEnd w:id="431"/>
    <w:bookmarkEnd w:id="432"/>
    <w:p w14:paraId="1A3040A7">
      <w:pPr>
        <w:spacing w:line="560" w:lineRule="exact"/>
        <w:ind w:firstLine="482" w:firstLineChars="200"/>
        <w:outlineLvl w:val="0"/>
        <w:rPr>
          <w:rFonts w:ascii="宋体" w:hAnsi="宋体" w:cs="宋体"/>
          <w:b/>
          <w:color w:val="auto"/>
          <w:sz w:val="24"/>
          <w:highlight w:val="none"/>
        </w:rPr>
      </w:pPr>
      <w:bookmarkStart w:id="433" w:name="_Toc16021"/>
      <w:bookmarkStart w:id="434" w:name="_Toc15583"/>
      <w:bookmarkStart w:id="435" w:name="_Toc28375"/>
      <w:r>
        <w:rPr>
          <w:rFonts w:hint="eastAsia" w:ascii="宋体" w:hAnsi="宋体" w:cs="宋体"/>
          <w:b/>
          <w:color w:val="auto"/>
          <w:sz w:val="24"/>
          <w:highlight w:val="none"/>
        </w:rPr>
        <w:t>1.9合同争议的解决</w:t>
      </w:r>
      <w:bookmarkEnd w:id="433"/>
      <w:bookmarkEnd w:id="434"/>
      <w:bookmarkEnd w:id="435"/>
    </w:p>
    <w:p w14:paraId="183DFEDC">
      <w:pPr>
        <w:spacing w:line="560" w:lineRule="exact"/>
        <w:ind w:left="-61" w:leftChars="-29" w:right="-420" w:rightChars="-200" w:firstLine="240" w:firstLineChars="100"/>
        <w:rPr>
          <w:rFonts w:ascii="宋体" w:hAnsi="宋体" w:cs="宋体"/>
          <w:color w:val="auto"/>
          <w:sz w:val="24"/>
          <w:highlight w:val="none"/>
        </w:rPr>
      </w:pPr>
      <w:r>
        <w:rPr>
          <w:rFonts w:hint="eastAsia" w:ascii="宋体" w:hAnsi="宋体" w:cs="宋体"/>
          <w:color w:val="auto"/>
          <w:sz w:val="24"/>
          <w:highlight w:val="none"/>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highlight w:val="none"/>
          <w:u w:val="single"/>
        </w:rPr>
        <w:t xml:space="preserve">      </w:t>
      </w:r>
      <w:r>
        <w:rPr>
          <w:rFonts w:hint="eastAsia" w:ascii="宋体" w:hAnsi="宋体" w:cs="宋体"/>
          <w:color w:val="auto"/>
          <w:sz w:val="24"/>
          <w:highlight w:val="none"/>
        </w:rPr>
        <w:t>条款规定的方式解决：</w:t>
      </w:r>
    </w:p>
    <w:p w14:paraId="145D6BA8">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1.9.1 将争议提交</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仲裁委员会依申请仲裁时其现行有效的仲裁规则裁决；</w:t>
      </w:r>
    </w:p>
    <w:p w14:paraId="27B8F93F">
      <w:pPr>
        <w:spacing w:line="560" w:lineRule="exact"/>
        <w:ind w:left="-420" w:leftChars="-200" w:right="-420" w:rightChars="-200" w:firstLine="600" w:firstLineChars="250"/>
        <w:rPr>
          <w:rFonts w:ascii="宋体" w:hAnsi="宋体" w:cs="宋体"/>
          <w:color w:val="auto"/>
          <w:sz w:val="24"/>
          <w:highlight w:val="none"/>
        </w:rPr>
      </w:pPr>
      <w:r>
        <w:rPr>
          <w:rFonts w:hint="eastAsia" w:ascii="宋体" w:hAnsi="宋体" w:cs="宋体"/>
          <w:color w:val="auto"/>
          <w:sz w:val="24"/>
          <w:highlight w:val="none"/>
        </w:rPr>
        <w:t>1.9.2 向</w:t>
      </w:r>
      <w:r>
        <w:rPr>
          <w:rFonts w:hint="eastAsia" w:ascii="宋体" w:hAnsi="宋体" w:cs="宋体"/>
          <w:b/>
          <w:i/>
          <w:color w:val="auto"/>
          <w:sz w:val="24"/>
          <w:highlight w:val="none"/>
          <w:u w:val="single"/>
        </w:rPr>
        <w:t>合同专用条款</w:t>
      </w:r>
      <w:r>
        <w:rPr>
          <w:rFonts w:hint="eastAsia" w:ascii="宋体" w:hAnsi="宋体" w:cs="宋体"/>
          <w:color w:val="auto"/>
          <w:sz w:val="24"/>
          <w:highlight w:val="none"/>
        </w:rPr>
        <w:t>人民法院起诉。</w:t>
      </w:r>
    </w:p>
    <w:p w14:paraId="08261CC6">
      <w:pPr>
        <w:spacing w:line="560" w:lineRule="exact"/>
        <w:ind w:firstLine="482" w:firstLineChars="200"/>
        <w:outlineLvl w:val="0"/>
        <w:rPr>
          <w:rFonts w:ascii="宋体" w:hAnsi="宋体" w:cs="宋体"/>
          <w:b/>
          <w:color w:val="auto"/>
          <w:sz w:val="24"/>
          <w:highlight w:val="none"/>
        </w:rPr>
      </w:pPr>
      <w:bookmarkStart w:id="436" w:name="_Toc15322"/>
      <w:bookmarkStart w:id="437" w:name="_Toc7245"/>
      <w:bookmarkStart w:id="438" w:name="_Toc11173"/>
      <w:r>
        <w:rPr>
          <w:rFonts w:hint="eastAsia" w:ascii="宋体" w:hAnsi="宋体" w:cs="宋体"/>
          <w:b/>
          <w:color w:val="auto"/>
          <w:sz w:val="24"/>
          <w:highlight w:val="none"/>
        </w:rPr>
        <w:t>2.0 合同生效</w:t>
      </w:r>
      <w:bookmarkEnd w:id="436"/>
      <w:bookmarkEnd w:id="437"/>
      <w:bookmarkEnd w:id="438"/>
    </w:p>
    <w:p w14:paraId="42538665">
      <w:pPr>
        <w:spacing w:line="560" w:lineRule="exact"/>
        <w:ind w:firstLine="480" w:firstLineChars="200"/>
        <w:rPr>
          <w:rFonts w:ascii="宋体" w:hAnsi="宋体" w:cs="宋体"/>
          <w:b/>
          <w:color w:val="auto"/>
          <w:sz w:val="24"/>
          <w:highlight w:val="none"/>
        </w:rPr>
      </w:pPr>
      <w:r>
        <w:rPr>
          <w:rFonts w:hint="eastAsia" w:ascii="宋体" w:hAnsi="宋体" w:cs="宋体"/>
          <w:color w:val="auto"/>
          <w:sz w:val="24"/>
          <w:highlight w:val="none"/>
        </w:rPr>
        <w:t>本合同自双方当事人盖章签字时生效。</w:t>
      </w:r>
    </w:p>
    <w:p w14:paraId="22857822">
      <w:pPr>
        <w:autoSpaceDE w:val="0"/>
        <w:autoSpaceDN w:val="0"/>
        <w:spacing w:line="560" w:lineRule="exact"/>
        <w:rPr>
          <w:rFonts w:ascii="宋体" w:hAnsi="宋体"/>
          <w:color w:val="auto"/>
          <w:sz w:val="24"/>
          <w:highlight w:val="none"/>
          <w:lang w:val="zh-CN"/>
        </w:rPr>
      </w:pPr>
    </w:p>
    <w:p w14:paraId="11A8BEBE">
      <w:pPr>
        <w:autoSpaceDE w:val="0"/>
        <w:autoSpaceDN w:val="0"/>
        <w:spacing w:line="560" w:lineRule="exact"/>
        <w:rPr>
          <w:rFonts w:ascii="宋体" w:hAnsi="宋体"/>
          <w:color w:val="auto"/>
          <w:sz w:val="24"/>
          <w:highlight w:val="none"/>
          <w:lang w:val="zh-CN"/>
        </w:rPr>
      </w:pPr>
      <w:r>
        <w:rPr>
          <w:rFonts w:hint="eastAsia" w:ascii="宋体" w:hAnsi="宋体"/>
          <w:b/>
          <w:color w:val="auto"/>
          <w:sz w:val="24"/>
          <w:highlight w:val="none"/>
          <w:lang w:val="zh-CN"/>
        </w:rPr>
        <w:t>甲方</w:t>
      </w:r>
      <w:r>
        <w:rPr>
          <w:rFonts w:hint="eastAsia" w:ascii="宋体" w:hAnsi="宋体"/>
          <w:color w:val="auto"/>
          <w:sz w:val="24"/>
          <w:highlight w:val="none"/>
          <w:lang w:val="zh-CN"/>
        </w:rPr>
        <w:t>：</w:t>
      </w:r>
      <w:r>
        <w:rPr>
          <w:rFonts w:ascii="宋体" w:hAnsi="宋体"/>
          <w:color w:val="auto"/>
          <w:sz w:val="24"/>
          <w:highlight w:val="none"/>
          <w:lang w:val="zh-CN"/>
        </w:rPr>
        <w:t xml:space="preserve">                             </w:t>
      </w:r>
      <w:r>
        <w:rPr>
          <w:rFonts w:ascii="宋体" w:hAnsi="宋体"/>
          <w:b/>
          <w:color w:val="auto"/>
          <w:sz w:val="24"/>
          <w:highlight w:val="none"/>
          <w:lang w:val="zh-CN"/>
        </w:rPr>
        <w:t xml:space="preserve">      乙方</w:t>
      </w:r>
      <w:r>
        <w:rPr>
          <w:rFonts w:hint="eastAsia" w:ascii="宋体" w:hAnsi="宋体"/>
          <w:color w:val="auto"/>
          <w:sz w:val="24"/>
          <w:highlight w:val="none"/>
          <w:lang w:val="zh-CN"/>
        </w:rPr>
        <w:t>：</w:t>
      </w:r>
    </w:p>
    <w:p w14:paraId="4FD3BED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统一社会信用代码：</w:t>
      </w:r>
      <w:r>
        <w:rPr>
          <w:rFonts w:ascii="宋体" w:hAnsi="宋体"/>
          <w:color w:val="auto"/>
          <w:sz w:val="24"/>
          <w:highlight w:val="none"/>
          <w:lang w:val="zh-CN"/>
        </w:rPr>
        <w:t xml:space="preserve">                        </w:t>
      </w:r>
      <w:r>
        <w:rPr>
          <w:rFonts w:hint="eastAsia" w:ascii="宋体" w:hAnsi="宋体"/>
          <w:color w:val="auto"/>
          <w:sz w:val="24"/>
          <w:highlight w:val="none"/>
          <w:lang w:val="zh-CN"/>
        </w:rPr>
        <w:t>统一社会信用代码或身份证号码：</w:t>
      </w:r>
    </w:p>
    <w:p w14:paraId="70145408">
      <w:pPr>
        <w:autoSpaceDE w:val="0"/>
        <w:autoSpaceDN w:val="0"/>
        <w:spacing w:line="560" w:lineRule="exact"/>
        <w:rPr>
          <w:rFonts w:ascii="宋体" w:hAnsi="宋体"/>
          <w:color w:val="auto"/>
          <w:sz w:val="24"/>
          <w:highlight w:val="none"/>
          <w:lang w:val="zh-CN"/>
        </w:rPr>
      </w:pPr>
    </w:p>
    <w:p w14:paraId="69A42A0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住所：</w:t>
      </w:r>
      <w:r>
        <w:rPr>
          <w:rFonts w:ascii="宋体" w:hAnsi="宋体"/>
          <w:color w:val="auto"/>
          <w:sz w:val="24"/>
          <w:highlight w:val="none"/>
          <w:lang w:val="zh-CN"/>
        </w:rPr>
        <w:t xml:space="preserve">                                   </w:t>
      </w:r>
      <w:r>
        <w:rPr>
          <w:rFonts w:hint="eastAsia" w:ascii="宋体" w:hAnsi="宋体"/>
          <w:color w:val="auto"/>
          <w:sz w:val="24"/>
          <w:highlight w:val="none"/>
          <w:lang w:val="zh-CN"/>
        </w:rPr>
        <w:t>住所：</w:t>
      </w:r>
    </w:p>
    <w:p w14:paraId="021C1AF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法定代表人或</w:t>
      </w:r>
      <w:r>
        <w:rPr>
          <w:rFonts w:ascii="宋体" w:hAnsi="宋体"/>
          <w:color w:val="auto"/>
          <w:sz w:val="24"/>
          <w:highlight w:val="none"/>
          <w:lang w:val="zh-CN"/>
        </w:rPr>
        <w:t xml:space="preserve">                             </w:t>
      </w:r>
      <w:r>
        <w:rPr>
          <w:rFonts w:hint="eastAsia" w:ascii="宋体" w:hAnsi="宋体"/>
          <w:color w:val="auto"/>
          <w:sz w:val="24"/>
          <w:highlight w:val="none"/>
          <w:lang w:val="zh-CN"/>
        </w:rPr>
        <w:t>法定代表人或</w:t>
      </w:r>
    </w:p>
    <w:p w14:paraId="0232A8AE">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授权代表（签字）：</w:t>
      </w:r>
      <w:r>
        <w:rPr>
          <w:rFonts w:ascii="宋体" w:hAnsi="宋体"/>
          <w:color w:val="auto"/>
          <w:sz w:val="24"/>
          <w:highlight w:val="none"/>
          <w:lang w:val="zh-CN"/>
        </w:rPr>
        <w:t xml:space="preserve">                       授权代表（签字）: </w:t>
      </w:r>
    </w:p>
    <w:p w14:paraId="0A6DB5E4">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联系人：</w:t>
      </w:r>
      <w:r>
        <w:rPr>
          <w:rFonts w:ascii="宋体" w:hAnsi="宋体"/>
          <w:color w:val="auto"/>
          <w:sz w:val="24"/>
          <w:highlight w:val="none"/>
          <w:lang w:val="zh-CN"/>
        </w:rPr>
        <w:t xml:space="preserve">                                 </w:t>
      </w:r>
      <w:r>
        <w:rPr>
          <w:rFonts w:hint="eastAsia" w:ascii="宋体" w:hAnsi="宋体"/>
          <w:color w:val="auto"/>
          <w:sz w:val="24"/>
          <w:highlight w:val="none"/>
          <w:lang w:val="zh-CN"/>
        </w:rPr>
        <w:t>联系人：</w:t>
      </w:r>
    </w:p>
    <w:p w14:paraId="10BC833B">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约定送达地址：</w:t>
      </w:r>
      <w:r>
        <w:rPr>
          <w:rFonts w:ascii="宋体" w:hAnsi="宋体"/>
          <w:color w:val="auto"/>
          <w:sz w:val="24"/>
          <w:highlight w:val="none"/>
          <w:lang w:val="zh-CN"/>
        </w:rPr>
        <w:t xml:space="preserve">                           </w:t>
      </w:r>
      <w:r>
        <w:rPr>
          <w:rFonts w:hint="eastAsia" w:ascii="宋体" w:hAnsi="宋体"/>
          <w:color w:val="auto"/>
          <w:sz w:val="24"/>
          <w:highlight w:val="none"/>
          <w:lang w:val="zh-CN"/>
        </w:rPr>
        <w:t>约定送达地址：</w:t>
      </w:r>
    </w:p>
    <w:p w14:paraId="5C9C0BAC">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邮政编码：</w:t>
      </w:r>
      <w:r>
        <w:rPr>
          <w:rFonts w:ascii="宋体" w:hAnsi="宋体"/>
          <w:color w:val="auto"/>
          <w:sz w:val="24"/>
          <w:highlight w:val="none"/>
          <w:lang w:val="zh-CN"/>
        </w:rPr>
        <w:t xml:space="preserve">                               </w:t>
      </w:r>
      <w:r>
        <w:rPr>
          <w:rFonts w:hint="eastAsia" w:ascii="宋体" w:hAnsi="宋体"/>
          <w:color w:val="auto"/>
          <w:sz w:val="24"/>
          <w:highlight w:val="none"/>
          <w:lang w:val="zh-CN"/>
        </w:rPr>
        <w:t>邮政编码：</w:t>
      </w:r>
    </w:p>
    <w:p w14:paraId="6A8E6688">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电话</w:t>
      </w:r>
      <w:r>
        <w:rPr>
          <w:rFonts w:ascii="宋体" w:hAnsi="宋体"/>
          <w:color w:val="auto"/>
          <w:sz w:val="24"/>
          <w:highlight w:val="none"/>
          <w:lang w:val="zh-CN"/>
        </w:rPr>
        <w:t xml:space="preserve">:                                    电话: </w:t>
      </w:r>
    </w:p>
    <w:p w14:paraId="141DE9BA">
      <w:pPr>
        <w:autoSpaceDE w:val="0"/>
        <w:autoSpaceDN w:val="0"/>
        <w:spacing w:line="560" w:lineRule="exact"/>
        <w:rPr>
          <w:rFonts w:ascii="宋体" w:hAnsi="宋体"/>
          <w:color w:val="auto"/>
          <w:sz w:val="24"/>
          <w:highlight w:val="none"/>
          <w:lang w:val="zh-CN"/>
        </w:rPr>
      </w:pPr>
      <w:r>
        <w:rPr>
          <w:rFonts w:hint="eastAsia" w:ascii="宋体" w:hAnsi="宋体"/>
          <w:color w:val="auto"/>
          <w:sz w:val="24"/>
          <w:highlight w:val="none"/>
          <w:lang w:val="zh-CN"/>
        </w:rPr>
        <w:t>传真</w:t>
      </w:r>
      <w:r>
        <w:rPr>
          <w:rFonts w:ascii="宋体" w:hAnsi="宋体"/>
          <w:color w:val="auto"/>
          <w:sz w:val="24"/>
          <w:highlight w:val="none"/>
          <w:lang w:val="zh-CN"/>
        </w:rPr>
        <w:t xml:space="preserve">:                                    </w:t>
      </w:r>
      <w:r>
        <w:rPr>
          <w:rFonts w:hint="eastAsia" w:ascii="宋体" w:hAnsi="宋体"/>
          <w:color w:val="auto"/>
          <w:sz w:val="24"/>
          <w:highlight w:val="none"/>
          <w:lang w:val="zh-CN"/>
        </w:rPr>
        <w:t>传真</w:t>
      </w:r>
      <w:r>
        <w:rPr>
          <w:rFonts w:ascii="宋体" w:hAnsi="宋体"/>
          <w:color w:val="auto"/>
          <w:sz w:val="24"/>
          <w:highlight w:val="none"/>
          <w:lang w:val="zh-CN"/>
        </w:rPr>
        <w:t>:</w:t>
      </w:r>
    </w:p>
    <w:p w14:paraId="009B1849">
      <w:pPr>
        <w:autoSpaceDE w:val="0"/>
        <w:autoSpaceDN w:val="0"/>
        <w:spacing w:line="560" w:lineRule="exact"/>
        <w:rPr>
          <w:rFonts w:ascii="宋体" w:hAnsi="宋体"/>
          <w:color w:val="auto"/>
          <w:sz w:val="24"/>
          <w:highlight w:val="none"/>
        </w:rPr>
      </w:pPr>
      <w:r>
        <w:rPr>
          <w:rFonts w:hint="eastAsia" w:ascii="宋体" w:hAnsi="宋体"/>
          <w:color w:val="auto"/>
          <w:sz w:val="24"/>
          <w:highlight w:val="none"/>
          <w:lang w:val="zh-CN"/>
        </w:rPr>
        <w:t>电子邮箱：</w:t>
      </w:r>
      <w:r>
        <w:rPr>
          <w:rFonts w:ascii="宋体" w:hAnsi="宋体"/>
          <w:color w:val="auto"/>
          <w:sz w:val="24"/>
          <w:highlight w:val="none"/>
          <w:lang w:val="zh-CN"/>
        </w:rPr>
        <w:t xml:space="preserve">                               </w:t>
      </w:r>
      <w:r>
        <w:rPr>
          <w:rFonts w:hint="eastAsia" w:ascii="宋体" w:hAnsi="宋体"/>
          <w:color w:val="auto"/>
          <w:sz w:val="24"/>
          <w:highlight w:val="none"/>
          <w:lang w:val="zh-CN"/>
        </w:rPr>
        <w:t>电子邮箱：</w:t>
      </w:r>
    </w:p>
    <w:p w14:paraId="5E6BB4B7">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开户银行：</w:t>
      </w:r>
      <w:r>
        <w:rPr>
          <w:rFonts w:ascii="宋体" w:hAnsi="宋体"/>
          <w:color w:val="auto"/>
          <w:sz w:val="24"/>
          <w:highlight w:val="none"/>
        </w:rPr>
        <w:t xml:space="preserve">                               开户银行： </w:t>
      </w:r>
    </w:p>
    <w:p w14:paraId="6CA46E1C">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开户名称：</w:t>
      </w:r>
      <w:r>
        <w:rPr>
          <w:rFonts w:ascii="宋体" w:hAnsi="宋体"/>
          <w:color w:val="auto"/>
          <w:sz w:val="24"/>
          <w:highlight w:val="none"/>
        </w:rPr>
        <w:t xml:space="preserve">                               开户名称： </w:t>
      </w:r>
    </w:p>
    <w:p w14:paraId="2EB1D20A">
      <w:pPr>
        <w:autoSpaceDE w:val="0"/>
        <w:autoSpaceDN w:val="0"/>
        <w:spacing w:line="560" w:lineRule="exact"/>
        <w:rPr>
          <w:rFonts w:ascii="宋体" w:hAnsi="宋体"/>
          <w:color w:val="auto"/>
          <w:sz w:val="24"/>
          <w:highlight w:val="none"/>
        </w:rPr>
      </w:pPr>
      <w:r>
        <w:rPr>
          <w:rFonts w:hint="eastAsia" w:ascii="宋体" w:hAnsi="宋体"/>
          <w:color w:val="auto"/>
          <w:sz w:val="24"/>
          <w:highlight w:val="none"/>
        </w:rPr>
        <w:t>开户账号：</w:t>
      </w:r>
      <w:r>
        <w:rPr>
          <w:rFonts w:ascii="宋体" w:hAnsi="宋体"/>
          <w:color w:val="auto"/>
          <w:sz w:val="24"/>
          <w:highlight w:val="none"/>
          <w:lang w:val="zh-CN"/>
        </w:rPr>
        <w:t xml:space="preserve">                               </w:t>
      </w:r>
      <w:r>
        <w:rPr>
          <w:rFonts w:hint="eastAsia" w:ascii="宋体" w:hAnsi="宋体"/>
          <w:color w:val="auto"/>
          <w:sz w:val="24"/>
          <w:highlight w:val="none"/>
        </w:rPr>
        <w:t>开户账号：</w:t>
      </w:r>
    </w:p>
    <w:p w14:paraId="5EE7E088">
      <w:pPr>
        <w:widowControl/>
        <w:spacing w:line="560" w:lineRule="exact"/>
        <w:jc w:val="left"/>
        <w:rPr>
          <w:rFonts w:ascii="宋体" w:hAnsi="宋体"/>
          <w:b/>
          <w:color w:val="auto"/>
          <w:sz w:val="24"/>
          <w:highlight w:val="none"/>
        </w:rPr>
      </w:pPr>
    </w:p>
    <w:p w14:paraId="7FB1AA88">
      <w:pPr>
        <w:widowControl/>
        <w:adjustRightInd/>
        <w:jc w:val="left"/>
        <w:rPr>
          <w:rFonts w:ascii="宋体" w:hAnsi="宋体"/>
          <w:b/>
          <w:color w:val="auto"/>
          <w:sz w:val="24"/>
          <w:highlight w:val="none"/>
        </w:rPr>
      </w:pPr>
      <w:r>
        <w:rPr>
          <w:rFonts w:ascii="宋体" w:hAnsi="宋体"/>
          <w:b/>
          <w:color w:val="auto"/>
          <w:highlight w:val="none"/>
        </w:rPr>
        <w:br w:type="page"/>
      </w:r>
    </w:p>
    <w:p w14:paraId="33CF01CB">
      <w:pPr>
        <w:pStyle w:val="702"/>
        <w:spacing w:line="560" w:lineRule="exact"/>
        <w:ind w:firstLine="482"/>
        <w:jc w:val="center"/>
        <w:rPr>
          <w:rFonts w:ascii="宋体" w:hAnsi="宋体"/>
          <w:b/>
          <w:color w:val="auto"/>
          <w:szCs w:val="24"/>
          <w:highlight w:val="none"/>
        </w:rPr>
      </w:pPr>
      <w:r>
        <w:rPr>
          <w:rFonts w:hint="eastAsia" w:ascii="宋体" w:hAnsi="宋体"/>
          <w:b/>
          <w:color w:val="auto"/>
          <w:szCs w:val="24"/>
          <w:highlight w:val="none"/>
        </w:rPr>
        <w:t>第二部分</w:t>
      </w:r>
      <w:r>
        <w:rPr>
          <w:rFonts w:ascii="宋体" w:hAnsi="宋体"/>
          <w:b/>
          <w:color w:val="auto"/>
          <w:szCs w:val="24"/>
          <w:highlight w:val="none"/>
        </w:rPr>
        <w:t xml:space="preserve"> </w:t>
      </w:r>
      <w:r>
        <w:rPr>
          <w:rFonts w:hint="eastAsia" w:ascii="宋体" w:hAnsi="宋体"/>
          <w:b/>
          <w:color w:val="auto"/>
          <w:szCs w:val="24"/>
          <w:highlight w:val="none"/>
        </w:rPr>
        <w:t>合同一般条款</w:t>
      </w:r>
    </w:p>
    <w:p w14:paraId="76C82517">
      <w:pPr>
        <w:spacing w:line="560" w:lineRule="exact"/>
        <w:ind w:firstLine="482" w:firstLineChars="200"/>
        <w:outlineLvl w:val="0"/>
        <w:rPr>
          <w:rFonts w:ascii="宋体" w:hAnsi="宋体"/>
          <w:b/>
          <w:color w:val="auto"/>
          <w:sz w:val="24"/>
          <w:highlight w:val="none"/>
        </w:rPr>
      </w:pPr>
      <w:bookmarkStart w:id="439" w:name="_Toc25079"/>
      <w:bookmarkStart w:id="440" w:name="_Toc5228"/>
      <w:bookmarkStart w:id="441" w:name="_Toc19680"/>
      <w:bookmarkStart w:id="442" w:name="_Toc14021"/>
      <w:bookmarkStart w:id="443" w:name="_Toc31297"/>
      <w:r>
        <w:rPr>
          <w:rFonts w:ascii="宋体" w:hAnsi="宋体"/>
          <w:b/>
          <w:color w:val="auto"/>
          <w:sz w:val="24"/>
          <w:highlight w:val="none"/>
        </w:rPr>
        <w:t>2.1 定义</w:t>
      </w:r>
      <w:bookmarkEnd w:id="439"/>
      <w:bookmarkEnd w:id="440"/>
      <w:bookmarkEnd w:id="441"/>
      <w:bookmarkEnd w:id="442"/>
      <w:bookmarkEnd w:id="443"/>
    </w:p>
    <w:p w14:paraId="5A12A242">
      <w:pPr>
        <w:spacing w:line="560" w:lineRule="exact"/>
        <w:ind w:firstLine="480" w:firstLineChars="200"/>
        <w:rPr>
          <w:rFonts w:ascii="宋体" w:hAnsi="宋体"/>
          <w:color w:val="auto"/>
          <w:sz w:val="24"/>
          <w:highlight w:val="none"/>
        </w:rPr>
      </w:pPr>
      <w:r>
        <w:rPr>
          <w:rFonts w:ascii="宋体" w:hAnsi="宋体"/>
          <w:color w:val="auto"/>
          <w:sz w:val="24"/>
          <w:highlight w:val="none"/>
        </w:rPr>
        <w:t>本合同中的下列</w:t>
      </w:r>
      <w:r>
        <w:rPr>
          <w:rFonts w:hint="eastAsia" w:ascii="宋体" w:hAnsi="宋体"/>
          <w:color w:val="auto"/>
          <w:sz w:val="24"/>
          <w:highlight w:val="none"/>
        </w:rPr>
        <w:t>词</w:t>
      </w:r>
      <w:r>
        <w:rPr>
          <w:rFonts w:ascii="宋体" w:hAnsi="宋体"/>
          <w:color w:val="auto"/>
          <w:sz w:val="24"/>
          <w:highlight w:val="none"/>
        </w:rPr>
        <w:t>语应</w:t>
      </w:r>
      <w:r>
        <w:rPr>
          <w:rFonts w:hint="eastAsia" w:ascii="宋体" w:hAnsi="宋体"/>
          <w:color w:val="auto"/>
          <w:sz w:val="24"/>
          <w:highlight w:val="none"/>
        </w:rPr>
        <w:t>按以下内容进行</w:t>
      </w:r>
      <w:r>
        <w:rPr>
          <w:rFonts w:ascii="宋体" w:hAnsi="宋体"/>
          <w:color w:val="auto"/>
          <w:sz w:val="24"/>
          <w:highlight w:val="none"/>
        </w:rPr>
        <w:t>解释：</w:t>
      </w:r>
    </w:p>
    <w:p w14:paraId="111B7728">
      <w:pPr>
        <w:spacing w:line="560" w:lineRule="exact"/>
        <w:ind w:firstLine="480" w:firstLineChars="200"/>
        <w:rPr>
          <w:rFonts w:ascii="宋体" w:hAnsi="宋体"/>
          <w:color w:val="auto"/>
          <w:sz w:val="24"/>
          <w:highlight w:val="none"/>
        </w:rPr>
      </w:pPr>
      <w:r>
        <w:rPr>
          <w:rFonts w:ascii="宋体" w:hAnsi="宋体"/>
          <w:color w:val="auto"/>
          <w:sz w:val="24"/>
          <w:highlight w:val="none"/>
        </w:rPr>
        <w:t>2.1.1 “合同”系指采购人和</w:t>
      </w:r>
      <w:r>
        <w:rPr>
          <w:rFonts w:hint="eastAsia" w:ascii="宋体" w:hAnsi="宋体" w:cs="宋体"/>
          <w:color w:val="auto"/>
          <w:sz w:val="24"/>
          <w:highlight w:val="none"/>
        </w:rPr>
        <w:t>中标或成交</w:t>
      </w:r>
      <w:r>
        <w:rPr>
          <w:rFonts w:ascii="宋体" w:hAnsi="宋体"/>
          <w:color w:val="auto"/>
          <w:sz w:val="24"/>
          <w:highlight w:val="none"/>
        </w:rPr>
        <w:t>供应商签订的载明双方当事人所达成的协议，并包括所有的附件、附录和构成合同的其他文件。</w:t>
      </w:r>
    </w:p>
    <w:p w14:paraId="19BB149F">
      <w:pPr>
        <w:spacing w:line="560" w:lineRule="exact"/>
        <w:ind w:firstLine="480" w:firstLineChars="200"/>
        <w:rPr>
          <w:rFonts w:ascii="宋体" w:hAnsi="宋体"/>
          <w:color w:val="auto"/>
          <w:sz w:val="24"/>
          <w:highlight w:val="none"/>
        </w:rPr>
      </w:pPr>
      <w:r>
        <w:rPr>
          <w:rFonts w:ascii="宋体" w:hAnsi="宋体"/>
          <w:color w:val="auto"/>
          <w:sz w:val="24"/>
          <w:highlight w:val="none"/>
        </w:rPr>
        <w:t>2.1.2 “合同价”系指根据合同约定，</w:t>
      </w:r>
      <w:r>
        <w:rPr>
          <w:rFonts w:hint="eastAsia" w:ascii="宋体" w:hAnsi="宋体" w:cs="宋体"/>
          <w:color w:val="auto"/>
          <w:sz w:val="24"/>
          <w:highlight w:val="none"/>
        </w:rPr>
        <w:t>中标或成交</w:t>
      </w:r>
      <w:r>
        <w:rPr>
          <w:rFonts w:ascii="宋体" w:hAnsi="宋体"/>
          <w:color w:val="auto"/>
          <w:sz w:val="24"/>
          <w:highlight w:val="none"/>
        </w:rPr>
        <w:t>供应商在完全履行合同义务后</w:t>
      </w:r>
      <w:r>
        <w:rPr>
          <w:rFonts w:hint="eastAsia" w:ascii="宋体" w:hAnsi="宋体"/>
          <w:color w:val="auto"/>
          <w:sz w:val="24"/>
          <w:highlight w:val="none"/>
        </w:rPr>
        <w:t>，</w:t>
      </w:r>
      <w:r>
        <w:rPr>
          <w:rFonts w:ascii="宋体" w:hAnsi="宋体"/>
          <w:color w:val="auto"/>
          <w:sz w:val="24"/>
          <w:highlight w:val="none"/>
        </w:rPr>
        <w:t>采购人应支付给</w:t>
      </w:r>
      <w:r>
        <w:rPr>
          <w:rFonts w:hint="eastAsia" w:ascii="宋体" w:hAnsi="宋体" w:cs="宋体"/>
          <w:color w:val="auto"/>
          <w:sz w:val="24"/>
          <w:highlight w:val="none"/>
        </w:rPr>
        <w:t>中标或成交</w:t>
      </w:r>
      <w:r>
        <w:rPr>
          <w:rFonts w:ascii="宋体" w:hAnsi="宋体"/>
          <w:color w:val="auto"/>
          <w:sz w:val="24"/>
          <w:highlight w:val="none"/>
        </w:rPr>
        <w:t>供应商的价格。</w:t>
      </w:r>
    </w:p>
    <w:p w14:paraId="341A3134">
      <w:pPr>
        <w:spacing w:line="560" w:lineRule="exact"/>
        <w:ind w:firstLine="480" w:firstLineChars="200"/>
        <w:rPr>
          <w:rFonts w:ascii="宋体" w:hAnsi="宋体"/>
          <w:color w:val="auto"/>
          <w:sz w:val="24"/>
          <w:highlight w:val="none"/>
        </w:rPr>
      </w:pPr>
      <w:r>
        <w:rPr>
          <w:rFonts w:ascii="宋体" w:hAnsi="宋体"/>
          <w:color w:val="auto"/>
          <w:sz w:val="24"/>
          <w:highlight w:val="none"/>
        </w:rPr>
        <w:t>2.1.3 “</w:t>
      </w:r>
      <w:r>
        <w:rPr>
          <w:rFonts w:hint="eastAsia" w:ascii="宋体" w:hAnsi="宋体"/>
          <w:color w:val="auto"/>
          <w:sz w:val="24"/>
          <w:highlight w:val="none"/>
        </w:rPr>
        <w:t>服务</w:t>
      </w:r>
      <w:r>
        <w:rPr>
          <w:rFonts w:ascii="宋体" w:hAnsi="宋体"/>
          <w:color w:val="auto"/>
          <w:sz w:val="24"/>
          <w:highlight w:val="none"/>
        </w:rPr>
        <w:t>”系指</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根据合同约定应向采购人</w:t>
      </w:r>
      <w:r>
        <w:rPr>
          <w:rFonts w:hint="eastAsia" w:ascii="宋体" w:hAnsi="宋体"/>
          <w:color w:val="auto"/>
          <w:sz w:val="24"/>
          <w:highlight w:val="none"/>
        </w:rPr>
        <w:t>履行</w:t>
      </w:r>
      <w:r>
        <w:rPr>
          <w:rFonts w:ascii="宋体" w:hAnsi="宋体"/>
          <w:color w:val="auto"/>
          <w:sz w:val="24"/>
          <w:highlight w:val="none"/>
        </w:rPr>
        <w:t>的</w:t>
      </w:r>
      <w:r>
        <w:rPr>
          <w:rFonts w:hint="eastAsia" w:ascii="宋体" w:hAnsi="宋体"/>
          <w:color w:val="auto"/>
          <w:sz w:val="24"/>
          <w:highlight w:val="none"/>
        </w:rPr>
        <w:t>除货物和工程以外的其他政府采购对象，包括采购人自身需要的服务和向社会公众提供的公共服务。</w:t>
      </w:r>
    </w:p>
    <w:p w14:paraId="46FAA11A">
      <w:pPr>
        <w:spacing w:line="560" w:lineRule="exact"/>
        <w:ind w:firstLine="480" w:firstLineChars="200"/>
        <w:rPr>
          <w:rFonts w:ascii="宋体" w:hAnsi="宋体"/>
          <w:color w:val="auto"/>
          <w:sz w:val="24"/>
          <w:highlight w:val="none"/>
        </w:rPr>
      </w:pPr>
      <w:r>
        <w:rPr>
          <w:rFonts w:ascii="宋体" w:hAnsi="宋体"/>
          <w:color w:val="auto"/>
          <w:sz w:val="24"/>
          <w:highlight w:val="none"/>
        </w:rPr>
        <w:t>2.1.4 “</w:t>
      </w:r>
      <w:r>
        <w:rPr>
          <w:rFonts w:hint="eastAsia" w:ascii="宋体" w:hAnsi="宋体"/>
          <w:color w:val="auto"/>
          <w:sz w:val="24"/>
          <w:highlight w:val="none"/>
        </w:rPr>
        <w:t>甲方</w:t>
      </w:r>
      <w:r>
        <w:rPr>
          <w:rFonts w:ascii="宋体" w:hAnsi="宋体"/>
          <w:color w:val="auto"/>
          <w:sz w:val="24"/>
          <w:highlight w:val="none"/>
        </w:rPr>
        <w:t>”系指与</w:t>
      </w:r>
      <w:r>
        <w:rPr>
          <w:rFonts w:hint="eastAsia" w:ascii="宋体" w:hAnsi="宋体" w:cs="宋体"/>
          <w:color w:val="auto"/>
          <w:sz w:val="24"/>
          <w:highlight w:val="none"/>
        </w:rPr>
        <w:t>中标或成交</w:t>
      </w:r>
      <w:r>
        <w:rPr>
          <w:rFonts w:hint="eastAsia" w:ascii="宋体" w:hAnsi="宋体"/>
          <w:color w:val="auto"/>
          <w:sz w:val="24"/>
          <w:highlight w:val="none"/>
        </w:rPr>
        <w:t>供应商</w:t>
      </w:r>
      <w:r>
        <w:rPr>
          <w:rFonts w:ascii="宋体" w:hAnsi="宋体"/>
          <w:color w:val="auto"/>
          <w:sz w:val="24"/>
          <w:highlight w:val="none"/>
        </w:rPr>
        <w:t>签署合同的采购人</w:t>
      </w:r>
      <w:r>
        <w:rPr>
          <w:rFonts w:hint="eastAsia" w:ascii="宋体" w:hAnsi="宋体"/>
          <w:color w:val="auto"/>
          <w:sz w:val="24"/>
          <w:highlight w:val="none"/>
        </w:rPr>
        <w:t>；采购人委托采购代理机构代表其与乙方签订合同的，采购人的授权委托书作为合同附件。</w:t>
      </w:r>
    </w:p>
    <w:p w14:paraId="63F3154D">
      <w:pPr>
        <w:spacing w:line="560" w:lineRule="exact"/>
        <w:ind w:firstLine="480" w:firstLineChars="200"/>
        <w:rPr>
          <w:rFonts w:ascii="宋体" w:hAnsi="宋体"/>
          <w:color w:val="auto"/>
          <w:sz w:val="24"/>
          <w:highlight w:val="none"/>
        </w:rPr>
      </w:pPr>
      <w:r>
        <w:rPr>
          <w:rFonts w:ascii="宋体" w:hAnsi="宋体"/>
          <w:color w:val="auto"/>
          <w:sz w:val="24"/>
          <w:highlight w:val="none"/>
        </w:rPr>
        <w:t>2.1.5 “乙方”系指根据合同约定提供服务的</w:t>
      </w:r>
      <w:r>
        <w:rPr>
          <w:rFonts w:hint="eastAsia" w:ascii="宋体" w:hAnsi="宋体" w:cs="宋体"/>
          <w:color w:val="auto"/>
          <w:sz w:val="24"/>
          <w:highlight w:val="none"/>
        </w:rPr>
        <w:t>中标或成交</w:t>
      </w:r>
      <w:r>
        <w:rPr>
          <w:rFonts w:ascii="宋体" w:hAnsi="宋体"/>
          <w:color w:val="auto"/>
          <w:sz w:val="24"/>
          <w:highlight w:val="none"/>
        </w:rPr>
        <w:t>供应商</w:t>
      </w:r>
      <w:r>
        <w:rPr>
          <w:rFonts w:hint="eastAsia" w:ascii="宋体" w:hAnsi="宋体"/>
          <w:color w:val="auto"/>
          <w:sz w:val="24"/>
          <w:highlight w:val="none"/>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426D2C4">
      <w:pPr>
        <w:spacing w:line="560" w:lineRule="exact"/>
        <w:ind w:firstLine="480" w:firstLineChars="200"/>
        <w:rPr>
          <w:rFonts w:ascii="宋体" w:hAnsi="宋体"/>
          <w:color w:val="auto"/>
          <w:sz w:val="24"/>
          <w:highlight w:val="none"/>
        </w:rPr>
      </w:pPr>
      <w:r>
        <w:rPr>
          <w:rFonts w:ascii="宋体" w:hAnsi="宋体"/>
          <w:color w:val="auto"/>
          <w:sz w:val="24"/>
          <w:highlight w:val="none"/>
        </w:rPr>
        <w:t>2.1.6 “现场”系指合同约定提供服务的地点。</w:t>
      </w:r>
    </w:p>
    <w:p w14:paraId="6B5A301E">
      <w:pPr>
        <w:spacing w:line="560" w:lineRule="exact"/>
        <w:ind w:firstLine="482" w:firstLineChars="200"/>
        <w:outlineLvl w:val="0"/>
        <w:rPr>
          <w:rFonts w:ascii="宋体" w:hAnsi="宋体"/>
          <w:b/>
          <w:color w:val="auto"/>
          <w:sz w:val="24"/>
          <w:highlight w:val="none"/>
        </w:rPr>
      </w:pPr>
      <w:bookmarkStart w:id="444" w:name="_Toc16752"/>
      <w:bookmarkStart w:id="445" w:name="_Toc31402"/>
      <w:bookmarkStart w:id="446" w:name="_Toc19539"/>
      <w:bookmarkStart w:id="447" w:name="_Toc3769"/>
      <w:bookmarkStart w:id="448" w:name="_Toc23289"/>
      <w:r>
        <w:rPr>
          <w:rFonts w:ascii="宋体" w:hAnsi="宋体"/>
          <w:b/>
          <w:color w:val="auto"/>
          <w:sz w:val="24"/>
          <w:highlight w:val="none"/>
        </w:rPr>
        <w:t>2.2 技术规范</w:t>
      </w:r>
      <w:bookmarkEnd w:id="444"/>
      <w:bookmarkEnd w:id="445"/>
      <w:bookmarkEnd w:id="446"/>
      <w:bookmarkEnd w:id="447"/>
      <w:bookmarkEnd w:id="448"/>
    </w:p>
    <w:p w14:paraId="66041616">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服务</w:t>
      </w:r>
      <w:r>
        <w:rPr>
          <w:rFonts w:ascii="宋体" w:hAnsi="宋体"/>
          <w:color w:val="auto"/>
          <w:sz w:val="24"/>
          <w:highlight w:val="none"/>
        </w:rPr>
        <w:t>所应遵守的技术规范应与采购文件规定的技术规范和技术规范附件(如果有的话)及其技术规范偏差表(如果被甲方接受的话)相一致</w:t>
      </w:r>
      <w:r>
        <w:rPr>
          <w:rFonts w:hint="eastAsia" w:ascii="宋体" w:hAnsi="宋体"/>
          <w:color w:val="auto"/>
          <w:sz w:val="24"/>
          <w:highlight w:val="none"/>
        </w:rPr>
        <w:t>；</w:t>
      </w:r>
      <w:r>
        <w:rPr>
          <w:rFonts w:ascii="宋体" w:hAnsi="宋体"/>
          <w:color w:val="auto"/>
          <w:sz w:val="24"/>
          <w:highlight w:val="none"/>
        </w:rPr>
        <w:t>如果采购文件中没有技术规范的相应说明，那么应以国家有关部门最新颁布的相应标准</w:t>
      </w:r>
      <w:r>
        <w:rPr>
          <w:rFonts w:hint="eastAsia" w:ascii="宋体" w:hAnsi="宋体"/>
          <w:color w:val="auto"/>
          <w:sz w:val="24"/>
          <w:highlight w:val="none"/>
        </w:rPr>
        <w:t>和</w:t>
      </w:r>
      <w:r>
        <w:rPr>
          <w:rFonts w:ascii="宋体" w:hAnsi="宋体"/>
          <w:color w:val="auto"/>
          <w:sz w:val="24"/>
          <w:highlight w:val="none"/>
        </w:rPr>
        <w:t>规范为准。</w:t>
      </w:r>
    </w:p>
    <w:p w14:paraId="71F7C15A">
      <w:pPr>
        <w:spacing w:line="560" w:lineRule="exact"/>
        <w:ind w:firstLine="482" w:firstLineChars="200"/>
        <w:outlineLvl w:val="0"/>
        <w:rPr>
          <w:rFonts w:ascii="宋体" w:hAnsi="宋体"/>
          <w:b/>
          <w:color w:val="auto"/>
          <w:sz w:val="24"/>
          <w:highlight w:val="none"/>
        </w:rPr>
      </w:pPr>
      <w:bookmarkStart w:id="449" w:name="_Toc12412"/>
      <w:bookmarkStart w:id="450" w:name="_Toc27945"/>
      <w:bookmarkStart w:id="451" w:name="_Toc13673"/>
      <w:bookmarkStart w:id="452" w:name="_Toc4133"/>
      <w:bookmarkStart w:id="453" w:name="_Toc9161"/>
      <w:r>
        <w:rPr>
          <w:rFonts w:ascii="宋体" w:hAnsi="宋体"/>
          <w:b/>
          <w:color w:val="auto"/>
          <w:sz w:val="24"/>
          <w:highlight w:val="none"/>
        </w:rPr>
        <w:t>2.3 知识产权</w:t>
      </w:r>
      <w:bookmarkEnd w:id="449"/>
      <w:bookmarkEnd w:id="450"/>
      <w:bookmarkEnd w:id="451"/>
      <w:bookmarkEnd w:id="452"/>
      <w:bookmarkEnd w:id="453"/>
    </w:p>
    <w:p w14:paraId="7714C06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2.3.1 </w:t>
      </w:r>
      <w:r>
        <w:rPr>
          <w:rFonts w:hint="eastAsia" w:ascii="宋体" w:hAnsi="宋体"/>
          <w:color w:val="auto"/>
          <w:sz w:val="24"/>
          <w:highlight w:val="none"/>
        </w:rPr>
        <w:t>乙</w:t>
      </w:r>
      <w:r>
        <w:rPr>
          <w:rFonts w:ascii="宋体" w:hAnsi="宋体"/>
          <w:color w:val="auto"/>
          <w:sz w:val="24"/>
          <w:highlight w:val="none"/>
        </w:rPr>
        <w:t>方应保证</w:t>
      </w:r>
      <w:r>
        <w:rPr>
          <w:rFonts w:hint="eastAsia" w:ascii="宋体" w:hAnsi="宋体"/>
          <w:color w:val="auto"/>
          <w:sz w:val="24"/>
          <w:highlight w:val="none"/>
        </w:rPr>
        <w:t>其提供的服务</w:t>
      </w:r>
      <w:r>
        <w:rPr>
          <w:rFonts w:ascii="宋体" w:hAnsi="宋体"/>
          <w:color w:val="auto"/>
          <w:sz w:val="24"/>
          <w:highlight w:val="none"/>
        </w:rPr>
        <w:t>不受任何第三方提出的侵犯其著作权、商标权、专利权等知识产权方面的起诉</w:t>
      </w:r>
      <w:r>
        <w:rPr>
          <w:rFonts w:hint="eastAsia" w:ascii="宋体" w:hAnsi="宋体"/>
          <w:color w:val="auto"/>
          <w:sz w:val="24"/>
          <w:highlight w:val="none"/>
        </w:rPr>
        <w:t>；</w:t>
      </w:r>
      <w:r>
        <w:rPr>
          <w:rFonts w:ascii="宋体" w:hAnsi="宋体"/>
          <w:color w:val="auto"/>
          <w:sz w:val="24"/>
          <w:highlight w:val="none"/>
        </w:rPr>
        <w:t>如果任何第三方提出侵权</w:t>
      </w:r>
      <w:r>
        <w:rPr>
          <w:rFonts w:hint="eastAsia" w:ascii="宋体" w:hAnsi="宋体"/>
          <w:color w:val="auto"/>
          <w:sz w:val="24"/>
          <w:highlight w:val="none"/>
        </w:rPr>
        <w:t>指控</w:t>
      </w:r>
      <w:r>
        <w:rPr>
          <w:rFonts w:ascii="宋体" w:hAnsi="宋体"/>
          <w:color w:val="auto"/>
          <w:sz w:val="24"/>
          <w:highlight w:val="none"/>
        </w:rPr>
        <w:t>，那么乙方须与该第三方交涉并承担由此发生的一切责任、费用和赔偿</w:t>
      </w:r>
      <w:r>
        <w:rPr>
          <w:rFonts w:hint="eastAsia" w:ascii="宋体" w:hAnsi="宋体"/>
          <w:color w:val="auto"/>
          <w:sz w:val="24"/>
          <w:highlight w:val="none"/>
        </w:rPr>
        <w:t>，乙方还应及时澄清相关信息，使甲方声誉免受损害，甲方保留追责的权利。</w:t>
      </w:r>
    </w:p>
    <w:p w14:paraId="575EE480">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2.3.2 </w:t>
      </w:r>
      <w:r>
        <w:rPr>
          <w:rFonts w:hint="eastAsia" w:ascii="宋体" w:hAnsi="宋体"/>
          <w:color w:val="auto"/>
          <w:sz w:val="24"/>
          <w:highlight w:val="none"/>
        </w:rPr>
        <w:t>合同涉及技术成果的归属和收益的分成办法的，</w:t>
      </w: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47E4E11B">
      <w:pPr>
        <w:spacing w:line="560" w:lineRule="exact"/>
        <w:ind w:firstLine="482" w:firstLineChars="200"/>
        <w:rPr>
          <w:rFonts w:ascii="宋体" w:hAnsi="宋体"/>
          <w:b/>
          <w:color w:val="auto"/>
          <w:sz w:val="24"/>
          <w:highlight w:val="none"/>
        </w:rPr>
      </w:pPr>
      <w:r>
        <w:rPr>
          <w:rFonts w:ascii="宋体" w:hAnsi="宋体"/>
          <w:b/>
          <w:color w:val="auto"/>
          <w:sz w:val="24"/>
          <w:highlight w:val="none"/>
        </w:rPr>
        <w:t xml:space="preserve">2.4 </w:t>
      </w:r>
      <w:r>
        <w:rPr>
          <w:rFonts w:hint="eastAsia" w:ascii="宋体" w:hAnsi="宋体"/>
          <w:b/>
          <w:color w:val="auto"/>
          <w:sz w:val="24"/>
          <w:highlight w:val="none"/>
        </w:rPr>
        <w:t>履约检查和问题反馈</w:t>
      </w:r>
    </w:p>
    <w:p w14:paraId="452AE615">
      <w:pPr>
        <w:spacing w:line="560" w:lineRule="exact"/>
        <w:ind w:firstLine="480" w:firstLineChars="200"/>
        <w:rPr>
          <w:rFonts w:ascii="宋体" w:hAnsi="宋体"/>
          <w:color w:val="auto"/>
          <w:sz w:val="24"/>
          <w:highlight w:val="none"/>
        </w:rPr>
      </w:pPr>
      <w:r>
        <w:rPr>
          <w:rFonts w:ascii="宋体" w:hAnsi="宋体"/>
          <w:color w:val="auto"/>
          <w:sz w:val="24"/>
          <w:highlight w:val="none"/>
        </w:rPr>
        <w:t>2.4.1甲方</w:t>
      </w:r>
      <w:r>
        <w:rPr>
          <w:rFonts w:hint="eastAsia" w:ascii="宋体" w:hAnsi="宋体"/>
          <w:color w:val="auto"/>
          <w:sz w:val="24"/>
          <w:highlight w:val="none"/>
        </w:rPr>
        <w:t>有权</w:t>
      </w:r>
      <w:r>
        <w:rPr>
          <w:rFonts w:ascii="宋体" w:hAnsi="宋体"/>
          <w:color w:val="auto"/>
          <w:sz w:val="24"/>
          <w:highlight w:val="none"/>
        </w:rPr>
        <w:t>在其认为必要时</w:t>
      </w:r>
      <w:r>
        <w:rPr>
          <w:rFonts w:hint="eastAsia" w:ascii="宋体" w:hAnsi="宋体"/>
          <w:color w:val="auto"/>
          <w:sz w:val="24"/>
          <w:highlight w:val="none"/>
        </w:rPr>
        <w:t>，对乙方是否能够按照合同约定提供服务进行履约检查，以确保乙方所提供的服务能够依约满足甲方之项目需求，但不得因履约检查妨碍乙方的正常工作，乙方应予积极配合；</w:t>
      </w:r>
    </w:p>
    <w:p w14:paraId="467F434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2.4.2 </w:t>
      </w:r>
      <w:r>
        <w:rPr>
          <w:rFonts w:hint="eastAsia" w:ascii="宋体" w:hAnsi="宋体"/>
          <w:color w:val="auto"/>
          <w:sz w:val="24"/>
          <w:highlight w:val="none"/>
        </w:rPr>
        <w:t>合同履行期间，甲方有权将履行过程中出现的问题反馈给乙方，双方当事人应以书面形式约定需要完善和改进的内容。</w:t>
      </w:r>
    </w:p>
    <w:p w14:paraId="202BEA7A">
      <w:pPr>
        <w:spacing w:line="560" w:lineRule="exact"/>
        <w:ind w:firstLine="482" w:firstLineChars="200"/>
        <w:outlineLvl w:val="0"/>
        <w:rPr>
          <w:rFonts w:ascii="宋体" w:hAnsi="宋体"/>
          <w:b/>
          <w:color w:val="auto"/>
          <w:sz w:val="24"/>
          <w:highlight w:val="none"/>
        </w:rPr>
      </w:pPr>
      <w:bookmarkStart w:id="454" w:name="_Toc32670"/>
      <w:bookmarkStart w:id="455" w:name="_Toc26555"/>
      <w:bookmarkStart w:id="456" w:name="_Toc22011"/>
      <w:bookmarkStart w:id="457" w:name="_Toc31233"/>
      <w:bookmarkStart w:id="458" w:name="_Toc15447"/>
      <w:r>
        <w:rPr>
          <w:rFonts w:ascii="宋体" w:hAnsi="宋体"/>
          <w:b/>
          <w:color w:val="auto"/>
          <w:sz w:val="24"/>
          <w:highlight w:val="none"/>
        </w:rPr>
        <w:t>2.5 结算方式和付款条件</w:t>
      </w:r>
      <w:bookmarkEnd w:id="454"/>
      <w:bookmarkEnd w:id="455"/>
      <w:bookmarkEnd w:id="456"/>
      <w:bookmarkEnd w:id="457"/>
      <w:bookmarkEnd w:id="458"/>
    </w:p>
    <w:p w14:paraId="4529D15D">
      <w:pPr>
        <w:spacing w:line="560" w:lineRule="exact"/>
        <w:ind w:firstLine="480" w:firstLineChars="200"/>
        <w:rPr>
          <w:rFonts w:ascii="宋体" w:hAnsi="宋体"/>
          <w:color w:val="auto"/>
          <w:sz w:val="24"/>
          <w:highlight w:val="none"/>
        </w:rPr>
      </w:pPr>
      <w:r>
        <w:rPr>
          <w:rFonts w:ascii="宋体" w:hAnsi="宋体"/>
          <w:color w:val="auto"/>
          <w:sz w:val="24"/>
          <w:highlight w:val="none"/>
        </w:rPr>
        <w:t>详见</w:t>
      </w:r>
      <w:r>
        <w:rPr>
          <w:rFonts w:ascii="宋体" w:hAnsi="宋体"/>
          <w:b/>
          <w:i/>
          <w:color w:val="auto"/>
          <w:sz w:val="24"/>
          <w:highlight w:val="none"/>
          <w:u w:val="single"/>
        </w:rPr>
        <w:t>合同专用条款</w:t>
      </w:r>
      <w:r>
        <w:rPr>
          <w:rFonts w:ascii="宋体" w:hAnsi="宋体"/>
          <w:color w:val="auto"/>
          <w:sz w:val="24"/>
          <w:highlight w:val="none"/>
        </w:rPr>
        <w:t>。</w:t>
      </w:r>
    </w:p>
    <w:p w14:paraId="055478F5">
      <w:pPr>
        <w:spacing w:line="560" w:lineRule="exact"/>
        <w:ind w:firstLine="482" w:firstLineChars="200"/>
        <w:outlineLvl w:val="0"/>
        <w:rPr>
          <w:rFonts w:ascii="宋体" w:hAnsi="宋体"/>
          <w:b/>
          <w:color w:val="auto"/>
          <w:sz w:val="24"/>
          <w:highlight w:val="none"/>
        </w:rPr>
      </w:pPr>
      <w:bookmarkStart w:id="459" w:name="_Toc13154"/>
      <w:bookmarkStart w:id="460" w:name="_Toc18990"/>
      <w:bookmarkStart w:id="461" w:name="_Toc13467"/>
      <w:bookmarkStart w:id="462" w:name="_Toc16163"/>
      <w:bookmarkStart w:id="463" w:name="_Toc30507"/>
      <w:r>
        <w:rPr>
          <w:rFonts w:ascii="宋体" w:hAnsi="宋体"/>
          <w:b/>
          <w:color w:val="auto"/>
          <w:sz w:val="24"/>
          <w:highlight w:val="none"/>
        </w:rPr>
        <w:t>2.6 技术资料和保密义务</w:t>
      </w:r>
      <w:bookmarkEnd w:id="459"/>
      <w:bookmarkEnd w:id="460"/>
      <w:bookmarkEnd w:id="461"/>
      <w:bookmarkEnd w:id="462"/>
      <w:bookmarkEnd w:id="463"/>
    </w:p>
    <w:p w14:paraId="623AE50C">
      <w:pPr>
        <w:spacing w:line="560" w:lineRule="exact"/>
        <w:ind w:firstLine="480" w:firstLineChars="200"/>
        <w:rPr>
          <w:rFonts w:ascii="宋体" w:hAnsi="宋体"/>
          <w:color w:val="auto"/>
          <w:sz w:val="24"/>
          <w:highlight w:val="none"/>
        </w:rPr>
      </w:pPr>
      <w:r>
        <w:rPr>
          <w:rFonts w:ascii="宋体" w:hAnsi="宋体"/>
          <w:color w:val="auto"/>
          <w:sz w:val="24"/>
          <w:highlight w:val="none"/>
        </w:rPr>
        <w:t>2.6.1 乙方有权依据合同约定和项目需要，向甲方了解有关情况，调阅有关资料等，甲方应予积极配合；</w:t>
      </w:r>
    </w:p>
    <w:p w14:paraId="4D3729D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2.6.2 </w:t>
      </w:r>
      <w:r>
        <w:rPr>
          <w:rFonts w:hint="eastAsia" w:ascii="宋体" w:hAnsi="宋体"/>
          <w:color w:val="auto"/>
          <w:sz w:val="24"/>
          <w:highlight w:val="none"/>
        </w:rPr>
        <w:t>乙方有义务妥善保管和保护由甲方提供的前款信息和资料等；</w:t>
      </w:r>
    </w:p>
    <w:p w14:paraId="446500AC">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2.6.3 </w:t>
      </w:r>
      <w:r>
        <w:rPr>
          <w:rFonts w:hint="eastAsia" w:ascii="宋体" w:hAnsi="宋体"/>
          <w:color w:val="auto"/>
          <w:sz w:val="24"/>
          <w:highlight w:val="none"/>
        </w:rPr>
        <w:t>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color w:val="auto"/>
          <w:sz w:val="24"/>
          <w:highlight w:val="none"/>
        </w:rPr>
        <w:t>技术情报</w:t>
      </w:r>
      <w:r>
        <w:rPr>
          <w:rFonts w:hint="eastAsia" w:ascii="宋体" w:hAnsi="宋体"/>
          <w:color w:val="auto"/>
          <w:sz w:val="24"/>
          <w:highlight w:val="none"/>
        </w:rPr>
        <w:t>、</w:t>
      </w:r>
      <w:r>
        <w:rPr>
          <w:rFonts w:ascii="宋体" w:hAnsi="宋体"/>
          <w:color w:val="auto"/>
          <w:sz w:val="24"/>
          <w:highlight w:val="none"/>
        </w:rPr>
        <w:t>技术资料</w:t>
      </w:r>
      <w:r>
        <w:rPr>
          <w:rFonts w:hint="eastAsia" w:ascii="宋体" w:hAnsi="宋体"/>
          <w:color w:val="auto"/>
          <w:sz w:val="24"/>
          <w:highlight w:val="none"/>
        </w:rPr>
        <w:t>、商业秘密和商业信息等，并采取一切合理和必要措施和方式防止任何第三方接触到对方当事人的上述保密信息和资料。</w:t>
      </w:r>
    </w:p>
    <w:p w14:paraId="7DD935D1">
      <w:pPr>
        <w:spacing w:line="560" w:lineRule="exact"/>
        <w:ind w:firstLine="482" w:firstLineChars="200"/>
        <w:outlineLvl w:val="0"/>
        <w:rPr>
          <w:rFonts w:ascii="宋体" w:hAnsi="宋体"/>
          <w:b/>
          <w:color w:val="auto"/>
          <w:sz w:val="24"/>
          <w:highlight w:val="none"/>
        </w:rPr>
      </w:pPr>
      <w:bookmarkStart w:id="464" w:name="_Toc19069"/>
      <w:r>
        <w:rPr>
          <w:rFonts w:ascii="宋体" w:hAnsi="宋体"/>
          <w:b/>
          <w:color w:val="auto"/>
          <w:sz w:val="24"/>
          <w:highlight w:val="none"/>
        </w:rPr>
        <w:t xml:space="preserve">2.7 </w:t>
      </w:r>
      <w:r>
        <w:rPr>
          <w:rFonts w:hint="eastAsia" w:ascii="宋体" w:hAnsi="宋体"/>
          <w:b/>
          <w:color w:val="auto"/>
          <w:sz w:val="24"/>
          <w:highlight w:val="none"/>
        </w:rPr>
        <w:t>质量保证</w:t>
      </w:r>
      <w:bookmarkEnd w:id="464"/>
    </w:p>
    <w:p w14:paraId="02CCDF4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2.7.1 </w:t>
      </w:r>
      <w:r>
        <w:rPr>
          <w:rFonts w:hint="eastAsia" w:ascii="宋体" w:hAnsi="宋体"/>
          <w:color w:val="auto"/>
          <w:sz w:val="24"/>
          <w:highlight w:val="none"/>
        </w:rPr>
        <w:t>乙方应建立和完善履行合同的内部质量保证体系，并提供相关内部规章制度给甲方，以便甲方进行监督检查；</w:t>
      </w:r>
    </w:p>
    <w:p w14:paraId="4D4BBF93">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2.7.2 </w:t>
      </w:r>
      <w:r>
        <w:rPr>
          <w:rFonts w:hint="eastAsia" w:ascii="宋体" w:hAnsi="宋体"/>
          <w:color w:val="auto"/>
          <w:sz w:val="24"/>
          <w:highlight w:val="none"/>
        </w:rPr>
        <w:t>乙方应保证履行合同的人员数量和素质、软件和硬件设备的配置、场地、环境和设施等满足全面履行合同的要求，并应接受甲方的监督检查。</w:t>
      </w:r>
    </w:p>
    <w:p w14:paraId="7A7AA29E">
      <w:pPr>
        <w:spacing w:line="560" w:lineRule="exact"/>
        <w:ind w:firstLine="482" w:firstLineChars="200"/>
        <w:outlineLvl w:val="0"/>
        <w:rPr>
          <w:rFonts w:ascii="宋体" w:hAnsi="宋体"/>
          <w:b/>
          <w:color w:val="auto"/>
          <w:sz w:val="24"/>
          <w:highlight w:val="none"/>
        </w:rPr>
      </w:pPr>
      <w:bookmarkStart w:id="465" w:name="_Toc22267"/>
      <w:r>
        <w:rPr>
          <w:rFonts w:ascii="宋体" w:hAnsi="宋体"/>
          <w:b/>
          <w:color w:val="auto"/>
          <w:sz w:val="24"/>
          <w:highlight w:val="none"/>
        </w:rPr>
        <w:t xml:space="preserve">2.8 </w:t>
      </w:r>
      <w:r>
        <w:rPr>
          <w:rFonts w:hint="eastAsia" w:ascii="宋体" w:hAnsi="宋体"/>
          <w:b/>
          <w:color w:val="auto"/>
          <w:sz w:val="24"/>
          <w:highlight w:val="none"/>
        </w:rPr>
        <w:t>延迟履行</w:t>
      </w:r>
      <w:bookmarkEnd w:id="465"/>
    </w:p>
    <w:p w14:paraId="7F3961DF">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甲乙双方签订合同后，乙方应按照合同约定履行合同义务，除不可抗力外，乙方不得延迟履行。</w:t>
      </w:r>
      <w:r>
        <w:rPr>
          <w:rFonts w:ascii="宋体" w:hAnsi="宋体"/>
          <w:color w:val="auto"/>
          <w:sz w:val="24"/>
          <w:highlight w:val="none"/>
        </w:rPr>
        <w:t>在合同履行过程中，如果</w:t>
      </w:r>
      <w:r>
        <w:rPr>
          <w:rFonts w:hint="eastAsia" w:ascii="宋体" w:hAnsi="宋体"/>
          <w:color w:val="auto"/>
          <w:sz w:val="24"/>
          <w:highlight w:val="none"/>
        </w:rPr>
        <w:t>因不可抗力，</w:t>
      </w:r>
      <w:r>
        <w:rPr>
          <w:rFonts w:ascii="宋体" w:hAnsi="宋体"/>
          <w:color w:val="auto"/>
          <w:sz w:val="24"/>
          <w:highlight w:val="none"/>
        </w:rPr>
        <w:t>乙方遇到不能按时</w:t>
      </w:r>
      <w:r>
        <w:rPr>
          <w:rFonts w:hint="eastAsia" w:ascii="宋体" w:hAnsi="宋体"/>
          <w:color w:val="auto"/>
          <w:sz w:val="24"/>
          <w:highlight w:val="none"/>
        </w:rPr>
        <w:t>提供服务</w:t>
      </w:r>
      <w:r>
        <w:rPr>
          <w:rFonts w:ascii="宋体" w:hAnsi="宋体"/>
          <w:color w:val="auto"/>
          <w:sz w:val="24"/>
          <w:highlight w:val="none"/>
        </w:rPr>
        <w:t>的情况，应及时以书面形式将不能按时</w:t>
      </w:r>
      <w:r>
        <w:rPr>
          <w:rFonts w:hint="eastAsia" w:ascii="宋体" w:hAnsi="宋体"/>
          <w:color w:val="auto"/>
          <w:sz w:val="24"/>
          <w:highlight w:val="none"/>
        </w:rPr>
        <w:t>提供服务</w:t>
      </w:r>
      <w:r>
        <w:rPr>
          <w:rFonts w:ascii="宋体" w:hAnsi="宋体"/>
          <w:color w:val="auto"/>
          <w:sz w:val="24"/>
          <w:highlight w:val="none"/>
        </w:rPr>
        <w:t>的理由、预期延误时间通知甲方</w:t>
      </w:r>
      <w:r>
        <w:rPr>
          <w:rFonts w:hint="eastAsia" w:ascii="宋体" w:hAnsi="宋体"/>
          <w:color w:val="auto"/>
          <w:sz w:val="24"/>
          <w:highlight w:val="none"/>
        </w:rPr>
        <w:t>；甲</w:t>
      </w:r>
      <w:r>
        <w:rPr>
          <w:rFonts w:ascii="宋体" w:hAnsi="宋体"/>
          <w:color w:val="auto"/>
          <w:sz w:val="24"/>
          <w:highlight w:val="none"/>
        </w:rPr>
        <w:t>方收到乙方通知后，认为其理由正当的，可以书面形式酌情同意乙方可以延长</w:t>
      </w:r>
      <w:r>
        <w:rPr>
          <w:rFonts w:hint="eastAsia" w:ascii="宋体" w:hAnsi="宋体"/>
          <w:color w:val="auto"/>
          <w:sz w:val="24"/>
          <w:highlight w:val="none"/>
        </w:rPr>
        <w:t>履行</w:t>
      </w:r>
      <w:r>
        <w:rPr>
          <w:rFonts w:ascii="宋体" w:hAnsi="宋体"/>
          <w:color w:val="auto"/>
          <w:sz w:val="24"/>
          <w:highlight w:val="none"/>
        </w:rPr>
        <w:t>的具体时间。</w:t>
      </w:r>
    </w:p>
    <w:p w14:paraId="534584C3">
      <w:pPr>
        <w:spacing w:line="560" w:lineRule="exact"/>
        <w:ind w:firstLine="482" w:firstLineChars="200"/>
        <w:outlineLvl w:val="0"/>
        <w:rPr>
          <w:rFonts w:ascii="宋体" w:hAnsi="宋体"/>
          <w:b/>
          <w:color w:val="auto"/>
          <w:sz w:val="24"/>
          <w:highlight w:val="none"/>
        </w:rPr>
      </w:pPr>
      <w:bookmarkStart w:id="466" w:name="_Toc10611"/>
      <w:r>
        <w:rPr>
          <w:rFonts w:ascii="宋体" w:hAnsi="宋体"/>
          <w:b/>
          <w:color w:val="auto"/>
          <w:sz w:val="24"/>
          <w:highlight w:val="none"/>
        </w:rPr>
        <w:t xml:space="preserve">2.9 </w:t>
      </w:r>
      <w:r>
        <w:rPr>
          <w:rFonts w:hint="eastAsia" w:ascii="宋体" w:hAnsi="宋体"/>
          <w:b/>
          <w:color w:val="auto"/>
          <w:sz w:val="24"/>
          <w:highlight w:val="none"/>
        </w:rPr>
        <w:t>合同变更</w:t>
      </w:r>
      <w:bookmarkEnd w:id="466"/>
    </w:p>
    <w:p w14:paraId="508ABCA9">
      <w:pPr>
        <w:spacing w:line="560" w:lineRule="exact"/>
        <w:ind w:firstLine="480" w:firstLineChars="200"/>
        <w:rPr>
          <w:rFonts w:ascii="宋体" w:hAnsi="宋体"/>
          <w:color w:val="auto"/>
          <w:sz w:val="24"/>
          <w:highlight w:val="none"/>
        </w:rPr>
      </w:pPr>
      <w:r>
        <w:rPr>
          <w:rFonts w:hint="eastAsia" w:ascii="宋体" w:hAnsi="宋体"/>
          <w:color w:val="auto"/>
          <w:sz w:val="24"/>
          <w:highlight w:val="none"/>
        </w:rPr>
        <w:t>合同继续履行将损害国家利益和社会公共利益的，双方当事人应当以书面形式变更合同。有过错的一方应当承担赔偿责任，双方当事人都有过错的，各自承担相应的责任。</w:t>
      </w:r>
    </w:p>
    <w:p w14:paraId="1AA1263B">
      <w:pPr>
        <w:spacing w:line="560" w:lineRule="exact"/>
        <w:ind w:firstLine="482" w:firstLineChars="200"/>
        <w:outlineLvl w:val="0"/>
        <w:rPr>
          <w:rFonts w:ascii="宋体" w:hAnsi="宋体"/>
          <w:b/>
          <w:color w:val="auto"/>
          <w:sz w:val="24"/>
          <w:highlight w:val="none"/>
        </w:rPr>
      </w:pPr>
      <w:bookmarkStart w:id="467" w:name="_Toc26689"/>
      <w:bookmarkStart w:id="468" w:name="_Toc21830"/>
      <w:bookmarkStart w:id="469" w:name="_Toc10663"/>
      <w:bookmarkStart w:id="470" w:name="_Toc23368"/>
      <w:bookmarkStart w:id="471" w:name="_Toc42"/>
      <w:r>
        <w:rPr>
          <w:rFonts w:ascii="宋体" w:hAnsi="宋体"/>
          <w:b/>
          <w:color w:val="auto"/>
          <w:sz w:val="24"/>
          <w:highlight w:val="none"/>
        </w:rPr>
        <w:t>2.10 合同转让和分包</w:t>
      </w:r>
      <w:bookmarkEnd w:id="467"/>
      <w:bookmarkEnd w:id="468"/>
      <w:bookmarkEnd w:id="469"/>
      <w:bookmarkEnd w:id="470"/>
      <w:bookmarkEnd w:id="471"/>
    </w:p>
    <w:p w14:paraId="3FA7DC36">
      <w:pPr>
        <w:spacing w:line="560" w:lineRule="exact"/>
        <w:ind w:firstLine="480" w:firstLineChars="200"/>
        <w:rPr>
          <w:rFonts w:ascii="宋体" w:hAnsi="宋体"/>
          <w:color w:val="auto"/>
          <w:sz w:val="24"/>
          <w:highlight w:val="none"/>
        </w:rPr>
      </w:pPr>
      <w:r>
        <w:rPr>
          <w:rFonts w:ascii="宋体" w:hAnsi="宋体"/>
          <w:color w:val="auto"/>
          <w:sz w:val="24"/>
          <w:highlight w:val="none"/>
        </w:rPr>
        <w:t>合同的权利义务依法不</w:t>
      </w:r>
      <w:r>
        <w:rPr>
          <w:rFonts w:hint="eastAsia" w:ascii="宋体" w:hAnsi="宋体"/>
          <w:color w:val="auto"/>
          <w:sz w:val="24"/>
          <w:highlight w:val="none"/>
        </w:rPr>
        <w:t>得</w:t>
      </w:r>
      <w:r>
        <w:rPr>
          <w:rFonts w:ascii="宋体" w:hAnsi="宋体"/>
          <w:color w:val="auto"/>
          <w:sz w:val="24"/>
          <w:highlight w:val="none"/>
        </w:rPr>
        <w:t>转让</w:t>
      </w:r>
      <w:r>
        <w:rPr>
          <w:rFonts w:hint="eastAsia" w:ascii="宋体" w:hAnsi="宋体"/>
          <w:color w:val="auto"/>
          <w:sz w:val="24"/>
          <w:highlight w:val="none"/>
        </w:rPr>
        <w:t>，</w:t>
      </w:r>
      <w:r>
        <w:rPr>
          <w:rFonts w:ascii="宋体" w:hAnsi="宋体"/>
          <w:color w:val="auto"/>
          <w:sz w:val="24"/>
          <w:highlight w:val="none"/>
        </w:rPr>
        <w:t>但经甲方</w:t>
      </w:r>
      <w:r>
        <w:rPr>
          <w:rFonts w:hint="eastAsia" w:ascii="宋体" w:hAnsi="宋体"/>
          <w:color w:val="auto"/>
          <w:sz w:val="24"/>
          <w:highlight w:val="none"/>
        </w:rPr>
        <w:t>同意，乙方可以依法采取分包方式履行合同，即：依法可以</w:t>
      </w:r>
      <w:r>
        <w:rPr>
          <w:rFonts w:ascii="宋体" w:hAnsi="宋体"/>
          <w:color w:val="auto"/>
          <w:sz w:val="24"/>
          <w:highlight w:val="none"/>
        </w:rPr>
        <w:t>将合同项下的部分非主体、非关键性工作分包给他人完成</w:t>
      </w:r>
      <w:r>
        <w:rPr>
          <w:rFonts w:hint="eastAsia" w:ascii="宋体" w:hAnsi="宋体"/>
          <w:color w:val="auto"/>
          <w:sz w:val="24"/>
          <w:highlight w:val="none"/>
        </w:rPr>
        <w:t>，</w:t>
      </w:r>
      <w:r>
        <w:rPr>
          <w:rFonts w:ascii="宋体" w:hAnsi="宋体"/>
          <w:color w:val="auto"/>
          <w:sz w:val="24"/>
          <w:highlight w:val="none"/>
        </w:rPr>
        <w:t>接受分包的人应当具备相应的资格条件，并不得再次分包</w:t>
      </w:r>
      <w:r>
        <w:rPr>
          <w:rFonts w:hint="eastAsia" w:ascii="宋体" w:hAnsi="宋体"/>
          <w:color w:val="auto"/>
          <w:sz w:val="24"/>
          <w:highlight w:val="none"/>
        </w:rPr>
        <w:t>，</w:t>
      </w:r>
      <w:r>
        <w:rPr>
          <w:rFonts w:ascii="宋体" w:hAnsi="宋体"/>
          <w:color w:val="auto"/>
          <w:sz w:val="24"/>
          <w:highlight w:val="none"/>
        </w:rPr>
        <w:t>且乙方应就分包项目向甲方负责</w:t>
      </w:r>
      <w:r>
        <w:rPr>
          <w:rFonts w:hint="eastAsia" w:ascii="宋体" w:hAnsi="宋体"/>
          <w:color w:val="auto"/>
          <w:sz w:val="24"/>
          <w:highlight w:val="none"/>
        </w:rPr>
        <w:t>，</w:t>
      </w:r>
      <w:r>
        <w:rPr>
          <w:rFonts w:ascii="宋体" w:hAnsi="宋体"/>
          <w:color w:val="auto"/>
          <w:sz w:val="24"/>
          <w:highlight w:val="none"/>
        </w:rPr>
        <w:t>并</w:t>
      </w:r>
      <w:r>
        <w:rPr>
          <w:rFonts w:hint="eastAsia" w:ascii="宋体" w:hAnsi="宋体"/>
          <w:color w:val="auto"/>
          <w:sz w:val="24"/>
          <w:highlight w:val="none"/>
        </w:rPr>
        <w:t>与分包供应商就分包项目向甲方承担连带责任。</w:t>
      </w:r>
    </w:p>
    <w:p w14:paraId="49C69B6B">
      <w:pPr>
        <w:spacing w:line="560" w:lineRule="exact"/>
        <w:ind w:firstLine="482" w:firstLineChars="200"/>
        <w:outlineLvl w:val="0"/>
        <w:rPr>
          <w:rFonts w:ascii="宋体" w:hAnsi="宋体"/>
          <w:b/>
          <w:color w:val="auto"/>
          <w:sz w:val="24"/>
          <w:highlight w:val="none"/>
        </w:rPr>
      </w:pPr>
      <w:bookmarkStart w:id="472" w:name="_Toc14371"/>
      <w:bookmarkStart w:id="473" w:name="_Toc25571"/>
      <w:bookmarkStart w:id="474" w:name="_Toc32494"/>
      <w:bookmarkStart w:id="475" w:name="_Toc4720"/>
      <w:bookmarkStart w:id="476" w:name="_Toc26633"/>
      <w:r>
        <w:rPr>
          <w:rFonts w:ascii="宋体" w:hAnsi="宋体"/>
          <w:b/>
          <w:color w:val="auto"/>
          <w:sz w:val="24"/>
          <w:highlight w:val="none"/>
        </w:rPr>
        <w:t>2.11 不可抗力</w:t>
      </w:r>
      <w:bookmarkEnd w:id="472"/>
      <w:bookmarkEnd w:id="473"/>
      <w:bookmarkEnd w:id="474"/>
      <w:bookmarkEnd w:id="475"/>
      <w:bookmarkEnd w:id="476"/>
    </w:p>
    <w:p w14:paraId="0DF3B5CA">
      <w:pPr>
        <w:spacing w:line="560" w:lineRule="exact"/>
        <w:ind w:firstLine="480" w:firstLineChars="200"/>
        <w:rPr>
          <w:rFonts w:ascii="宋体" w:hAnsi="宋体"/>
          <w:color w:val="auto"/>
          <w:sz w:val="24"/>
          <w:highlight w:val="none"/>
        </w:rPr>
      </w:pPr>
      <w:r>
        <w:rPr>
          <w:rFonts w:ascii="宋体" w:hAnsi="宋体"/>
          <w:color w:val="auto"/>
          <w:sz w:val="24"/>
          <w:highlight w:val="none"/>
        </w:rPr>
        <w:t>2.11.1如果任何一方遭遇法律规定的不可抗力，致使合同履行受阻时，履行合同的期限应予延长，延长的期限应相当于不可抗力所影响的时间</w:t>
      </w:r>
      <w:r>
        <w:rPr>
          <w:rFonts w:hint="eastAsia" w:ascii="宋体" w:hAnsi="宋体"/>
          <w:color w:val="auto"/>
          <w:sz w:val="24"/>
          <w:highlight w:val="none"/>
        </w:rPr>
        <w:t>；</w:t>
      </w:r>
    </w:p>
    <w:p w14:paraId="64E5262E">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2.11.2 </w:t>
      </w:r>
      <w:r>
        <w:rPr>
          <w:rFonts w:hint="eastAsia" w:ascii="宋体" w:hAnsi="宋体"/>
          <w:color w:val="auto"/>
          <w:sz w:val="24"/>
          <w:highlight w:val="none"/>
        </w:rPr>
        <w:t>因不可抗力致使不能实现合同目的的，当事人可以解除合同；</w:t>
      </w:r>
    </w:p>
    <w:p w14:paraId="2372A5A1">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2.11.3 </w:t>
      </w:r>
      <w:r>
        <w:rPr>
          <w:rFonts w:hint="eastAsia" w:ascii="宋体" w:hAnsi="宋体"/>
          <w:color w:val="auto"/>
          <w:sz w:val="24"/>
          <w:highlight w:val="none"/>
        </w:rPr>
        <w:t>因</w:t>
      </w:r>
      <w:r>
        <w:rPr>
          <w:rFonts w:ascii="宋体" w:hAnsi="宋体"/>
          <w:color w:val="auto"/>
          <w:sz w:val="24"/>
          <w:highlight w:val="none"/>
        </w:rPr>
        <w:t>不可抗力致使合同有变更必要的，双方当事人应在</w:t>
      </w:r>
      <w:r>
        <w:rPr>
          <w:rFonts w:ascii="宋体" w:hAnsi="宋体"/>
          <w:b/>
          <w:i/>
          <w:color w:val="auto"/>
          <w:sz w:val="24"/>
          <w:highlight w:val="none"/>
          <w:u w:val="single"/>
        </w:rPr>
        <w:t>合同专用条款</w:t>
      </w:r>
      <w:r>
        <w:rPr>
          <w:rFonts w:ascii="宋体" w:hAnsi="宋体"/>
          <w:color w:val="auto"/>
          <w:sz w:val="24"/>
          <w:highlight w:val="none"/>
        </w:rPr>
        <w:t>约定时间内以书面形式变更合同</w:t>
      </w:r>
      <w:r>
        <w:rPr>
          <w:rFonts w:hint="eastAsia" w:ascii="宋体" w:hAnsi="宋体"/>
          <w:color w:val="auto"/>
          <w:sz w:val="24"/>
          <w:highlight w:val="none"/>
        </w:rPr>
        <w:t>；</w:t>
      </w:r>
    </w:p>
    <w:p w14:paraId="3ACF4E18">
      <w:pPr>
        <w:spacing w:line="560" w:lineRule="exact"/>
        <w:ind w:firstLine="480" w:firstLineChars="200"/>
        <w:rPr>
          <w:rFonts w:ascii="宋体" w:hAnsi="宋体"/>
          <w:color w:val="auto"/>
          <w:sz w:val="24"/>
          <w:highlight w:val="none"/>
        </w:rPr>
      </w:pPr>
      <w:r>
        <w:rPr>
          <w:rFonts w:ascii="宋体" w:hAnsi="宋体"/>
          <w:color w:val="auto"/>
          <w:sz w:val="24"/>
          <w:highlight w:val="none"/>
        </w:rPr>
        <w:t>2.11.4受</w:t>
      </w:r>
      <w:r>
        <w:rPr>
          <w:rFonts w:hint="eastAsia" w:ascii="宋体" w:hAnsi="宋体"/>
          <w:color w:val="auto"/>
          <w:sz w:val="24"/>
          <w:highlight w:val="none"/>
        </w:rPr>
        <w:t>不可抗力</w:t>
      </w:r>
      <w:r>
        <w:rPr>
          <w:rFonts w:ascii="宋体" w:hAnsi="宋体"/>
          <w:color w:val="auto"/>
          <w:sz w:val="24"/>
          <w:highlight w:val="none"/>
        </w:rPr>
        <w:t>影响的一方在不可抗力发生后</w:t>
      </w:r>
      <w:r>
        <w:rPr>
          <w:rFonts w:hint="eastAsia" w:ascii="宋体" w:hAnsi="宋体"/>
          <w:color w:val="auto"/>
          <w:sz w:val="24"/>
          <w:highlight w:val="none"/>
        </w:rPr>
        <w:t>，</w:t>
      </w:r>
      <w:r>
        <w:rPr>
          <w:rFonts w:ascii="宋体" w:hAnsi="宋体"/>
          <w:color w:val="auto"/>
          <w:sz w:val="24"/>
          <w:highlight w:val="none"/>
        </w:rPr>
        <w:t>应在</w:t>
      </w:r>
      <w:r>
        <w:rPr>
          <w:rFonts w:ascii="宋体" w:hAnsi="宋体"/>
          <w:b/>
          <w:i/>
          <w:color w:val="auto"/>
          <w:sz w:val="24"/>
          <w:highlight w:val="none"/>
          <w:u w:val="single"/>
        </w:rPr>
        <w:t>合同专用条款</w:t>
      </w:r>
      <w:r>
        <w:rPr>
          <w:rFonts w:ascii="宋体" w:hAnsi="宋体"/>
          <w:color w:val="auto"/>
          <w:sz w:val="24"/>
          <w:highlight w:val="none"/>
        </w:rPr>
        <w:t>约定时间内以书面形式通知</w:t>
      </w:r>
      <w:r>
        <w:rPr>
          <w:rFonts w:hint="eastAsia" w:ascii="宋体" w:hAnsi="宋体"/>
          <w:color w:val="auto"/>
          <w:sz w:val="24"/>
          <w:highlight w:val="none"/>
        </w:rPr>
        <w:t>对</w:t>
      </w:r>
      <w:r>
        <w:rPr>
          <w:rFonts w:ascii="宋体" w:hAnsi="宋体"/>
          <w:color w:val="auto"/>
          <w:sz w:val="24"/>
          <w:highlight w:val="none"/>
        </w:rPr>
        <w:t>方当事人，并在</w:t>
      </w:r>
      <w:r>
        <w:rPr>
          <w:rFonts w:ascii="宋体" w:hAnsi="宋体"/>
          <w:b/>
          <w:i/>
          <w:color w:val="auto"/>
          <w:sz w:val="24"/>
          <w:highlight w:val="none"/>
          <w:u w:val="single"/>
        </w:rPr>
        <w:t>合同专用条款</w:t>
      </w:r>
      <w:r>
        <w:rPr>
          <w:rFonts w:ascii="宋体" w:hAnsi="宋体"/>
          <w:color w:val="auto"/>
          <w:sz w:val="24"/>
          <w:highlight w:val="none"/>
        </w:rPr>
        <w:t>约定时间内，将有关部门出具的证明文件送达</w:t>
      </w:r>
      <w:r>
        <w:rPr>
          <w:rFonts w:hint="eastAsia" w:ascii="宋体" w:hAnsi="宋体"/>
          <w:color w:val="auto"/>
          <w:sz w:val="24"/>
          <w:highlight w:val="none"/>
        </w:rPr>
        <w:t>对方当事人</w:t>
      </w:r>
      <w:r>
        <w:rPr>
          <w:rFonts w:ascii="宋体" w:hAnsi="宋体"/>
          <w:color w:val="auto"/>
          <w:sz w:val="24"/>
          <w:highlight w:val="none"/>
        </w:rPr>
        <w:t>。</w:t>
      </w:r>
    </w:p>
    <w:p w14:paraId="443DE30D">
      <w:pPr>
        <w:spacing w:line="560" w:lineRule="exact"/>
        <w:ind w:firstLine="482" w:firstLineChars="200"/>
        <w:outlineLvl w:val="0"/>
        <w:rPr>
          <w:rFonts w:ascii="宋体" w:hAnsi="宋体"/>
          <w:b/>
          <w:color w:val="auto"/>
          <w:sz w:val="24"/>
          <w:highlight w:val="none"/>
        </w:rPr>
      </w:pPr>
      <w:bookmarkStart w:id="477" w:name="_Toc24465"/>
      <w:bookmarkStart w:id="478" w:name="_Toc3638"/>
      <w:bookmarkStart w:id="479" w:name="_Toc14115"/>
      <w:bookmarkStart w:id="480" w:name="_Toc25783"/>
      <w:bookmarkStart w:id="481" w:name="_Toc23854"/>
      <w:r>
        <w:rPr>
          <w:rFonts w:ascii="宋体" w:hAnsi="宋体"/>
          <w:b/>
          <w:color w:val="auto"/>
          <w:sz w:val="24"/>
          <w:highlight w:val="none"/>
        </w:rPr>
        <w:t>2.12 税费</w:t>
      </w:r>
      <w:bookmarkEnd w:id="477"/>
      <w:bookmarkEnd w:id="478"/>
      <w:bookmarkEnd w:id="479"/>
      <w:bookmarkEnd w:id="480"/>
      <w:bookmarkEnd w:id="481"/>
    </w:p>
    <w:p w14:paraId="17CC4EA6">
      <w:pPr>
        <w:spacing w:line="560" w:lineRule="exact"/>
        <w:ind w:firstLine="480" w:firstLineChars="200"/>
        <w:rPr>
          <w:rFonts w:ascii="宋体" w:hAnsi="宋体"/>
          <w:color w:val="auto"/>
          <w:sz w:val="24"/>
          <w:highlight w:val="none"/>
        </w:rPr>
      </w:pPr>
      <w:r>
        <w:rPr>
          <w:rFonts w:ascii="宋体" w:hAnsi="宋体"/>
          <w:color w:val="auto"/>
          <w:sz w:val="24"/>
          <w:highlight w:val="none"/>
        </w:rPr>
        <w:t>与合同有关的一切税费</w:t>
      </w:r>
      <w:r>
        <w:rPr>
          <w:rFonts w:hint="eastAsia" w:ascii="宋体" w:hAnsi="宋体"/>
          <w:color w:val="auto"/>
          <w:sz w:val="24"/>
          <w:highlight w:val="none"/>
        </w:rPr>
        <w:t>，</w:t>
      </w:r>
      <w:r>
        <w:rPr>
          <w:rFonts w:ascii="宋体" w:hAnsi="宋体"/>
          <w:color w:val="auto"/>
          <w:sz w:val="24"/>
          <w:highlight w:val="none"/>
        </w:rPr>
        <w:t>均按照中华人民共和国法律的相关规定缴纳。</w:t>
      </w:r>
    </w:p>
    <w:p w14:paraId="2CC78CAE">
      <w:pPr>
        <w:spacing w:line="560" w:lineRule="exact"/>
        <w:ind w:firstLine="482" w:firstLineChars="200"/>
        <w:outlineLvl w:val="0"/>
        <w:rPr>
          <w:rFonts w:ascii="宋体" w:hAnsi="宋体"/>
          <w:b/>
          <w:color w:val="auto"/>
          <w:sz w:val="24"/>
          <w:highlight w:val="none"/>
        </w:rPr>
      </w:pPr>
      <w:bookmarkStart w:id="482" w:name="_Toc30105"/>
      <w:bookmarkStart w:id="483" w:name="_Toc14814"/>
      <w:bookmarkStart w:id="484" w:name="_Toc26883"/>
      <w:bookmarkStart w:id="485" w:name="_Toc25525"/>
      <w:bookmarkStart w:id="486" w:name="_Toc7315"/>
      <w:r>
        <w:rPr>
          <w:rFonts w:ascii="宋体" w:hAnsi="宋体"/>
          <w:b/>
          <w:color w:val="auto"/>
          <w:sz w:val="24"/>
          <w:highlight w:val="none"/>
        </w:rPr>
        <w:t>2.13 乙方破产</w:t>
      </w:r>
      <w:bookmarkEnd w:id="482"/>
      <w:bookmarkEnd w:id="483"/>
      <w:bookmarkEnd w:id="484"/>
      <w:bookmarkEnd w:id="485"/>
      <w:bookmarkEnd w:id="486"/>
    </w:p>
    <w:p w14:paraId="4470C645">
      <w:pPr>
        <w:spacing w:line="560" w:lineRule="exact"/>
        <w:ind w:firstLine="480" w:firstLineChars="200"/>
        <w:rPr>
          <w:rFonts w:ascii="宋体" w:hAnsi="宋体"/>
          <w:color w:val="auto"/>
          <w:sz w:val="24"/>
          <w:highlight w:val="none"/>
        </w:rPr>
      </w:pPr>
      <w:r>
        <w:rPr>
          <w:rFonts w:ascii="宋体" w:hAnsi="宋体"/>
          <w:color w:val="auto"/>
          <w:sz w:val="24"/>
          <w:highlight w:val="none"/>
        </w:rPr>
        <w:t>如果乙方破产导致合同无法履行时，甲方可以书面形式通知乙方终止合同且不给予乙方任何补偿和赔偿</w:t>
      </w:r>
      <w:r>
        <w:rPr>
          <w:rFonts w:hint="eastAsia" w:ascii="宋体" w:hAnsi="宋体"/>
          <w:color w:val="auto"/>
          <w:sz w:val="24"/>
          <w:highlight w:val="none"/>
        </w:rPr>
        <w:t>，但合同的</w:t>
      </w:r>
      <w:r>
        <w:rPr>
          <w:rFonts w:ascii="宋体" w:hAnsi="宋体"/>
          <w:color w:val="auto"/>
          <w:sz w:val="24"/>
          <w:highlight w:val="none"/>
        </w:rPr>
        <w:t>终止不损害或不影响甲方已经采取或将要采取的任何要求乙方支付违约金</w:t>
      </w:r>
      <w:r>
        <w:rPr>
          <w:rFonts w:hint="eastAsia" w:ascii="宋体" w:hAnsi="宋体"/>
          <w:color w:val="auto"/>
          <w:sz w:val="24"/>
          <w:highlight w:val="none"/>
        </w:rPr>
        <w:t>、</w:t>
      </w:r>
      <w:r>
        <w:rPr>
          <w:rFonts w:ascii="宋体" w:hAnsi="宋体"/>
          <w:color w:val="auto"/>
          <w:sz w:val="24"/>
          <w:highlight w:val="none"/>
        </w:rPr>
        <w:t>赔偿损失等的行动或补救措施的权利</w:t>
      </w:r>
      <w:r>
        <w:rPr>
          <w:rFonts w:hint="eastAsia" w:ascii="宋体" w:hAnsi="宋体"/>
          <w:color w:val="auto"/>
          <w:sz w:val="24"/>
          <w:highlight w:val="none"/>
        </w:rPr>
        <w:t>。</w:t>
      </w:r>
    </w:p>
    <w:p w14:paraId="149F8EAE">
      <w:pPr>
        <w:spacing w:line="560" w:lineRule="exact"/>
        <w:ind w:firstLine="482" w:firstLineChars="200"/>
        <w:outlineLvl w:val="0"/>
        <w:rPr>
          <w:rFonts w:ascii="宋体" w:hAnsi="宋体"/>
          <w:b/>
          <w:color w:val="auto"/>
          <w:sz w:val="24"/>
          <w:highlight w:val="none"/>
        </w:rPr>
      </w:pPr>
      <w:bookmarkStart w:id="487" w:name="_Toc1123"/>
      <w:bookmarkStart w:id="488" w:name="_Toc23323"/>
      <w:bookmarkStart w:id="489" w:name="_Toc2016"/>
      <w:r>
        <w:rPr>
          <w:rFonts w:ascii="宋体" w:hAnsi="宋体"/>
          <w:b/>
          <w:color w:val="auto"/>
          <w:sz w:val="24"/>
          <w:highlight w:val="none"/>
        </w:rPr>
        <w:t>2.14 合同中止、终止</w:t>
      </w:r>
      <w:bookmarkEnd w:id="487"/>
      <w:bookmarkEnd w:id="488"/>
      <w:bookmarkEnd w:id="489"/>
    </w:p>
    <w:p w14:paraId="57D16938">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2.14.1 </w:t>
      </w:r>
      <w:r>
        <w:rPr>
          <w:rFonts w:hint="eastAsia" w:ascii="宋体" w:hAnsi="宋体"/>
          <w:color w:val="auto"/>
          <w:sz w:val="24"/>
          <w:highlight w:val="none"/>
        </w:rPr>
        <w:t>双方当事人不得擅自中止或者终止合同；</w:t>
      </w:r>
    </w:p>
    <w:p w14:paraId="2128FFA7">
      <w:pPr>
        <w:spacing w:line="560" w:lineRule="exact"/>
        <w:ind w:firstLine="480" w:firstLineChars="200"/>
        <w:rPr>
          <w:rFonts w:ascii="宋体" w:hAnsi="宋体"/>
          <w:color w:val="auto"/>
          <w:sz w:val="24"/>
          <w:highlight w:val="none"/>
        </w:rPr>
      </w:pPr>
      <w:r>
        <w:rPr>
          <w:rFonts w:ascii="宋体" w:hAnsi="宋体"/>
          <w:color w:val="auto"/>
          <w:sz w:val="24"/>
          <w:highlight w:val="none"/>
        </w:rPr>
        <w:t>2.14.2合同继续履行将损害国家利益和社会公共利益的，双方当事人应当中止或者终止合同。有过错的一方应当承担赔偿责任，双方当事人都有过错的，各自承担相应的责任。</w:t>
      </w:r>
    </w:p>
    <w:p w14:paraId="40D874C7">
      <w:pPr>
        <w:spacing w:line="560" w:lineRule="exact"/>
        <w:ind w:firstLine="482" w:firstLineChars="200"/>
        <w:outlineLvl w:val="0"/>
        <w:rPr>
          <w:rFonts w:ascii="宋体" w:hAnsi="宋体"/>
          <w:b/>
          <w:color w:val="auto"/>
          <w:sz w:val="24"/>
          <w:highlight w:val="none"/>
        </w:rPr>
      </w:pPr>
      <w:bookmarkStart w:id="490" w:name="_Toc17363"/>
      <w:bookmarkStart w:id="491" w:name="_Toc14525"/>
      <w:bookmarkStart w:id="492" w:name="_Toc1969"/>
      <w:r>
        <w:rPr>
          <w:rFonts w:ascii="宋体" w:hAnsi="宋体"/>
          <w:b/>
          <w:color w:val="auto"/>
          <w:sz w:val="24"/>
          <w:highlight w:val="none"/>
        </w:rPr>
        <w:t>2.15 检验和验收</w:t>
      </w:r>
      <w:bookmarkEnd w:id="490"/>
      <w:bookmarkEnd w:id="491"/>
      <w:bookmarkEnd w:id="492"/>
    </w:p>
    <w:p w14:paraId="10BB3C75">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2.15.1 </w:t>
      </w:r>
      <w:r>
        <w:rPr>
          <w:rFonts w:hint="eastAsia" w:ascii="宋体" w:hAnsi="宋体"/>
          <w:color w:val="auto"/>
          <w:sz w:val="24"/>
          <w:highlight w:val="none"/>
        </w:rPr>
        <w:t>乙方按照</w:t>
      </w:r>
      <w:r>
        <w:rPr>
          <w:rFonts w:ascii="宋体" w:hAnsi="宋体"/>
          <w:b/>
          <w:i/>
          <w:color w:val="auto"/>
          <w:sz w:val="24"/>
          <w:highlight w:val="none"/>
          <w:u w:val="single"/>
        </w:rPr>
        <w:t>合同专用条款</w:t>
      </w:r>
      <w:r>
        <w:rPr>
          <w:rFonts w:ascii="宋体" w:hAnsi="宋体"/>
          <w:color w:val="auto"/>
          <w:sz w:val="24"/>
          <w:highlight w:val="none"/>
        </w:rPr>
        <w:t>的约定</w:t>
      </w:r>
      <w:r>
        <w:rPr>
          <w:rFonts w:hint="eastAsia" w:ascii="宋体" w:hAnsi="宋体"/>
          <w:color w:val="auto"/>
          <w:sz w:val="24"/>
          <w:highlight w:val="none"/>
        </w:rPr>
        <w:t>，</w:t>
      </w:r>
      <w:r>
        <w:rPr>
          <w:rFonts w:ascii="宋体" w:hAnsi="宋体"/>
          <w:color w:val="auto"/>
          <w:sz w:val="24"/>
          <w:highlight w:val="none"/>
        </w:rPr>
        <w:t>定期提交服务报告</w:t>
      </w:r>
      <w:r>
        <w:rPr>
          <w:rFonts w:hint="eastAsia" w:ascii="宋体" w:hAnsi="宋体"/>
          <w:color w:val="auto"/>
          <w:sz w:val="24"/>
          <w:highlight w:val="none"/>
        </w:rPr>
        <w:t>，甲方按照</w:t>
      </w:r>
      <w:r>
        <w:rPr>
          <w:rFonts w:ascii="宋体" w:hAnsi="宋体"/>
          <w:b/>
          <w:i/>
          <w:color w:val="auto"/>
          <w:sz w:val="24"/>
          <w:highlight w:val="none"/>
          <w:u w:val="single"/>
        </w:rPr>
        <w:t>合同专用条款</w:t>
      </w:r>
      <w:r>
        <w:rPr>
          <w:rFonts w:ascii="宋体" w:hAnsi="宋体"/>
          <w:color w:val="auto"/>
          <w:sz w:val="24"/>
          <w:highlight w:val="none"/>
        </w:rPr>
        <w:t>的约定进行定期验收</w:t>
      </w:r>
      <w:r>
        <w:rPr>
          <w:rFonts w:hint="eastAsia" w:ascii="宋体" w:hAnsi="宋体"/>
          <w:color w:val="auto"/>
          <w:sz w:val="24"/>
          <w:highlight w:val="none"/>
        </w:rPr>
        <w:t>；</w:t>
      </w:r>
    </w:p>
    <w:p w14:paraId="5985344D">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2.15.2 </w:t>
      </w:r>
      <w:r>
        <w:rPr>
          <w:rFonts w:hint="eastAsia" w:ascii="宋体" w:hAnsi="宋体"/>
          <w:color w:val="auto"/>
          <w:sz w:val="24"/>
          <w:highlight w:val="none"/>
        </w:rPr>
        <w:t>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F8EBA98">
      <w:pPr>
        <w:tabs>
          <w:tab w:val="left" w:pos="360"/>
          <w:tab w:val="left" w:pos="540"/>
          <w:tab w:val="left" w:pos="1080"/>
        </w:tabs>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2.15.3 </w:t>
      </w:r>
      <w:r>
        <w:rPr>
          <w:rFonts w:hint="eastAsia" w:ascii="宋体" w:hAnsi="宋体"/>
          <w:color w:val="auto"/>
          <w:sz w:val="24"/>
          <w:highlight w:val="none"/>
        </w:rPr>
        <w:t>检验和验收标准、程序等具体内容以及前述验收书的效力详见</w:t>
      </w:r>
      <w:r>
        <w:rPr>
          <w:rFonts w:ascii="宋体" w:hAnsi="宋体"/>
          <w:b/>
          <w:i/>
          <w:color w:val="auto"/>
          <w:sz w:val="24"/>
          <w:highlight w:val="none"/>
          <w:u w:val="single"/>
        </w:rPr>
        <w:t>合同专用条款</w:t>
      </w:r>
      <w:r>
        <w:rPr>
          <w:rFonts w:hint="eastAsia" w:ascii="宋体" w:hAnsi="宋体"/>
          <w:i/>
          <w:color w:val="auto"/>
          <w:sz w:val="24"/>
          <w:highlight w:val="none"/>
        </w:rPr>
        <w:t>。</w:t>
      </w:r>
    </w:p>
    <w:p w14:paraId="6BD20E84">
      <w:pPr>
        <w:spacing w:line="560" w:lineRule="exact"/>
        <w:ind w:firstLine="482" w:firstLineChars="200"/>
        <w:outlineLvl w:val="0"/>
        <w:rPr>
          <w:rFonts w:ascii="宋体" w:hAnsi="宋体"/>
          <w:b/>
          <w:color w:val="auto"/>
          <w:sz w:val="24"/>
          <w:highlight w:val="none"/>
        </w:rPr>
      </w:pPr>
      <w:bookmarkStart w:id="493" w:name="_Toc25198"/>
      <w:bookmarkStart w:id="494" w:name="_Toc31892"/>
      <w:bookmarkStart w:id="495" w:name="_Toc9808"/>
      <w:bookmarkStart w:id="496" w:name="_Toc12666"/>
      <w:bookmarkStart w:id="497" w:name="_Toc2308"/>
      <w:r>
        <w:rPr>
          <w:rFonts w:ascii="宋体" w:hAnsi="宋体"/>
          <w:b/>
          <w:color w:val="auto"/>
          <w:sz w:val="24"/>
          <w:highlight w:val="none"/>
        </w:rPr>
        <w:t>2.16 通知和送达</w:t>
      </w:r>
      <w:bookmarkEnd w:id="493"/>
      <w:bookmarkEnd w:id="494"/>
      <w:bookmarkEnd w:id="495"/>
      <w:bookmarkEnd w:id="496"/>
      <w:bookmarkEnd w:id="497"/>
    </w:p>
    <w:p w14:paraId="2D57AD58">
      <w:pPr>
        <w:spacing w:line="560" w:lineRule="exact"/>
        <w:ind w:firstLine="480" w:firstLineChars="200"/>
        <w:rPr>
          <w:rFonts w:ascii="宋体" w:hAnsi="宋体"/>
          <w:color w:val="auto"/>
          <w:sz w:val="24"/>
          <w:highlight w:val="none"/>
        </w:rPr>
      </w:pPr>
      <w:bookmarkStart w:id="498" w:name="_Toc18401"/>
      <w:bookmarkStart w:id="499" w:name="_Toc27674"/>
      <w:r>
        <w:rPr>
          <w:rFonts w:ascii="宋体" w:hAnsi="宋体"/>
          <w:color w:val="auto"/>
          <w:sz w:val="24"/>
          <w:highlight w:val="none"/>
        </w:rPr>
        <w:t>2.17.1</w:t>
      </w:r>
      <w:r>
        <w:rPr>
          <w:rFonts w:hint="eastAsia" w:ascii="宋体" w:hAnsi="宋体"/>
          <w:color w:val="auto"/>
          <w:sz w:val="24"/>
          <w:highlight w:val="none"/>
        </w:rPr>
        <w:t>任何一方因履行合同而以合同第一部分尾部所列明的传真或电子邮件</w:t>
      </w:r>
      <w:r>
        <w:rPr>
          <w:rFonts w:ascii="宋体" w:hAnsi="宋体"/>
          <w:color w:val="auto"/>
          <w:sz w:val="24"/>
          <w:highlight w:val="none"/>
        </w:rPr>
        <w:t xml:space="preserve"> </w:t>
      </w:r>
      <w:r>
        <w:rPr>
          <w:rFonts w:ascii="宋体" w:hAnsi="宋体"/>
          <w:color w:val="auto"/>
          <w:sz w:val="24"/>
          <w:highlight w:val="none"/>
          <w:u w:val="single"/>
        </w:rPr>
        <w:t xml:space="preserve">       </w:t>
      </w:r>
      <w:r>
        <w:rPr>
          <w:rFonts w:hint="eastAsia" w:ascii="宋体" w:hAnsi="宋体"/>
          <w:color w:val="auto"/>
          <w:sz w:val="24"/>
          <w:highlight w:val="none"/>
        </w:rPr>
        <w:t>发出的所有通知、文件、材料，均视为已向对方当事人送达；任何一方变更上述送达方式或者地址的，应于</w:t>
      </w:r>
      <w:r>
        <w:rPr>
          <w:rFonts w:ascii="宋体" w:hAnsi="宋体"/>
          <w:color w:val="auto"/>
          <w:sz w:val="24"/>
          <w:highlight w:val="none"/>
          <w:u w:val="single"/>
        </w:rPr>
        <w:t>3</w:t>
      </w:r>
      <w:r>
        <w:rPr>
          <w:rFonts w:hint="eastAsia" w:ascii="宋体" w:hAnsi="宋体"/>
          <w:color w:val="auto"/>
          <w:sz w:val="24"/>
          <w:highlight w:val="none"/>
        </w:rPr>
        <w:t>个工作日内书面通知对方当事人，在对方当事人收到有关变更通知之前，变更前的约定送达方式或者地址仍视为有效。</w:t>
      </w:r>
    </w:p>
    <w:p w14:paraId="50662573">
      <w:pPr>
        <w:spacing w:line="560" w:lineRule="exact"/>
        <w:ind w:firstLine="480" w:firstLineChars="200"/>
        <w:rPr>
          <w:rFonts w:ascii="宋体" w:hAnsi="宋体"/>
          <w:color w:val="auto"/>
          <w:sz w:val="24"/>
          <w:highlight w:val="none"/>
        </w:rPr>
      </w:pPr>
      <w:r>
        <w:rPr>
          <w:rFonts w:ascii="宋体" w:hAnsi="宋体"/>
          <w:color w:val="auto"/>
          <w:sz w:val="24"/>
          <w:highlight w:val="none"/>
        </w:rPr>
        <w:t>2.17.2以当面交付方式送达的，交付之时视为送达；以电子邮件方式送达的，发出电子邮件之时视为送达；以传真方式送达的，发出传真之时视为送达；以邮寄方式送达</w:t>
      </w:r>
      <w:r>
        <w:rPr>
          <w:rFonts w:hint="eastAsia" w:ascii="宋体" w:hAnsi="宋体"/>
          <w:color w:val="auto"/>
          <w:sz w:val="24"/>
          <w:highlight w:val="none"/>
        </w:rPr>
        <w:t>的，邮件挂号寄出或者交邮之日之次日视为送达。</w:t>
      </w:r>
      <w:bookmarkEnd w:id="498"/>
      <w:bookmarkEnd w:id="499"/>
    </w:p>
    <w:p w14:paraId="79494EF1">
      <w:pPr>
        <w:spacing w:line="560" w:lineRule="exact"/>
        <w:ind w:firstLine="482" w:firstLineChars="200"/>
        <w:outlineLvl w:val="0"/>
        <w:rPr>
          <w:rFonts w:ascii="宋体" w:hAnsi="宋体"/>
          <w:b/>
          <w:color w:val="auto"/>
          <w:sz w:val="24"/>
          <w:highlight w:val="none"/>
        </w:rPr>
      </w:pPr>
      <w:bookmarkStart w:id="500" w:name="_Toc20808"/>
      <w:bookmarkStart w:id="501" w:name="_Toc5063"/>
      <w:bookmarkStart w:id="502" w:name="_Toc12254"/>
      <w:bookmarkStart w:id="503" w:name="_Toc27644"/>
      <w:bookmarkStart w:id="504" w:name="_Toc28906"/>
      <w:r>
        <w:rPr>
          <w:rFonts w:ascii="宋体" w:hAnsi="宋体"/>
          <w:b/>
          <w:color w:val="auto"/>
          <w:sz w:val="24"/>
          <w:highlight w:val="none"/>
        </w:rPr>
        <w:t xml:space="preserve">2.17 </w:t>
      </w:r>
      <w:r>
        <w:rPr>
          <w:rFonts w:hint="eastAsia" w:ascii="宋体" w:hAnsi="宋体"/>
          <w:b/>
          <w:color w:val="auto"/>
          <w:sz w:val="24"/>
          <w:highlight w:val="none"/>
        </w:rPr>
        <w:t>合同使用的文字和</w:t>
      </w:r>
      <w:r>
        <w:rPr>
          <w:rFonts w:ascii="宋体" w:hAnsi="宋体"/>
          <w:b/>
          <w:color w:val="auto"/>
          <w:sz w:val="24"/>
          <w:highlight w:val="none"/>
        </w:rPr>
        <w:t>适用的法律</w:t>
      </w:r>
      <w:bookmarkEnd w:id="500"/>
      <w:bookmarkEnd w:id="501"/>
      <w:bookmarkEnd w:id="502"/>
      <w:bookmarkEnd w:id="503"/>
      <w:bookmarkEnd w:id="504"/>
    </w:p>
    <w:p w14:paraId="5285274F">
      <w:pPr>
        <w:spacing w:line="560" w:lineRule="exact"/>
        <w:ind w:firstLine="480" w:firstLineChars="200"/>
        <w:rPr>
          <w:rFonts w:ascii="宋体" w:hAnsi="宋体"/>
          <w:color w:val="auto"/>
          <w:sz w:val="24"/>
          <w:highlight w:val="none"/>
        </w:rPr>
      </w:pPr>
      <w:r>
        <w:rPr>
          <w:rFonts w:ascii="宋体" w:hAnsi="宋体"/>
          <w:color w:val="auto"/>
          <w:sz w:val="24"/>
          <w:highlight w:val="none"/>
        </w:rPr>
        <w:t>2.17.1 合同使用汉语书就</w:t>
      </w:r>
      <w:r>
        <w:rPr>
          <w:rFonts w:hint="eastAsia" w:ascii="宋体" w:hAnsi="宋体"/>
          <w:color w:val="auto"/>
          <w:sz w:val="24"/>
          <w:highlight w:val="none"/>
        </w:rPr>
        <w:t>、</w:t>
      </w:r>
      <w:r>
        <w:rPr>
          <w:rFonts w:ascii="宋体" w:hAnsi="宋体"/>
          <w:color w:val="auto"/>
          <w:sz w:val="24"/>
          <w:highlight w:val="none"/>
        </w:rPr>
        <w:t>变更和解释</w:t>
      </w:r>
      <w:r>
        <w:rPr>
          <w:rFonts w:hint="eastAsia" w:ascii="宋体" w:hAnsi="宋体"/>
          <w:color w:val="auto"/>
          <w:sz w:val="24"/>
          <w:highlight w:val="none"/>
        </w:rPr>
        <w:t>；</w:t>
      </w:r>
    </w:p>
    <w:p w14:paraId="64FB86D7">
      <w:pPr>
        <w:spacing w:line="560" w:lineRule="exact"/>
        <w:ind w:firstLine="480" w:firstLineChars="200"/>
        <w:rPr>
          <w:rFonts w:ascii="宋体" w:hAnsi="宋体"/>
          <w:color w:val="auto"/>
          <w:sz w:val="24"/>
          <w:highlight w:val="none"/>
        </w:rPr>
      </w:pPr>
      <w:r>
        <w:rPr>
          <w:rFonts w:ascii="宋体" w:hAnsi="宋体"/>
          <w:color w:val="auto"/>
          <w:sz w:val="24"/>
          <w:highlight w:val="none"/>
        </w:rPr>
        <w:t xml:space="preserve">2.17.2 </w:t>
      </w:r>
      <w:r>
        <w:rPr>
          <w:rFonts w:hint="eastAsia" w:ascii="宋体" w:hAnsi="宋体"/>
          <w:color w:val="auto"/>
          <w:sz w:val="24"/>
          <w:highlight w:val="none"/>
        </w:rPr>
        <w:t>合同适用</w:t>
      </w:r>
      <w:r>
        <w:rPr>
          <w:rFonts w:ascii="宋体" w:hAnsi="宋体"/>
          <w:color w:val="auto"/>
          <w:sz w:val="24"/>
          <w:highlight w:val="none"/>
        </w:rPr>
        <w:t>中华人民共和国法律。</w:t>
      </w:r>
    </w:p>
    <w:p w14:paraId="5C34B1D7">
      <w:pPr>
        <w:spacing w:line="560" w:lineRule="exact"/>
        <w:ind w:firstLine="482" w:firstLineChars="200"/>
        <w:outlineLvl w:val="0"/>
        <w:rPr>
          <w:rFonts w:ascii="宋体" w:hAnsi="宋体" w:cs="宋体"/>
          <w:b/>
          <w:color w:val="auto"/>
          <w:sz w:val="24"/>
          <w:highlight w:val="none"/>
        </w:rPr>
      </w:pPr>
      <w:bookmarkStart w:id="505" w:name="_Toc30599"/>
      <w:bookmarkStart w:id="506" w:name="_Toc18540"/>
      <w:bookmarkStart w:id="507" w:name="_Toc4355"/>
      <w:r>
        <w:rPr>
          <w:rFonts w:hint="eastAsia" w:ascii="宋体" w:hAnsi="宋体" w:cs="宋体"/>
          <w:b/>
          <w:color w:val="auto"/>
          <w:sz w:val="24"/>
          <w:highlight w:val="none"/>
        </w:rPr>
        <w:t>2.18 计量单位</w:t>
      </w:r>
      <w:bookmarkEnd w:id="505"/>
      <w:bookmarkEnd w:id="506"/>
      <w:bookmarkEnd w:id="507"/>
    </w:p>
    <w:p w14:paraId="5B9E0A7B">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除技术规范中另有规定外,合同的计量单位均使用国家法定计量单位。</w:t>
      </w:r>
    </w:p>
    <w:p w14:paraId="728DE446">
      <w:pPr>
        <w:spacing w:line="560" w:lineRule="exact"/>
        <w:ind w:firstLine="482" w:firstLineChars="200"/>
        <w:rPr>
          <w:rFonts w:ascii="宋体" w:hAnsi="宋体"/>
          <w:b/>
          <w:color w:val="auto"/>
          <w:sz w:val="24"/>
          <w:highlight w:val="none"/>
        </w:rPr>
      </w:pPr>
      <w:r>
        <w:rPr>
          <w:rFonts w:ascii="宋体" w:hAnsi="宋体"/>
          <w:b/>
          <w:color w:val="auto"/>
          <w:sz w:val="24"/>
          <w:highlight w:val="none"/>
        </w:rPr>
        <w:t>2.</w:t>
      </w:r>
      <w:r>
        <w:rPr>
          <w:rFonts w:hint="eastAsia" w:ascii="宋体" w:hAnsi="宋体"/>
          <w:b/>
          <w:color w:val="auto"/>
          <w:sz w:val="24"/>
          <w:highlight w:val="none"/>
        </w:rPr>
        <w:t>19</w:t>
      </w:r>
      <w:r>
        <w:rPr>
          <w:rFonts w:ascii="宋体" w:hAnsi="宋体"/>
          <w:b/>
          <w:color w:val="auto"/>
          <w:sz w:val="24"/>
          <w:highlight w:val="none"/>
        </w:rPr>
        <w:t>合同份数</w:t>
      </w:r>
    </w:p>
    <w:p w14:paraId="3F5AF796">
      <w:pPr>
        <w:spacing w:line="560" w:lineRule="exact"/>
        <w:ind w:firstLine="480" w:firstLineChars="200"/>
        <w:rPr>
          <w:rFonts w:ascii="宋体" w:hAnsi="宋体"/>
          <w:color w:val="auto"/>
          <w:sz w:val="24"/>
          <w:highlight w:val="none"/>
        </w:rPr>
      </w:pPr>
      <w:r>
        <w:rPr>
          <w:rFonts w:ascii="宋体" w:hAnsi="宋体"/>
          <w:color w:val="auto"/>
          <w:sz w:val="24"/>
          <w:highlight w:val="none"/>
        </w:rPr>
        <w:t>合同份数按</w:t>
      </w:r>
      <w:r>
        <w:rPr>
          <w:rFonts w:ascii="宋体" w:hAnsi="宋体"/>
          <w:b/>
          <w:i/>
          <w:color w:val="auto"/>
          <w:sz w:val="24"/>
          <w:highlight w:val="none"/>
          <w:u w:val="single"/>
        </w:rPr>
        <w:t>合同专用条款</w:t>
      </w:r>
      <w:r>
        <w:rPr>
          <w:rFonts w:ascii="宋体" w:hAnsi="宋体"/>
          <w:color w:val="auto"/>
          <w:sz w:val="24"/>
          <w:highlight w:val="none"/>
        </w:rPr>
        <w:t>规定</w:t>
      </w:r>
      <w:r>
        <w:rPr>
          <w:rFonts w:hint="eastAsia" w:ascii="宋体" w:hAnsi="宋体"/>
          <w:color w:val="auto"/>
          <w:sz w:val="24"/>
          <w:highlight w:val="none"/>
        </w:rPr>
        <w:t>，</w:t>
      </w:r>
      <w:r>
        <w:rPr>
          <w:rFonts w:ascii="宋体" w:hAnsi="宋体"/>
          <w:color w:val="auto"/>
          <w:sz w:val="24"/>
          <w:highlight w:val="none"/>
        </w:rPr>
        <w:t>每份均具有同等法律效力</w:t>
      </w:r>
      <w:r>
        <w:rPr>
          <w:rFonts w:hint="eastAsia" w:ascii="宋体" w:hAnsi="宋体"/>
          <w:color w:val="auto"/>
          <w:sz w:val="24"/>
          <w:highlight w:val="none"/>
        </w:rPr>
        <w:t>。</w:t>
      </w:r>
    </w:p>
    <w:p w14:paraId="04B681FD">
      <w:pPr>
        <w:spacing w:line="360" w:lineRule="auto"/>
        <w:jc w:val="center"/>
        <w:outlineLvl w:val="0"/>
        <w:rPr>
          <w:rFonts w:ascii="宋体" w:hAnsi="宋体" w:cs="宋体"/>
          <w:b/>
          <w:color w:val="auto"/>
          <w:sz w:val="24"/>
          <w:highlight w:val="none"/>
        </w:rPr>
      </w:pPr>
      <w:r>
        <w:rPr>
          <w:rFonts w:hint="eastAsia" w:ascii="宋体" w:hAnsi="宋体" w:cs="宋体"/>
          <w:color w:val="auto"/>
          <w:kern w:val="0"/>
          <w:highlight w:val="none"/>
        </w:rPr>
        <w:br w:type="page"/>
      </w:r>
      <w:bookmarkStart w:id="508" w:name="_Toc331685784"/>
      <w:r>
        <w:rPr>
          <w:rFonts w:hint="eastAsia" w:ascii="宋体" w:hAnsi="宋体" w:cs="宋体"/>
          <w:b/>
          <w:color w:val="auto"/>
          <w:sz w:val="24"/>
          <w:highlight w:val="none"/>
        </w:rPr>
        <w:t xml:space="preserve"> </w:t>
      </w:r>
      <w:bookmarkEnd w:id="508"/>
      <w:r>
        <w:rPr>
          <w:rFonts w:hint="eastAsia" w:ascii="宋体" w:hAnsi="宋体" w:cs="宋体"/>
          <w:b/>
          <w:color w:val="auto"/>
          <w:sz w:val="24"/>
          <w:highlight w:val="none"/>
        </w:rPr>
        <w:t>第三部分  合同专用条款</w:t>
      </w:r>
    </w:p>
    <w:p w14:paraId="1CB856D3">
      <w:pPr>
        <w:spacing w:line="560" w:lineRule="exact"/>
        <w:ind w:left="-420" w:leftChars="-200" w:right="-420" w:rightChars="-200" w:firstLine="480" w:firstLineChars="200"/>
        <w:rPr>
          <w:rFonts w:ascii="宋体" w:hAnsi="宋体" w:cs="宋体"/>
          <w:color w:val="auto"/>
          <w:highlight w:val="none"/>
        </w:rPr>
      </w:pPr>
      <w:r>
        <w:rPr>
          <w:rFonts w:hint="eastAsia" w:ascii="宋体" w:hAnsi="宋体" w:cs="宋体"/>
          <w:color w:val="auto"/>
          <w:sz w:val="24"/>
          <w:highlight w:val="none"/>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977"/>
        <w:gridCol w:w="8149"/>
      </w:tblGrid>
      <w:tr w14:paraId="127FC1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535" w:type="pct"/>
            <w:tcBorders>
              <w:left w:val="single" w:color="auto" w:sz="4" w:space="0"/>
            </w:tcBorders>
            <w:vAlign w:val="center"/>
          </w:tcPr>
          <w:p w14:paraId="67C7522D">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条款号</w:t>
            </w:r>
          </w:p>
        </w:tc>
        <w:tc>
          <w:tcPr>
            <w:tcW w:w="4464" w:type="pct"/>
            <w:vAlign w:val="center"/>
          </w:tcPr>
          <w:p w14:paraId="4663DC4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约定内容</w:t>
            </w:r>
          </w:p>
        </w:tc>
      </w:tr>
      <w:tr w14:paraId="650845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0C030D0">
            <w:pPr>
              <w:spacing w:line="360" w:lineRule="auto"/>
              <w:rPr>
                <w:rFonts w:ascii="宋体" w:hAnsi="宋体" w:cs="宋体"/>
                <w:color w:val="auto"/>
                <w:sz w:val="24"/>
                <w:highlight w:val="none"/>
              </w:rPr>
            </w:pPr>
            <w:r>
              <w:rPr>
                <w:rFonts w:hint="eastAsia" w:ascii="宋体" w:hAnsi="宋体" w:cs="宋体"/>
                <w:color w:val="auto"/>
                <w:sz w:val="24"/>
                <w:highlight w:val="none"/>
              </w:rPr>
              <w:t>1.3.2</w:t>
            </w:r>
          </w:p>
        </w:tc>
        <w:tc>
          <w:tcPr>
            <w:tcW w:w="4464" w:type="pct"/>
            <w:vAlign w:val="center"/>
          </w:tcPr>
          <w:p w14:paraId="304DB868">
            <w:pPr>
              <w:spacing w:line="360" w:lineRule="auto"/>
              <w:rPr>
                <w:rFonts w:ascii="宋体" w:hAnsi="宋体" w:cs="宋体"/>
                <w:color w:val="auto"/>
                <w:sz w:val="24"/>
                <w:highlight w:val="none"/>
              </w:rPr>
            </w:pPr>
          </w:p>
        </w:tc>
      </w:tr>
      <w:tr w14:paraId="5BF81C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A7ACD77">
            <w:pPr>
              <w:spacing w:line="360" w:lineRule="auto"/>
              <w:rPr>
                <w:rFonts w:ascii="宋体" w:hAnsi="宋体" w:cs="宋体"/>
                <w:color w:val="auto"/>
                <w:sz w:val="24"/>
                <w:highlight w:val="none"/>
              </w:rPr>
            </w:pPr>
            <w:r>
              <w:rPr>
                <w:rFonts w:hint="eastAsia" w:ascii="宋体" w:hAnsi="宋体" w:cs="宋体"/>
                <w:color w:val="auto"/>
                <w:sz w:val="24"/>
                <w:highlight w:val="none"/>
              </w:rPr>
              <w:t>1.4.2</w:t>
            </w:r>
          </w:p>
        </w:tc>
        <w:tc>
          <w:tcPr>
            <w:tcW w:w="4464" w:type="pct"/>
            <w:vAlign w:val="center"/>
          </w:tcPr>
          <w:p w14:paraId="7791C121">
            <w:pPr>
              <w:spacing w:line="360" w:lineRule="auto"/>
              <w:rPr>
                <w:rFonts w:ascii="宋体" w:hAnsi="宋体" w:cs="宋体"/>
                <w:color w:val="auto"/>
                <w:sz w:val="24"/>
                <w:highlight w:val="none"/>
              </w:rPr>
            </w:pPr>
          </w:p>
        </w:tc>
      </w:tr>
      <w:tr w14:paraId="47C749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426EBA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1.5.1 </w:t>
            </w:r>
          </w:p>
        </w:tc>
        <w:tc>
          <w:tcPr>
            <w:tcW w:w="4464" w:type="pct"/>
            <w:vAlign w:val="center"/>
          </w:tcPr>
          <w:p w14:paraId="4F7069E5">
            <w:pPr>
              <w:spacing w:line="360" w:lineRule="auto"/>
              <w:rPr>
                <w:rFonts w:ascii="宋体" w:hAnsi="宋体" w:cs="宋体"/>
                <w:color w:val="auto"/>
                <w:sz w:val="24"/>
                <w:highlight w:val="none"/>
              </w:rPr>
            </w:pPr>
          </w:p>
        </w:tc>
      </w:tr>
      <w:tr w14:paraId="0E6D0F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DE47264">
            <w:pPr>
              <w:spacing w:line="360" w:lineRule="auto"/>
              <w:rPr>
                <w:rFonts w:ascii="宋体" w:hAnsi="宋体" w:cs="宋体"/>
                <w:color w:val="auto"/>
                <w:sz w:val="24"/>
                <w:highlight w:val="none"/>
              </w:rPr>
            </w:pPr>
            <w:r>
              <w:rPr>
                <w:rFonts w:hint="eastAsia" w:ascii="宋体" w:hAnsi="宋体" w:cs="宋体"/>
                <w:color w:val="auto"/>
                <w:sz w:val="24"/>
                <w:highlight w:val="none"/>
              </w:rPr>
              <w:t>1.5.2</w:t>
            </w:r>
          </w:p>
        </w:tc>
        <w:tc>
          <w:tcPr>
            <w:tcW w:w="4464" w:type="pct"/>
            <w:vAlign w:val="center"/>
          </w:tcPr>
          <w:p w14:paraId="4AA1D5F3">
            <w:pPr>
              <w:spacing w:line="360" w:lineRule="auto"/>
              <w:rPr>
                <w:rFonts w:ascii="宋体" w:hAnsi="宋体" w:cs="宋体"/>
                <w:color w:val="auto"/>
                <w:sz w:val="24"/>
                <w:highlight w:val="none"/>
              </w:rPr>
            </w:pPr>
          </w:p>
        </w:tc>
      </w:tr>
      <w:tr w14:paraId="2E6EC8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0E125FF">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1.5.3 </w:t>
            </w:r>
          </w:p>
        </w:tc>
        <w:tc>
          <w:tcPr>
            <w:tcW w:w="4464" w:type="pct"/>
            <w:vAlign w:val="center"/>
          </w:tcPr>
          <w:p w14:paraId="601A43BA">
            <w:pPr>
              <w:spacing w:line="360" w:lineRule="auto"/>
              <w:rPr>
                <w:rFonts w:ascii="宋体" w:hAnsi="宋体" w:cs="宋体"/>
                <w:color w:val="auto"/>
                <w:sz w:val="24"/>
                <w:highlight w:val="none"/>
              </w:rPr>
            </w:pPr>
          </w:p>
        </w:tc>
      </w:tr>
      <w:tr w14:paraId="331D3E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764C224">
            <w:pPr>
              <w:spacing w:line="360" w:lineRule="auto"/>
              <w:rPr>
                <w:rFonts w:ascii="宋体" w:hAnsi="宋体" w:cs="宋体"/>
                <w:color w:val="auto"/>
                <w:sz w:val="24"/>
                <w:highlight w:val="none"/>
              </w:rPr>
            </w:pPr>
            <w:r>
              <w:rPr>
                <w:rFonts w:hint="eastAsia" w:ascii="宋体" w:hAnsi="宋体" w:cs="宋体"/>
                <w:color w:val="auto"/>
                <w:sz w:val="24"/>
                <w:highlight w:val="none"/>
              </w:rPr>
              <w:t>1.6.2</w:t>
            </w:r>
          </w:p>
        </w:tc>
        <w:tc>
          <w:tcPr>
            <w:tcW w:w="4464" w:type="pct"/>
            <w:vAlign w:val="center"/>
          </w:tcPr>
          <w:p w14:paraId="31D42319">
            <w:pPr>
              <w:spacing w:line="360" w:lineRule="auto"/>
              <w:rPr>
                <w:rFonts w:ascii="宋体" w:hAnsi="宋体" w:cs="宋体"/>
                <w:color w:val="auto"/>
                <w:sz w:val="24"/>
                <w:highlight w:val="none"/>
              </w:rPr>
            </w:pPr>
          </w:p>
        </w:tc>
      </w:tr>
      <w:tr w14:paraId="4E6556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B0E260F">
            <w:pPr>
              <w:spacing w:line="360" w:lineRule="auto"/>
              <w:rPr>
                <w:rFonts w:ascii="宋体" w:hAnsi="宋体" w:cs="宋体"/>
                <w:color w:val="auto"/>
                <w:sz w:val="24"/>
                <w:highlight w:val="none"/>
              </w:rPr>
            </w:pPr>
            <w:r>
              <w:rPr>
                <w:rFonts w:hint="eastAsia" w:ascii="宋体" w:hAnsi="宋体" w:cs="宋体"/>
                <w:color w:val="auto"/>
                <w:sz w:val="24"/>
                <w:highlight w:val="none"/>
              </w:rPr>
              <w:t>1.7.1</w:t>
            </w:r>
          </w:p>
        </w:tc>
        <w:tc>
          <w:tcPr>
            <w:tcW w:w="4464" w:type="pct"/>
            <w:vAlign w:val="center"/>
          </w:tcPr>
          <w:p w14:paraId="5B41A289">
            <w:pPr>
              <w:spacing w:line="360" w:lineRule="auto"/>
              <w:rPr>
                <w:rFonts w:ascii="宋体" w:hAnsi="宋体" w:cs="宋体"/>
                <w:color w:val="auto"/>
                <w:sz w:val="24"/>
                <w:highlight w:val="none"/>
              </w:rPr>
            </w:pPr>
          </w:p>
        </w:tc>
      </w:tr>
      <w:tr w14:paraId="714EA1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CFCF57F">
            <w:pPr>
              <w:spacing w:line="360" w:lineRule="auto"/>
              <w:rPr>
                <w:rFonts w:ascii="宋体" w:hAnsi="宋体" w:cs="宋体"/>
                <w:color w:val="auto"/>
                <w:sz w:val="24"/>
                <w:highlight w:val="none"/>
              </w:rPr>
            </w:pPr>
            <w:r>
              <w:rPr>
                <w:rFonts w:hint="eastAsia" w:ascii="宋体" w:hAnsi="宋体" w:cs="宋体"/>
                <w:color w:val="auto"/>
                <w:sz w:val="24"/>
                <w:highlight w:val="none"/>
              </w:rPr>
              <w:t>1.7.2</w:t>
            </w:r>
          </w:p>
        </w:tc>
        <w:tc>
          <w:tcPr>
            <w:tcW w:w="4464" w:type="pct"/>
            <w:vAlign w:val="center"/>
          </w:tcPr>
          <w:p w14:paraId="70E5ED3A">
            <w:pPr>
              <w:spacing w:line="360" w:lineRule="auto"/>
              <w:rPr>
                <w:rFonts w:ascii="宋体" w:hAnsi="宋体" w:cs="宋体"/>
                <w:color w:val="auto"/>
                <w:sz w:val="24"/>
                <w:highlight w:val="none"/>
              </w:rPr>
            </w:pPr>
          </w:p>
        </w:tc>
      </w:tr>
      <w:tr w14:paraId="3DA153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748BFDA">
            <w:pPr>
              <w:spacing w:line="360" w:lineRule="auto"/>
              <w:rPr>
                <w:rFonts w:ascii="宋体" w:hAnsi="宋体" w:cs="宋体"/>
                <w:color w:val="auto"/>
                <w:sz w:val="24"/>
                <w:highlight w:val="none"/>
              </w:rPr>
            </w:pPr>
            <w:r>
              <w:rPr>
                <w:rFonts w:hint="eastAsia" w:ascii="宋体" w:hAnsi="宋体" w:cs="宋体"/>
                <w:color w:val="auto"/>
                <w:sz w:val="24"/>
                <w:highlight w:val="none"/>
              </w:rPr>
              <w:t>1.7.3</w:t>
            </w:r>
          </w:p>
        </w:tc>
        <w:tc>
          <w:tcPr>
            <w:tcW w:w="4464" w:type="pct"/>
            <w:vAlign w:val="center"/>
          </w:tcPr>
          <w:p w14:paraId="7261FC83">
            <w:pPr>
              <w:spacing w:line="360" w:lineRule="auto"/>
              <w:rPr>
                <w:rFonts w:ascii="宋体" w:hAnsi="宋体" w:cs="宋体"/>
                <w:color w:val="auto"/>
                <w:sz w:val="24"/>
                <w:highlight w:val="none"/>
              </w:rPr>
            </w:pPr>
          </w:p>
        </w:tc>
      </w:tr>
      <w:tr w14:paraId="147521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3FCF78">
            <w:pPr>
              <w:spacing w:line="360" w:lineRule="auto"/>
              <w:rPr>
                <w:rFonts w:ascii="宋体" w:hAnsi="宋体" w:cs="宋体"/>
                <w:color w:val="auto"/>
                <w:sz w:val="24"/>
                <w:highlight w:val="none"/>
              </w:rPr>
            </w:pPr>
            <w:r>
              <w:rPr>
                <w:rFonts w:hint="eastAsia" w:ascii="宋体" w:hAnsi="宋体" w:cs="宋体"/>
                <w:color w:val="auto"/>
                <w:sz w:val="24"/>
                <w:highlight w:val="none"/>
              </w:rPr>
              <w:t>1.7.4.1</w:t>
            </w:r>
          </w:p>
        </w:tc>
        <w:tc>
          <w:tcPr>
            <w:tcW w:w="4464" w:type="pct"/>
            <w:vAlign w:val="center"/>
          </w:tcPr>
          <w:p w14:paraId="6490AB55">
            <w:pPr>
              <w:spacing w:line="360" w:lineRule="auto"/>
              <w:rPr>
                <w:rFonts w:ascii="宋体" w:hAnsi="宋体" w:cs="宋体"/>
                <w:color w:val="auto"/>
                <w:sz w:val="24"/>
                <w:highlight w:val="none"/>
              </w:rPr>
            </w:pPr>
          </w:p>
        </w:tc>
      </w:tr>
      <w:tr w14:paraId="2B5545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2BE332A5">
            <w:pPr>
              <w:spacing w:line="360" w:lineRule="auto"/>
              <w:rPr>
                <w:rFonts w:ascii="宋体" w:hAnsi="宋体" w:cs="宋体"/>
                <w:color w:val="auto"/>
                <w:sz w:val="24"/>
                <w:highlight w:val="none"/>
              </w:rPr>
            </w:pPr>
            <w:r>
              <w:rPr>
                <w:rFonts w:hint="eastAsia" w:ascii="宋体" w:hAnsi="宋体" w:cs="宋体"/>
                <w:color w:val="auto"/>
                <w:sz w:val="24"/>
                <w:highlight w:val="none"/>
              </w:rPr>
              <w:t>1.7.4.2</w:t>
            </w:r>
          </w:p>
        </w:tc>
        <w:tc>
          <w:tcPr>
            <w:tcW w:w="4464" w:type="pct"/>
            <w:vAlign w:val="center"/>
          </w:tcPr>
          <w:p w14:paraId="3A43FF54">
            <w:pPr>
              <w:spacing w:line="360" w:lineRule="auto"/>
              <w:rPr>
                <w:rFonts w:ascii="宋体" w:hAnsi="宋体" w:cs="宋体"/>
                <w:color w:val="auto"/>
                <w:sz w:val="24"/>
                <w:highlight w:val="none"/>
              </w:rPr>
            </w:pPr>
          </w:p>
        </w:tc>
      </w:tr>
      <w:tr w14:paraId="72ADAD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93FD5F6">
            <w:pPr>
              <w:spacing w:line="360" w:lineRule="auto"/>
              <w:rPr>
                <w:rFonts w:ascii="宋体" w:hAnsi="宋体" w:cs="宋体"/>
                <w:color w:val="auto"/>
                <w:sz w:val="24"/>
                <w:highlight w:val="none"/>
              </w:rPr>
            </w:pPr>
            <w:r>
              <w:rPr>
                <w:rFonts w:hint="eastAsia" w:ascii="宋体" w:hAnsi="宋体" w:cs="宋体"/>
                <w:color w:val="auto"/>
                <w:sz w:val="24"/>
                <w:highlight w:val="none"/>
              </w:rPr>
              <w:t>1.7.4.3</w:t>
            </w:r>
          </w:p>
        </w:tc>
        <w:tc>
          <w:tcPr>
            <w:tcW w:w="4464" w:type="pct"/>
            <w:vAlign w:val="center"/>
          </w:tcPr>
          <w:p w14:paraId="24FED585">
            <w:pPr>
              <w:spacing w:line="360" w:lineRule="auto"/>
              <w:rPr>
                <w:rFonts w:ascii="宋体" w:hAnsi="宋体" w:cs="宋体"/>
                <w:color w:val="auto"/>
                <w:sz w:val="24"/>
                <w:highlight w:val="none"/>
              </w:rPr>
            </w:pPr>
          </w:p>
        </w:tc>
      </w:tr>
      <w:tr w14:paraId="134F85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DAC32FC">
            <w:pPr>
              <w:spacing w:line="360" w:lineRule="auto"/>
              <w:rPr>
                <w:rFonts w:ascii="宋体" w:hAnsi="宋体" w:cs="宋体"/>
                <w:color w:val="auto"/>
                <w:sz w:val="24"/>
                <w:highlight w:val="none"/>
              </w:rPr>
            </w:pPr>
            <w:r>
              <w:rPr>
                <w:rFonts w:hint="eastAsia" w:ascii="宋体" w:hAnsi="宋体" w:cs="宋体"/>
                <w:color w:val="auto"/>
                <w:sz w:val="24"/>
                <w:highlight w:val="none"/>
              </w:rPr>
              <w:t>1.8.7</w:t>
            </w:r>
          </w:p>
        </w:tc>
        <w:tc>
          <w:tcPr>
            <w:tcW w:w="4464" w:type="pct"/>
            <w:vAlign w:val="center"/>
          </w:tcPr>
          <w:p w14:paraId="475F6F49">
            <w:pPr>
              <w:spacing w:line="360" w:lineRule="auto"/>
              <w:rPr>
                <w:rFonts w:ascii="宋体" w:hAnsi="宋体" w:cs="宋体"/>
                <w:color w:val="auto"/>
                <w:sz w:val="24"/>
                <w:highlight w:val="none"/>
              </w:rPr>
            </w:pPr>
          </w:p>
        </w:tc>
      </w:tr>
      <w:tr w14:paraId="042436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A5DE2D4">
            <w:pPr>
              <w:spacing w:line="360" w:lineRule="auto"/>
              <w:rPr>
                <w:rFonts w:ascii="宋体" w:hAnsi="宋体" w:cs="宋体"/>
                <w:color w:val="auto"/>
                <w:sz w:val="24"/>
                <w:highlight w:val="none"/>
              </w:rPr>
            </w:pPr>
            <w:r>
              <w:rPr>
                <w:rFonts w:hint="eastAsia" w:ascii="宋体" w:hAnsi="宋体" w:cs="宋体"/>
                <w:color w:val="auto"/>
                <w:sz w:val="24"/>
                <w:highlight w:val="none"/>
              </w:rPr>
              <w:t>1.9.1</w:t>
            </w:r>
          </w:p>
        </w:tc>
        <w:tc>
          <w:tcPr>
            <w:tcW w:w="4464" w:type="pct"/>
            <w:vAlign w:val="center"/>
          </w:tcPr>
          <w:p w14:paraId="634980CB">
            <w:pPr>
              <w:spacing w:line="360" w:lineRule="auto"/>
              <w:rPr>
                <w:rFonts w:ascii="宋体" w:hAnsi="宋体" w:cs="宋体"/>
                <w:color w:val="auto"/>
                <w:sz w:val="24"/>
                <w:highlight w:val="none"/>
              </w:rPr>
            </w:pPr>
          </w:p>
        </w:tc>
      </w:tr>
      <w:tr w14:paraId="089F9F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088498D9">
            <w:pPr>
              <w:spacing w:line="360" w:lineRule="auto"/>
              <w:rPr>
                <w:rFonts w:ascii="宋体" w:hAnsi="宋体" w:cs="宋体"/>
                <w:color w:val="auto"/>
                <w:sz w:val="24"/>
                <w:highlight w:val="none"/>
              </w:rPr>
            </w:pPr>
            <w:r>
              <w:rPr>
                <w:rFonts w:hint="eastAsia" w:ascii="宋体" w:hAnsi="宋体" w:cs="宋体"/>
                <w:color w:val="auto"/>
                <w:sz w:val="24"/>
                <w:highlight w:val="none"/>
              </w:rPr>
              <w:t>1.9.2</w:t>
            </w:r>
          </w:p>
        </w:tc>
        <w:tc>
          <w:tcPr>
            <w:tcW w:w="4464" w:type="pct"/>
            <w:vAlign w:val="center"/>
          </w:tcPr>
          <w:p w14:paraId="7D8A34B0">
            <w:pPr>
              <w:spacing w:line="360" w:lineRule="auto"/>
              <w:rPr>
                <w:rFonts w:ascii="宋体" w:hAnsi="宋体" w:cs="宋体"/>
                <w:color w:val="auto"/>
                <w:sz w:val="24"/>
                <w:highlight w:val="none"/>
              </w:rPr>
            </w:pPr>
          </w:p>
        </w:tc>
      </w:tr>
      <w:tr w14:paraId="5E8B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76029D55">
            <w:pPr>
              <w:spacing w:line="360" w:lineRule="auto"/>
              <w:rPr>
                <w:rFonts w:ascii="宋体" w:hAnsi="宋体" w:cs="宋体"/>
                <w:color w:val="auto"/>
                <w:sz w:val="24"/>
                <w:highlight w:val="none"/>
              </w:rPr>
            </w:pPr>
            <w:r>
              <w:rPr>
                <w:rFonts w:hint="eastAsia" w:ascii="宋体" w:hAnsi="宋体" w:cs="宋体"/>
                <w:color w:val="auto"/>
                <w:sz w:val="24"/>
                <w:highlight w:val="none"/>
              </w:rPr>
              <w:t>2.3.2</w:t>
            </w:r>
          </w:p>
        </w:tc>
        <w:tc>
          <w:tcPr>
            <w:tcW w:w="4464" w:type="pct"/>
            <w:vAlign w:val="center"/>
          </w:tcPr>
          <w:p w14:paraId="0AE3F9EA">
            <w:pPr>
              <w:spacing w:line="360" w:lineRule="auto"/>
              <w:ind w:left="-420" w:leftChars="-200" w:right="-420" w:rightChars="-200" w:firstLine="480" w:firstLineChars="200"/>
              <w:rPr>
                <w:rFonts w:ascii="宋体" w:hAnsi="宋体" w:cs="宋体"/>
                <w:color w:val="auto"/>
                <w:sz w:val="24"/>
                <w:highlight w:val="none"/>
              </w:rPr>
            </w:pPr>
          </w:p>
        </w:tc>
      </w:tr>
      <w:tr w14:paraId="4F3F6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3FC2E509">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5</w:t>
            </w:r>
          </w:p>
        </w:tc>
        <w:tc>
          <w:tcPr>
            <w:tcW w:w="4464" w:type="pct"/>
            <w:vAlign w:val="center"/>
          </w:tcPr>
          <w:p w14:paraId="6761C5ED">
            <w:pPr>
              <w:spacing w:line="360" w:lineRule="auto"/>
              <w:ind w:left="-420" w:leftChars="-200" w:right="-420" w:rightChars="-200" w:firstLine="480" w:firstLineChars="200"/>
              <w:rPr>
                <w:rFonts w:ascii="宋体" w:hAnsi="宋体" w:cs="宋体"/>
                <w:color w:val="auto"/>
                <w:sz w:val="24"/>
                <w:highlight w:val="none"/>
              </w:rPr>
            </w:pPr>
          </w:p>
        </w:tc>
      </w:tr>
      <w:tr w14:paraId="50CCDB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5A5EAFA4">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19BAD9B3">
            <w:pPr>
              <w:spacing w:line="360" w:lineRule="auto"/>
              <w:rPr>
                <w:rFonts w:ascii="宋体" w:hAnsi="宋体" w:cs="宋体"/>
                <w:color w:val="auto"/>
                <w:sz w:val="24"/>
                <w:highlight w:val="none"/>
              </w:rPr>
            </w:pPr>
          </w:p>
        </w:tc>
      </w:tr>
      <w:tr w14:paraId="56F07B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tcPr>
          <w:p w14:paraId="53D879DC">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11.4</w:t>
            </w:r>
            <w:r>
              <w:rPr>
                <w:rFonts w:hint="eastAsia" w:ascii="宋体" w:hAnsi="宋体" w:cs="宋体"/>
                <w:color w:val="auto"/>
                <w:sz w:val="24"/>
                <w:highlight w:val="none"/>
              </w:rPr>
              <w:t xml:space="preserve"> </w:t>
            </w:r>
          </w:p>
        </w:tc>
        <w:tc>
          <w:tcPr>
            <w:tcW w:w="4464" w:type="pct"/>
          </w:tcPr>
          <w:p w14:paraId="5082AFF0">
            <w:pPr>
              <w:spacing w:line="360" w:lineRule="auto"/>
              <w:rPr>
                <w:rFonts w:ascii="宋体" w:hAnsi="宋体" w:cs="宋体"/>
                <w:color w:val="auto"/>
                <w:sz w:val="24"/>
                <w:highlight w:val="none"/>
              </w:rPr>
            </w:pPr>
          </w:p>
        </w:tc>
      </w:tr>
      <w:tr w14:paraId="47D688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62A821CF">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1</w:t>
            </w:r>
          </w:p>
        </w:tc>
        <w:tc>
          <w:tcPr>
            <w:tcW w:w="4464" w:type="pct"/>
            <w:vAlign w:val="center"/>
          </w:tcPr>
          <w:p w14:paraId="48C69B9A">
            <w:pPr>
              <w:spacing w:line="360" w:lineRule="auto"/>
              <w:rPr>
                <w:rFonts w:ascii="宋体" w:hAnsi="宋体" w:cs="宋体"/>
                <w:color w:val="auto"/>
                <w:sz w:val="24"/>
                <w:highlight w:val="none"/>
              </w:rPr>
            </w:pPr>
          </w:p>
        </w:tc>
      </w:tr>
      <w:tr w14:paraId="5B0B63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535" w:type="pct"/>
            <w:tcBorders>
              <w:left w:val="single" w:color="auto" w:sz="4" w:space="0"/>
            </w:tcBorders>
            <w:vAlign w:val="center"/>
          </w:tcPr>
          <w:p w14:paraId="16436386">
            <w:pPr>
              <w:spacing w:line="360" w:lineRule="auto"/>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15</w:t>
            </w:r>
            <w:r>
              <w:rPr>
                <w:rFonts w:hint="eastAsia" w:ascii="宋体" w:hAnsi="宋体" w:cs="宋体"/>
                <w:color w:val="auto"/>
                <w:sz w:val="24"/>
                <w:highlight w:val="none"/>
              </w:rPr>
              <w:t>.</w:t>
            </w:r>
            <w:r>
              <w:rPr>
                <w:rFonts w:ascii="宋体" w:hAnsi="宋体" w:cs="宋体"/>
                <w:color w:val="auto"/>
                <w:sz w:val="24"/>
                <w:highlight w:val="none"/>
              </w:rPr>
              <w:t>3</w:t>
            </w:r>
          </w:p>
        </w:tc>
        <w:tc>
          <w:tcPr>
            <w:tcW w:w="4464" w:type="pct"/>
            <w:vAlign w:val="center"/>
          </w:tcPr>
          <w:p w14:paraId="4B94E58B">
            <w:pPr>
              <w:spacing w:line="360" w:lineRule="auto"/>
              <w:rPr>
                <w:rFonts w:ascii="宋体" w:hAnsi="宋体" w:cs="宋体"/>
                <w:color w:val="auto"/>
                <w:sz w:val="24"/>
                <w:highlight w:val="none"/>
              </w:rPr>
            </w:pPr>
          </w:p>
        </w:tc>
      </w:tr>
      <w:tr w14:paraId="2B81C7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535" w:type="pct"/>
            <w:tcBorders>
              <w:left w:val="single" w:color="auto" w:sz="4" w:space="0"/>
            </w:tcBorders>
          </w:tcPr>
          <w:p w14:paraId="6F7D2B21">
            <w:pPr>
              <w:spacing w:line="360" w:lineRule="auto"/>
              <w:rPr>
                <w:rFonts w:ascii="宋体" w:hAnsi="宋体" w:cs="宋体"/>
                <w:color w:val="auto"/>
                <w:sz w:val="24"/>
                <w:highlight w:val="none"/>
              </w:rPr>
            </w:pPr>
            <w:r>
              <w:rPr>
                <w:rFonts w:hint="eastAsia" w:ascii="宋体" w:hAnsi="宋体" w:cs="宋体"/>
                <w:color w:val="auto"/>
                <w:sz w:val="24"/>
                <w:highlight w:val="none"/>
              </w:rPr>
              <w:t>2.19</w:t>
            </w:r>
          </w:p>
        </w:tc>
        <w:tc>
          <w:tcPr>
            <w:tcW w:w="4464" w:type="pct"/>
          </w:tcPr>
          <w:p w14:paraId="43CE10F1">
            <w:pPr>
              <w:spacing w:line="360" w:lineRule="auto"/>
              <w:rPr>
                <w:rFonts w:ascii="宋体" w:hAnsi="宋体" w:cs="宋体"/>
                <w:color w:val="auto"/>
                <w:sz w:val="24"/>
                <w:highlight w:val="none"/>
              </w:rPr>
            </w:pPr>
          </w:p>
        </w:tc>
      </w:tr>
    </w:tbl>
    <w:p w14:paraId="1C9D7740">
      <w:pPr>
        <w:rPr>
          <w:rFonts w:hint="eastAsia" w:ascii="宋体" w:hAnsi="宋体" w:cs="宋体"/>
          <w:b/>
          <w:color w:val="auto"/>
          <w:sz w:val="36"/>
          <w:szCs w:val="20"/>
          <w:highlight w:val="none"/>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5F30D4DC">
      <w:pPr>
        <w:widowControl/>
        <w:adjustRightInd/>
        <w:jc w:val="center"/>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3"/>
      <w:r>
        <w:rPr>
          <w:rFonts w:hint="eastAsia" w:ascii="宋体" w:hAnsi="宋体" w:cs="宋体"/>
          <w:b/>
          <w:color w:val="auto"/>
          <w:sz w:val="36"/>
          <w:szCs w:val="20"/>
          <w:highlight w:val="none"/>
        </w:rPr>
        <w:t xml:space="preserve"> </w:t>
      </w:r>
      <w:bookmarkEnd w:id="394"/>
      <w:r>
        <w:rPr>
          <w:rFonts w:hint="eastAsia" w:ascii="宋体" w:hAnsi="宋体" w:cs="宋体"/>
          <w:b/>
          <w:color w:val="auto"/>
          <w:sz w:val="36"/>
          <w:szCs w:val="20"/>
          <w:highlight w:val="none"/>
        </w:rPr>
        <w:t>应提交的有关格式范例</w:t>
      </w:r>
    </w:p>
    <w:p w14:paraId="5458760F">
      <w:pPr>
        <w:spacing w:line="360" w:lineRule="auto"/>
        <w:jc w:val="center"/>
        <w:outlineLvl w:val="0"/>
        <w:rPr>
          <w:rFonts w:ascii="宋体" w:hAnsi="宋体" w:cs="宋体"/>
          <w:b/>
          <w:color w:val="auto"/>
          <w:kern w:val="0"/>
          <w:sz w:val="36"/>
          <w:szCs w:val="36"/>
          <w:highlight w:val="none"/>
        </w:rPr>
      </w:pPr>
    </w:p>
    <w:p w14:paraId="72EBEEFA">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0D0571E5">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187950B4">
      <w:pPr>
        <w:spacing w:line="360" w:lineRule="auto"/>
        <w:jc w:val="center"/>
        <w:outlineLvl w:val="0"/>
        <w:rPr>
          <w:rFonts w:ascii="宋体" w:hAnsi="宋体" w:cs="宋体"/>
          <w:b/>
          <w:color w:val="auto"/>
          <w:kern w:val="0"/>
          <w:sz w:val="36"/>
          <w:szCs w:val="36"/>
          <w:highlight w:val="none"/>
        </w:rPr>
      </w:pPr>
    </w:p>
    <w:p w14:paraId="64B2C9C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172B9FDE">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264F99E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573A995A">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7EB6127A">
      <w:pPr>
        <w:snapToGrid w:val="0"/>
        <w:spacing w:line="360" w:lineRule="auto"/>
        <w:ind w:firstLine="480" w:firstLineChars="200"/>
        <w:rPr>
          <w:rFonts w:ascii="宋体" w:hAnsi="宋体" w:cs="宋体"/>
          <w:color w:val="auto"/>
          <w:sz w:val="24"/>
          <w:highlight w:val="none"/>
        </w:rPr>
      </w:pPr>
    </w:p>
    <w:p w14:paraId="5D7C83D8">
      <w:pPr>
        <w:spacing w:line="360" w:lineRule="auto"/>
        <w:ind w:firstLine="480" w:firstLineChars="200"/>
        <w:rPr>
          <w:rFonts w:ascii="宋体" w:hAnsi="宋体" w:cs="宋体"/>
          <w:color w:val="auto"/>
          <w:sz w:val="24"/>
          <w:highlight w:val="none"/>
        </w:rPr>
      </w:pPr>
    </w:p>
    <w:p w14:paraId="36B3FF27">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12914260">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杭州市西湖区财政局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浙江信镧建设工程咨询有限公司</w:t>
      </w:r>
      <w:r>
        <w:rPr>
          <w:rFonts w:hint="eastAsia" w:ascii="宋体" w:hAnsi="宋体" w:cs="宋体"/>
          <w:color w:val="auto"/>
          <w:sz w:val="24"/>
          <w:highlight w:val="none"/>
        </w:rPr>
        <w:t>：</w:t>
      </w:r>
    </w:p>
    <w:p w14:paraId="7D94D65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 xml:space="preserve">西湖区财政局非税和票据管理一体化系统运维项目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ZJXL-XHCZ-202501</w:t>
      </w:r>
      <w:r>
        <w:rPr>
          <w:rFonts w:hint="eastAsia" w:ascii="宋体" w:hAnsi="宋体" w:cs="宋体"/>
          <w:color w:val="auto"/>
          <w:sz w:val="24"/>
          <w:highlight w:val="none"/>
        </w:rPr>
        <w:t>】政府采购活动，郑重承诺：</w:t>
      </w:r>
    </w:p>
    <w:p w14:paraId="24FCB57A">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290A9EE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21CA2DB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5735218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E678B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1A2EE76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5AD740B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71E93E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6C7227F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0E5B82B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01981E7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72A1CE0B">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投标人名称(电子签名)：</w:t>
      </w:r>
    </w:p>
    <w:p w14:paraId="4E1C794B">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3D06016">
      <w:pPr>
        <w:snapToGrid w:val="0"/>
        <w:spacing w:line="360" w:lineRule="auto"/>
        <w:ind w:right="480"/>
        <w:jc w:val="center"/>
        <w:rPr>
          <w:rFonts w:ascii="宋体" w:hAnsi="宋体" w:cs="宋体"/>
          <w:b/>
          <w:color w:val="auto"/>
          <w:kern w:val="0"/>
          <w:sz w:val="32"/>
          <w:szCs w:val="32"/>
          <w:highlight w:val="none"/>
        </w:rPr>
      </w:pPr>
    </w:p>
    <w:p w14:paraId="596ABC37">
      <w:pPr>
        <w:snapToGrid w:val="0"/>
        <w:spacing w:line="360" w:lineRule="auto"/>
        <w:ind w:right="480"/>
        <w:jc w:val="center"/>
        <w:rPr>
          <w:rFonts w:ascii="宋体" w:hAnsi="宋体" w:cs="宋体"/>
          <w:b/>
          <w:color w:val="auto"/>
          <w:kern w:val="0"/>
          <w:sz w:val="32"/>
          <w:szCs w:val="32"/>
          <w:highlight w:val="none"/>
        </w:rPr>
      </w:pPr>
    </w:p>
    <w:p w14:paraId="25E2531B">
      <w:pPr>
        <w:snapToGrid w:val="0"/>
        <w:spacing w:line="360" w:lineRule="auto"/>
        <w:ind w:right="480"/>
        <w:jc w:val="center"/>
        <w:rPr>
          <w:rFonts w:ascii="宋体" w:hAnsi="宋体" w:cs="宋体"/>
          <w:b/>
          <w:color w:val="auto"/>
          <w:kern w:val="0"/>
          <w:sz w:val="32"/>
          <w:szCs w:val="32"/>
          <w:highlight w:val="none"/>
        </w:rPr>
      </w:pPr>
    </w:p>
    <w:p w14:paraId="3D869CA3">
      <w:pPr>
        <w:rPr>
          <w:rFonts w:ascii="宋体" w:hAnsi="宋体" w:cs="宋体"/>
          <w:color w:val="auto"/>
          <w:highlight w:val="none"/>
        </w:rPr>
      </w:pPr>
    </w:p>
    <w:p w14:paraId="1165296D">
      <w:pPr>
        <w:snapToGrid w:val="0"/>
        <w:spacing w:line="360" w:lineRule="auto"/>
        <w:ind w:right="480"/>
        <w:jc w:val="center"/>
        <w:rPr>
          <w:rFonts w:ascii="宋体" w:hAnsi="宋体" w:cs="宋体"/>
          <w:b/>
          <w:color w:val="auto"/>
          <w:kern w:val="0"/>
          <w:sz w:val="32"/>
          <w:szCs w:val="32"/>
          <w:highlight w:val="none"/>
        </w:rPr>
      </w:pPr>
    </w:p>
    <w:p w14:paraId="1EDB7BF2">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47A0A3F4">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39B4CA7B">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[以联合体形式投标的，提供联合协议（附件5）；本项目不接受联合体投标或者投标人不以联合体形式投标的，则不需要提供）]</w:t>
      </w:r>
    </w:p>
    <w:p w14:paraId="02238F4C">
      <w:pPr>
        <w:snapToGrid w:val="0"/>
        <w:spacing w:line="360" w:lineRule="auto"/>
        <w:ind w:right="480"/>
        <w:jc w:val="center"/>
        <w:rPr>
          <w:rFonts w:ascii="宋体" w:hAnsi="宋体" w:cs="宋体"/>
          <w:b/>
          <w:color w:val="auto"/>
          <w:kern w:val="0"/>
          <w:sz w:val="32"/>
          <w:szCs w:val="32"/>
          <w:highlight w:val="none"/>
        </w:rPr>
      </w:pPr>
    </w:p>
    <w:p w14:paraId="4A04CF9F">
      <w:pPr>
        <w:snapToGrid w:val="0"/>
        <w:spacing w:line="360" w:lineRule="auto"/>
        <w:ind w:right="480"/>
        <w:jc w:val="center"/>
        <w:rPr>
          <w:rFonts w:ascii="宋体" w:hAnsi="宋体" w:cs="宋体"/>
          <w:b/>
          <w:color w:val="auto"/>
          <w:kern w:val="0"/>
          <w:sz w:val="32"/>
          <w:szCs w:val="32"/>
          <w:highlight w:val="none"/>
        </w:rPr>
      </w:pPr>
    </w:p>
    <w:p w14:paraId="34EDBA07">
      <w:pPr>
        <w:snapToGrid w:val="0"/>
        <w:spacing w:line="360" w:lineRule="auto"/>
        <w:ind w:right="480"/>
        <w:jc w:val="center"/>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261B7AD6">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015717AE">
      <w:pPr>
        <w:spacing w:line="360" w:lineRule="auto"/>
        <w:rPr>
          <w:rFonts w:ascii="宋体" w:hAnsi="宋体" w:cs="宋体"/>
          <w:color w:val="auto"/>
          <w:sz w:val="24"/>
          <w:highlight w:val="none"/>
        </w:rPr>
      </w:pPr>
      <w:r>
        <w:rPr>
          <w:rFonts w:hint="eastAsia" w:ascii="宋体" w:hAnsi="宋体" w:cs="宋体"/>
          <w:color w:val="auto"/>
          <w:sz w:val="24"/>
          <w:highlight w:val="none"/>
        </w:rPr>
        <w:t>（根据招标公告落实政府采购政策需满足的资格要求选择提供相应的材料；未要求的，无需提供）</w:t>
      </w:r>
    </w:p>
    <w:p w14:paraId="71DEF8E4">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.专门面向中小企业，服务全部由符合政策要求的中小企业（或小微企业）承接的，提供相应的中小企业声明函（附件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765B399">
      <w:pPr>
        <w:widowControl/>
        <w:spacing w:line="360" w:lineRule="auto"/>
        <w:ind w:firstLine="480"/>
        <w:jc w:val="left"/>
        <w:rPr>
          <w:rFonts w:ascii="宋体" w:hAnsi="宋体" w:cs="宋体"/>
          <w:color w:val="auto"/>
          <w:sz w:val="24"/>
          <w:highlight w:val="none"/>
        </w:rPr>
      </w:pPr>
    </w:p>
    <w:p w14:paraId="678AF036">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0F4B944E">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06ACD37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34E24821">
      <w:pPr>
        <w:widowControl/>
        <w:spacing w:line="360" w:lineRule="auto"/>
        <w:ind w:left="150"/>
        <w:jc w:val="center"/>
        <w:rPr>
          <w:rFonts w:ascii="宋体" w:hAnsi="宋体" w:cs="宋体"/>
          <w:b/>
          <w:color w:val="auto"/>
          <w:kern w:val="0"/>
          <w:sz w:val="32"/>
          <w:szCs w:val="32"/>
          <w:highlight w:val="none"/>
        </w:rPr>
      </w:pPr>
    </w:p>
    <w:p w14:paraId="5A31C17A">
      <w:pPr>
        <w:widowControl/>
        <w:spacing w:line="360" w:lineRule="auto"/>
        <w:ind w:left="150"/>
        <w:jc w:val="center"/>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4E66AFB9">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48FD9D1">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（根据招标公告本项目的特定资格要求提供相应的材料；未要求的，无需提供）</w:t>
      </w:r>
    </w:p>
    <w:p w14:paraId="56E3344A">
      <w:pPr>
        <w:rPr>
          <w:rFonts w:ascii="宋体" w:hAnsi="宋体" w:cs="宋体"/>
          <w:color w:val="auto"/>
          <w:highlight w:val="none"/>
        </w:rPr>
      </w:pPr>
    </w:p>
    <w:p w14:paraId="73907B95">
      <w:pPr>
        <w:widowControl/>
        <w:adjustRightInd/>
        <w:jc w:val="left"/>
        <w:rPr>
          <w:rFonts w:ascii="宋体" w:hAnsi="宋体" w:cs="宋体"/>
          <w:b/>
          <w:color w:val="auto"/>
          <w:kern w:val="0"/>
          <w:sz w:val="36"/>
          <w:szCs w:val="36"/>
          <w:highlight w:val="none"/>
        </w:rPr>
      </w:pPr>
      <w:r>
        <w:rPr>
          <w:rFonts w:ascii="宋体" w:hAnsi="宋体" w:cs="宋体"/>
          <w:b/>
          <w:color w:val="auto"/>
          <w:kern w:val="0"/>
          <w:sz w:val="36"/>
          <w:szCs w:val="36"/>
          <w:highlight w:val="none"/>
        </w:rPr>
        <w:br w:type="page"/>
      </w:r>
    </w:p>
    <w:p w14:paraId="3C0B4F94">
      <w:pPr>
        <w:spacing w:line="360" w:lineRule="auto"/>
        <w:ind w:right="420"/>
        <w:jc w:val="center"/>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3A7CF41B">
      <w:pPr>
        <w:spacing w:line="360" w:lineRule="auto"/>
        <w:jc w:val="center"/>
        <w:outlineLvl w:val="0"/>
        <w:rPr>
          <w:rFonts w:ascii="宋体" w:hAnsi="宋体" w:cs="宋体"/>
          <w:b/>
          <w:color w:val="auto"/>
          <w:kern w:val="0"/>
          <w:sz w:val="24"/>
          <w:highlight w:val="none"/>
        </w:rPr>
      </w:pPr>
    </w:p>
    <w:p w14:paraId="64FC89D4">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12DFB595">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（1）投标函</w:t>
      </w:r>
      <w:r>
        <w:rPr>
          <w:rFonts w:hint="eastAsia" w:ascii="宋体" w:hAnsi="宋体" w:cs="宋体"/>
          <w:color w:val="auto"/>
          <w:highlight w:val="none"/>
        </w:rPr>
        <w:t>…………………………………………………………………………………（页码）</w:t>
      </w:r>
      <w:r>
        <w:rPr>
          <w:rFonts w:hint="eastAsia" w:ascii="宋体" w:hAnsi="宋体" w:cs="宋体"/>
          <w:color w:val="auto"/>
          <w:sz w:val="24"/>
          <w:highlight w:val="none"/>
        </w:rPr>
        <w:t>（2）授权委托书或法定代表人（单位负责人、自然人本人）身份证明</w:t>
      </w:r>
      <w:r>
        <w:rPr>
          <w:rFonts w:hint="eastAsia" w:ascii="宋体" w:hAnsi="宋体" w:cs="宋体"/>
          <w:color w:val="auto"/>
          <w:highlight w:val="none"/>
        </w:rPr>
        <w:t>………（页码）</w:t>
      </w:r>
    </w:p>
    <w:p w14:paraId="69D7F006">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w:t>
      </w:r>
      <w:r>
        <w:rPr>
          <w:rFonts w:hint="eastAsia" w:ascii="宋体" w:hAnsi="宋体" w:cs="宋体"/>
          <w:color w:val="auto"/>
          <w:highlight w:val="none"/>
        </w:rPr>
        <w:t>…………………………………………………………………………（页码）</w:t>
      </w:r>
    </w:p>
    <w:p w14:paraId="6F6582FD">
      <w:pPr>
        <w:snapToGrid w:val="0"/>
        <w:spacing w:line="360" w:lineRule="auto"/>
        <w:ind w:firstLine="480" w:firstLineChars="200"/>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w:t>
      </w:r>
      <w:r>
        <w:rPr>
          <w:rFonts w:hint="eastAsia" w:ascii="宋体" w:hAnsi="宋体" w:cs="宋体"/>
          <w:color w:val="auto"/>
          <w:highlight w:val="none"/>
        </w:rPr>
        <w:t>………………………………………………………………………（页码）</w:t>
      </w:r>
    </w:p>
    <w:p w14:paraId="4F0A00D1">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）评标标准相应的商务技术资料</w:t>
      </w:r>
      <w:r>
        <w:rPr>
          <w:rFonts w:hint="eastAsia" w:ascii="宋体" w:hAnsi="宋体" w:cs="宋体"/>
          <w:color w:val="auto"/>
          <w:highlight w:val="none"/>
        </w:rPr>
        <w:t>……………………………………………………（页码）</w:t>
      </w:r>
      <w:r>
        <w:rPr>
          <w:rFonts w:hint="eastAsia" w:ascii="宋体" w:hAnsi="宋体" w:cs="宋体"/>
          <w:color w:val="auto"/>
          <w:sz w:val="24"/>
          <w:highlight w:val="none"/>
        </w:rPr>
        <w:t>（</w:t>
      </w:r>
      <w:r>
        <w:rPr>
          <w:rFonts w:hint="eastAsia" w:ascii="宋体" w:hAnsi="宋体" w:cs="宋体"/>
          <w:color w:val="auto"/>
          <w:sz w:val="24"/>
          <w:highlight w:val="none"/>
          <w:lang w:val="en-US" w:eastAsia="zh-CN"/>
        </w:rPr>
        <w:t>6</w:t>
      </w:r>
      <w:r>
        <w:rPr>
          <w:rFonts w:hint="eastAsia" w:ascii="宋体" w:hAnsi="宋体" w:cs="宋体"/>
          <w:color w:val="auto"/>
          <w:sz w:val="24"/>
          <w:highlight w:val="none"/>
        </w:rPr>
        <w:t>）商务技术偏离表</w:t>
      </w:r>
      <w:r>
        <w:rPr>
          <w:rFonts w:hint="eastAsia" w:ascii="宋体" w:hAnsi="宋体" w:cs="宋体"/>
          <w:color w:val="auto"/>
          <w:highlight w:val="none"/>
        </w:rPr>
        <w:t>………………………………………………………………………（页码）</w:t>
      </w:r>
    </w:p>
    <w:p w14:paraId="7BAD3BDB">
      <w:pPr>
        <w:snapToGrid w:val="0"/>
        <w:spacing w:line="360" w:lineRule="auto"/>
        <w:ind w:left="479" w:leftChars="228"/>
        <w:rPr>
          <w:rFonts w:ascii="宋体" w:hAnsi="宋体" w:cs="宋体"/>
          <w:color w:val="auto"/>
          <w:highlight w:val="none"/>
        </w:rPr>
      </w:pPr>
      <w:r>
        <w:rPr>
          <w:rFonts w:hint="eastAsia" w:ascii="宋体" w:hAnsi="宋体" w:cs="宋体"/>
          <w:color w:val="auto"/>
          <w:sz w:val="24"/>
          <w:highlight w:val="none"/>
          <w:lang w:val="zh-CN"/>
        </w:rPr>
        <w:t>（</w:t>
      </w:r>
      <w:r>
        <w:rPr>
          <w:rFonts w:hint="eastAsia" w:ascii="宋体" w:hAnsi="宋体" w:cs="宋体"/>
          <w:color w:val="auto"/>
          <w:sz w:val="24"/>
          <w:highlight w:val="none"/>
          <w:lang w:val="en-US" w:eastAsia="zh-CN"/>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highlight w:val="none"/>
        </w:rPr>
        <w:t>…………………………………………………（页码）</w:t>
      </w:r>
    </w:p>
    <w:p w14:paraId="46582CDB">
      <w:pPr>
        <w:snapToGrid w:val="0"/>
        <w:spacing w:line="360" w:lineRule="auto"/>
        <w:ind w:left="479" w:leftChars="228"/>
        <w:rPr>
          <w:rFonts w:hint="eastAsia" w:ascii="宋体" w:hAnsi="宋体" w:eastAsia="宋体" w:cs="宋体"/>
          <w:color w:val="auto"/>
          <w:sz w:val="24"/>
          <w:highlight w:val="none"/>
          <w:lang w:val="zh-CN"/>
        </w:rPr>
      </w:pPr>
      <w:r>
        <w:rPr>
          <w:rFonts w:hint="eastAsia" w:ascii="宋体" w:hAnsi="宋体" w:eastAsia="宋体" w:cs="宋体"/>
          <w:color w:val="auto"/>
          <w:sz w:val="24"/>
          <w:szCs w:val="24"/>
          <w:highlight w:val="none"/>
          <w:lang w:val="zh-CN"/>
        </w:rPr>
        <w:t>（</w:t>
      </w: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zh-CN"/>
        </w:rPr>
        <w:t>）</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lang w:val="zh-CN" w:eastAsia="zh-CN"/>
        </w:rPr>
        <w:t>代理服务费支付承诺书</w:t>
      </w:r>
      <w:r>
        <w:rPr>
          <w:rFonts w:hint="eastAsia" w:ascii="宋体" w:hAnsi="宋体" w:eastAsia="宋体" w:cs="宋体"/>
          <w:color w:val="auto"/>
          <w:highlight w:val="none"/>
          <w:lang w:val="zh-CN"/>
        </w:rPr>
        <w:t>………………………………………………………（页码）</w:t>
      </w:r>
    </w:p>
    <w:p w14:paraId="5C9B78A8">
      <w:pPr>
        <w:snapToGrid w:val="0"/>
        <w:spacing w:line="360" w:lineRule="auto"/>
        <w:jc w:val="center"/>
        <w:rPr>
          <w:rFonts w:ascii="宋体" w:hAnsi="宋体" w:cs="宋体"/>
          <w:b/>
          <w:color w:val="auto"/>
          <w:kern w:val="0"/>
          <w:sz w:val="32"/>
          <w:szCs w:val="32"/>
          <w:highlight w:val="none"/>
          <w:lang w:val="zh-CN"/>
        </w:rPr>
      </w:pPr>
    </w:p>
    <w:p w14:paraId="700BCA6D">
      <w:pPr>
        <w:snapToGrid w:val="0"/>
        <w:spacing w:line="360" w:lineRule="auto"/>
        <w:jc w:val="center"/>
        <w:rPr>
          <w:rFonts w:ascii="宋体" w:hAnsi="宋体" w:cs="宋体"/>
          <w:b/>
          <w:color w:val="auto"/>
          <w:kern w:val="0"/>
          <w:sz w:val="32"/>
          <w:szCs w:val="32"/>
          <w:highlight w:val="none"/>
          <w:lang w:val="zh-CN"/>
        </w:rPr>
      </w:pPr>
    </w:p>
    <w:p w14:paraId="4CABD69D">
      <w:pPr>
        <w:snapToGrid w:val="0"/>
        <w:spacing w:line="360" w:lineRule="auto"/>
        <w:jc w:val="center"/>
        <w:rPr>
          <w:rFonts w:ascii="宋体" w:hAnsi="宋体" w:cs="宋体"/>
          <w:b/>
          <w:color w:val="auto"/>
          <w:kern w:val="0"/>
          <w:sz w:val="32"/>
          <w:szCs w:val="32"/>
          <w:highlight w:val="none"/>
          <w:lang w:val="zh-CN"/>
        </w:rPr>
      </w:pPr>
    </w:p>
    <w:p w14:paraId="69DEAC0D">
      <w:pPr>
        <w:snapToGrid w:val="0"/>
        <w:spacing w:line="360" w:lineRule="auto"/>
        <w:jc w:val="center"/>
        <w:rPr>
          <w:rFonts w:ascii="宋体" w:hAnsi="宋体" w:cs="宋体"/>
          <w:b/>
          <w:color w:val="auto"/>
          <w:kern w:val="0"/>
          <w:sz w:val="32"/>
          <w:szCs w:val="32"/>
          <w:highlight w:val="none"/>
          <w:lang w:val="zh-CN"/>
        </w:rPr>
      </w:pPr>
    </w:p>
    <w:p w14:paraId="6EE7BD80">
      <w:pPr>
        <w:snapToGrid w:val="0"/>
        <w:spacing w:line="360" w:lineRule="auto"/>
        <w:jc w:val="center"/>
        <w:rPr>
          <w:rFonts w:ascii="宋体" w:hAnsi="宋体" w:cs="宋体"/>
          <w:b/>
          <w:color w:val="auto"/>
          <w:kern w:val="0"/>
          <w:sz w:val="32"/>
          <w:szCs w:val="32"/>
          <w:highlight w:val="none"/>
          <w:lang w:val="zh-CN"/>
        </w:rPr>
      </w:pPr>
    </w:p>
    <w:p w14:paraId="48640FED">
      <w:pPr>
        <w:snapToGrid w:val="0"/>
        <w:spacing w:line="360" w:lineRule="auto"/>
        <w:jc w:val="center"/>
        <w:rPr>
          <w:rFonts w:ascii="宋体" w:hAnsi="宋体" w:cs="宋体"/>
          <w:b/>
          <w:color w:val="auto"/>
          <w:kern w:val="0"/>
          <w:sz w:val="32"/>
          <w:szCs w:val="32"/>
          <w:highlight w:val="none"/>
          <w:lang w:val="zh-CN"/>
        </w:rPr>
      </w:pPr>
    </w:p>
    <w:p w14:paraId="7A0083EF">
      <w:pPr>
        <w:snapToGrid w:val="0"/>
        <w:spacing w:line="360" w:lineRule="auto"/>
        <w:jc w:val="center"/>
        <w:rPr>
          <w:rFonts w:ascii="宋体" w:hAnsi="宋体" w:cs="宋体"/>
          <w:b/>
          <w:color w:val="auto"/>
          <w:kern w:val="0"/>
          <w:sz w:val="32"/>
          <w:szCs w:val="32"/>
          <w:highlight w:val="none"/>
          <w:lang w:val="zh-CN"/>
        </w:rPr>
      </w:pPr>
    </w:p>
    <w:p w14:paraId="1F5A04FD">
      <w:pPr>
        <w:snapToGrid w:val="0"/>
        <w:spacing w:line="360" w:lineRule="auto"/>
        <w:jc w:val="center"/>
        <w:rPr>
          <w:rFonts w:ascii="宋体" w:hAnsi="宋体" w:cs="宋体"/>
          <w:b/>
          <w:color w:val="auto"/>
          <w:kern w:val="0"/>
          <w:sz w:val="32"/>
          <w:szCs w:val="32"/>
          <w:highlight w:val="none"/>
          <w:lang w:val="zh-CN"/>
        </w:rPr>
      </w:pPr>
    </w:p>
    <w:p w14:paraId="301C9372">
      <w:pPr>
        <w:snapToGrid w:val="0"/>
        <w:spacing w:line="360" w:lineRule="auto"/>
        <w:jc w:val="center"/>
        <w:rPr>
          <w:rFonts w:ascii="宋体" w:hAnsi="宋体" w:cs="宋体"/>
          <w:b/>
          <w:color w:val="auto"/>
          <w:kern w:val="0"/>
          <w:sz w:val="32"/>
          <w:szCs w:val="32"/>
          <w:highlight w:val="none"/>
          <w:lang w:val="zh-CN"/>
        </w:rPr>
      </w:pPr>
    </w:p>
    <w:p w14:paraId="49FA761E">
      <w:pPr>
        <w:snapToGrid w:val="0"/>
        <w:spacing w:line="360" w:lineRule="auto"/>
        <w:jc w:val="center"/>
        <w:rPr>
          <w:rFonts w:ascii="宋体" w:hAnsi="宋体" w:cs="宋体"/>
          <w:b/>
          <w:color w:val="auto"/>
          <w:kern w:val="0"/>
          <w:sz w:val="32"/>
          <w:szCs w:val="32"/>
          <w:highlight w:val="none"/>
          <w:lang w:val="zh-CN"/>
        </w:rPr>
      </w:pPr>
    </w:p>
    <w:p w14:paraId="0CE6BE45">
      <w:pPr>
        <w:snapToGrid w:val="0"/>
        <w:spacing w:line="360" w:lineRule="auto"/>
        <w:jc w:val="center"/>
        <w:rPr>
          <w:rFonts w:ascii="宋体" w:hAnsi="宋体" w:cs="宋体"/>
          <w:b/>
          <w:color w:val="auto"/>
          <w:kern w:val="0"/>
          <w:sz w:val="32"/>
          <w:szCs w:val="32"/>
          <w:highlight w:val="none"/>
          <w:lang w:val="zh-CN"/>
        </w:rPr>
      </w:pPr>
    </w:p>
    <w:p w14:paraId="0B232C6D">
      <w:pPr>
        <w:widowControl/>
        <w:adjustRightInd/>
        <w:jc w:val="left"/>
        <w:rPr>
          <w:rFonts w:ascii="宋体" w:hAnsi="宋体" w:cs="宋体"/>
          <w:b/>
          <w:color w:val="auto"/>
          <w:kern w:val="0"/>
          <w:sz w:val="32"/>
          <w:szCs w:val="32"/>
          <w:highlight w:val="none"/>
        </w:rPr>
      </w:pPr>
      <w:r>
        <w:rPr>
          <w:rFonts w:ascii="宋体" w:hAnsi="宋体" w:cs="宋体"/>
          <w:b/>
          <w:color w:val="auto"/>
          <w:kern w:val="0"/>
          <w:sz w:val="32"/>
          <w:szCs w:val="32"/>
          <w:highlight w:val="none"/>
        </w:rPr>
        <w:br w:type="page"/>
      </w:r>
    </w:p>
    <w:p w14:paraId="3A8940F2">
      <w:pPr>
        <w:snapToGrid w:val="0"/>
        <w:spacing w:line="360" w:lineRule="auto"/>
        <w:jc w:val="center"/>
        <w:outlineLvl w:val="0"/>
        <w:rPr>
          <w:rFonts w:ascii="宋体" w:hAnsi="宋体" w:cs="宋体"/>
          <w:b/>
          <w:color w:val="auto"/>
          <w:sz w:val="32"/>
          <w:szCs w:val="32"/>
          <w:highlight w:val="none"/>
        </w:rPr>
      </w:pPr>
      <w:r>
        <w:rPr>
          <w:rFonts w:hint="eastAsia" w:ascii="宋体" w:hAnsi="宋体" w:cs="宋体"/>
          <w:b/>
          <w:color w:val="auto"/>
          <w:kern w:val="0"/>
          <w:sz w:val="32"/>
          <w:szCs w:val="32"/>
          <w:highlight w:val="none"/>
        </w:rPr>
        <w:t>一、投标</w:t>
      </w:r>
      <w:r>
        <w:rPr>
          <w:rFonts w:hint="eastAsia" w:ascii="宋体" w:hAnsi="宋体" w:cs="宋体"/>
          <w:b/>
          <w:color w:val="auto"/>
          <w:sz w:val="32"/>
          <w:szCs w:val="32"/>
          <w:highlight w:val="none"/>
        </w:rPr>
        <w:t>函</w:t>
      </w:r>
    </w:p>
    <w:p w14:paraId="38F2DFB8">
      <w:pPr>
        <w:snapToGrid w:val="0"/>
        <w:spacing w:line="360" w:lineRule="auto"/>
        <w:rPr>
          <w:rFonts w:ascii="宋体" w:hAnsi="宋体" w:cs="宋体"/>
          <w:color w:val="auto"/>
          <w:sz w:val="24"/>
          <w:szCs w:val="24"/>
          <w:highlight w:val="none"/>
        </w:rPr>
      </w:pPr>
      <w:r>
        <w:rPr>
          <w:rFonts w:hint="eastAsia" w:ascii="宋体" w:hAnsi="宋体" w:cs="宋体"/>
          <w:color w:val="auto"/>
          <w:sz w:val="24"/>
          <w:szCs w:val="24"/>
          <w:highlight w:val="none"/>
          <w:lang w:eastAsia="zh-CN"/>
        </w:rPr>
        <w:t>杭州市西湖区财政局</w:t>
      </w:r>
      <w:r>
        <w:rPr>
          <w:rFonts w:hint="eastAsia" w:ascii="宋体" w:hAnsi="宋体" w:cs="宋体"/>
          <w:color w:val="auto"/>
          <w:sz w:val="24"/>
          <w:szCs w:val="24"/>
          <w:highlight w:val="none"/>
        </w:rPr>
        <w:t>、</w:t>
      </w:r>
      <w:r>
        <w:rPr>
          <w:rFonts w:hint="eastAsia" w:ascii="宋体" w:hAnsi="宋体" w:cs="宋体"/>
          <w:color w:val="auto"/>
          <w:sz w:val="24"/>
          <w:szCs w:val="24"/>
          <w:highlight w:val="none"/>
          <w:lang w:eastAsia="zh-CN"/>
        </w:rPr>
        <w:t>浙江信镧建设工程咨询有限公司</w:t>
      </w:r>
      <w:r>
        <w:rPr>
          <w:rFonts w:hint="eastAsia" w:ascii="宋体" w:hAnsi="宋体" w:cs="宋体"/>
          <w:color w:val="auto"/>
          <w:sz w:val="24"/>
          <w:szCs w:val="24"/>
          <w:highlight w:val="none"/>
        </w:rPr>
        <w:t>：</w:t>
      </w:r>
    </w:p>
    <w:p w14:paraId="3AB3C4C0">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我方参加你方组织的</w:t>
      </w:r>
      <w:r>
        <w:rPr>
          <w:rFonts w:hint="eastAsia" w:ascii="宋体" w:hAnsi="宋体" w:cs="宋体"/>
          <w:color w:val="auto"/>
          <w:sz w:val="24"/>
          <w:szCs w:val="24"/>
          <w:highlight w:val="none"/>
          <w:lang w:eastAsia="zh-CN"/>
        </w:rPr>
        <w:t xml:space="preserve">西湖区财政局非税和票据管理一体化系统运维项目 </w:t>
      </w:r>
      <w:r>
        <w:rPr>
          <w:rFonts w:hint="eastAsia" w:ascii="宋体" w:hAnsi="宋体" w:cs="宋体"/>
          <w:color w:val="auto"/>
          <w:sz w:val="24"/>
          <w:szCs w:val="24"/>
          <w:highlight w:val="none"/>
        </w:rPr>
        <w:t>【招标编号：</w:t>
      </w:r>
      <w:r>
        <w:rPr>
          <w:rFonts w:hint="eastAsia" w:ascii="宋体" w:hAnsi="宋体" w:cs="宋体"/>
          <w:color w:val="auto"/>
          <w:sz w:val="24"/>
          <w:szCs w:val="24"/>
          <w:highlight w:val="none"/>
          <w:lang w:eastAsia="zh-CN"/>
        </w:rPr>
        <w:t>ZJXL-XHCZ-202501</w:t>
      </w:r>
      <w:r>
        <w:rPr>
          <w:rFonts w:hint="eastAsia" w:ascii="宋体" w:hAnsi="宋体" w:cs="宋体"/>
          <w:color w:val="auto"/>
          <w:sz w:val="24"/>
          <w:szCs w:val="24"/>
          <w:highlight w:val="none"/>
        </w:rPr>
        <w:t>】招标的有关活动，并对此项目进行投标。为此：</w:t>
      </w:r>
    </w:p>
    <w:p w14:paraId="468B7083">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1、我方承诺投标有效期从提交投标文件的截止之日起</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天（不少于90天），本投标文件在投标有效期满之前均具有约束力。</w:t>
      </w:r>
    </w:p>
    <w:p w14:paraId="3E0FDCB5">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2、我方的投标文件包括以下内容：</w:t>
      </w:r>
    </w:p>
    <w:p w14:paraId="39DD7A5E">
      <w:pPr>
        <w:snapToGrid w:val="0"/>
        <w:spacing w:line="360" w:lineRule="auto"/>
        <w:ind w:left="210" w:leftChars="1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2.1资格文件：</w:t>
      </w:r>
    </w:p>
    <w:p w14:paraId="734B9DC9">
      <w:pPr>
        <w:snapToGrid w:val="0"/>
        <w:spacing w:line="360" w:lineRule="auto"/>
        <w:ind w:left="420" w:leftChars="2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2.1.1承诺函；</w:t>
      </w:r>
    </w:p>
    <w:p w14:paraId="48B56DA1">
      <w:pPr>
        <w:snapToGrid w:val="0"/>
        <w:spacing w:line="360" w:lineRule="auto"/>
        <w:ind w:left="420" w:leftChars="2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2.1.2</w:t>
      </w:r>
      <w:r>
        <w:rPr>
          <w:rFonts w:hint="eastAsia" w:ascii="宋体" w:hAnsi="宋体" w:cs="宋体"/>
          <w:snapToGrid w:val="0"/>
          <w:color w:val="auto"/>
          <w:kern w:val="28"/>
          <w:sz w:val="24"/>
          <w:szCs w:val="24"/>
          <w:highlight w:val="none"/>
        </w:rPr>
        <w:t>联合协议</w:t>
      </w:r>
      <w:bookmarkStart w:id="509" w:name="_Hlk101257010"/>
      <w:r>
        <w:rPr>
          <w:rFonts w:hint="eastAsia" w:ascii="宋体" w:hAnsi="宋体" w:cs="宋体"/>
          <w:color w:val="auto"/>
          <w:sz w:val="24"/>
          <w:szCs w:val="24"/>
          <w:highlight w:val="none"/>
        </w:rPr>
        <w:t>（如果有)</w:t>
      </w:r>
      <w:bookmarkEnd w:id="509"/>
      <w:r>
        <w:rPr>
          <w:rFonts w:hint="eastAsia" w:ascii="宋体" w:hAnsi="宋体" w:cs="宋体"/>
          <w:snapToGrid w:val="0"/>
          <w:color w:val="auto"/>
          <w:kern w:val="28"/>
          <w:sz w:val="24"/>
          <w:szCs w:val="24"/>
          <w:highlight w:val="none"/>
        </w:rPr>
        <w:t>；</w:t>
      </w:r>
    </w:p>
    <w:p w14:paraId="2B4EC0CC">
      <w:pPr>
        <w:snapToGrid w:val="0"/>
        <w:spacing w:line="360" w:lineRule="auto"/>
        <w:ind w:left="420" w:leftChars="2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.1.3</w:t>
      </w:r>
      <w:r>
        <w:rPr>
          <w:rFonts w:hint="eastAsia" w:ascii="宋体" w:hAnsi="宋体" w:cs="宋体"/>
          <w:color w:val="auto"/>
          <w:sz w:val="24"/>
          <w:szCs w:val="24"/>
          <w:highlight w:val="none"/>
        </w:rPr>
        <w:t>落实政府采购政策需满足的资格要求（如果有）；</w:t>
      </w:r>
    </w:p>
    <w:p w14:paraId="2891C294">
      <w:pPr>
        <w:snapToGrid w:val="0"/>
        <w:spacing w:line="360" w:lineRule="auto"/>
        <w:ind w:left="420" w:leftChars="2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2.1.</w:t>
      </w:r>
      <w:r>
        <w:rPr>
          <w:rFonts w:ascii="宋体" w:hAnsi="宋体" w:cs="宋体"/>
          <w:color w:val="auto"/>
          <w:sz w:val="24"/>
          <w:szCs w:val="24"/>
          <w:highlight w:val="none"/>
        </w:rPr>
        <w:t>4</w:t>
      </w:r>
      <w:r>
        <w:rPr>
          <w:rFonts w:hint="eastAsia" w:ascii="宋体" w:hAnsi="宋体" w:cs="宋体"/>
          <w:color w:val="auto"/>
          <w:sz w:val="24"/>
          <w:szCs w:val="24"/>
          <w:highlight w:val="none"/>
        </w:rPr>
        <w:t>本项目的特定资格要求（如果有)。</w:t>
      </w:r>
    </w:p>
    <w:p w14:paraId="33E6C08F">
      <w:pPr>
        <w:snapToGrid w:val="0"/>
        <w:spacing w:line="360" w:lineRule="auto"/>
        <w:ind w:left="210" w:leftChars="10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 xml:space="preserve"> </w:t>
      </w:r>
      <w:r>
        <w:rPr>
          <w:rFonts w:hint="eastAsia" w:ascii="宋体" w:hAnsi="宋体" w:cs="宋体"/>
          <w:color w:val="auto"/>
          <w:sz w:val="24"/>
          <w:szCs w:val="24"/>
          <w:highlight w:val="none"/>
        </w:rPr>
        <w:t>商务技术</w:t>
      </w:r>
      <w:r>
        <w:rPr>
          <w:rFonts w:hint="eastAsia" w:ascii="宋体" w:hAnsi="宋体" w:cs="宋体"/>
          <w:color w:val="auto"/>
          <w:sz w:val="24"/>
          <w:szCs w:val="24"/>
          <w:highlight w:val="none"/>
          <w:lang w:val="zh-CN"/>
        </w:rPr>
        <w:t>文件：</w:t>
      </w:r>
    </w:p>
    <w:p w14:paraId="5B44AF5D">
      <w:pPr>
        <w:snapToGrid w:val="0"/>
        <w:spacing w:line="360" w:lineRule="auto"/>
        <w:ind w:left="420" w:leftChars="2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2.2.1投标函；</w:t>
      </w:r>
      <w:r>
        <w:rPr>
          <w:rFonts w:hint="eastAsia" w:ascii="宋体" w:hAnsi="宋体" w:cs="宋体"/>
          <w:color w:val="auto"/>
          <w:sz w:val="24"/>
          <w:szCs w:val="24"/>
          <w:highlight w:val="none"/>
          <w:lang w:val="zh-CN"/>
        </w:rPr>
        <w:t xml:space="preserve"> </w:t>
      </w:r>
    </w:p>
    <w:p w14:paraId="3EB71FB7">
      <w:pPr>
        <w:snapToGrid w:val="0"/>
        <w:spacing w:line="360" w:lineRule="auto"/>
        <w:ind w:left="420" w:leftChars="2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2.2.2授权委托书或法定代表人（单位负责人）身份证明；</w:t>
      </w:r>
    </w:p>
    <w:p w14:paraId="37A344C0">
      <w:pPr>
        <w:snapToGrid w:val="0"/>
        <w:spacing w:line="360" w:lineRule="auto"/>
        <w:ind w:left="420" w:leftChars="2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w:t>
      </w:r>
      <w:r>
        <w:rPr>
          <w:rFonts w:ascii="宋体" w:hAnsi="宋体" w:cs="宋体"/>
          <w:color w:val="auto"/>
          <w:sz w:val="24"/>
          <w:szCs w:val="24"/>
          <w:highlight w:val="none"/>
        </w:rPr>
        <w:t>3</w:t>
      </w:r>
      <w:r>
        <w:rPr>
          <w:rFonts w:hint="eastAsia" w:ascii="宋体" w:hAnsi="宋体" w:cs="宋体"/>
          <w:color w:val="auto"/>
          <w:sz w:val="24"/>
          <w:szCs w:val="24"/>
          <w:highlight w:val="none"/>
        </w:rPr>
        <w:t>分包意向协议（如果有)；</w:t>
      </w:r>
    </w:p>
    <w:p w14:paraId="3ACC02E4">
      <w:pPr>
        <w:snapToGrid w:val="0"/>
        <w:spacing w:line="360" w:lineRule="auto"/>
        <w:ind w:left="420" w:leftChars="2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w:t>
      </w:r>
      <w:r>
        <w:rPr>
          <w:rFonts w:ascii="宋体" w:hAnsi="宋体" w:cs="宋体"/>
          <w:color w:val="auto"/>
          <w:sz w:val="24"/>
          <w:szCs w:val="24"/>
          <w:highlight w:val="none"/>
        </w:rPr>
        <w:t>4</w:t>
      </w:r>
      <w:r>
        <w:rPr>
          <w:rFonts w:hint="eastAsia" w:ascii="宋体" w:hAnsi="宋体" w:cs="宋体"/>
          <w:color w:val="auto"/>
          <w:sz w:val="24"/>
          <w:szCs w:val="24"/>
          <w:highlight w:val="none"/>
        </w:rPr>
        <w:t>符合性审查资料；</w:t>
      </w:r>
    </w:p>
    <w:p w14:paraId="796B43D6">
      <w:pPr>
        <w:snapToGrid w:val="0"/>
        <w:spacing w:line="360" w:lineRule="auto"/>
        <w:ind w:left="420" w:leftChars="2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w:t>
      </w:r>
      <w:r>
        <w:rPr>
          <w:rFonts w:ascii="宋体" w:hAnsi="宋体" w:cs="宋体"/>
          <w:color w:val="auto"/>
          <w:sz w:val="24"/>
          <w:szCs w:val="24"/>
          <w:highlight w:val="none"/>
        </w:rPr>
        <w:t>5</w:t>
      </w:r>
      <w:r>
        <w:rPr>
          <w:rFonts w:hint="eastAsia" w:ascii="宋体" w:hAnsi="宋体" w:cs="宋体"/>
          <w:color w:val="auto"/>
          <w:sz w:val="24"/>
          <w:szCs w:val="24"/>
          <w:highlight w:val="none"/>
        </w:rPr>
        <w:t>评标标准相应的商务技术资料；</w:t>
      </w:r>
    </w:p>
    <w:p w14:paraId="6478F24A">
      <w:pPr>
        <w:snapToGrid w:val="0"/>
        <w:spacing w:line="360" w:lineRule="auto"/>
        <w:ind w:left="420" w:leftChars="2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2.2.</w:t>
      </w: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商务技术偏离表；</w:t>
      </w:r>
    </w:p>
    <w:p w14:paraId="7C5C4887">
      <w:pPr>
        <w:snapToGrid w:val="0"/>
        <w:spacing w:line="360" w:lineRule="auto"/>
        <w:ind w:left="420" w:leftChars="200" w:firstLine="480" w:firstLineChars="200"/>
        <w:rPr>
          <w:rFonts w:ascii="宋体" w:hAnsi="宋体" w:cs="宋体"/>
          <w:color w:val="auto"/>
          <w:sz w:val="24"/>
          <w:szCs w:val="24"/>
          <w:highlight w:val="none"/>
          <w:lang w:val="zh-CN"/>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val="zh-CN"/>
        </w:rPr>
        <w:t>政府采购供应商廉洁自律承诺书；</w:t>
      </w:r>
    </w:p>
    <w:p w14:paraId="7D30EA5B">
      <w:pPr>
        <w:snapToGrid w:val="0"/>
        <w:spacing w:line="360" w:lineRule="auto"/>
        <w:ind w:left="210" w:leftChars="1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lang w:val="zh-CN"/>
        </w:rPr>
        <w:t>.</w:t>
      </w:r>
      <w:r>
        <w:rPr>
          <w:rFonts w:hint="eastAsia" w:ascii="宋体" w:hAnsi="宋体" w:cs="宋体"/>
          <w:color w:val="auto"/>
          <w:sz w:val="24"/>
          <w:szCs w:val="24"/>
          <w:highlight w:val="none"/>
        </w:rPr>
        <w:t>3报价文件</w:t>
      </w:r>
    </w:p>
    <w:p w14:paraId="5FBC8E2F">
      <w:pPr>
        <w:spacing w:line="360" w:lineRule="auto"/>
        <w:ind w:left="420" w:leftChars="20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2.3.1开标一览表（报价表）；</w:t>
      </w:r>
    </w:p>
    <w:p w14:paraId="3197EB36">
      <w:pPr>
        <w:snapToGrid w:val="0"/>
        <w:spacing w:line="360" w:lineRule="auto"/>
        <w:ind w:left="420" w:leftChars="2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2.3.2中小企业声明函（如果有）。</w:t>
      </w:r>
    </w:p>
    <w:p w14:paraId="1ECB6959">
      <w:pPr>
        <w:snapToGrid w:val="0"/>
        <w:spacing w:line="360" w:lineRule="auto"/>
        <w:ind w:firstLine="480" w:firstLineChars="200"/>
        <w:rPr>
          <w:rFonts w:ascii="宋体" w:hAnsi="宋体" w:cs="宋体"/>
          <w:color w:val="auto"/>
          <w:sz w:val="24"/>
          <w:szCs w:val="24"/>
          <w:highlight w:val="none"/>
        </w:rPr>
      </w:pPr>
      <w:r>
        <w:rPr>
          <w:rFonts w:hint="eastAsia" w:ascii="宋体" w:hAnsi="宋体" w:eastAsia="宋体" w:cs="宋体"/>
          <w:color w:val="auto"/>
          <w:sz w:val="24"/>
          <w:szCs w:val="24"/>
          <w:highlight w:val="none"/>
        </w:rPr>
        <w:t>3、</w:t>
      </w:r>
      <w:r>
        <w:rPr>
          <w:rFonts w:hint="eastAsia" w:ascii="宋体" w:hAnsi="宋体" w:cs="宋体"/>
          <w:color w:val="auto"/>
          <w:sz w:val="24"/>
          <w:szCs w:val="24"/>
          <w:highlight w:val="none"/>
          <w:lang w:eastAsia="zh-CN"/>
        </w:rPr>
        <w:t>我方承诺除商务技术偏离表列出的偏离外，我方响应招标文件的全部要求。对投标文件中材料的真实性、合法性负责，积极配合采购人、采购代理机构复核投标文件中的资料。</w:t>
      </w:r>
    </w:p>
    <w:p w14:paraId="6AB7C79F">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4、如我方中标，我方承诺：</w:t>
      </w:r>
    </w:p>
    <w:p w14:paraId="123A3B99">
      <w:pPr>
        <w:snapToGrid w:val="0"/>
        <w:spacing w:line="360" w:lineRule="auto"/>
        <w:ind w:left="210" w:leftChars="1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4.1在收到中标通知书后，在中标通知书规定的期限内与你方签订合同； </w:t>
      </w:r>
    </w:p>
    <w:p w14:paraId="116763E4">
      <w:pPr>
        <w:snapToGrid w:val="0"/>
        <w:spacing w:line="360" w:lineRule="auto"/>
        <w:ind w:left="210" w:leftChars="1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4.2在签订合同时不向你方提出附加条件； </w:t>
      </w:r>
    </w:p>
    <w:p w14:paraId="19BDF3E4">
      <w:pPr>
        <w:snapToGrid w:val="0"/>
        <w:spacing w:line="360" w:lineRule="auto"/>
        <w:ind w:left="210" w:leftChars="1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4.3按照招标文件要求提交履约保证金； </w:t>
      </w:r>
    </w:p>
    <w:p w14:paraId="47F77DB9">
      <w:pPr>
        <w:snapToGrid w:val="0"/>
        <w:spacing w:line="360" w:lineRule="auto"/>
        <w:ind w:left="210" w:leftChars="10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 xml:space="preserve">4.4在合同约定的期限内完成合同规定的全部义务。 </w:t>
      </w:r>
    </w:p>
    <w:p w14:paraId="17CA3A24">
      <w:pPr>
        <w:widowControl w:val="0"/>
        <w:numPr>
          <w:ilvl w:val="0"/>
          <w:numId w:val="0"/>
        </w:numPr>
        <w:ind w:firstLine="480" w:firstLineChars="200"/>
        <w:jc w:val="both"/>
        <w:rPr>
          <w:rFonts w:hint="eastAsia" w:ascii="宋体" w:hAnsi="宋体" w:eastAsia="宋体" w:cs="宋体"/>
          <w:i w:val="0"/>
          <w:caps w:val="0"/>
          <w:color w:val="auto"/>
          <w:spacing w:val="0"/>
          <w:sz w:val="24"/>
          <w:szCs w:val="24"/>
          <w:highlight w:val="none"/>
          <w:shd w:val="clear" w:color="auto" w:fill="FFFFFF"/>
          <w:lang w:val="en-US" w:eastAsia="zh-CN"/>
        </w:rPr>
      </w:pPr>
      <w:r>
        <w:rPr>
          <w:rFonts w:hint="eastAsia" w:ascii="宋体" w:hAnsi="宋体" w:cs="宋体"/>
          <w:color w:val="auto"/>
          <w:sz w:val="24"/>
          <w:szCs w:val="24"/>
          <w:highlight w:val="none"/>
        </w:rPr>
        <w:t>5、</w:t>
      </w:r>
      <w:r>
        <w:rPr>
          <w:rFonts w:hint="eastAsia" w:ascii="宋体" w:hAnsi="宋体" w:cs="宋体"/>
          <w:color w:val="auto"/>
          <w:sz w:val="24"/>
          <w:szCs w:val="24"/>
          <w:highlight w:val="none"/>
          <w:lang w:val="en-US" w:eastAsia="zh-CN"/>
        </w:rPr>
        <w:t>对</w:t>
      </w:r>
      <w:r>
        <w:rPr>
          <w:rFonts w:hint="eastAsia" w:ascii="宋体" w:hAnsi="宋体" w:eastAsia="宋体" w:cs="宋体"/>
          <w:i w:val="0"/>
          <w:caps w:val="0"/>
          <w:color w:val="auto"/>
          <w:spacing w:val="0"/>
          <w:sz w:val="24"/>
          <w:szCs w:val="24"/>
          <w:highlight w:val="none"/>
          <w:shd w:val="clear" w:color="auto" w:fill="FFFFFF"/>
          <w:lang w:val="en-US" w:eastAsia="zh-CN"/>
        </w:rPr>
        <w:t>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84AF105">
      <w:pPr>
        <w:snapToGrid w:val="0"/>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其他补充说明:</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w:t>
      </w:r>
    </w:p>
    <w:p w14:paraId="4EAAA2F7">
      <w:pPr>
        <w:spacing w:line="360" w:lineRule="auto"/>
        <w:ind w:firstLine="3600" w:firstLineChars="1500"/>
        <w:rPr>
          <w:rFonts w:ascii="宋体" w:hAnsi="宋体" w:cs="宋体"/>
          <w:color w:val="auto"/>
          <w:sz w:val="24"/>
          <w:szCs w:val="24"/>
          <w:highlight w:val="none"/>
        </w:rPr>
      </w:pPr>
      <w:r>
        <w:rPr>
          <w:rFonts w:hint="eastAsia" w:ascii="宋体" w:hAnsi="宋体" w:cs="宋体"/>
          <w:color w:val="auto"/>
          <w:sz w:val="24"/>
          <w:szCs w:val="24"/>
          <w:highlight w:val="none"/>
        </w:rPr>
        <w:t xml:space="preserve">投标人名称（电子签名）：                          </w:t>
      </w:r>
    </w:p>
    <w:p w14:paraId="62C20BFD">
      <w:pPr>
        <w:spacing w:line="36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 xml:space="preserve">     日期：  年   月   日</w:t>
      </w:r>
    </w:p>
    <w:p w14:paraId="625A5284">
      <w:pPr>
        <w:snapToGrid w:val="0"/>
        <w:spacing w:line="360" w:lineRule="auto"/>
        <w:ind w:left="420" w:leftChars="200" w:firstLine="4200" w:firstLineChars="1750"/>
        <w:rPr>
          <w:rFonts w:ascii="宋体" w:hAnsi="宋体" w:cs="宋体"/>
          <w:color w:val="auto"/>
          <w:kern w:val="0"/>
          <w:sz w:val="24"/>
          <w:szCs w:val="24"/>
          <w:highlight w:val="none"/>
          <w:u w:val="single"/>
        </w:rPr>
      </w:pPr>
    </w:p>
    <w:p w14:paraId="38661905">
      <w:pPr>
        <w:spacing w:line="360" w:lineRule="auto"/>
        <w:ind w:right="420"/>
        <w:rPr>
          <w:rFonts w:ascii="宋体" w:hAnsi="宋体" w:cs="宋体"/>
          <w:color w:val="auto"/>
          <w:sz w:val="24"/>
          <w:szCs w:val="24"/>
          <w:highlight w:val="none"/>
        </w:rPr>
      </w:pPr>
      <w:r>
        <w:rPr>
          <w:rFonts w:hint="eastAsia" w:ascii="宋体" w:hAnsi="宋体" w:cs="宋体"/>
          <w:color w:val="auto"/>
          <w:sz w:val="24"/>
          <w:szCs w:val="24"/>
          <w:highlight w:val="none"/>
        </w:rPr>
        <w:t>注：按本格式和要求提供。</w:t>
      </w:r>
    </w:p>
    <w:p w14:paraId="452E17B7">
      <w:pPr>
        <w:snapToGrid w:val="0"/>
        <w:spacing w:line="360" w:lineRule="auto"/>
        <w:jc w:val="center"/>
        <w:rPr>
          <w:rFonts w:ascii="宋体" w:hAnsi="宋体" w:cs="宋体"/>
          <w:b/>
          <w:color w:val="auto"/>
          <w:kern w:val="0"/>
          <w:sz w:val="32"/>
          <w:szCs w:val="32"/>
          <w:highlight w:val="none"/>
        </w:rPr>
      </w:pPr>
    </w:p>
    <w:p w14:paraId="742E3BA8">
      <w:pPr>
        <w:snapToGrid w:val="0"/>
        <w:spacing w:line="360" w:lineRule="auto"/>
        <w:rPr>
          <w:rFonts w:ascii="宋体" w:hAnsi="宋体" w:cs="宋体"/>
          <w:color w:val="auto"/>
          <w:sz w:val="24"/>
          <w:highlight w:val="none"/>
        </w:rPr>
      </w:pPr>
    </w:p>
    <w:p w14:paraId="2AFDD200">
      <w:pPr>
        <w:jc w:val="both"/>
        <w:rPr>
          <w:rFonts w:ascii="宋体" w:hAnsi="宋体" w:cs="宋体"/>
          <w:b/>
          <w:color w:val="auto"/>
          <w:kern w:val="0"/>
          <w:sz w:val="32"/>
          <w:szCs w:val="32"/>
          <w:highlight w:val="none"/>
        </w:rPr>
      </w:pPr>
    </w:p>
    <w:p w14:paraId="2D183AA5">
      <w:pPr>
        <w:jc w:val="center"/>
        <w:rPr>
          <w:rFonts w:ascii="宋体" w:hAnsi="宋体" w:cs="宋体"/>
          <w:b/>
          <w:color w:val="auto"/>
          <w:kern w:val="0"/>
          <w:sz w:val="32"/>
          <w:szCs w:val="32"/>
          <w:highlight w:val="none"/>
        </w:rPr>
      </w:pPr>
    </w:p>
    <w:p w14:paraId="5D8BB10A">
      <w:pPr>
        <w:jc w:val="center"/>
        <w:rPr>
          <w:rFonts w:ascii="宋体" w:hAnsi="宋体" w:cs="宋体"/>
          <w:b/>
          <w:color w:val="auto"/>
          <w:kern w:val="0"/>
          <w:sz w:val="32"/>
          <w:szCs w:val="32"/>
          <w:highlight w:val="none"/>
        </w:rPr>
      </w:pPr>
    </w:p>
    <w:p w14:paraId="78197527">
      <w:pPr>
        <w:jc w:val="center"/>
        <w:rPr>
          <w:rFonts w:ascii="宋体" w:hAnsi="宋体" w:cs="宋体"/>
          <w:b/>
          <w:color w:val="auto"/>
          <w:kern w:val="0"/>
          <w:sz w:val="32"/>
          <w:szCs w:val="32"/>
          <w:highlight w:val="none"/>
        </w:rPr>
      </w:pPr>
    </w:p>
    <w:p w14:paraId="7CBF5A00">
      <w:pPr>
        <w:jc w:val="center"/>
        <w:rPr>
          <w:rFonts w:ascii="宋体" w:hAnsi="宋体" w:cs="宋体"/>
          <w:b/>
          <w:color w:val="auto"/>
          <w:kern w:val="0"/>
          <w:sz w:val="32"/>
          <w:szCs w:val="32"/>
          <w:highlight w:val="none"/>
        </w:rPr>
      </w:pPr>
    </w:p>
    <w:p w14:paraId="2221EB27">
      <w:pPr>
        <w:jc w:val="center"/>
        <w:rPr>
          <w:rFonts w:ascii="宋体" w:hAnsi="宋体" w:cs="宋体"/>
          <w:b/>
          <w:color w:val="auto"/>
          <w:kern w:val="0"/>
          <w:sz w:val="32"/>
          <w:szCs w:val="32"/>
          <w:highlight w:val="none"/>
        </w:rPr>
      </w:pPr>
    </w:p>
    <w:p w14:paraId="4C1F8EAB">
      <w:pPr>
        <w:jc w:val="center"/>
        <w:rPr>
          <w:rFonts w:ascii="宋体" w:hAnsi="宋体" w:cs="宋体"/>
          <w:b/>
          <w:color w:val="auto"/>
          <w:kern w:val="0"/>
          <w:sz w:val="32"/>
          <w:szCs w:val="32"/>
          <w:highlight w:val="none"/>
        </w:rPr>
      </w:pPr>
    </w:p>
    <w:p w14:paraId="1D30A3E4">
      <w:pPr>
        <w:jc w:val="center"/>
        <w:rPr>
          <w:rFonts w:ascii="宋体" w:hAnsi="宋体" w:cs="宋体"/>
          <w:b/>
          <w:color w:val="auto"/>
          <w:kern w:val="0"/>
          <w:sz w:val="32"/>
          <w:szCs w:val="32"/>
          <w:highlight w:val="none"/>
        </w:rPr>
      </w:pPr>
    </w:p>
    <w:p w14:paraId="1CD0E6AD">
      <w:pPr>
        <w:jc w:val="center"/>
        <w:rPr>
          <w:rFonts w:ascii="宋体" w:hAnsi="宋体" w:cs="宋体"/>
          <w:b/>
          <w:color w:val="auto"/>
          <w:kern w:val="0"/>
          <w:sz w:val="32"/>
          <w:szCs w:val="32"/>
          <w:highlight w:val="none"/>
        </w:rPr>
      </w:pPr>
    </w:p>
    <w:p w14:paraId="25EA4943">
      <w:pPr>
        <w:jc w:val="center"/>
        <w:rPr>
          <w:rFonts w:ascii="宋体" w:hAnsi="宋体" w:cs="宋体"/>
          <w:b/>
          <w:color w:val="auto"/>
          <w:kern w:val="0"/>
          <w:sz w:val="32"/>
          <w:szCs w:val="32"/>
          <w:highlight w:val="none"/>
        </w:rPr>
      </w:pPr>
    </w:p>
    <w:p w14:paraId="4435A295">
      <w:pPr>
        <w:jc w:val="center"/>
        <w:rPr>
          <w:rFonts w:ascii="宋体" w:hAnsi="宋体" w:cs="宋体"/>
          <w:b/>
          <w:color w:val="auto"/>
          <w:kern w:val="0"/>
          <w:sz w:val="32"/>
          <w:szCs w:val="32"/>
          <w:highlight w:val="none"/>
        </w:rPr>
      </w:pPr>
    </w:p>
    <w:p w14:paraId="09EA2B9B">
      <w:pPr>
        <w:jc w:val="center"/>
        <w:rPr>
          <w:rFonts w:ascii="宋体" w:hAnsi="宋体" w:cs="宋体"/>
          <w:b/>
          <w:color w:val="auto"/>
          <w:kern w:val="0"/>
          <w:sz w:val="32"/>
          <w:szCs w:val="32"/>
          <w:highlight w:val="none"/>
        </w:rPr>
      </w:pPr>
    </w:p>
    <w:p w14:paraId="231E0000">
      <w:pPr>
        <w:jc w:val="center"/>
        <w:rPr>
          <w:rFonts w:hint="eastAsia" w:ascii="宋体" w:hAnsi="宋体" w:cs="宋体"/>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14:paraId="187DA1AB">
      <w:pPr>
        <w:jc w:val="center"/>
        <w:rPr>
          <w:rFonts w:ascii="宋体" w:hAnsi="宋体" w:cs="宋体"/>
          <w:b/>
          <w:color w:val="auto"/>
          <w:kern w:val="0"/>
          <w:sz w:val="32"/>
          <w:szCs w:val="32"/>
          <w:highlight w:val="none"/>
          <w:lang w:val="zh-CN"/>
        </w:rPr>
      </w:pPr>
      <w:r>
        <w:rPr>
          <w:rFonts w:hint="eastAsia" w:ascii="宋体" w:hAnsi="宋体" w:cs="宋体"/>
          <w:b/>
          <w:color w:val="auto"/>
          <w:kern w:val="0"/>
          <w:sz w:val="32"/>
          <w:szCs w:val="32"/>
          <w:highlight w:val="none"/>
          <w:lang w:val="zh-CN"/>
        </w:rPr>
        <w:t>二、授权委托书或法定代表人（单位负责人、自然人本人）身份证明</w:t>
      </w:r>
    </w:p>
    <w:p w14:paraId="42D0F7D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11AA68CA">
      <w:pPr>
        <w:snapToGrid w:val="0"/>
        <w:spacing w:line="360" w:lineRule="auto"/>
        <w:ind w:firstLine="2872" w:firstLineChars="894"/>
        <w:rPr>
          <w:rFonts w:ascii="宋体" w:hAnsi="宋体" w:cs="宋体"/>
          <w:color w:val="auto"/>
          <w:highlight w:val="none"/>
        </w:rPr>
      </w:pPr>
      <w:r>
        <w:rPr>
          <w:rFonts w:hint="eastAsia" w:ascii="宋体" w:hAnsi="宋体" w:cs="宋体"/>
          <w:b/>
          <w:color w:val="auto"/>
          <w:kern w:val="0"/>
          <w:sz w:val="32"/>
          <w:szCs w:val="32"/>
          <w:highlight w:val="none"/>
          <w:lang w:val="zh-CN"/>
        </w:rPr>
        <w:t>授权委托书（适用于非联合体投标）</w:t>
      </w:r>
      <w:r>
        <w:rPr>
          <w:rFonts w:hint="eastAsia" w:ascii="宋体" w:hAnsi="宋体" w:cs="宋体"/>
          <w:color w:val="auto"/>
          <w:highlight w:val="none"/>
        </w:rPr>
        <w:t xml:space="preserve">                               </w:t>
      </w:r>
    </w:p>
    <w:p w14:paraId="16D5DB25">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杭州市西湖区财政局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浙江信镧建设工程咨询有限公司</w:t>
      </w:r>
      <w:r>
        <w:rPr>
          <w:rFonts w:hint="eastAsia" w:ascii="宋体" w:hAnsi="宋体" w:cs="宋体"/>
          <w:color w:val="auto"/>
          <w:kern w:val="0"/>
          <w:sz w:val="24"/>
          <w:highlight w:val="none"/>
          <w:lang w:val="zh-CN"/>
        </w:rPr>
        <w:t>：</w:t>
      </w:r>
    </w:p>
    <w:p w14:paraId="0E4092CD">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西湖区财政局非税和票据管理一体化系统运维项目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ZJXL-XHCZ-202501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70D05235">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7BB19BC">
      <w:pPr>
        <w:snapToGrid w:val="0"/>
        <w:spacing w:line="360" w:lineRule="auto"/>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特此告知。</w:t>
      </w:r>
    </w:p>
    <w:p w14:paraId="29767B75">
      <w:pPr>
        <w:pStyle w:val="149"/>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00EFF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95" w:hRule="atLeast"/>
          <w:jc w:val="center"/>
        </w:trPr>
        <w:tc>
          <w:tcPr>
            <w:tcW w:w="9207" w:type="dxa"/>
          </w:tcPr>
          <w:p w14:paraId="55918B59">
            <w:pPr>
              <w:pStyle w:val="149"/>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14:paraId="6EBA8792">
            <w:pPr>
              <w:pStyle w:val="149"/>
              <w:adjustRightInd w:val="0"/>
              <w:spacing w:line="360" w:lineRule="auto"/>
              <w:rPr>
                <w:rFonts w:hAnsi="宋体" w:cs="宋体"/>
                <w:bCs/>
                <w:sz w:val="24"/>
              </w:rPr>
            </w:pPr>
          </w:p>
        </w:tc>
      </w:tr>
    </w:tbl>
    <w:p w14:paraId="7412885B">
      <w:pPr>
        <w:pStyle w:val="2"/>
      </w:pPr>
    </w:p>
    <w:p w14:paraId="0D3BE53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投标人名称(电子签名)：</w:t>
      </w:r>
    </w:p>
    <w:p w14:paraId="33312E0A">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1AA9871A">
      <w:pPr>
        <w:snapToGrid w:val="0"/>
        <w:spacing w:line="360" w:lineRule="auto"/>
        <w:rPr>
          <w:rFonts w:ascii="宋体" w:hAnsi="宋体" w:cs="宋体"/>
          <w:color w:val="auto"/>
          <w:sz w:val="24"/>
          <w:highlight w:val="none"/>
        </w:rPr>
      </w:pPr>
    </w:p>
    <w:p w14:paraId="0CA448F6">
      <w:pPr>
        <w:jc w:val="center"/>
        <w:rPr>
          <w:rFonts w:hint="eastAsia" w:ascii="宋体" w:hAnsi="宋体" w:cs="宋体"/>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r>
        <w:rPr>
          <w:rFonts w:hint="eastAsia" w:ascii="宋体" w:hAnsi="宋体" w:cs="宋体"/>
          <w:b/>
          <w:color w:val="auto"/>
          <w:kern w:val="0"/>
          <w:sz w:val="32"/>
          <w:szCs w:val="32"/>
          <w:highlight w:val="none"/>
          <w:lang w:val="zh-CN"/>
        </w:rPr>
        <w:t xml:space="preserve">      </w:t>
      </w:r>
    </w:p>
    <w:p w14:paraId="51D753C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r>
        <w:rPr>
          <w:rFonts w:hint="eastAsia" w:ascii="宋体" w:hAnsi="宋体" w:cs="宋体"/>
          <w:b/>
          <w:color w:val="auto"/>
          <w:kern w:val="0"/>
          <w:sz w:val="32"/>
          <w:szCs w:val="32"/>
          <w:highlight w:val="none"/>
          <w:lang w:val="zh-CN"/>
        </w:rPr>
        <w:t>授权委托书（适用于联合体投标）</w:t>
      </w:r>
    </w:p>
    <w:p w14:paraId="2CC05594">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杭州市西湖区财政局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浙江信镧建设工程咨询有限公司</w:t>
      </w:r>
      <w:r>
        <w:rPr>
          <w:rFonts w:hint="eastAsia" w:ascii="宋体" w:hAnsi="宋体" w:cs="宋体"/>
          <w:color w:val="auto"/>
          <w:kern w:val="0"/>
          <w:sz w:val="24"/>
          <w:highlight w:val="none"/>
          <w:lang w:val="zh-CN"/>
        </w:rPr>
        <w:t>：</w:t>
      </w:r>
    </w:p>
    <w:p w14:paraId="0543E492">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 xml:space="preserve">西湖区财政局非税和票据管理一体化系统运维项目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ZJXL-XHCZ-202501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政府采购投标的一切事项，其法律后果由我方承担。</w:t>
      </w:r>
    </w:p>
    <w:p w14:paraId="3ECCCDBA">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12A1662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49FF06A9">
      <w:pPr>
        <w:pStyle w:val="149"/>
        <w:spacing w:line="360" w:lineRule="auto"/>
        <w:rPr>
          <w:rFonts w:hAnsi="宋体" w:cs="宋体"/>
          <w:bCs/>
          <w:sz w:val="24"/>
        </w:rPr>
      </w:pPr>
      <w:r>
        <w:rPr>
          <w:rFonts w:hint="eastAsia" w:ascii="宋体" w:hAnsi="宋体" w:eastAsia="宋体" w:cs="宋体"/>
          <w:color w:val="auto"/>
          <w:kern w:val="0"/>
          <w:sz w:val="24"/>
          <w:highlight w:val="none"/>
          <w:lang w:val="zh-CN"/>
        </w:rPr>
        <w:t>代理人</w:t>
      </w: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4244E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5" w:hRule="atLeast"/>
          <w:jc w:val="center"/>
        </w:trPr>
        <w:tc>
          <w:tcPr>
            <w:tcW w:w="9207" w:type="dxa"/>
          </w:tcPr>
          <w:p w14:paraId="0CF5E3C4">
            <w:pPr>
              <w:pStyle w:val="149"/>
              <w:adjustRightInd w:val="0"/>
              <w:spacing w:line="360" w:lineRule="auto"/>
              <w:rPr>
                <w:rFonts w:hAnsi="宋体" w:cs="宋体"/>
                <w:bCs/>
                <w:sz w:val="24"/>
              </w:rPr>
            </w:pPr>
            <w:r>
              <w:rPr>
                <w:rFonts w:hint="eastAsia" w:hAnsi="宋体" w:cs="宋体"/>
                <w:bCs/>
                <w:sz w:val="24"/>
              </w:rPr>
              <w:t>正面：</w:t>
            </w:r>
            <w:r>
              <w:rPr>
                <w:rFonts w:hint="eastAsia" w:hAnsi="宋体" w:cs="宋体"/>
                <w:bCs/>
                <w:sz w:val="24"/>
                <w:lang w:val="en-US" w:eastAsia="zh-CN"/>
              </w:rPr>
              <w:t xml:space="preserve">                               </w:t>
            </w:r>
            <w:r>
              <w:rPr>
                <w:rFonts w:hint="eastAsia" w:hAnsi="宋体" w:cs="宋体"/>
                <w:bCs/>
                <w:sz w:val="24"/>
              </w:rPr>
              <w:t>反面：</w:t>
            </w:r>
          </w:p>
          <w:p w14:paraId="3D1E1B10">
            <w:pPr>
              <w:pStyle w:val="149"/>
              <w:adjustRightInd w:val="0"/>
              <w:spacing w:line="360" w:lineRule="auto"/>
              <w:rPr>
                <w:rFonts w:hAnsi="宋体" w:cs="宋体"/>
                <w:bCs/>
                <w:sz w:val="24"/>
              </w:rPr>
            </w:pPr>
          </w:p>
        </w:tc>
      </w:tr>
    </w:tbl>
    <w:p w14:paraId="2E366979">
      <w:pPr>
        <w:jc w:val="center"/>
        <w:rPr>
          <w:rFonts w:ascii="宋体" w:hAnsi="宋体" w:cs="宋体"/>
          <w:b/>
          <w:color w:val="auto"/>
          <w:kern w:val="0"/>
          <w:sz w:val="32"/>
          <w:szCs w:val="32"/>
          <w:highlight w:val="none"/>
        </w:rPr>
      </w:pPr>
    </w:p>
    <w:p w14:paraId="0E921CCB">
      <w:pPr>
        <w:rPr>
          <w:rFonts w:ascii="宋体" w:hAnsi="宋体" w:cs="宋体"/>
          <w:color w:val="auto"/>
          <w:highlight w:val="none"/>
        </w:rPr>
      </w:pPr>
    </w:p>
    <w:p w14:paraId="5FBFFFF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7B8359CD">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4087346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640882F">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CC1280D">
      <w:pPr>
        <w:autoSpaceDE w:val="0"/>
        <w:autoSpaceDN w:val="0"/>
        <w:spacing w:line="360" w:lineRule="auto"/>
        <w:jc w:val="center"/>
        <w:rPr>
          <w:rFonts w:ascii="宋体" w:hAnsi="宋体" w:cs="宋体"/>
          <w:b/>
          <w:color w:val="auto"/>
          <w:kern w:val="0"/>
          <w:sz w:val="32"/>
          <w:szCs w:val="32"/>
          <w:highlight w:val="none"/>
          <w:lang w:val="zh-CN"/>
        </w:rPr>
      </w:pPr>
    </w:p>
    <w:p w14:paraId="0413339E">
      <w:pPr>
        <w:autoSpaceDE w:val="0"/>
        <w:autoSpaceDN w:val="0"/>
        <w:spacing w:line="360" w:lineRule="auto"/>
        <w:jc w:val="center"/>
        <w:rPr>
          <w:rFonts w:hint="eastAsia" w:ascii="宋体" w:hAnsi="宋体" w:cs="宋体"/>
          <w:b/>
          <w:color w:val="auto"/>
          <w:kern w:val="0"/>
          <w:sz w:val="32"/>
          <w:szCs w:val="32"/>
          <w:highlight w:val="none"/>
          <w:lang w:val="zh-CN"/>
        </w:rPr>
        <w:sectPr>
          <w:pgSz w:w="11906" w:h="16838"/>
          <w:pgMar w:top="1276" w:right="1418" w:bottom="1247" w:left="1418" w:header="851" w:footer="992" w:gutter="0"/>
          <w:cols w:space="720" w:num="1"/>
          <w:titlePg/>
          <w:docGrid w:linePitch="312" w:charSpace="0"/>
        </w:sectPr>
      </w:pPr>
    </w:p>
    <w:p w14:paraId="12407765">
      <w:pPr>
        <w:autoSpaceDE w:val="0"/>
        <w:autoSpaceDN w:val="0"/>
        <w:spacing w:line="360" w:lineRule="auto"/>
        <w:jc w:val="center"/>
        <w:rPr>
          <w:rFonts w:ascii="宋体" w:hAnsi="宋体" w:cs="宋体"/>
          <w:b/>
          <w:color w:val="auto"/>
          <w:sz w:val="24"/>
          <w:highlight w:val="none"/>
        </w:rPr>
      </w:pPr>
      <w:r>
        <w:rPr>
          <w:rFonts w:hint="eastAsia" w:ascii="宋体" w:hAnsi="宋体" w:cs="宋体"/>
          <w:b/>
          <w:color w:val="auto"/>
          <w:kern w:val="0"/>
          <w:sz w:val="32"/>
          <w:szCs w:val="32"/>
          <w:highlight w:val="none"/>
          <w:lang w:val="zh-CN"/>
        </w:rPr>
        <w:t>法定代表人、单位负责人或自然人本人</w:t>
      </w:r>
      <w:r>
        <w:rPr>
          <w:rFonts w:hint="eastAsia" w:ascii="宋体" w:hAnsi="宋体" w:cs="宋体"/>
          <w:b/>
          <w:color w:val="auto"/>
          <w:sz w:val="30"/>
          <w:szCs w:val="30"/>
          <w:highlight w:val="none"/>
        </w:rPr>
        <w:t>的身份证明（适用于法定代表人、单位负责人或者自然人本人代表投标人参加投标）</w:t>
      </w:r>
    </w:p>
    <w:p w14:paraId="1905085C">
      <w:pPr>
        <w:pStyle w:val="149"/>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ECE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3873CF5D">
            <w:pPr>
              <w:pStyle w:val="149"/>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46311E0">
            <w:pPr>
              <w:pStyle w:val="149"/>
              <w:adjustRightInd w:val="0"/>
              <w:spacing w:line="360" w:lineRule="auto"/>
              <w:rPr>
                <w:rFonts w:hAnsi="宋体" w:cs="宋体"/>
                <w:bCs/>
                <w:color w:val="auto"/>
                <w:sz w:val="24"/>
                <w:highlight w:val="none"/>
              </w:rPr>
            </w:pPr>
          </w:p>
        </w:tc>
      </w:tr>
    </w:tbl>
    <w:p w14:paraId="7DC55081">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52E22140">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                              </w:t>
      </w:r>
    </w:p>
    <w:p w14:paraId="340906C5">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491D09B">
      <w:pPr>
        <w:jc w:val="center"/>
        <w:rPr>
          <w:rFonts w:ascii="宋体" w:hAnsi="宋体" w:cs="宋体"/>
          <w:b/>
          <w:color w:val="auto"/>
          <w:kern w:val="0"/>
          <w:sz w:val="32"/>
          <w:szCs w:val="32"/>
          <w:highlight w:val="none"/>
        </w:rPr>
      </w:pPr>
    </w:p>
    <w:p w14:paraId="0301EFC9">
      <w:pPr>
        <w:jc w:val="center"/>
        <w:rPr>
          <w:rFonts w:ascii="宋体" w:hAnsi="宋体" w:cs="宋体"/>
          <w:b/>
          <w:color w:val="auto"/>
          <w:kern w:val="0"/>
          <w:sz w:val="32"/>
          <w:szCs w:val="32"/>
          <w:highlight w:val="none"/>
        </w:rPr>
      </w:pPr>
    </w:p>
    <w:p w14:paraId="141B6848">
      <w:pPr>
        <w:jc w:val="center"/>
        <w:rPr>
          <w:rFonts w:ascii="宋体" w:hAnsi="宋体" w:cs="宋体"/>
          <w:b/>
          <w:color w:val="auto"/>
          <w:kern w:val="0"/>
          <w:sz w:val="32"/>
          <w:szCs w:val="32"/>
          <w:highlight w:val="none"/>
        </w:rPr>
      </w:pPr>
    </w:p>
    <w:p w14:paraId="535AF7D7">
      <w:pPr>
        <w:jc w:val="center"/>
        <w:rPr>
          <w:rFonts w:ascii="宋体" w:hAnsi="宋体" w:cs="宋体"/>
          <w:b/>
          <w:color w:val="auto"/>
          <w:kern w:val="0"/>
          <w:sz w:val="32"/>
          <w:szCs w:val="32"/>
          <w:highlight w:val="none"/>
        </w:rPr>
      </w:pPr>
    </w:p>
    <w:p w14:paraId="0A4E2064">
      <w:pPr>
        <w:jc w:val="center"/>
        <w:rPr>
          <w:rFonts w:ascii="宋体" w:hAnsi="宋体" w:cs="宋体"/>
          <w:b/>
          <w:color w:val="auto"/>
          <w:kern w:val="0"/>
          <w:sz w:val="32"/>
          <w:szCs w:val="32"/>
          <w:highlight w:val="none"/>
        </w:rPr>
      </w:pPr>
    </w:p>
    <w:p w14:paraId="0AF779EA">
      <w:pPr>
        <w:jc w:val="center"/>
        <w:rPr>
          <w:rFonts w:ascii="宋体" w:hAnsi="宋体" w:cs="宋体"/>
          <w:b/>
          <w:color w:val="auto"/>
          <w:kern w:val="0"/>
          <w:sz w:val="32"/>
          <w:szCs w:val="32"/>
          <w:highlight w:val="none"/>
        </w:rPr>
      </w:pPr>
    </w:p>
    <w:p w14:paraId="5803F886">
      <w:pPr>
        <w:jc w:val="center"/>
        <w:rPr>
          <w:rFonts w:ascii="宋体" w:hAnsi="宋体" w:cs="宋体"/>
          <w:b/>
          <w:color w:val="auto"/>
          <w:kern w:val="0"/>
          <w:sz w:val="32"/>
          <w:szCs w:val="32"/>
          <w:highlight w:val="none"/>
        </w:rPr>
      </w:pPr>
    </w:p>
    <w:p w14:paraId="35CD2C34">
      <w:pPr>
        <w:jc w:val="center"/>
        <w:rPr>
          <w:rFonts w:ascii="宋体" w:hAnsi="宋体" w:cs="宋体"/>
          <w:b/>
          <w:color w:val="auto"/>
          <w:kern w:val="0"/>
          <w:sz w:val="32"/>
          <w:szCs w:val="32"/>
          <w:highlight w:val="none"/>
        </w:rPr>
      </w:pPr>
    </w:p>
    <w:p w14:paraId="5DB91F40">
      <w:pPr>
        <w:jc w:val="center"/>
        <w:rPr>
          <w:rFonts w:ascii="宋体" w:hAnsi="宋体" w:cs="宋体"/>
          <w:b/>
          <w:color w:val="auto"/>
          <w:kern w:val="0"/>
          <w:sz w:val="32"/>
          <w:szCs w:val="32"/>
          <w:highlight w:val="none"/>
        </w:rPr>
      </w:pPr>
    </w:p>
    <w:p w14:paraId="26A791CB">
      <w:pPr>
        <w:jc w:val="center"/>
        <w:rPr>
          <w:rFonts w:ascii="宋体" w:hAnsi="宋体" w:cs="宋体"/>
          <w:b/>
          <w:color w:val="auto"/>
          <w:kern w:val="0"/>
          <w:sz w:val="32"/>
          <w:szCs w:val="32"/>
          <w:highlight w:val="none"/>
        </w:rPr>
      </w:pPr>
    </w:p>
    <w:p w14:paraId="27658365">
      <w:pPr>
        <w:snapToGrid w:val="0"/>
        <w:spacing w:line="360" w:lineRule="auto"/>
        <w:ind w:right="480"/>
        <w:rPr>
          <w:rFonts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6BEE4E76">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三、分包意向协议（如果有）</w:t>
      </w:r>
    </w:p>
    <w:p w14:paraId="4DF96877">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；采购人不同意分包或者投标人中标后不以分包方式履行合同的，则不需要提供。</w:t>
      </w:r>
      <w:r>
        <w:rPr>
          <w:rFonts w:hint="eastAsia" w:ascii="宋体" w:hAnsi="宋体" w:cs="宋体"/>
          <w:color w:val="auto"/>
          <w:sz w:val="24"/>
          <w:highlight w:val="none"/>
        </w:rPr>
        <w:t>]</w:t>
      </w:r>
    </w:p>
    <w:p w14:paraId="61D607AE">
      <w:pPr>
        <w:snapToGrid w:val="0"/>
        <w:spacing w:line="360" w:lineRule="auto"/>
        <w:rPr>
          <w:rFonts w:ascii="宋体" w:hAnsi="宋体" w:cs="宋体"/>
          <w:color w:val="auto"/>
          <w:kern w:val="0"/>
          <w:sz w:val="24"/>
          <w:highlight w:val="none"/>
        </w:rPr>
      </w:pPr>
    </w:p>
    <w:p w14:paraId="0A5C6DA0">
      <w:pPr>
        <w:jc w:val="center"/>
        <w:rPr>
          <w:rFonts w:hint="eastAsia" w:ascii="宋体" w:hAnsi="宋体" w:cs="宋体"/>
          <w:b/>
          <w:color w:val="auto"/>
          <w:kern w:val="0"/>
          <w:sz w:val="32"/>
          <w:szCs w:val="32"/>
          <w:highlight w:val="none"/>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29B4F5CA">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四、符合性审查资料</w:t>
      </w:r>
    </w:p>
    <w:p w14:paraId="69A1ED46">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03EBA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530D2890">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022759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54D8448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6F59D13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投标文件中的</w:t>
            </w:r>
          </w:p>
          <w:p w14:paraId="3DCCB3A2">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3E0D7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51F856E">
            <w:pPr>
              <w:jc w:val="center"/>
              <w:rPr>
                <w:rFonts w:ascii="宋体" w:hAnsi="宋体" w:cs="宋体"/>
                <w:color w:val="auto"/>
                <w:sz w:val="24"/>
                <w:highlight w:val="none"/>
              </w:rPr>
            </w:pPr>
            <w:r>
              <w:rPr>
                <w:rFonts w:hint="eastAsia" w:ascii="宋体" w:hAnsi="宋体" w:cs="宋体"/>
                <w:color w:val="auto"/>
                <w:sz w:val="24"/>
                <w:highlight w:val="none"/>
              </w:rPr>
              <w:t>1</w:t>
            </w:r>
          </w:p>
        </w:tc>
        <w:tc>
          <w:tcPr>
            <w:tcW w:w="4991" w:type="dxa"/>
          </w:tcPr>
          <w:p w14:paraId="0F934229">
            <w:pPr>
              <w:spacing w:line="360" w:lineRule="auto"/>
              <w:rPr>
                <w:rFonts w:ascii="宋体" w:hAnsi="宋体" w:cs="宋体"/>
                <w:color w:val="auto"/>
                <w:sz w:val="24"/>
                <w:highlight w:val="none"/>
              </w:rPr>
            </w:pPr>
            <w:r>
              <w:rPr>
                <w:rFonts w:hint="eastAsia" w:ascii="宋体" w:hAnsi="宋体" w:cs="宋体"/>
                <w:color w:val="auto"/>
                <w:sz w:val="24"/>
                <w:highlight w:val="none"/>
              </w:rPr>
              <w:t>投标文件按照招标文件要求签署、盖章。</w:t>
            </w:r>
          </w:p>
        </w:tc>
        <w:tc>
          <w:tcPr>
            <w:tcW w:w="2551" w:type="dxa"/>
            <w:vAlign w:val="center"/>
          </w:tcPr>
          <w:p w14:paraId="23DD204C">
            <w:pPr>
              <w:rPr>
                <w:rFonts w:ascii="宋体" w:hAnsi="宋体" w:cs="宋体"/>
                <w:color w:val="auto"/>
                <w:sz w:val="24"/>
                <w:highlight w:val="none"/>
              </w:rPr>
            </w:pPr>
            <w:r>
              <w:rPr>
                <w:rFonts w:hint="eastAsia" w:ascii="宋体" w:hAnsi="宋体" w:cs="宋体"/>
                <w:color w:val="auto"/>
                <w:sz w:val="24"/>
                <w:highlight w:val="none"/>
              </w:rPr>
              <w:t>需要使用电子签名或者签字盖章的投标文件的组成部分</w:t>
            </w:r>
          </w:p>
        </w:tc>
        <w:tc>
          <w:tcPr>
            <w:tcW w:w="1418" w:type="dxa"/>
          </w:tcPr>
          <w:p w14:paraId="6473C495">
            <w:pPr>
              <w:rPr>
                <w:rFonts w:ascii="宋体" w:hAnsi="宋体" w:cs="宋体"/>
                <w:color w:val="auto"/>
                <w:sz w:val="24"/>
                <w:highlight w:val="none"/>
              </w:rPr>
            </w:pPr>
          </w:p>
          <w:p w14:paraId="2EFD984F">
            <w:pPr>
              <w:rPr>
                <w:rFonts w:ascii="宋体" w:hAnsi="宋体" w:cs="宋体"/>
                <w:color w:val="auto"/>
                <w:sz w:val="24"/>
                <w:highlight w:val="none"/>
              </w:rPr>
            </w:pPr>
            <w:r>
              <w:rPr>
                <w:rFonts w:hint="eastAsia" w:ascii="宋体" w:hAnsi="宋体" w:cs="宋体"/>
                <w:color w:val="auto"/>
                <w:sz w:val="24"/>
                <w:highlight w:val="none"/>
              </w:rPr>
              <w:t>见投标文件</w:t>
            </w:r>
          </w:p>
          <w:p w14:paraId="4D40010C">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05327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EA2EA5">
            <w:pPr>
              <w:jc w:val="center"/>
              <w:rPr>
                <w:rFonts w:ascii="宋体" w:hAnsi="宋体" w:cs="宋体"/>
                <w:color w:val="auto"/>
                <w:sz w:val="24"/>
                <w:highlight w:val="none"/>
              </w:rPr>
            </w:pPr>
            <w:r>
              <w:rPr>
                <w:rFonts w:hint="eastAsia" w:ascii="宋体" w:hAnsi="宋体" w:cs="宋体"/>
                <w:color w:val="auto"/>
                <w:sz w:val="24"/>
                <w:highlight w:val="none"/>
              </w:rPr>
              <w:t>2</w:t>
            </w:r>
          </w:p>
        </w:tc>
        <w:tc>
          <w:tcPr>
            <w:tcW w:w="4991" w:type="dxa"/>
          </w:tcPr>
          <w:p w14:paraId="69497FC0">
            <w:pPr>
              <w:spacing w:line="360" w:lineRule="auto"/>
              <w:rPr>
                <w:rFonts w:ascii="宋体" w:hAnsi="宋体" w:cs="宋体"/>
                <w:color w:val="auto"/>
                <w:sz w:val="24"/>
                <w:highlight w:val="none"/>
              </w:rPr>
            </w:pPr>
            <w:r>
              <w:rPr>
                <w:rFonts w:hint="eastAsia" w:ascii="宋体" w:hAnsi="宋体" w:cs="宋体"/>
                <w:color w:val="auto"/>
                <w:sz w:val="24"/>
                <w:highlight w:val="none"/>
              </w:rPr>
              <w:t>投标文件中承诺的投标有效期不少于招标文件中载明的投标有效期。</w:t>
            </w:r>
          </w:p>
        </w:tc>
        <w:tc>
          <w:tcPr>
            <w:tcW w:w="2551" w:type="dxa"/>
            <w:vAlign w:val="center"/>
          </w:tcPr>
          <w:p w14:paraId="54FEB1B3">
            <w:pPr>
              <w:rPr>
                <w:rFonts w:ascii="宋体" w:hAnsi="宋体" w:cs="宋体"/>
                <w:color w:val="auto"/>
                <w:sz w:val="24"/>
                <w:highlight w:val="none"/>
              </w:rPr>
            </w:pPr>
            <w:r>
              <w:rPr>
                <w:rFonts w:hint="eastAsia" w:ascii="宋体" w:hAnsi="宋体" w:cs="宋体"/>
                <w:color w:val="auto"/>
                <w:sz w:val="24"/>
                <w:highlight w:val="none"/>
              </w:rPr>
              <w:t>投标函</w:t>
            </w:r>
          </w:p>
        </w:tc>
        <w:tc>
          <w:tcPr>
            <w:tcW w:w="1418" w:type="dxa"/>
          </w:tcPr>
          <w:p w14:paraId="418A3ED7">
            <w:pPr>
              <w:rPr>
                <w:rFonts w:ascii="宋体" w:hAnsi="宋体" w:cs="宋体"/>
                <w:color w:val="auto"/>
                <w:highlight w:val="none"/>
              </w:rPr>
            </w:pPr>
            <w:r>
              <w:rPr>
                <w:rFonts w:hint="eastAsia" w:ascii="宋体" w:hAnsi="宋体" w:cs="宋体"/>
                <w:color w:val="auto"/>
                <w:sz w:val="24"/>
                <w:highlight w:val="none"/>
              </w:rPr>
              <w:t>见投标文件第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F2F3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A4B2A6E">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3</w:t>
            </w:r>
          </w:p>
        </w:tc>
        <w:tc>
          <w:tcPr>
            <w:tcW w:w="4991" w:type="dxa"/>
            <w:vAlign w:val="top"/>
          </w:tcPr>
          <w:p w14:paraId="0816E62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5563D5BE">
            <w:pPr>
              <w:rPr>
                <w:rFonts w:ascii="宋体" w:hAnsi="宋体" w:cs="宋体"/>
                <w:color w:val="auto"/>
                <w:sz w:val="24"/>
                <w:highlight w:val="none"/>
              </w:rPr>
            </w:pPr>
            <w:r>
              <w:rPr>
                <w:rFonts w:hint="eastAsia" w:ascii="宋体" w:hAnsi="宋体" w:cs="宋体"/>
                <w:b w:val="0"/>
                <w:bCs w:val="0"/>
                <w:color w:val="auto"/>
                <w:kern w:val="0"/>
                <w:sz w:val="24"/>
                <w:highlight w:val="none"/>
              </w:rPr>
              <w:t>招标文件其它实质性要求相应的材料（“▲” 系指实质性要求条款，招标文件无其它实质性要求的，无需提供）</w:t>
            </w:r>
          </w:p>
        </w:tc>
        <w:tc>
          <w:tcPr>
            <w:tcW w:w="1418" w:type="dxa"/>
            <w:vAlign w:val="top"/>
          </w:tcPr>
          <w:p w14:paraId="3FECB870">
            <w:pPr>
              <w:rPr>
                <w:rFonts w:ascii="宋体" w:hAnsi="宋体" w:cs="宋体"/>
                <w:color w:val="auto"/>
                <w:highlight w:val="none"/>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20C22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8706DAC">
            <w:pPr>
              <w:jc w:val="cente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lang w:val="en-US" w:eastAsia="zh-CN"/>
              </w:rPr>
              <w:t>4</w:t>
            </w:r>
          </w:p>
        </w:tc>
        <w:tc>
          <w:tcPr>
            <w:tcW w:w="4991" w:type="dxa"/>
            <w:vAlign w:val="top"/>
          </w:tcPr>
          <w:p w14:paraId="1BD3FA50">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2B845AB5">
            <w:pPr>
              <w:rPr>
                <w:rFonts w:hint="eastAsia" w:ascii="宋体" w:hAnsi="宋体" w:cs="宋体"/>
                <w:b w:val="0"/>
                <w:bCs w:val="0"/>
                <w:color w:val="auto"/>
                <w:sz w:val="24"/>
                <w:highlight w:val="none"/>
                <w:lang w:val="en-US" w:eastAsia="zh-CN"/>
              </w:rPr>
            </w:pPr>
          </w:p>
        </w:tc>
        <w:tc>
          <w:tcPr>
            <w:tcW w:w="1418" w:type="dxa"/>
            <w:vAlign w:val="top"/>
          </w:tcPr>
          <w:p w14:paraId="05C42D45">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r w14:paraId="0D651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095912E1">
            <w:pPr>
              <w:jc w:val="center"/>
              <w:rPr>
                <w:rFonts w:hint="eastAsia" w:ascii="宋体" w:hAnsi="宋体" w:cs="宋体"/>
                <w:b w:val="0"/>
                <w:bCs w:val="0"/>
                <w:color w:val="auto"/>
                <w:sz w:val="24"/>
                <w:highlight w:val="none"/>
                <w:lang w:val="en-US" w:eastAsia="zh-CN"/>
              </w:rPr>
            </w:pPr>
            <w:r>
              <w:rPr>
                <w:rFonts w:hint="eastAsia" w:ascii="宋体" w:hAnsi="宋体" w:cs="宋体"/>
                <w:color w:val="auto"/>
                <w:kern w:val="0"/>
                <w:sz w:val="24"/>
                <w:highlight w:val="none"/>
              </w:rPr>
              <w:t>……</w:t>
            </w:r>
          </w:p>
        </w:tc>
        <w:tc>
          <w:tcPr>
            <w:tcW w:w="4991" w:type="dxa"/>
            <w:vAlign w:val="top"/>
          </w:tcPr>
          <w:p w14:paraId="1460D33A">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5A7E1580">
            <w:pPr>
              <w:rPr>
                <w:rFonts w:hint="eastAsia" w:ascii="宋体" w:hAnsi="宋体" w:cs="宋体"/>
                <w:b w:val="0"/>
                <w:bCs w:val="0"/>
                <w:color w:val="auto"/>
                <w:sz w:val="24"/>
                <w:highlight w:val="none"/>
                <w:lang w:val="en-US" w:eastAsia="zh-CN"/>
              </w:rPr>
            </w:pPr>
          </w:p>
        </w:tc>
        <w:tc>
          <w:tcPr>
            <w:tcW w:w="1418" w:type="dxa"/>
            <w:vAlign w:val="top"/>
          </w:tcPr>
          <w:p w14:paraId="3228697A">
            <w:pPr>
              <w:rPr>
                <w:rFonts w:hint="eastAsia" w:ascii="宋体" w:hAnsi="宋体" w:cs="宋体"/>
                <w:b w:val="0"/>
                <w:bCs w:val="0"/>
                <w:color w:val="auto"/>
                <w:sz w:val="24"/>
                <w:highlight w:val="none"/>
                <w:lang w:val="en-US" w:eastAsia="zh-CN"/>
              </w:rPr>
            </w:pPr>
            <w:r>
              <w:rPr>
                <w:rFonts w:hint="eastAsia" w:ascii="宋体" w:hAnsi="宋体" w:cs="宋体"/>
                <w:b w:val="0"/>
                <w:bCs w:val="0"/>
                <w:color w:val="auto"/>
                <w:sz w:val="24"/>
                <w:highlight w:val="none"/>
              </w:rPr>
              <w:t>见投标文件第</w:t>
            </w:r>
            <w:r>
              <w:rPr>
                <w:rFonts w:hint="eastAsia" w:ascii="宋体" w:hAnsi="宋体" w:cs="宋体"/>
                <w:b w:val="0"/>
                <w:bCs w:val="0"/>
                <w:color w:val="auto"/>
                <w:sz w:val="24"/>
                <w:highlight w:val="none"/>
                <w:u w:val="single"/>
              </w:rPr>
              <w:t xml:space="preserve">  </w:t>
            </w:r>
            <w:r>
              <w:rPr>
                <w:rFonts w:hint="eastAsia" w:ascii="宋体" w:hAnsi="宋体" w:cs="宋体"/>
                <w:b w:val="0"/>
                <w:bCs w:val="0"/>
                <w:color w:val="auto"/>
                <w:sz w:val="24"/>
                <w:highlight w:val="none"/>
              </w:rPr>
              <w:t>页</w:t>
            </w:r>
          </w:p>
        </w:tc>
      </w:tr>
    </w:tbl>
    <w:p w14:paraId="71B70E08">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00760AC">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2、招标文件中实质性要求必须明确响应。</w:t>
      </w:r>
    </w:p>
    <w:p w14:paraId="2469B32C">
      <w:pPr>
        <w:jc w:val="center"/>
        <w:rPr>
          <w:rFonts w:ascii="宋体" w:hAnsi="宋体" w:cs="宋体"/>
          <w:b/>
          <w:color w:val="auto"/>
          <w:kern w:val="0"/>
          <w:sz w:val="32"/>
          <w:szCs w:val="32"/>
          <w:highlight w:val="none"/>
        </w:rPr>
      </w:pPr>
    </w:p>
    <w:p w14:paraId="0C73388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3F35CECA">
      <w:pPr>
        <w:jc w:val="center"/>
        <w:rPr>
          <w:rFonts w:ascii="宋体" w:hAnsi="宋体" w:cs="宋体"/>
          <w:b/>
          <w:color w:val="auto"/>
          <w:kern w:val="0"/>
          <w:sz w:val="32"/>
          <w:szCs w:val="32"/>
          <w:highlight w:val="none"/>
        </w:rPr>
      </w:pPr>
    </w:p>
    <w:p w14:paraId="07766F4D">
      <w:pPr>
        <w:jc w:val="center"/>
        <w:rPr>
          <w:rFonts w:ascii="宋体" w:hAnsi="宋体" w:cs="宋体"/>
          <w:b/>
          <w:color w:val="auto"/>
          <w:kern w:val="0"/>
          <w:sz w:val="32"/>
          <w:szCs w:val="32"/>
          <w:highlight w:val="none"/>
        </w:rPr>
      </w:pPr>
    </w:p>
    <w:p w14:paraId="3690FD43">
      <w:pPr>
        <w:jc w:val="center"/>
        <w:rPr>
          <w:rFonts w:ascii="宋体" w:hAnsi="宋体" w:cs="宋体"/>
          <w:b/>
          <w:color w:val="auto"/>
          <w:kern w:val="0"/>
          <w:sz w:val="32"/>
          <w:szCs w:val="32"/>
          <w:highlight w:val="none"/>
        </w:rPr>
      </w:pPr>
    </w:p>
    <w:p w14:paraId="7F1941D4">
      <w:pPr>
        <w:jc w:val="center"/>
        <w:rPr>
          <w:rFonts w:ascii="宋体" w:hAnsi="宋体" w:cs="宋体"/>
          <w:b/>
          <w:color w:val="auto"/>
          <w:kern w:val="0"/>
          <w:sz w:val="32"/>
          <w:szCs w:val="32"/>
          <w:highlight w:val="none"/>
        </w:rPr>
      </w:pPr>
    </w:p>
    <w:p w14:paraId="2F2DAB36">
      <w:pPr>
        <w:jc w:val="center"/>
        <w:rPr>
          <w:rFonts w:ascii="宋体" w:hAnsi="宋体" w:cs="宋体"/>
          <w:b/>
          <w:color w:val="auto"/>
          <w:kern w:val="0"/>
          <w:sz w:val="32"/>
          <w:szCs w:val="32"/>
          <w:highlight w:val="none"/>
        </w:rPr>
      </w:pPr>
    </w:p>
    <w:p w14:paraId="3835C731">
      <w:pPr>
        <w:jc w:val="center"/>
        <w:rPr>
          <w:rFonts w:ascii="宋体" w:hAnsi="宋体" w:cs="宋体"/>
          <w:b/>
          <w:color w:val="auto"/>
          <w:kern w:val="0"/>
          <w:sz w:val="32"/>
          <w:szCs w:val="32"/>
          <w:highlight w:val="none"/>
        </w:rPr>
      </w:pPr>
    </w:p>
    <w:p w14:paraId="7A8F4978">
      <w:pPr>
        <w:jc w:val="center"/>
        <w:rPr>
          <w:rFonts w:ascii="宋体" w:hAnsi="宋体" w:cs="宋体"/>
          <w:b/>
          <w:color w:val="auto"/>
          <w:kern w:val="0"/>
          <w:sz w:val="32"/>
          <w:szCs w:val="32"/>
          <w:highlight w:val="none"/>
        </w:rPr>
      </w:pPr>
    </w:p>
    <w:p w14:paraId="4C195A3E">
      <w:pPr>
        <w:jc w:val="center"/>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20BAE25D">
      <w:pPr>
        <w:jc w:val="center"/>
        <w:rPr>
          <w:rFonts w:ascii="宋体" w:hAnsi="宋体" w:cs="宋体"/>
          <w:color w:val="auto"/>
          <w:highlight w:val="none"/>
        </w:rPr>
      </w:pPr>
      <w:r>
        <w:rPr>
          <w:rFonts w:hint="eastAsia" w:ascii="宋体" w:hAnsi="宋体" w:cs="宋体"/>
          <w:b/>
          <w:color w:val="auto"/>
          <w:kern w:val="0"/>
          <w:sz w:val="32"/>
          <w:szCs w:val="32"/>
          <w:highlight w:val="none"/>
        </w:rPr>
        <w:t>五、评标标准相应的商务技术资料</w:t>
      </w:r>
    </w:p>
    <w:p w14:paraId="32D1CFBB">
      <w:pPr>
        <w:snapToGrid w:val="0"/>
        <w:spacing w:line="360" w:lineRule="auto"/>
        <w:jc w:val="left"/>
        <w:rPr>
          <w:rFonts w:hint="eastAsia" w:ascii="宋体" w:hAnsi="宋体" w:cs="宋体"/>
          <w:b/>
          <w:color w:val="auto"/>
          <w:sz w:val="24"/>
          <w:highlight w:val="none"/>
        </w:rPr>
      </w:pPr>
      <w:r>
        <w:rPr>
          <w:rFonts w:hint="eastAsia" w:ascii="宋体" w:hAnsi="宋体" w:cs="宋体"/>
          <w:b/>
          <w:color w:val="auto"/>
          <w:sz w:val="24"/>
          <w:highlight w:val="none"/>
        </w:rPr>
        <w:t>（按招标文件第四部分评标办法前附表中“投标文件中评标标准相应的商务技术资料目录”提供资料。）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2675F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454B70B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7094874F">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rPr>
              <w:t>投标文件中评标标准相应的商务技术资料目录*</w:t>
            </w:r>
          </w:p>
        </w:tc>
        <w:tc>
          <w:tcPr>
            <w:tcW w:w="3046" w:type="dxa"/>
          </w:tcPr>
          <w:p w14:paraId="0D4E9F7F">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rPr>
              <w:t>投标文件中的页码位置</w:t>
            </w:r>
          </w:p>
        </w:tc>
      </w:tr>
      <w:tr w14:paraId="73B12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E1A295D">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3CFE82DA">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0CA3674D">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17772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5EFBF41">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645D16A2">
            <w:pPr>
              <w:snapToGrid w:val="0"/>
              <w:spacing w:line="360" w:lineRule="auto"/>
              <w:jc w:val="center"/>
              <w:rPr>
                <w:rFonts w:hint="eastAsia" w:ascii="宋体" w:hAnsi="宋体" w:eastAsia="宋体" w:cs="宋体"/>
                <w:b w:val="0"/>
                <w:bCs/>
                <w:color w:val="auto"/>
                <w:sz w:val="24"/>
                <w:highlight w:val="none"/>
                <w:vertAlign w:val="baseline"/>
                <w:lang w:val="en-US" w:eastAsia="zh-CN"/>
              </w:rPr>
            </w:pPr>
          </w:p>
        </w:tc>
        <w:tc>
          <w:tcPr>
            <w:tcW w:w="3046" w:type="dxa"/>
          </w:tcPr>
          <w:p w14:paraId="249E10E5">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4EBC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0869D8B">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0E1A2FB7">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F158C9F">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见投标文件第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6B42D008">
      <w:pPr>
        <w:pStyle w:val="79"/>
        <w:rPr>
          <w:color w:val="auto"/>
          <w:highlight w:val="none"/>
        </w:rPr>
      </w:pPr>
    </w:p>
    <w:p w14:paraId="00E0E54A">
      <w:pPr>
        <w:jc w:val="center"/>
        <w:rPr>
          <w:rFonts w:ascii="宋体" w:hAnsi="宋体" w:cs="宋体"/>
          <w:b/>
          <w:color w:val="auto"/>
          <w:kern w:val="0"/>
          <w:sz w:val="32"/>
          <w:szCs w:val="32"/>
          <w:highlight w:val="none"/>
        </w:rPr>
      </w:pPr>
    </w:p>
    <w:p w14:paraId="11A9EEFB">
      <w:pPr>
        <w:jc w:val="center"/>
        <w:rPr>
          <w:rFonts w:ascii="宋体" w:hAnsi="宋体" w:cs="宋体"/>
          <w:b/>
          <w:color w:val="auto"/>
          <w:kern w:val="0"/>
          <w:sz w:val="32"/>
          <w:szCs w:val="32"/>
          <w:highlight w:val="none"/>
        </w:rPr>
      </w:pPr>
    </w:p>
    <w:p w14:paraId="679698A4">
      <w:pPr>
        <w:jc w:val="center"/>
        <w:rPr>
          <w:rFonts w:ascii="宋体" w:hAnsi="宋体" w:cs="宋体"/>
          <w:b/>
          <w:color w:val="auto"/>
          <w:kern w:val="0"/>
          <w:sz w:val="32"/>
          <w:szCs w:val="32"/>
          <w:highlight w:val="none"/>
        </w:rPr>
      </w:pPr>
    </w:p>
    <w:p w14:paraId="05B5DC95">
      <w:pPr>
        <w:ind w:firstLine="2891" w:firstLineChars="900"/>
        <w:rPr>
          <w:rFonts w:hint="eastAsia" w:ascii="宋体" w:hAnsi="宋体" w:cs="宋体"/>
          <w:b/>
          <w:color w:val="auto"/>
          <w:kern w:val="0"/>
          <w:sz w:val="32"/>
          <w:szCs w:val="32"/>
          <w:highlight w:val="none"/>
        </w:rPr>
        <w:sectPr>
          <w:pgSz w:w="11906" w:h="16838"/>
          <w:pgMar w:top="1276" w:right="1418" w:bottom="1247" w:left="1418" w:header="851" w:footer="992" w:gutter="0"/>
          <w:cols w:space="720" w:num="1"/>
          <w:titlePg/>
          <w:docGrid w:linePitch="312" w:charSpace="0"/>
        </w:sectPr>
      </w:pPr>
    </w:p>
    <w:p w14:paraId="33E4EF47">
      <w:pPr>
        <w:spacing w:line="360" w:lineRule="auto"/>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lang w:val="en-US" w:eastAsia="zh-CN"/>
        </w:rPr>
        <w:t>六</w:t>
      </w:r>
      <w:r>
        <w:rPr>
          <w:rFonts w:hint="eastAsia" w:ascii="宋体" w:hAnsi="宋体" w:cs="宋体"/>
          <w:b/>
          <w:color w:val="auto"/>
          <w:kern w:val="0"/>
          <w:sz w:val="32"/>
          <w:szCs w:val="32"/>
          <w:highlight w:val="none"/>
        </w:rPr>
        <w:t>、商务技术偏离表</w:t>
      </w:r>
    </w:p>
    <w:tbl>
      <w:tblPr>
        <w:tblStyle w:val="63"/>
        <w:tblW w:w="923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3180"/>
        <w:gridCol w:w="3062"/>
        <w:gridCol w:w="2162"/>
      </w:tblGrid>
      <w:tr w14:paraId="03DAB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0982FA8E">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180" w:type="dxa"/>
          </w:tcPr>
          <w:p w14:paraId="3B426346">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招标文件章节及具体内容</w:t>
            </w:r>
          </w:p>
        </w:tc>
        <w:tc>
          <w:tcPr>
            <w:tcW w:w="3062" w:type="dxa"/>
          </w:tcPr>
          <w:p w14:paraId="0FA21463">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投标文件章节及具体内容</w:t>
            </w:r>
          </w:p>
        </w:tc>
        <w:tc>
          <w:tcPr>
            <w:tcW w:w="2162" w:type="dxa"/>
          </w:tcPr>
          <w:p w14:paraId="6EABD2B7">
            <w:pPr>
              <w:spacing w:line="360" w:lineRule="auto"/>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70E04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41B2B90B">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180" w:type="dxa"/>
          </w:tcPr>
          <w:p w14:paraId="6B6935F5">
            <w:pPr>
              <w:spacing w:line="360" w:lineRule="auto"/>
              <w:jc w:val="center"/>
              <w:rPr>
                <w:rFonts w:ascii="宋体" w:hAnsi="宋体" w:cs="宋体"/>
                <w:b/>
                <w:color w:val="auto"/>
                <w:kern w:val="0"/>
                <w:sz w:val="32"/>
                <w:szCs w:val="32"/>
                <w:highlight w:val="none"/>
              </w:rPr>
            </w:pPr>
          </w:p>
        </w:tc>
        <w:tc>
          <w:tcPr>
            <w:tcW w:w="3062" w:type="dxa"/>
          </w:tcPr>
          <w:p w14:paraId="5FF76456">
            <w:pPr>
              <w:spacing w:line="360" w:lineRule="auto"/>
              <w:jc w:val="center"/>
              <w:rPr>
                <w:rFonts w:ascii="宋体" w:hAnsi="宋体" w:cs="宋体"/>
                <w:b/>
                <w:color w:val="auto"/>
                <w:kern w:val="0"/>
                <w:sz w:val="32"/>
                <w:szCs w:val="32"/>
                <w:highlight w:val="none"/>
              </w:rPr>
            </w:pPr>
          </w:p>
        </w:tc>
        <w:tc>
          <w:tcPr>
            <w:tcW w:w="2162" w:type="dxa"/>
          </w:tcPr>
          <w:p w14:paraId="277CD6D7">
            <w:pPr>
              <w:spacing w:line="360" w:lineRule="auto"/>
              <w:jc w:val="center"/>
              <w:rPr>
                <w:rFonts w:ascii="宋体" w:hAnsi="宋体" w:cs="宋体"/>
                <w:b/>
                <w:color w:val="auto"/>
                <w:kern w:val="0"/>
                <w:sz w:val="32"/>
                <w:szCs w:val="32"/>
                <w:highlight w:val="none"/>
              </w:rPr>
            </w:pPr>
          </w:p>
        </w:tc>
      </w:tr>
      <w:tr w14:paraId="2F9D6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7FA2FFE6">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180" w:type="dxa"/>
          </w:tcPr>
          <w:p w14:paraId="3D96D204">
            <w:pPr>
              <w:spacing w:line="360" w:lineRule="auto"/>
              <w:jc w:val="center"/>
              <w:rPr>
                <w:rFonts w:ascii="宋体" w:hAnsi="宋体" w:cs="宋体"/>
                <w:b/>
                <w:color w:val="auto"/>
                <w:kern w:val="0"/>
                <w:sz w:val="32"/>
                <w:szCs w:val="32"/>
                <w:highlight w:val="none"/>
              </w:rPr>
            </w:pPr>
          </w:p>
        </w:tc>
        <w:tc>
          <w:tcPr>
            <w:tcW w:w="3062" w:type="dxa"/>
          </w:tcPr>
          <w:p w14:paraId="0A81AFEB">
            <w:pPr>
              <w:spacing w:line="360" w:lineRule="auto"/>
              <w:jc w:val="center"/>
              <w:rPr>
                <w:rFonts w:ascii="宋体" w:hAnsi="宋体" w:cs="宋体"/>
                <w:b/>
                <w:color w:val="auto"/>
                <w:kern w:val="0"/>
                <w:sz w:val="32"/>
                <w:szCs w:val="32"/>
                <w:highlight w:val="none"/>
              </w:rPr>
            </w:pPr>
          </w:p>
        </w:tc>
        <w:tc>
          <w:tcPr>
            <w:tcW w:w="2162" w:type="dxa"/>
          </w:tcPr>
          <w:p w14:paraId="167149FF">
            <w:pPr>
              <w:spacing w:line="360" w:lineRule="auto"/>
              <w:jc w:val="center"/>
              <w:rPr>
                <w:rFonts w:ascii="宋体" w:hAnsi="宋体" w:cs="宋体"/>
                <w:b/>
                <w:color w:val="auto"/>
                <w:kern w:val="0"/>
                <w:sz w:val="32"/>
                <w:szCs w:val="32"/>
                <w:highlight w:val="none"/>
              </w:rPr>
            </w:pPr>
          </w:p>
        </w:tc>
      </w:tr>
      <w:tr w14:paraId="16B16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Pr>
          <w:p w14:paraId="6A5BFD28">
            <w:pPr>
              <w:spacing w:line="360" w:lineRule="auto"/>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180" w:type="dxa"/>
          </w:tcPr>
          <w:p w14:paraId="0A4801BD">
            <w:pPr>
              <w:spacing w:line="360" w:lineRule="auto"/>
              <w:jc w:val="center"/>
              <w:rPr>
                <w:rFonts w:ascii="宋体" w:hAnsi="宋体" w:cs="宋体"/>
                <w:b/>
                <w:color w:val="auto"/>
                <w:kern w:val="0"/>
                <w:sz w:val="32"/>
                <w:szCs w:val="32"/>
                <w:highlight w:val="none"/>
              </w:rPr>
            </w:pPr>
          </w:p>
        </w:tc>
        <w:tc>
          <w:tcPr>
            <w:tcW w:w="3062" w:type="dxa"/>
          </w:tcPr>
          <w:p w14:paraId="25AE5A44">
            <w:pPr>
              <w:spacing w:line="360" w:lineRule="auto"/>
              <w:jc w:val="center"/>
              <w:rPr>
                <w:rFonts w:ascii="宋体" w:hAnsi="宋体" w:cs="宋体"/>
                <w:b/>
                <w:color w:val="auto"/>
                <w:kern w:val="0"/>
                <w:sz w:val="32"/>
                <w:szCs w:val="32"/>
                <w:highlight w:val="none"/>
              </w:rPr>
            </w:pPr>
          </w:p>
        </w:tc>
        <w:tc>
          <w:tcPr>
            <w:tcW w:w="2162" w:type="dxa"/>
          </w:tcPr>
          <w:p w14:paraId="62B49A7F">
            <w:pPr>
              <w:spacing w:line="360" w:lineRule="auto"/>
              <w:jc w:val="center"/>
              <w:rPr>
                <w:rFonts w:ascii="宋体" w:hAnsi="宋体" w:cs="宋体"/>
                <w:b/>
                <w:color w:val="auto"/>
                <w:kern w:val="0"/>
                <w:sz w:val="32"/>
                <w:szCs w:val="32"/>
                <w:highlight w:val="none"/>
              </w:rPr>
            </w:pPr>
          </w:p>
        </w:tc>
      </w:tr>
    </w:tbl>
    <w:p w14:paraId="64B7359B">
      <w:pPr>
        <w:spacing w:line="360" w:lineRule="auto"/>
        <w:jc w:val="left"/>
        <w:rPr>
          <w:rFonts w:ascii="宋体" w:hAnsi="宋体" w:cs="宋体"/>
          <w:color w:val="auto"/>
          <w:kern w:val="0"/>
          <w:sz w:val="24"/>
          <w:highlight w:val="none"/>
        </w:rPr>
      </w:pPr>
      <w:r>
        <w:rPr>
          <w:rFonts w:hint="eastAsia" w:ascii="宋体" w:hAnsi="宋体" w:cs="宋体"/>
          <w:color w:val="auto"/>
          <w:kern w:val="0"/>
          <w:sz w:val="24"/>
          <w:highlight w:val="none"/>
        </w:rPr>
        <w:t>投标人保证：除商务技术偏离表列出的偏离外，投标人响应招标文件的全部要求</w:t>
      </w:r>
    </w:p>
    <w:p w14:paraId="60B2AAAA">
      <w:pPr>
        <w:spacing w:line="360" w:lineRule="auto"/>
        <w:jc w:val="center"/>
        <w:rPr>
          <w:rFonts w:ascii="宋体" w:hAnsi="宋体" w:cs="宋体"/>
          <w:b/>
          <w:color w:val="auto"/>
          <w:kern w:val="0"/>
          <w:sz w:val="32"/>
          <w:szCs w:val="32"/>
          <w:highlight w:val="none"/>
        </w:rPr>
      </w:pPr>
    </w:p>
    <w:p w14:paraId="710C0A52">
      <w:pPr>
        <w:spacing w:line="360" w:lineRule="auto"/>
        <w:ind w:right="42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按本格式和要求提供。</w:t>
      </w:r>
    </w:p>
    <w:p w14:paraId="2728D80C">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2.本表格所反映的偏离情况与“符合性审查资料”、“评标标准相应的商务技术资料”不一致的，以“符合性审查资料”、“评标标准相应的商务技术资料”为准。</w:t>
      </w:r>
    </w:p>
    <w:p w14:paraId="1F7CA531">
      <w:pPr>
        <w:spacing w:line="360" w:lineRule="auto"/>
        <w:ind w:right="42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3.投标人须保证：除商务技术偏离表列出的偏离外，投标人响应招标文件的全部非实质性要求。</w:t>
      </w:r>
    </w:p>
    <w:p w14:paraId="49BE1496">
      <w:pPr>
        <w:spacing w:line="360" w:lineRule="auto"/>
        <w:ind w:firstLine="1911" w:firstLineChars="595"/>
        <w:rPr>
          <w:rFonts w:ascii="宋体" w:hAnsi="宋体" w:cs="宋体"/>
          <w:b/>
          <w:bCs/>
          <w:color w:val="auto"/>
          <w:sz w:val="32"/>
          <w:szCs w:val="32"/>
          <w:highlight w:val="none"/>
        </w:rPr>
      </w:pPr>
    </w:p>
    <w:p w14:paraId="7042B3A7">
      <w:pPr>
        <w:ind w:firstLine="1911" w:firstLineChars="595"/>
        <w:rPr>
          <w:rFonts w:ascii="宋体" w:hAnsi="宋体" w:cs="宋体"/>
          <w:b/>
          <w:bCs/>
          <w:color w:val="auto"/>
          <w:sz w:val="32"/>
          <w:szCs w:val="32"/>
          <w:highlight w:val="none"/>
        </w:rPr>
      </w:pPr>
    </w:p>
    <w:p w14:paraId="21094B72">
      <w:pPr>
        <w:ind w:firstLine="1911" w:firstLineChars="595"/>
        <w:rPr>
          <w:rFonts w:ascii="宋体" w:hAnsi="宋体" w:cs="宋体"/>
          <w:b/>
          <w:bCs/>
          <w:color w:val="auto"/>
          <w:sz w:val="32"/>
          <w:szCs w:val="32"/>
          <w:highlight w:val="none"/>
        </w:rPr>
      </w:pPr>
    </w:p>
    <w:p w14:paraId="1B6858A7">
      <w:pPr>
        <w:widowControl/>
        <w:adjustRightInd/>
        <w:jc w:val="left"/>
        <w:rPr>
          <w:rFonts w:ascii="宋体" w:hAnsi="宋体" w:cs="宋体"/>
          <w:b/>
          <w:bCs/>
          <w:color w:val="auto"/>
          <w:sz w:val="32"/>
          <w:szCs w:val="32"/>
          <w:highlight w:val="none"/>
        </w:rPr>
      </w:pPr>
      <w:r>
        <w:rPr>
          <w:rFonts w:ascii="宋体" w:hAnsi="宋体" w:cs="宋体"/>
          <w:b/>
          <w:bCs/>
          <w:color w:val="auto"/>
          <w:sz w:val="32"/>
          <w:szCs w:val="32"/>
          <w:highlight w:val="none"/>
        </w:rPr>
        <w:br w:type="page"/>
      </w:r>
    </w:p>
    <w:p w14:paraId="7EE6DE81">
      <w:pPr>
        <w:ind w:firstLine="1911" w:firstLineChars="595"/>
        <w:rPr>
          <w:rFonts w:ascii="宋体" w:hAnsi="宋体" w:cs="宋体"/>
          <w:b/>
          <w:color w:val="auto"/>
          <w:kern w:val="0"/>
          <w:sz w:val="32"/>
          <w:szCs w:val="32"/>
          <w:highlight w:val="none"/>
        </w:rPr>
      </w:pPr>
      <w:r>
        <w:rPr>
          <w:rFonts w:hint="eastAsia" w:ascii="宋体" w:hAnsi="宋体" w:cs="宋体"/>
          <w:b/>
          <w:bCs/>
          <w:color w:val="auto"/>
          <w:sz w:val="32"/>
          <w:szCs w:val="32"/>
          <w:highlight w:val="none"/>
          <w:lang w:val="en-US" w:eastAsia="zh-CN"/>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619FD1C">
      <w:pPr>
        <w:snapToGrid w:val="0"/>
        <w:spacing w:line="360" w:lineRule="auto"/>
        <w:rPr>
          <w:rFonts w:ascii="宋体" w:hAnsi="宋体" w:cs="宋体"/>
          <w:color w:val="auto"/>
          <w:sz w:val="24"/>
          <w:highlight w:val="none"/>
        </w:rPr>
      </w:pPr>
    </w:p>
    <w:p w14:paraId="796BC50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杭州市西湖区财政局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浙江信镧建设工程咨询有限公司</w:t>
      </w:r>
      <w:r>
        <w:rPr>
          <w:rFonts w:hint="eastAsia" w:ascii="宋体" w:hAnsi="宋体" w:cs="宋体"/>
          <w:color w:val="auto"/>
          <w:kern w:val="0"/>
          <w:sz w:val="24"/>
          <w:highlight w:val="none"/>
          <w:lang w:val="zh-CN"/>
        </w:rPr>
        <w:t>：</w:t>
      </w:r>
    </w:p>
    <w:p w14:paraId="3B67728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761F21A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5658F70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FBA212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427F3A0D">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2F0D915">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w:t>
      </w:r>
    </w:p>
    <w:p w14:paraId="0BB49404">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好处；</w:t>
      </w:r>
    </w:p>
    <w:p w14:paraId="6C9BAC21">
      <w:pPr>
        <w:autoSpaceDE w:val="0"/>
        <w:autoSpaceDN w:val="0"/>
        <w:spacing w:line="360" w:lineRule="auto"/>
        <w:ind w:left="481" w:leftChars="229"/>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六、严格遵守《</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政府采购法》《</w:t>
      </w:r>
      <w:r>
        <w:rPr>
          <w:rFonts w:hint="eastAsia" w:ascii="宋体" w:hAnsi="宋体" w:cs="宋体"/>
          <w:color w:val="auto"/>
          <w:sz w:val="24"/>
          <w:highlight w:val="none"/>
          <w:lang w:val="zh-CN"/>
        </w:rPr>
        <w:t>中华人民共和国</w:t>
      </w:r>
      <w:r>
        <w:rPr>
          <w:rFonts w:hint="eastAsia" w:ascii="宋体" w:hAnsi="宋体" w:cs="宋体"/>
          <w:color w:val="auto"/>
          <w:kern w:val="0"/>
          <w:sz w:val="24"/>
          <w:highlight w:val="none"/>
          <w:lang w:val="zh-CN"/>
        </w:rPr>
        <w:t>招标投标</w:t>
      </w:r>
    </w:p>
    <w:p w14:paraId="7B62DA4E">
      <w:pPr>
        <w:autoSpaceDE w:val="0"/>
        <w:autoSpaceDN w:val="0"/>
        <w:spacing w:line="360" w:lineRule="auto"/>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法》</w:t>
      </w:r>
      <w:r>
        <w:rPr>
          <w:rFonts w:hint="eastAsia" w:ascii="宋体" w:hAnsi="宋体" w:cs="宋体"/>
          <w:color w:val="auto"/>
          <w:sz w:val="24"/>
          <w:highlight w:val="none"/>
          <w:lang w:val="zh-CN"/>
        </w:rPr>
        <w:t>《中华人民共和国民法典》</w:t>
      </w:r>
      <w:r>
        <w:rPr>
          <w:rFonts w:hint="eastAsia" w:ascii="宋体" w:hAnsi="宋体" w:cs="宋体"/>
          <w:color w:val="auto"/>
          <w:kern w:val="0"/>
          <w:sz w:val="24"/>
          <w:highlight w:val="none"/>
          <w:lang w:val="zh-CN"/>
        </w:rPr>
        <w:t xml:space="preserve">等法律法规，诚实守信，合法经营，坚决抵制各种违法违纪行为。 </w:t>
      </w:r>
    </w:p>
    <w:p w14:paraId="14C4D8B2">
      <w:pPr>
        <w:autoSpaceDE w:val="0"/>
        <w:autoSpaceDN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有权立即取消我单位投标、中标或在建项目的建设资格，有权拒绝我单位在一定时期内进入你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进行项目建设或其他经营活动，并通报市财政局。由此引起的相应损失均由我单位承担。</w:t>
      </w:r>
    </w:p>
    <w:p w14:paraId="0B965F7E">
      <w:pPr>
        <w:autoSpaceDE w:val="0"/>
        <w:autoSpaceDN w:val="0"/>
        <w:spacing w:line="360" w:lineRule="auto"/>
        <w:ind w:left="2"/>
        <w:jc w:val="left"/>
        <w:rPr>
          <w:rFonts w:ascii="宋体" w:hAnsi="宋体" w:cs="宋体"/>
          <w:color w:val="auto"/>
          <w:kern w:val="0"/>
          <w:sz w:val="24"/>
          <w:highlight w:val="none"/>
          <w:lang w:val="zh-CN"/>
        </w:rPr>
      </w:pPr>
    </w:p>
    <w:p w14:paraId="39195F20">
      <w:pPr>
        <w:autoSpaceDE w:val="0"/>
        <w:autoSpaceDN w:val="0"/>
        <w:spacing w:line="360" w:lineRule="auto"/>
        <w:ind w:left="2"/>
        <w:jc w:val="left"/>
        <w:rPr>
          <w:rFonts w:ascii="宋体" w:hAnsi="宋体" w:cs="宋体"/>
          <w:color w:val="auto"/>
          <w:kern w:val="0"/>
          <w:sz w:val="24"/>
          <w:highlight w:val="none"/>
          <w:lang w:val="zh-CN"/>
        </w:rPr>
      </w:pPr>
    </w:p>
    <w:p w14:paraId="70CBF0ED">
      <w:pPr>
        <w:autoSpaceDE w:val="0"/>
        <w:autoSpaceDN w:val="0"/>
        <w:spacing w:line="360" w:lineRule="auto"/>
        <w:ind w:left="2"/>
        <w:jc w:val="left"/>
        <w:rPr>
          <w:rFonts w:ascii="宋体" w:hAnsi="宋体" w:cs="宋体"/>
          <w:color w:val="auto"/>
          <w:kern w:val="0"/>
          <w:sz w:val="24"/>
          <w:highlight w:val="none"/>
          <w:lang w:val="zh-CN"/>
        </w:rPr>
      </w:pPr>
    </w:p>
    <w:p w14:paraId="1C567931">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投标人名称（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20166966">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45F93B45">
      <w:pPr>
        <w:spacing w:line="360" w:lineRule="auto"/>
        <w:jc w:val="center"/>
        <w:rPr>
          <w:rFonts w:ascii="宋体" w:hAnsi="宋体" w:cs="宋体"/>
          <w:b/>
          <w:bCs/>
          <w:color w:val="auto"/>
          <w:sz w:val="24"/>
          <w:highlight w:val="none"/>
        </w:rPr>
      </w:pPr>
    </w:p>
    <w:p w14:paraId="05C77EC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0C0B7333">
      <w:pPr>
        <w:spacing w:line="360" w:lineRule="auto"/>
        <w:jc w:val="center"/>
        <w:rPr>
          <w:rFonts w:ascii="宋体" w:hAnsi="宋体" w:cs="宋体"/>
          <w:b/>
          <w:bCs/>
          <w:color w:val="auto"/>
          <w:sz w:val="24"/>
          <w:highlight w:val="none"/>
        </w:rPr>
        <w:sectPr>
          <w:pgSz w:w="11906" w:h="16838"/>
          <w:pgMar w:top="1276" w:right="1418" w:bottom="1247" w:left="1418" w:header="851" w:footer="992" w:gutter="0"/>
          <w:cols w:space="720" w:num="1"/>
          <w:titlePg/>
          <w:docGrid w:linePitch="312" w:charSpace="0"/>
        </w:sectPr>
      </w:pPr>
    </w:p>
    <w:p w14:paraId="62F68371">
      <w:pPr>
        <w:jc w:val="center"/>
        <w:rPr>
          <w:rFonts w:hint="eastAsia" w:ascii="宋体" w:hAnsi="宋体" w:eastAsia="宋体" w:cs="宋体"/>
          <w:b/>
          <w:color w:val="auto"/>
          <w:kern w:val="0"/>
          <w:sz w:val="32"/>
          <w:szCs w:val="32"/>
          <w:highlight w:val="none"/>
          <w:lang w:val="en-US" w:eastAsia="zh-CN"/>
        </w:rPr>
      </w:pPr>
      <w:r>
        <w:rPr>
          <w:rFonts w:hint="eastAsia" w:ascii="宋体" w:hAnsi="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lang w:val="en-US" w:eastAsia="zh-CN"/>
        </w:rPr>
        <w:t>、代理服务费支付承诺书</w:t>
      </w:r>
    </w:p>
    <w:p w14:paraId="73C4FB96">
      <w:pPr>
        <w:snapToGrid w:val="0"/>
        <w:spacing w:before="50" w:after="50" w:line="360" w:lineRule="auto"/>
        <w:rPr>
          <w:rFonts w:ascii="Times New Roman" w:hAnsi="Times New Roman"/>
          <w:spacing w:val="20"/>
          <w:sz w:val="24"/>
          <w:u w:val="single"/>
        </w:rPr>
      </w:pPr>
    </w:p>
    <w:p w14:paraId="67E38DB0">
      <w:pPr>
        <w:snapToGrid w:val="0"/>
        <w:spacing w:before="50" w:after="50" w:line="360" w:lineRule="auto"/>
        <w:ind w:left="0" w:leftChars="0" w:firstLine="0" w:firstLineChars="0"/>
        <w:rPr>
          <w:rFonts w:ascii="Times New Roman" w:hAnsi="Times New Roman"/>
          <w:spacing w:val="20"/>
          <w:sz w:val="24"/>
        </w:rPr>
      </w:pPr>
      <w:r>
        <w:rPr>
          <w:rFonts w:ascii="Times New Roman" w:hAnsi="宋体"/>
          <w:sz w:val="24"/>
        </w:rPr>
        <w:t>致</w:t>
      </w:r>
      <w:r>
        <w:rPr>
          <w:rFonts w:hint="eastAsia" w:ascii="Times New Roman" w:hAnsi="宋体"/>
          <w:sz w:val="24"/>
          <w:lang w:val="en-US" w:eastAsia="zh-CN"/>
        </w:rPr>
        <w:t>浙江信镧建设工程咨询有限公司</w:t>
      </w:r>
      <w:r>
        <w:rPr>
          <w:rFonts w:ascii="Times New Roman" w:hAnsi="宋体"/>
          <w:sz w:val="24"/>
        </w:rPr>
        <w:t>：</w:t>
      </w:r>
    </w:p>
    <w:p w14:paraId="465F9784">
      <w:pPr>
        <w:snapToGrid w:val="0"/>
        <w:spacing w:before="50" w:after="50" w:line="360" w:lineRule="auto"/>
        <w:ind w:firstLine="630"/>
        <w:rPr>
          <w:rFonts w:hint="eastAsia" w:ascii="Times New Roman" w:hAnsi="宋体"/>
          <w:color w:val="auto"/>
          <w:sz w:val="24"/>
          <w:lang w:eastAsia="zh-CN"/>
        </w:rPr>
      </w:pPr>
      <w:r>
        <w:rPr>
          <w:rFonts w:ascii="Times New Roman" w:hAnsi="宋体"/>
          <w:sz w:val="24"/>
        </w:rPr>
        <w:t>我</w:t>
      </w:r>
      <w:r>
        <w:rPr>
          <w:rFonts w:hint="eastAsia" w:ascii="Times New Roman" w:hAnsi="宋体"/>
          <w:sz w:val="24"/>
          <w:lang w:eastAsia="zh-CN"/>
        </w:rPr>
        <w:t>单位</w:t>
      </w:r>
      <w:r>
        <w:rPr>
          <w:rFonts w:ascii="Times New Roman" w:hAnsi="宋体"/>
          <w:sz w:val="24"/>
        </w:rPr>
        <w:t>承诺</w:t>
      </w:r>
      <w:r>
        <w:rPr>
          <w:rFonts w:hint="eastAsia" w:ascii="Times New Roman" w:hAnsi="宋体"/>
          <w:sz w:val="24"/>
          <w:lang w:eastAsia="zh-CN"/>
        </w:rPr>
        <w:t>，</w:t>
      </w:r>
      <w:r>
        <w:rPr>
          <w:rFonts w:ascii="Times New Roman" w:hAnsi="宋体"/>
          <w:sz w:val="24"/>
        </w:rPr>
        <w:t>如</w:t>
      </w:r>
      <w:r>
        <w:rPr>
          <w:rFonts w:hint="eastAsia" w:ascii="Times New Roman" w:hAnsi="宋体"/>
          <w:sz w:val="24"/>
          <w:u w:val="single"/>
          <w:lang w:val="en-US" w:eastAsia="zh-CN"/>
        </w:rPr>
        <w:t xml:space="preserve">       </w:t>
      </w:r>
      <w:r>
        <w:rPr>
          <w:rFonts w:hint="eastAsia" w:ascii="Times New Roman" w:hAnsi="宋体"/>
          <w:sz w:val="24"/>
          <w:lang w:val="en-US" w:eastAsia="zh-CN"/>
        </w:rPr>
        <w:t>项目（项目编号：</w:t>
      </w:r>
      <w:r>
        <w:rPr>
          <w:rFonts w:hint="eastAsia" w:ascii="Times New Roman" w:hAnsi="宋体"/>
          <w:sz w:val="24"/>
          <w:u w:val="single"/>
          <w:lang w:val="en-US" w:eastAsia="zh-CN"/>
        </w:rPr>
        <w:t xml:space="preserve">     </w:t>
      </w:r>
      <w:r>
        <w:rPr>
          <w:rFonts w:hint="eastAsia" w:ascii="Times New Roman" w:hAnsi="宋体"/>
          <w:sz w:val="24"/>
          <w:lang w:val="en-US" w:eastAsia="zh-CN"/>
        </w:rPr>
        <w:t>）</w:t>
      </w:r>
      <w:r>
        <w:rPr>
          <w:rFonts w:ascii="Times New Roman" w:hAnsi="宋体"/>
          <w:sz w:val="24"/>
        </w:rPr>
        <w:t>中标，我公司将自中标</w:t>
      </w:r>
      <w:r>
        <w:rPr>
          <w:rFonts w:hint="eastAsia" w:ascii="Times New Roman" w:hAnsi="宋体"/>
          <w:sz w:val="24"/>
          <w:lang w:eastAsia="zh-CN"/>
        </w:rPr>
        <w:t>（</w:t>
      </w:r>
      <w:r>
        <w:rPr>
          <w:rFonts w:hint="eastAsia" w:ascii="Times New Roman" w:hAnsi="宋体"/>
          <w:sz w:val="24"/>
          <w:lang w:val="en-US" w:eastAsia="zh-CN"/>
        </w:rPr>
        <w:t>成交）</w:t>
      </w:r>
      <w:r>
        <w:rPr>
          <w:rFonts w:ascii="Times New Roman" w:hAnsi="宋体"/>
          <w:sz w:val="24"/>
        </w:rPr>
        <w:t>公告发布之日起</w:t>
      </w:r>
      <w:r>
        <w:rPr>
          <w:rFonts w:ascii="Times New Roman" w:hAnsi="Times New Roman"/>
          <w:sz w:val="24"/>
        </w:rPr>
        <w:t>5</w:t>
      </w:r>
      <w:r>
        <w:rPr>
          <w:rFonts w:ascii="Times New Roman" w:hAnsi="宋体"/>
          <w:sz w:val="24"/>
        </w:rPr>
        <w:t>个工作日内按</w:t>
      </w:r>
      <w:r>
        <w:rPr>
          <w:rFonts w:hint="eastAsia" w:ascii="Times New Roman" w:hAnsi="宋体"/>
          <w:sz w:val="24"/>
          <w:lang w:val="en-US" w:eastAsia="zh-CN"/>
        </w:rPr>
        <w:t>采购</w:t>
      </w:r>
      <w:r>
        <w:rPr>
          <w:rFonts w:ascii="Times New Roman" w:hAnsi="宋体"/>
          <w:sz w:val="24"/>
        </w:rPr>
        <w:t>文件规定的标准（金额）一次性向采购代理机构支付代理服务费</w:t>
      </w:r>
      <w:r>
        <w:rPr>
          <w:rFonts w:hint="eastAsia" w:ascii="Times New Roman" w:hAnsi="宋体"/>
          <w:color w:val="auto"/>
          <w:sz w:val="24"/>
          <w:lang w:eastAsia="zh-CN"/>
        </w:rPr>
        <w:t>，如逾期支付，我单位愿意按采购文件约定支付违约金。</w:t>
      </w:r>
    </w:p>
    <w:p w14:paraId="3211EE5B">
      <w:pPr>
        <w:snapToGrid w:val="0"/>
        <w:spacing w:before="50" w:after="50" w:line="360" w:lineRule="auto"/>
        <w:ind w:firstLine="630"/>
        <w:rPr>
          <w:rFonts w:hint="default" w:ascii="Times New Roman" w:hAnsi="宋体"/>
          <w:sz w:val="24"/>
          <w:lang w:val="en-US" w:eastAsia="zh-CN"/>
        </w:rPr>
      </w:pPr>
      <w:r>
        <w:rPr>
          <w:rFonts w:hint="eastAsia" w:ascii="Times New Roman" w:hAnsi="宋体"/>
          <w:sz w:val="24"/>
          <w:lang w:val="en-US" w:eastAsia="zh-CN"/>
        </w:rPr>
        <w:t>附：开票信息</w:t>
      </w:r>
    </w:p>
    <w:tbl>
      <w:tblPr>
        <w:tblStyle w:val="63"/>
        <w:tblW w:w="8558" w:type="dxa"/>
        <w:tblInd w:w="48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8"/>
        <w:gridCol w:w="3433"/>
        <w:gridCol w:w="3147"/>
      </w:tblGrid>
      <w:tr w14:paraId="43E6F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14:paraId="2B107897">
            <w:pPr>
              <w:snapToGrid w:val="0"/>
              <w:spacing w:before="50" w:after="50" w:line="360" w:lineRule="auto"/>
              <w:ind w:firstLine="0" w:firstLineChars="0"/>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开票信息</w:t>
            </w:r>
          </w:p>
        </w:tc>
        <w:tc>
          <w:tcPr>
            <w:tcW w:w="3433" w:type="dxa"/>
            <w:noWrap w:val="0"/>
            <w:vAlign w:val="center"/>
          </w:tcPr>
          <w:p w14:paraId="3A50C347">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发票抬头：</w:t>
            </w:r>
          </w:p>
        </w:tc>
        <w:tc>
          <w:tcPr>
            <w:tcW w:w="3147" w:type="dxa"/>
            <w:noWrap w:val="0"/>
            <w:vAlign w:val="center"/>
          </w:tcPr>
          <w:p w14:paraId="1FBC4DFA">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开户行：</w:t>
            </w:r>
          </w:p>
        </w:tc>
      </w:tr>
      <w:tr w14:paraId="56AE6E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33207514">
            <w:pPr>
              <w:snapToGrid w:val="0"/>
              <w:spacing w:before="50" w:after="50" w:line="360" w:lineRule="auto"/>
              <w:jc w:val="center"/>
              <w:rPr>
                <w:rFonts w:hint="default" w:ascii="Times New Roman" w:hAnsi="宋体"/>
                <w:sz w:val="24"/>
                <w:vertAlign w:val="baseline"/>
                <w:lang w:val="en-US" w:eastAsia="zh-CN"/>
              </w:rPr>
            </w:pPr>
          </w:p>
        </w:tc>
        <w:tc>
          <w:tcPr>
            <w:tcW w:w="3433" w:type="dxa"/>
            <w:noWrap w:val="0"/>
            <w:vAlign w:val="center"/>
          </w:tcPr>
          <w:p w14:paraId="7FAB13B3">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地址：</w:t>
            </w:r>
          </w:p>
        </w:tc>
        <w:tc>
          <w:tcPr>
            <w:tcW w:w="3147" w:type="dxa"/>
            <w:noWrap w:val="0"/>
            <w:vAlign w:val="center"/>
          </w:tcPr>
          <w:p w14:paraId="4CFCC364">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开户账号</w:t>
            </w:r>
          </w:p>
        </w:tc>
      </w:tr>
      <w:tr w14:paraId="509DE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2500C188">
            <w:pPr>
              <w:snapToGrid w:val="0"/>
              <w:spacing w:before="50" w:after="50" w:line="360" w:lineRule="auto"/>
              <w:jc w:val="center"/>
              <w:rPr>
                <w:rFonts w:hint="default" w:ascii="Times New Roman" w:hAnsi="宋体"/>
                <w:sz w:val="24"/>
                <w:vertAlign w:val="baseline"/>
                <w:lang w:val="en-US" w:eastAsia="zh-CN"/>
              </w:rPr>
            </w:pPr>
          </w:p>
        </w:tc>
        <w:tc>
          <w:tcPr>
            <w:tcW w:w="3433" w:type="dxa"/>
            <w:noWrap w:val="0"/>
            <w:vAlign w:val="center"/>
          </w:tcPr>
          <w:p w14:paraId="6BAB2653">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税号：</w:t>
            </w:r>
          </w:p>
        </w:tc>
        <w:tc>
          <w:tcPr>
            <w:tcW w:w="3147" w:type="dxa"/>
            <w:noWrap w:val="0"/>
            <w:vAlign w:val="center"/>
          </w:tcPr>
          <w:p w14:paraId="26A1F89A">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rPr>
              <w:t>电话：</w:t>
            </w:r>
          </w:p>
        </w:tc>
      </w:tr>
      <w:tr w14:paraId="75F74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restart"/>
            <w:noWrap w:val="0"/>
            <w:vAlign w:val="center"/>
          </w:tcPr>
          <w:p w14:paraId="0F83D643">
            <w:pPr>
              <w:snapToGrid w:val="0"/>
              <w:spacing w:before="50" w:after="50" w:line="360" w:lineRule="auto"/>
              <w:ind w:firstLine="0" w:firstLineChars="0"/>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联系方式</w:t>
            </w:r>
          </w:p>
        </w:tc>
        <w:tc>
          <w:tcPr>
            <w:tcW w:w="3433" w:type="dxa"/>
            <w:noWrap w:val="0"/>
            <w:vAlign w:val="center"/>
          </w:tcPr>
          <w:p w14:paraId="169EDF9B">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lang w:val="en-US" w:eastAsia="zh-CN"/>
              </w:rPr>
              <w:t>联系人：</w:t>
            </w:r>
          </w:p>
        </w:tc>
        <w:tc>
          <w:tcPr>
            <w:tcW w:w="3147" w:type="dxa"/>
            <w:noWrap w:val="0"/>
            <w:vAlign w:val="center"/>
          </w:tcPr>
          <w:p w14:paraId="51FC735E">
            <w:pPr>
              <w:snapToGrid w:val="0"/>
              <w:spacing w:before="50" w:after="50" w:line="360" w:lineRule="auto"/>
              <w:ind w:left="0" w:leftChars="0" w:firstLine="0" w:firstLineChars="0"/>
              <w:jc w:val="left"/>
              <w:rPr>
                <w:rFonts w:hint="default" w:ascii="Times New Roman" w:hAnsi="宋体"/>
                <w:sz w:val="24"/>
                <w:vertAlign w:val="baseline"/>
                <w:lang w:val="en-US" w:eastAsia="zh-CN"/>
              </w:rPr>
            </w:pPr>
            <w:r>
              <w:rPr>
                <w:rFonts w:hint="eastAsia" w:ascii="Times New Roman" w:hAnsi="宋体"/>
                <w:sz w:val="24"/>
                <w:lang w:val="en-US" w:eastAsia="zh-CN"/>
              </w:rPr>
              <w:t>联系电话：</w:t>
            </w:r>
          </w:p>
        </w:tc>
      </w:tr>
      <w:tr w14:paraId="6D04C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978" w:type="dxa"/>
            <w:vMerge w:val="continue"/>
            <w:noWrap w:val="0"/>
            <w:vAlign w:val="center"/>
          </w:tcPr>
          <w:p w14:paraId="439AE45E">
            <w:pPr>
              <w:snapToGrid w:val="0"/>
              <w:spacing w:before="50" w:after="50" w:line="360" w:lineRule="auto"/>
              <w:jc w:val="center"/>
              <w:rPr>
                <w:rFonts w:hint="eastAsia" w:ascii="Times New Roman" w:hAnsi="宋体"/>
                <w:sz w:val="24"/>
                <w:vertAlign w:val="baseline"/>
                <w:lang w:val="en-US" w:eastAsia="zh-CN"/>
              </w:rPr>
            </w:pPr>
          </w:p>
        </w:tc>
        <w:tc>
          <w:tcPr>
            <w:tcW w:w="3433" w:type="dxa"/>
            <w:noWrap w:val="0"/>
            <w:vAlign w:val="center"/>
          </w:tcPr>
          <w:p w14:paraId="51D69CB1">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邮箱：</w:t>
            </w:r>
          </w:p>
        </w:tc>
        <w:tc>
          <w:tcPr>
            <w:tcW w:w="3147" w:type="dxa"/>
            <w:noWrap w:val="0"/>
            <w:vAlign w:val="center"/>
          </w:tcPr>
          <w:p w14:paraId="34AA5967">
            <w:pPr>
              <w:snapToGrid w:val="0"/>
              <w:spacing w:before="50" w:after="50" w:line="360" w:lineRule="auto"/>
              <w:ind w:left="0" w:leftChars="0" w:firstLine="0" w:firstLineChars="0"/>
              <w:jc w:val="left"/>
              <w:rPr>
                <w:rFonts w:hint="eastAsia" w:ascii="Times New Roman" w:hAnsi="宋体"/>
                <w:sz w:val="24"/>
                <w:lang w:val="en-US" w:eastAsia="zh-CN"/>
              </w:rPr>
            </w:pPr>
          </w:p>
        </w:tc>
      </w:tr>
      <w:tr w14:paraId="58FA0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trPr>
        <w:tc>
          <w:tcPr>
            <w:tcW w:w="1978" w:type="dxa"/>
            <w:noWrap w:val="0"/>
            <w:vAlign w:val="center"/>
          </w:tcPr>
          <w:p w14:paraId="77C96A8E">
            <w:pPr>
              <w:snapToGrid w:val="0"/>
              <w:spacing w:before="50" w:after="50" w:line="360" w:lineRule="auto"/>
              <w:ind w:firstLine="0" w:firstLineChars="0"/>
              <w:jc w:val="center"/>
              <w:rPr>
                <w:rFonts w:hint="default" w:ascii="Times New Roman" w:hAnsi="宋体"/>
                <w:sz w:val="24"/>
                <w:vertAlign w:val="baseline"/>
                <w:lang w:val="en-US" w:eastAsia="zh-CN"/>
              </w:rPr>
            </w:pPr>
            <w:r>
              <w:rPr>
                <w:rFonts w:hint="eastAsia" w:ascii="Times New Roman" w:hAnsi="宋体"/>
                <w:sz w:val="24"/>
                <w:vertAlign w:val="baseline"/>
                <w:lang w:val="en-US" w:eastAsia="zh-CN"/>
              </w:rPr>
              <w:t>需开票类型</w:t>
            </w:r>
          </w:p>
        </w:tc>
        <w:tc>
          <w:tcPr>
            <w:tcW w:w="6580" w:type="dxa"/>
            <w:gridSpan w:val="2"/>
            <w:noWrap w:val="0"/>
            <w:vAlign w:val="top"/>
          </w:tcPr>
          <w:p w14:paraId="2119BCB9">
            <w:pPr>
              <w:snapToGrid w:val="0"/>
              <w:spacing w:before="50" w:after="50" w:line="360" w:lineRule="auto"/>
              <w:ind w:left="0" w:leftChars="0" w:firstLine="0" w:firstLineChars="0"/>
              <w:jc w:val="left"/>
              <w:rPr>
                <w:rFonts w:hint="eastAsia" w:ascii="Times New Roman" w:hAnsi="宋体"/>
                <w:sz w:val="24"/>
                <w:lang w:val="en-US" w:eastAsia="zh-CN"/>
              </w:rPr>
            </w:pPr>
            <w:r>
              <w:rPr>
                <w:rFonts w:hint="eastAsia" w:ascii="Times New Roman" w:hAnsi="宋体"/>
                <w:sz w:val="24"/>
                <w:lang w:val="en-US" w:eastAsia="zh-CN"/>
              </w:rPr>
              <w:t>请在括号里打勾选择：增值税普票（   ）  增值税专票（  ）</w:t>
            </w:r>
          </w:p>
          <w:p w14:paraId="6C0EF30D">
            <w:pPr>
              <w:snapToGrid w:val="0"/>
              <w:spacing w:before="50" w:after="50" w:line="360" w:lineRule="auto"/>
              <w:ind w:left="0" w:leftChars="0" w:firstLine="0" w:firstLineChars="0"/>
              <w:rPr>
                <w:rFonts w:hint="eastAsia" w:ascii="Times New Roman" w:hAnsi="宋体" w:eastAsia="宋体"/>
                <w:sz w:val="24"/>
                <w:vertAlign w:val="baseline"/>
                <w:lang w:val="en-US" w:eastAsia="zh-CN"/>
              </w:rPr>
            </w:pPr>
            <w:r>
              <w:rPr>
                <w:rFonts w:hint="eastAsia" w:ascii="Times New Roman" w:hAnsi="宋体"/>
                <w:sz w:val="24"/>
                <w:lang w:val="en-US" w:eastAsia="zh-CN"/>
              </w:rPr>
              <w:t>备注：若不选择开票类型，默认开具增值税普票。</w:t>
            </w:r>
          </w:p>
        </w:tc>
      </w:tr>
    </w:tbl>
    <w:p w14:paraId="2B3C93C4">
      <w:pPr>
        <w:snapToGrid w:val="0"/>
        <w:spacing w:before="50" w:after="50" w:line="360" w:lineRule="auto"/>
        <w:ind w:firstLine="630"/>
        <w:rPr>
          <w:rFonts w:ascii="Times New Roman" w:hAnsi="Times New Roman"/>
          <w:sz w:val="24"/>
        </w:rPr>
      </w:pPr>
    </w:p>
    <w:p w14:paraId="227B0542">
      <w:pPr>
        <w:snapToGrid w:val="0"/>
        <w:spacing w:line="360" w:lineRule="auto"/>
        <w:jc w:val="center"/>
        <w:rPr>
          <w:rFonts w:ascii="Times New Roman" w:hAnsi="Times New Roman"/>
          <w:sz w:val="24"/>
          <w:szCs w:val="20"/>
        </w:rPr>
      </w:pPr>
      <w:r>
        <w:rPr>
          <w:rFonts w:hint="eastAsia" w:ascii="Times New Roman" w:hAnsi="宋体"/>
          <w:sz w:val="24"/>
          <w:lang w:val="en-US" w:eastAsia="zh-CN"/>
        </w:rPr>
        <w:t xml:space="preserve">           </w:t>
      </w: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w:t>
      </w:r>
      <w:r>
        <w:rPr>
          <w:rFonts w:ascii="Times New Roman" w:hAnsi="Times New Roman"/>
          <w:sz w:val="24"/>
          <w:u w:val="none"/>
        </w:rPr>
        <w:t xml:space="preserve">                  </w:t>
      </w:r>
    </w:p>
    <w:p w14:paraId="0331103D">
      <w:pPr>
        <w:snapToGrid w:val="0"/>
        <w:spacing w:line="360" w:lineRule="auto"/>
        <w:jc w:val="center"/>
        <w:rPr>
          <w:rFonts w:hint="eastAsia" w:ascii="宋体" w:hAnsi="宋体" w:eastAsia="宋体" w:cs="宋体"/>
          <w:kern w:val="0"/>
          <w:sz w:val="24"/>
          <w:lang w:val="zh-CN"/>
        </w:rPr>
        <w:sectPr>
          <w:pgSz w:w="11906" w:h="16838"/>
          <w:pgMar w:top="1276" w:right="1418" w:bottom="1247" w:left="1418" w:header="851" w:footer="992" w:gutter="0"/>
          <w:cols w:space="720" w:num="1"/>
          <w:titlePg/>
          <w:docGrid w:linePitch="312" w:charSpace="0"/>
        </w:sectPr>
      </w:pPr>
      <w:r>
        <w:rPr>
          <w:rFonts w:hint="eastAsia" w:ascii="宋体" w:hAnsi="宋体" w:eastAsia="宋体" w:cs="宋体"/>
          <w:kern w:val="0"/>
          <w:sz w:val="24"/>
          <w:lang w:val="en-US" w:eastAsia="zh-CN"/>
        </w:rPr>
        <w:t xml:space="preserve">              </w:t>
      </w:r>
      <w:r>
        <w:rPr>
          <w:rFonts w:hint="eastAsia" w:ascii="宋体" w:hAnsi="宋体" w:eastAsia="宋体" w:cs="宋体"/>
          <w:kern w:val="0"/>
          <w:sz w:val="24"/>
          <w:lang w:val="zh-CN"/>
        </w:rPr>
        <w:t>承诺日期：_____年___月___日</w:t>
      </w:r>
    </w:p>
    <w:p w14:paraId="53D24CB3">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160063E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2FAB4E6">
      <w:pPr>
        <w:spacing w:line="360" w:lineRule="auto"/>
        <w:jc w:val="center"/>
        <w:outlineLvl w:val="0"/>
        <w:rPr>
          <w:rFonts w:ascii="宋体" w:hAnsi="宋体" w:cs="宋体"/>
          <w:b/>
          <w:color w:val="auto"/>
          <w:kern w:val="0"/>
          <w:sz w:val="36"/>
          <w:szCs w:val="36"/>
          <w:highlight w:val="none"/>
        </w:rPr>
      </w:pPr>
    </w:p>
    <w:p w14:paraId="48200F11">
      <w:pPr>
        <w:numPr>
          <w:ilvl w:val="0"/>
          <w:numId w:val="1"/>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开标一览表（报价表）………………………………………………………（页码）</w:t>
      </w:r>
    </w:p>
    <w:p w14:paraId="7AB07CCA">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）中小企业声明函………………………………………………………………（页码）</w:t>
      </w:r>
    </w:p>
    <w:p w14:paraId="4374C50A">
      <w:pPr>
        <w:pStyle w:val="80"/>
        <w:rPr>
          <w:rFonts w:hint="eastAsia"/>
          <w:color w:val="auto"/>
          <w:highlight w:val="none"/>
        </w:rPr>
      </w:pPr>
    </w:p>
    <w:p w14:paraId="4DA9F2CD">
      <w:pPr>
        <w:pStyle w:val="80"/>
        <w:rPr>
          <w:color w:val="auto"/>
          <w:highlight w:val="none"/>
        </w:rPr>
      </w:pPr>
    </w:p>
    <w:p w14:paraId="0FBB4570">
      <w:pPr>
        <w:snapToGrid w:val="0"/>
        <w:spacing w:line="360" w:lineRule="auto"/>
        <w:ind w:right="480"/>
        <w:jc w:val="center"/>
        <w:rPr>
          <w:rFonts w:ascii="宋体" w:hAnsi="宋体" w:cs="宋体"/>
          <w:b/>
          <w:color w:val="auto"/>
          <w:kern w:val="0"/>
          <w:sz w:val="32"/>
          <w:szCs w:val="32"/>
          <w:highlight w:val="none"/>
        </w:rPr>
      </w:pPr>
    </w:p>
    <w:p w14:paraId="5AFFDCF3">
      <w:pPr>
        <w:snapToGrid w:val="0"/>
        <w:spacing w:line="360" w:lineRule="auto"/>
        <w:ind w:right="480"/>
        <w:jc w:val="center"/>
        <w:rPr>
          <w:rFonts w:ascii="宋体" w:hAnsi="宋体" w:cs="宋体"/>
          <w:b/>
          <w:color w:val="auto"/>
          <w:kern w:val="0"/>
          <w:sz w:val="32"/>
          <w:szCs w:val="32"/>
          <w:highlight w:val="none"/>
        </w:rPr>
      </w:pPr>
    </w:p>
    <w:p w14:paraId="10A7AAE1">
      <w:pPr>
        <w:snapToGrid w:val="0"/>
        <w:spacing w:line="360" w:lineRule="auto"/>
        <w:ind w:right="480"/>
        <w:jc w:val="center"/>
        <w:rPr>
          <w:rFonts w:ascii="宋体" w:hAnsi="宋体" w:cs="宋体"/>
          <w:b/>
          <w:color w:val="auto"/>
          <w:kern w:val="0"/>
          <w:sz w:val="32"/>
          <w:szCs w:val="32"/>
          <w:highlight w:val="none"/>
        </w:rPr>
      </w:pPr>
    </w:p>
    <w:p w14:paraId="3FB0E389">
      <w:pPr>
        <w:snapToGrid w:val="0"/>
        <w:spacing w:line="360" w:lineRule="auto"/>
        <w:ind w:right="480"/>
        <w:jc w:val="center"/>
        <w:rPr>
          <w:rFonts w:ascii="宋体" w:hAnsi="宋体" w:cs="宋体"/>
          <w:b/>
          <w:color w:val="auto"/>
          <w:kern w:val="0"/>
          <w:sz w:val="32"/>
          <w:szCs w:val="32"/>
          <w:highlight w:val="none"/>
        </w:rPr>
      </w:pPr>
    </w:p>
    <w:p w14:paraId="115027FA">
      <w:pPr>
        <w:snapToGrid w:val="0"/>
        <w:spacing w:line="360" w:lineRule="auto"/>
        <w:ind w:right="480"/>
        <w:jc w:val="center"/>
        <w:rPr>
          <w:rFonts w:ascii="宋体" w:hAnsi="宋体" w:cs="宋体"/>
          <w:b/>
          <w:color w:val="auto"/>
          <w:kern w:val="0"/>
          <w:sz w:val="32"/>
          <w:szCs w:val="32"/>
          <w:highlight w:val="none"/>
        </w:rPr>
      </w:pPr>
    </w:p>
    <w:p w14:paraId="337961BC">
      <w:pPr>
        <w:snapToGrid w:val="0"/>
        <w:spacing w:line="360" w:lineRule="auto"/>
        <w:ind w:right="480"/>
        <w:jc w:val="center"/>
        <w:rPr>
          <w:rFonts w:ascii="宋体" w:hAnsi="宋体" w:cs="宋体"/>
          <w:b/>
          <w:color w:val="auto"/>
          <w:kern w:val="0"/>
          <w:sz w:val="32"/>
          <w:szCs w:val="32"/>
          <w:highlight w:val="none"/>
        </w:rPr>
      </w:pPr>
    </w:p>
    <w:p w14:paraId="7141EA06">
      <w:pPr>
        <w:snapToGrid w:val="0"/>
        <w:spacing w:line="360" w:lineRule="auto"/>
        <w:ind w:right="480"/>
        <w:jc w:val="center"/>
        <w:rPr>
          <w:rFonts w:ascii="宋体" w:hAnsi="宋体" w:cs="宋体"/>
          <w:b/>
          <w:color w:val="auto"/>
          <w:kern w:val="0"/>
          <w:sz w:val="32"/>
          <w:szCs w:val="32"/>
          <w:highlight w:val="none"/>
        </w:rPr>
      </w:pPr>
    </w:p>
    <w:p w14:paraId="66E8FD50">
      <w:pPr>
        <w:snapToGrid w:val="0"/>
        <w:spacing w:line="360" w:lineRule="auto"/>
        <w:ind w:right="480"/>
        <w:jc w:val="center"/>
        <w:rPr>
          <w:rFonts w:ascii="宋体" w:hAnsi="宋体" w:cs="宋体"/>
          <w:b/>
          <w:color w:val="auto"/>
          <w:kern w:val="0"/>
          <w:sz w:val="32"/>
          <w:szCs w:val="32"/>
          <w:highlight w:val="none"/>
        </w:rPr>
      </w:pPr>
    </w:p>
    <w:p w14:paraId="50F160CE">
      <w:pPr>
        <w:snapToGrid w:val="0"/>
        <w:spacing w:line="360" w:lineRule="auto"/>
        <w:ind w:right="480"/>
        <w:jc w:val="center"/>
        <w:rPr>
          <w:rFonts w:ascii="宋体" w:hAnsi="宋体" w:cs="宋体"/>
          <w:b/>
          <w:color w:val="auto"/>
          <w:kern w:val="0"/>
          <w:sz w:val="32"/>
          <w:szCs w:val="32"/>
          <w:highlight w:val="none"/>
        </w:rPr>
      </w:pPr>
    </w:p>
    <w:p w14:paraId="4A58B3F0">
      <w:pPr>
        <w:snapToGrid w:val="0"/>
        <w:spacing w:line="360" w:lineRule="auto"/>
        <w:ind w:right="480"/>
        <w:jc w:val="center"/>
        <w:rPr>
          <w:rFonts w:ascii="宋体" w:hAnsi="宋体" w:cs="宋体"/>
          <w:b/>
          <w:color w:val="auto"/>
          <w:kern w:val="0"/>
          <w:sz w:val="32"/>
          <w:szCs w:val="32"/>
          <w:highlight w:val="none"/>
        </w:rPr>
      </w:pPr>
    </w:p>
    <w:p w14:paraId="4E57D7EE">
      <w:pPr>
        <w:snapToGrid w:val="0"/>
        <w:spacing w:line="360" w:lineRule="auto"/>
        <w:ind w:right="480"/>
        <w:jc w:val="center"/>
        <w:rPr>
          <w:rFonts w:ascii="宋体" w:hAnsi="宋体" w:cs="宋体"/>
          <w:b/>
          <w:color w:val="auto"/>
          <w:kern w:val="0"/>
          <w:sz w:val="32"/>
          <w:szCs w:val="32"/>
          <w:highlight w:val="none"/>
        </w:rPr>
      </w:pPr>
    </w:p>
    <w:p w14:paraId="5FBC9E6B">
      <w:pPr>
        <w:snapToGrid w:val="0"/>
        <w:spacing w:line="360" w:lineRule="auto"/>
        <w:ind w:right="480"/>
        <w:jc w:val="center"/>
        <w:rPr>
          <w:rFonts w:ascii="宋体" w:hAnsi="宋体" w:cs="宋体"/>
          <w:b/>
          <w:color w:val="auto"/>
          <w:kern w:val="0"/>
          <w:sz w:val="32"/>
          <w:szCs w:val="32"/>
          <w:highlight w:val="none"/>
        </w:rPr>
      </w:pPr>
    </w:p>
    <w:p w14:paraId="7F821D76">
      <w:pPr>
        <w:snapToGrid w:val="0"/>
        <w:spacing w:line="360" w:lineRule="auto"/>
        <w:ind w:right="480"/>
        <w:jc w:val="center"/>
        <w:rPr>
          <w:rFonts w:ascii="宋体" w:hAnsi="宋体" w:cs="宋体"/>
          <w:b/>
          <w:color w:val="auto"/>
          <w:kern w:val="0"/>
          <w:sz w:val="32"/>
          <w:szCs w:val="32"/>
          <w:highlight w:val="none"/>
        </w:rPr>
      </w:pPr>
    </w:p>
    <w:p w14:paraId="242935C1">
      <w:pPr>
        <w:snapToGrid w:val="0"/>
        <w:spacing w:line="360" w:lineRule="auto"/>
        <w:ind w:right="480"/>
        <w:jc w:val="center"/>
        <w:rPr>
          <w:rFonts w:ascii="宋体" w:hAnsi="宋体" w:cs="宋体"/>
          <w:b/>
          <w:color w:val="auto"/>
          <w:kern w:val="0"/>
          <w:sz w:val="32"/>
          <w:szCs w:val="32"/>
          <w:highlight w:val="none"/>
        </w:rPr>
      </w:pPr>
    </w:p>
    <w:p w14:paraId="09307FF9">
      <w:pPr>
        <w:snapToGrid w:val="0"/>
        <w:spacing w:line="360" w:lineRule="auto"/>
        <w:ind w:right="480"/>
        <w:jc w:val="center"/>
        <w:rPr>
          <w:rFonts w:ascii="宋体" w:hAnsi="宋体" w:cs="宋体"/>
          <w:b/>
          <w:color w:val="auto"/>
          <w:kern w:val="0"/>
          <w:sz w:val="32"/>
          <w:szCs w:val="32"/>
          <w:highlight w:val="none"/>
        </w:rPr>
      </w:pPr>
    </w:p>
    <w:p w14:paraId="54E69E0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11B9D219">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一、开标一览表（报价表）</w:t>
      </w:r>
    </w:p>
    <w:p w14:paraId="0B6C821B">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杭州市西湖区财政局</w:t>
      </w:r>
      <w:r>
        <w:rPr>
          <w:rFonts w:hint="eastAsia" w:ascii="宋体" w:hAnsi="宋体" w:cs="宋体"/>
          <w:color w:val="auto"/>
          <w:sz w:val="24"/>
          <w:highlight w:val="none"/>
        </w:rPr>
        <w:t>、</w:t>
      </w:r>
      <w:r>
        <w:rPr>
          <w:rFonts w:hint="eastAsia" w:ascii="宋体" w:hAnsi="宋体" w:cs="宋体"/>
          <w:color w:val="auto"/>
          <w:sz w:val="24"/>
          <w:highlight w:val="none"/>
          <w:lang w:eastAsia="zh-CN"/>
        </w:rPr>
        <w:t>浙江信镧建设工程咨询有限公司</w:t>
      </w:r>
      <w:r>
        <w:rPr>
          <w:rFonts w:hint="eastAsia" w:ascii="宋体" w:hAnsi="宋体" w:cs="宋体"/>
          <w:color w:val="auto"/>
          <w:kern w:val="0"/>
          <w:sz w:val="24"/>
          <w:highlight w:val="none"/>
          <w:lang w:val="zh-CN"/>
        </w:rPr>
        <w:t>：</w:t>
      </w:r>
    </w:p>
    <w:p w14:paraId="430172B6">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highlight w:val="none"/>
          <w:lang w:eastAsia="zh-CN"/>
        </w:rPr>
        <w:t xml:space="preserve">西湖区财政局非税和票据管理一体化系统运维项目 </w:t>
      </w:r>
      <w:r>
        <w:rPr>
          <w:rFonts w:hint="eastAsia" w:ascii="宋体" w:hAnsi="宋体" w:cs="宋体"/>
          <w:color w:val="auto"/>
          <w:kern w:val="0"/>
          <w:sz w:val="24"/>
          <w:highlight w:val="none"/>
          <w:lang w:val="zh-CN"/>
        </w:rPr>
        <w:t>【招标编号：</w:t>
      </w:r>
      <w:r>
        <w:rPr>
          <w:rFonts w:hint="eastAsia" w:ascii="宋体" w:hAnsi="宋体" w:cs="宋体"/>
          <w:color w:val="auto"/>
          <w:sz w:val="24"/>
          <w:highlight w:val="none"/>
          <w:lang w:eastAsia="zh-CN"/>
        </w:rPr>
        <w:t>ZJXL-XHCZ-202501</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12B5C6DC">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14:paraId="51ED0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14:paraId="6562015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992" w:type="dxa"/>
            <w:vAlign w:val="center"/>
          </w:tcPr>
          <w:p w14:paraId="1F4FA1B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名称</w:t>
            </w:r>
          </w:p>
        </w:tc>
        <w:tc>
          <w:tcPr>
            <w:tcW w:w="2268" w:type="dxa"/>
          </w:tcPr>
          <w:p w14:paraId="72C1B10E">
            <w:pPr>
              <w:spacing w:line="360" w:lineRule="auto"/>
              <w:jc w:val="center"/>
              <w:rPr>
                <w:rFonts w:ascii="宋体" w:hAnsi="宋体" w:cs="宋体"/>
                <w:b/>
                <w:color w:val="auto"/>
                <w:sz w:val="24"/>
                <w:highlight w:val="none"/>
              </w:rPr>
            </w:pPr>
          </w:p>
          <w:p w14:paraId="38848F9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服务范围</w:t>
            </w:r>
          </w:p>
        </w:tc>
        <w:tc>
          <w:tcPr>
            <w:tcW w:w="2410" w:type="dxa"/>
            <w:vAlign w:val="center"/>
          </w:tcPr>
          <w:p w14:paraId="7653DDE9">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服务要求</w:t>
            </w:r>
          </w:p>
        </w:tc>
        <w:tc>
          <w:tcPr>
            <w:tcW w:w="2268" w:type="dxa"/>
            <w:vAlign w:val="center"/>
          </w:tcPr>
          <w:p w14:paraId="15B12DF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服务时间</w:t>
            </w:r>
          </w:p>
        </w:tc>
        <w:tc>
          <w:tcPr>
            <w:tcW w:w="2126" w:type="dxa"/>
            <w:vAlign w:val="center"/>
          </w:tcPr>
          <w:p w14:paraId="41336C8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服务标准</w:t>
            </w:r>
          </w:p>
        </w:tc>
        <w:tc>
          <w:tcPr>
            <w:tcW w:w="2127" w:type="dxa"/>
          </w:tcPr>
          <w:p w14:paraId="6EDFF947">
            <w:pPr>
              <w:spacing w:line="360" w:lineRule="auto"/>
              <w:jc w:val="center"/>
              <w:rPr>
                <w:rFonts w:ascii="宋体" w:hAnsi="宋体" w:cs="宋体"/>
                <w:b/>
                <w:color w:val="auto"/>
                <w:sz w:val="24"/>
                <w:highlight w:val="none"/>
              </w:rPr>
            </w:pPr>
          </w:p>
          <w:p w14:paraId="5722E16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服务人数</w:t>
            </w:r>
          </w:p>
        </w:tc>
        <w:tc>
          <w:tcPr>
            <w:tcW w:w="2126" w:type="dxa"/>
            <w:vAlign w:val="center"/>
          </w:tcPr>
          <w:p w14:paraId="5309C7D3">
            <w:pPr>
              <w:spacing w:line="360" w:lineRule="auto"/>
              <w:jc w:val="center"/>
              <w:rPr>
                <w:rFonts w:ascii="宋体" w:hAnsi="宋体" w:cs="宋体"/>
                <w:b/>
                <w:color w:val="auto"/>
                <w:sz w:val="24"/>
                <w:highlight w:val="none"/>
              </w:rPr>
            </w:pPr>
          </w:p>
          <w:p w14:paraId="285DC68C">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3A3951D7">
            <w:pPr>
              <w:spacing w:line="360" w:lineRule="auto"/>
              <w:jc w:val="center"/>
              <w:rPr>
                <w:rFonts w:ascii="宋体" w:hAnsi="宋体" w:cs="宋体"/>
                <w:b/>
                <w:color w:val="auto"/>
                <w:sz w:val="24"/>
                <w:highlight w:val="none"/>
              </w:rPr>
            </w:pPr>
          </w:p>
        </w:tc>
      </w:tr>
      <w:tr w14:paraId="638422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14:paraId="238CE216">
            <w:pPr>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992" w:type="dxa"/>
            <w:vAlign w:val="center"/>
          </w:tcPr>
          <w:p w14:paraId="5929EBA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E6B6B80">
            <w:pPr>
              <w:snapToGrid w:val="0"/>
              <w:spacing w:line="360" w:lineRule="auto"/>
              <w:jc w:val="center"/>
              <w:rPr>
                <w:rFonts w:ascii="宋体" w:hAnsi="宋体" w:cs="宋体"/>
                <w:color w:val="auto"/>
                <w:sz w:val="24"/>
                <w:highlight w:val="none"/>
              </w:rPr>
            </w:pPr>
          </w:p>
        </w:tc>
        <w:tc>
          <w:tcPr>
            <w:tcW w:w="2410" w:type="dxa"/>
            <w:vAlign w:val="center"/>
          </w:tcPr>
          <w:p w14:paraId="49011045">
            <w:pPr>
              <w:snapToGrid w:val="0"/>
              <w:spacing w:line="360" w:lineRule="auto"/>
              <w:jc w:val="center"/>
              <w:rPr>
                <w:rFonts w:ascii="宋体" w:hAnsi="宋体" w:cs="宋体"/>
                <w:color w:val="auto"/>
                <w:sz w:val="24"/>
                <w:highlight w:val="none"/>
              </w:rPr>
            </w:pPr>
          </w:p>
        </w:tc>
        <w:tc>
          <w:tcPr>
            <w:tcW w:w="2268" w:type="dxa"/>
            <w:vAlign w:val="center"/>
          </w:tcPr>
          <w:p w14:paraId="07DD5525">
            <w:pPr>
              <w:snapToGrid w:val="0"/>
              <w:spacing w:line="360" w:lineRule="auto"/>
              <w:jc w:val="center"/>
              <w:rPr>
                <w:rFonts w:ascii="宋体" w:hAnsi="宋体" w:cs="宋体"/>
                <w:color w:val="auto"/>
                <w:sz w:val="24"/>
                <w:highlight w:val="none"/>
              </w:rPr>
            </w:pPr>
          </w:p>
        </w:tc>
        <w:tc>
          <w:tcPr>
            <w:tcW w:w="2126" w:type="dxa"/>
            <w:vAlign w:val="center"/>
          </w:tcPr>
          <w:p w14:paraId="60BB9C9F">
            <w:pPr>
              <w:spacing w:line="360" w:lineRule="auto"/>
              <w:jc w:val="center"/>
              <w:rPr>
                <w:rFonts w:ascii="宋体" w:hAnsi="宋体" w:cs="宋体"/>
                <w:color w:val="auto"/>
                <w:sz w:val="24"/>
                <w:highlight w:val="none"/>
              </w:rPr>
            </w:pPr>
          </w:p>
        </w:tc>
        <w:tc>
          <w:tcPr>
            <w:tcW w:w="2127" w:type="dxa"/>
          </w:tcPr>
          <w:p w14:paraId="30C10E6C">
            <w:pPr>
              <w:spacing w:line="360" w:lineRule="auto"/>
              <w:jc w:val="center"/>
              <w:rPr>
                <w:rFonts w:ascii="宋体" w:hAnsi="宋体" w:cs="宋体"/>
                <w:color w:val="auto"/>
                <w:sz w:val="24"/>
                <w:highlight w:val="none"/>
              </w:rPr>
            </w:pPr>
          </w:p>
        </w:tc>
        <w:tc>
          <w:tcPr>
            <w:tcW w:w="2126" w:type="dxa"/>
            <w:vAlign w:val="center"/>
          </w:tcPr>
          <w:p w14:paraId="09E11B5D">
            <w:pPr>
              <w:spacing w:line="360" w:lineRule="auto"/>
              <w:jc w:val="center"/>
              <w:rPr>
                <w:rFonts w:ascii="宋体" w:hAnsi="宋体" w:cs="宋体"/>
                <w:color w:val="auto"/>
                <w:sz w:val="24"/>
                <w:highlight w:val="none"/>
              </w:rPr>
            </w:pPr>
          </w:p>
        </w:tc>
      </w:tr>
      <w:tr w14:paraId="373D4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E644F2B">
            <w:pPr>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992" w:type="dxa"/>
            <w:vAlign w:val="center"/>
          </w:tcPr>
          <w:p w14:paraId="15316B9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X</w:t>
            </w:r>
            <w:r>
              <w:rPr>
                <w:rFonts w:ascii="宋体" w:hAnsi="宋体" w:cs="宋体"/>
                <w:color w:val="auto"/>
                <w:sz w:val="24"/>
                <w:highlight w:val="none"/>
              </w:rPr>
              <w:t>X</w:t>
            </w:r>
          </w:p>
        </w:tc>
        <w:tc>
          <w:tcPr>
            <w:tcW w:w="2268" w:type="dxa"/>
            <w:vAlign w:val="center"/>
          </w:tcPr>
          <w:p w14:paraId="76DA92F8">
            <w:pPr>
              <w:snapToGrid w:val="0"/>
              <w:spacing w:line="360" w:lineRule="auto"/>
              <w:jc w:val="center"/>
              <w:rPr>
                <w:rFonts w:ascii="宋体" w:hAnsi="宋体" w:cs="宋体"/>
                <w:color w:val="auto"/>
                <w:sz w:val="24"/>
                <w:highlight w:val="none"/>
              </w:rPr>
            </w:pPr>
          </w:p>
        </w:tc>
        <w:tc>
          <w:tcPr>
            <w:tcW w:w="2410" w:type="dxa"/>
            <w:vAlign w:val="center"/>
          </w:tcPr>
          <w:p w14:paraId="7715326D">
            <w:pPr>
              <w:snapToGrid w:val="0"/>
              <w:spacing w:line="360" w:lineRule="auto"/>
              <w:jc w:val="center"/>
              <w:rPr>
                <w:rFonts w:ascii="宋体" w:hAnsi="宋体" w:cs="宋体"/>
                <w:color w:val="auto"/>
                <w:sz w:val="24"/>
                <w:highlight w:val="none"/>
              </w:rPr>
            </w:pPr>
          </w:p>
        </w:tc>
        <w:tc>
          <w:tcPr>
            <w:tcW w:w="2268" w:type="dxa"/>
            <w:vAlign w:val="center"/>
          </w:tcPr>
          <w:p w14:paraId="29502B17">
            <w:pPr>
              <w:snapToGrid w:val="0"/>
              <w:spacing w:line="360" w:lineRule="auto"/>
              <w:jc w:val="center"/>
              <w:rPr>
                <w:rFonts w:ascii="宋体" w:hAnsi="宋体" w:cs="宋体"/>
                <w:color w:val="auto"/>
                <w:sz w:val="24"/>
                <w:highlight w:val="none"/>
              </w:rPr>
            </w:pPr>
          </w:p>
        </w:tc>
        <w:tc>
          <w:tcPr>
            <w:tcW w:w="2126" w:type="dxa"/>
            <w:vAlign w:val="center"/>
          </w:tcPr>
          <w:p w14:paraId="645CF258">
            <w:pPr>
              <w:spacing w:line="360" w:lineRule="auto"/>
              <w:jc w:val="center"/>
              <w:rPr>
                <w:rFonts w:ascii="宋体" w:hAnsi="宋体" w:cs="宋体"/>
                <w:color w:val="auto"/>
                <w:sz w:val="24"/>
                <w:highlight w:val="none"/>
              </w:rPr>
            </w:pPr>
          </w:p>
        </w:tc>
        <w:tc>
          <w:tcPr>
            <w:tcW w:w="2127" w:type="dxa"/>
          </w:tcPr>
          <w:p w14:paraId="48B749E5">
            <w:pPr>
              <w:spacing w:line="360" w:lineRule="auto"/>
              <w:jc w:val="center"/>
              <w:rPr>
                <w:rFonts w:ascii="宋体" w:hAnsi="宋体" w:cs="宋体"/>
                <w:color w:val="auto"/>
                <w:sz w:val="24"/>
                <w:highlight w:val="none"/>
              </w:rPr>
            </w:pPr>
          </w:p>
        </w:tc>
        <w:tc>
          <w:tcPr>
            <w:tcW w:w="2126" w:type="dxa"/>
            <w:vAlign w:val="center"/>
          </w:tcPr>
          <w:p w14:paraId="305D7009">
            <w:pPr>
              <w:spacing w:line="360" w:lineRule="auto"/>
              <w:jc w:val="center"/>
              <w:rPr>
                <w:rFonts w:ascii="宋体" w:hAnsi="宋体" w:cs="宋体"/>
                <w:color w:val="auto"/>
                <w:sz w:val="24"/>
                <w:highlight w:val="none"/>
              </w:rPr>
            </w:pPr>
          </w:p>
        </w:tc>
      </w:tr>
      <w:tr w14:paraId="3126A8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63B957CC">
            <w:pPr>
              <w:spacing w:line="360" w:lineRule="auto"/>
              <w:jc w:val="center"/>
              <w:rPr>
                <w:rFonts w:ascii="宋体" w:hAnsi="宋体" w:cs="宋体"/>
                <w:color w:val="auto"/>
                <w:sz w:val="24"/>
                <w:highlight w:val="none"/>
              </w:rPr>
            </w:pPr>
            <w:r>
              <w:rPr>
                <w:rFonts w:hint="eastAsia" w:ascii="宋体" w:hAnsi="宋体" w:cs="宋体"/>
                <w:color w:val="auto"/>
                <w:sz w:val="24"/>
                <w:highlight w:val="none"/>
              </w:rPr>
              <w:t>…</w:t>
            </w:r>
          </w:p>
        </w:tc>
        <w:tc>
          <w:tcPr>
            <w:tcW w:w="992" w:type="dxa"/>
            <w:vAlign w:val="center"/>
          </w:tcPr>
          <w:p w14:paraId="5DE29410">
            <w:pPr>
              <w:snapToGrid w:val="0"/>
              <w:spacing w:line="360" w:lineRule="auto"/>
              <w:jc w:val="center"/>
              <w:rPr>
                <w:rFonts w:ascii="宋体" w:hAnsi="宋体" w:cs="宋体"/>
                <w:color w:val="auto"/>
                <w:sz w:val="24"/>
                <w:highlight w:val="none"/>
              </w:rPr>
            </w:pPr>
          </w:p>
        </w:tc>
        <w:tc>
          <w:tcPr>
            <w:tcW w:w="2268" w:type="dxa"/>
            <w:vAlign w:val="center"/>
          </w:tcPr>
          <w:p w14:paraId="4A4855F7">
            <w:pPr>
              <w:snapToGrid w:val="0"/>
              <w:spacing w:line="360" w:lineRule="auto"/>
              <w:jc w:val="center"/>
              <w:rPr>
                <w:rFonts w:ascii="宋体" w:hAnsi="宋体" w:cs="宋体"/>
                <w:color w:val="auto"/>
                <w:sz w:val="24"/>
                <w:highlight w:val="none"/>
              </w:rPr>
            </w:pPr>
          </w:p>
        </w:tc>
        <w:tc>
          <w:tcPr>
            <w:tcW w:w="2410" w:type="dxa"/>
            <w:vAlign w:val="center"/>
          </w:tcPr>
          <w:p w14:paraId="5F6A4004">
            <w:pPr>
              <w:snapToGrid w:val="0"/>
              <w:spacing w:line="360" w:lineRule="auto"/>
              <w:jc w:val="center"/>
              <w:rPr>
                <w:rFonts w:ascii="宋体" w:hAnsi="宋体" w:cs="宋体"/>
                <w:color w:val="auto"/>
                <w:sz w:val="24"/>
                <w:highlight w:val="none"/>
              </w:rPr>
            </w:pPr>
          </w:p>
        </w:tc>
        <w:tc>
          <w:tcPr>
            <w:tcW w:w="2268" w:type="dxa"/>
            <w:vAlign w:val="center"/>
          </w:tcPr>
          <w:p w14:paraId="091382D4">
            <w:pPr>
              <w:snapToGrid w:val="0"/>
              <w:spacing w:line="360" w:lineRule="auto"/>
              <w:jc w:val="center"/>
              <w:rPr>
                <w:rFonts w:ascii="宋体" w:hAnsi="宋体" w:cs="宋体"/>
                <w:color w:val="auto"/>
                <w:sz w:val="24"/>
                <w:highlight w:val="none"/>
              </w:rPr>
            </w:pPr>
          </w:p>
        </w:tc>
        <w:tc>
          <w:tcPr>
            <w:tcW w:w="2126" w:type="dxa"/>
            <w:vAlign w:val="center"/>
          </w:tcPr>
          <w:p w14:paraId="468CB7AF">
            <w:pPr>
              <w:spacing w:line="360" w:lineRule="auto"/>
              <w:jc w:val="center"/>
              <w:rPr>
                <w:rFonts w:ascii="宋体" w:hAnsi="宋体" w:cs="宋体"/>
                <w:color w:val="auto"/>
                <w:sz w:val="24"/>
                <w:highlight w:val="none"/>
              </w:rPr>
            </w:pPr>
          </w:p>
        </w:tc>
        <w:tc>
          <w:tcPr>
            <w:tcW w:w="2127" w:type="dxa"/>
          </w:tcPr>
          <w:p w14:paraId="6FD9540F">
            <w:pPr>
              <w:spacing w:line="360" w:lineRule="auto"/>
              <w:jc w:val="center"/>
              <w:rPr>
                <w:rFonts w:ascii="宋体" w:hAnsi="宋体" w:cs="宋体"/>
                <w:color w:val="auto"/>
                <w:sz w:val="24"/>
                <w:highlight w:val="none"/>
              </w:rPr>
            </w:pPr>
          </w:p>
        </w:tc>
        <w:tc>
          <w:tcPr>
            <w:tcW w:w="2126" w:type="dxa"/>
            <w:vAlign w:val="center"/>
          </w:tcPr>
          <w:p w14:paraId="04869F17">
            <w:pPr>
              <w:spacing w:line="360" w:lineRule="auto"/>
              <w:jc w:val="center"/>
              <w:rPr>
                <w:rFonts w:ascii="宋体" w:hAnsi="宋体" w:cs="宋体"/>
                <w:color w:val="auto"/>
                <w:sz w:val="24"/>
                <w:highlight w:val="none"/>
              </w:rPr>
            </w:pPr>
          </w:p>
        </w:tc>
      </w:tr>
      <w:tr w14:paraId="7F2BC2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2799C29">
            <w:pPr>
              <w:spacing w:line="360" w:lineRule="auto"/>
              <w:jc w:val="center"/>
              <w:rPr>
                <w:rFonts w:ascii="宋体" w:hAnsi="宋体" w:cs="宋体"/>
                <w:color w:val="auto"/>
                <w:sz w:val="24"/>
                <w:highlight w:val="none"/>
              </w:rPr>
            </w:pPr>
          </w:p>
        </w:tc>
        <w:tc>
          <w:tcPr>
            <w:tcW w:w="992" w:type="dxa"/>
            <w:vAlign w:val="center"/>
          </w:tcPr>
          <w:p w14:paraId="2D6CCF36">
            <w:pPr>
              <w:snapToGrid w:val="0"/>
              <w:spacing w:line="360" w:lineRule="auto"/>
              <w:jc w:val="center"/>
              <w:rPr>
                <w:rFonts w:ascii="宋体" w:hAnsi="宋体" w:cs="宋体"/>
                <w:color w:val="auto"/>
                <w:sz w:val="24"/>
                <w:highlight w:val="none"/>
              </w:rPr>
            </w:pPr>
          </w:p>
        </w:tc>
        <w:tc>
          <w:tcPr>
            <w:tcW w:w="2268" w:type="dxa"/>
            <w:vAlign w:val="center"/>
          </w:tcPr>
          <w:p w14:paraId="22BB5A5A">
            <w:pPr>
              <w:snapToGrid w:val="0"/>
              <w:spacing w:line="360" w:lineRule="auto"/>
              <w:jc w:val="center"/>
              <w:rPr>
                <w:rFonts w:ascii="宋体" w:hAnsi="宋体" w:cs="宋体"/>
                <w:color w:val="auto"/>
                <w:sz w:val="24"/>
                <w:highlight w:val="none"/>
              </w:rPr>
            </w:pPr>
          </w:p>
        </w:tc>
        <w:tc>
          <w:tcPr>
            <w:tcW w:w="2410" w:type="dxa"/>
            <w:vAlign w:val="center"/>
          </w:tcPr>
          <w:p w14:paraId="1C20810C">
            <w:pPr>
              <w:snapToGrid w:val="0"/>
              <w:spacing w:line="360" w:lineRule="auto"/>
              <w:jc w:val="center"/>
              <w:rPr>
                <w:rFonts w:ascii="宋体" w:hAnsi="宋体" w:cs="宋体"/>
                <w:color w:val="auto"/>
                <w:sz w:val="24"/>
                <w:highlight w:val="none"/>
              </w:rPr>
            </w:pPr>
          </w:p>
        </w:tc>
        <w:tc>
          <w:tcPr>
            <w:tcW w:w="2268" w:type="dxa"/>
            <w:vAlign w:val="center"/>
          </w:tcPr>
          <w:p w14:paraId="311DCC2B">
            <w:pPr>
              <w:snapToGrid w:val="0"/>
              <w:spacing w:line="360" w:lineRule="auto"/>
              <w:jc w:val="center"/>
              <w:rPr>
                <w:rFonts w:ascii="宋体" w:hAnsi="宋体" w:cs="宋体"/>
                <w:color w:val="auto"/>
                <w:sz w:val="24"/>
                <w:highlight w:val="none"/>
              </w:rPr>
            </w:pPr>
          </w:p>
        </w:tc>
        <w:tc>
          <w:tcPr>
            <w:tcW w:w="2126" w:type="dxa"/>
            <w:vAlign w:val="center"/>
          </w:tcPr>
          <w:p w14:paraId="590FDDBE">
            <w:pPr>
              <w:spacing w:line="360" w:lineRule="auto"/>
              <w:jc w:val="center"/>
              <w:rPr>
                <w:rFonts w:ascii="宋体" w:hAnsi="宋体" w:cs="宋体"/>
                <w:color w:val="auto"/>
                <w:sz w:val="24"/>
                <w:highlight w:val="none"/>
              </w:rPr>
            </w:pPr>
          </w:p>
        </w:tc>
        <w:tc>
          <w:tcPr>
            <w:tcW w:w="2127" w:type="dxa"/>
          </w:tcPr>
          <w:p w14:paraId="39E087B2">
            <w:pPr>
              <w:spacing w:line="360" w:lineRule="auto"/>
              <w:jc w:val="center"/>
              <w:rPr>
                <w:rFonts w:ascii="宋体" w:hAnsi="宋体" w:cs="宋体"/>
                <w:color w:val="auto"/>
                <w:sz w:val="24"/>
                <w:highlight w:val="none"/>
              </w:rPr>
            </w:pPr>
          </w:p>
        </w:tc>
        <w:tc>
          <w:tcPr>
            <w:tcW w:w="2126" w:type="dxa"/>
            <w:vAlign w:val="center"/>
          </w:tcPr>
          <w:p w14:paraId="242DF449">
            <w:pPr>
              <w:spacing w:line="360" w:lineRule="auto"/>
              <w:jc w:val="center"/>
              <w:rPr>
                <w:rFonts w:ascii="宋体" w:hAnsi="宋体" w:cs="宋体"/>
                <w:color w:val="auto"/>
                <w:sz w:val="24"/>
                <w:highlight w:val="none"/>
              </w:rPr>
            </w:pPr>
          </w:p>
        </w:tc>
      </w:tr>
      <w:tr w14:paraId="6B8A6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14:paraId="156EB228">
            <w:pPr>
              <w:spacing w:line="360" w:lineRule="auto"/>
              <w:jc w:val="center"/>
              <w:rPr>
                <w:rFonts w:ascii="宋体" w:hAnsi="宋体" w:cs="宋体"/>
                <w:color w:val="auto"/>
                <w:sz w:val="24"/>
                <w:highlight w:val="none"/>
              </w:rPr>
            </w:pPr>
          </w:p>
        </w:tc>
        <w:tc>
          <w:tcPr>
            <w:tcW w:w="992" w:type="dxa"/>
            <w:vAlign w:val="center"/>
          </w:tcPr>
          <w:p w14:paraId="57BF3FD0">
            <w:pPr>
              <w:snapToGrid w:val="0"/>
              <w:spacing w:line="360" w:lineRule="auto"/>
              <w:jc w:val="center"/>
              <w:rPr>
                <w:rFonts w:ascii="宋体" w:hAnsi="宋体" w:cs="宋体"/>
                <w:color w:val="auto"/>
                <w:sz w:val="24"/>
                <w:highlight w:val="none"/>
              </w:rPr>
            </w:pPr>
          </w:p>
        </w:tc>
        <w:tc>
          <w:tcPr>
            <w:tcW w:w="2268" w:type="dxa"/>
            <w:vAlign w:val="center"/>
          </w:tcPr>
          <w:p w14:paraId="2572B551">
            <w:pPr>
              <w:snapToGrid w:val="0"/>
              <w:spacing w:line="360" w:lineRule="auto"/>
              <w:jc w:val="center"/>
              <w:rPr>
                <w:rFonts w:ascii="宋体" w:hAnsi="宋体" w:cs="宋体"/>
                <w:color w:val="auto"/>
                <w:sz w:val="24"/>
                <w:highlight w:val="none"/>
              </w:rPr>
            </w:pPr>
          </w:p>
        </w:tc>
        <w:tc>
          <w:tcPr>
            <w:tcW w:w="2410" w:type="dxa"/>
            <w:vAlign w:val="center"/>
          </w:tcPr>
          <w:p w14:paraId="41F25B34">
            <w:pPr>
              <w:snapToGrid w:val="0"/>
              <w:spacing w:line="360" w:lineRule="auto"/>
              <w:jc w:val="center"/>
              <w:rPr>
                <w:rFonts w:ascii="宋体" w:hAnsi="宋体" w:cs="宋体"/>
                <w:color w:val="auto"/>
                <w:sz w:val="24"/>
                <w:highlight w:val="none"/>
              </w:rPr>
            </w:pPr>
          </w:p>
        </w:tc>
        <w:tc>
          <w:tcPr>
            <w:tcW w:w="2268" w:type="dxa"/>
            <w:vAlign w:val="center"/>
          </w:tcPr>
          <w:p w14:paraId="726E5372">
            <w:pPr>
              <w:snapToGrid w:val="0"/>
              <w:spacing w:line="360" w:lineRule="auto"/>
              <w:jc w:val="center"/>
              <w:rPr>
                <w:rFonts w:ascii="宋体" w:hAnsi="宋体" w:cs="宋体"/>
                <w:color w:val="auto"/>
                <w:sz w:val="24"/>
                <w:highlight w:val="none"/>
              </w:rPr>
            </w:pPr>
          </w:p>
        </w:tc>
        <w:tc>
          <w:tcPr>
            <w:tcW w:w="2126" w:type="dxa"/>
            <w:vAlign w:val="center"/>
          </w:tcPr>
          <w:p w14:paraId="5A4F857D">
            <w:pPr>
              <w:spacing w:line="360" w:lineRule="auto"/>
              <w:jc w:val="center"/>
              <w:rPr>
                <w:rFonts w:ascii="宋体" w:hAnsi="宋体" w:cs="宋体"/>
                <w:color w:val="auto"/>
                <w:sz w:val="24"/>
                <w:highlight w:val="none"/>
              </w:rPr>
            </w:pPr>
          </w:p>
        </w:tc>
        <w:tc>
          <w:tcPr>
            <w:tcW w:w="2127" w:type="dxa"/>
          </w:tcPr>
          <w:p w14:paraId="21BB073B">
            <w:pPr>
              <w:spacing w:line="360" w:lineRule="auto"/>
              <w:jc w:val="center"/>
              <w:rPr>
                <w:rFonts w:ascii="宋体" w:hAnsi="宋体" w:cs="宋体"/>
                <w:color w:val="auto"/>
                <w:sz w:val="24"/>
                <w:highlight w:val="none"/>
              </w:rPr>
            </w:pPr>
          </w:p>
        </w:tc>
        <w:tc>
          <w:tcPr>
            <w:tcW w:w="2126" w:type="dxa"/>
            <w:vAlign w:val="center"/>
          </w:tcPr>
          <w:p w14:paraId="7FD2B377">
            <w:pPr>
              <w:spacing w:line="360" w:lineRule="auto"/>
              <w:jc w:val="center"/>
              <w:rPr>
                <w:rFonts w:ascii="宋体" w:hAnsi="宋体" w:cs="宋体"/>
                <w:color w:val="auto"/>
                <w:sz w:val="24"/>
                <w:highlight w:val="none"/>
              </w:rPr>
            </w:pPr>
          </w:p>
        </w:tc>
      </w:tr>
      <w:tr w14:paraId="3F2E5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14:paraId="6C65C04F">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投标报价（小写）</w:t>
            </w:r>
          </w:p>
        </w:tc>
        <w:tc>
          <w:tcPr>
            <w:tcW w:w="8647" w:type="dxa"/>
            <w:gridSpan w:val="4"/>
          </w:tcPr>
          <w:p w14:paraId="66139AFA">
            <w:pPr>
              <w:spacing w:line="360" w:lineRule="auto"/>
              <w:jc w:val="center"/>
              <w:rPr>
                <w:rFonts w:ascii="宋体" w:hAnsi="宋体" w:cs="宋体"/>
                <w:color w:val="auto"/>
                <w:sz w:val="24"/>
                <w:highlight w:val="none"/>
              </w:rPr>
            </w:pPr>
          </w:p>
        </w:tc>
      </w:tr>
      <w:tr w14:paraId="6DD7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14:paraId="7F79F562">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投标报价（大写）</w:t>
            </w:r>
          </w:p>
        </w:tc>
        <w:tc>
          <w:tcPr>
            <w:tcW w:w="8647" w:type="dxa"/>
            <w:gridSpan w:val="4"/>
          </w:tcPr>
          <w:p w14:paraId="7FBC35C1">
            <w:pPr>
              <w:spacing w:line="360" w:lineRule="auto"/>
              <w:jc w:val="center"/>
              <w:rPr>
                <w:rFonts w:ascii="宋体" w:hAnsi="宋体" w:cs="宋体"/>
                <w:color w:val="auto"/>
                <w:sz w:val="24"/>
                <w:highlight w:val="none"/>
              </w:rPr>
            </w:pPr>
          </w:p>
        </w:tc>
      </w:tr>
    </w:tbl>
    <w:p w14:paraId="6805EFDA">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2605B0E4">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1、投标人需按本表格式填写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投标文件含有采购人不能接受的附加条件，投标无效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7F9435C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采购内容未包含在《开标一览表（报价表）》名称栏中，投标人不能作出合理解释的，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投标文件含有采购人不能接受的附加条件的，投标无效。</w:t>
      </w:r>
    </w:p>
    <w:p w14:paraId="4A378867">
      <w:pPr>
        <w:snapToGrid w:val="0"/>
        <w:spacing w:line="360" w:lineRule="auto"/>
        <w:ind w:firstLine="480" w:firstLineChars="200"/>
        <w:jc w:val="left"/>
        <w:rPr>
          <w:rFonts w:ascii="宋体" w:hAnsi="宋体" w:cs="宋体"/>
          <w:b/>
          <w:color w:val="auto"/>
          <w:kern w:val="0"/>
          <w:sz w:val="24"/>
          <w:highlight w:val="none"/>
        </w:rPr>
      </w:pPr>
      <w:r>
        <w:rPr>
          <w:rFonts w:hint="eastAsia" w:ascii="宋体" w:hAnsi="宋体" w:cs="宋体"/>
          <w:color w:val="auto"/>
          <w:kern w:val="0"/>
          <w:sz w:val="24"/>
          <w:highlight w:val="none"/>
          <w:lang w:val="zh-CN"/>
        </w:rPr>
        <w:t>3、特别提示：采购代理机构将对项目名称和项目编号，中标供应商名称、地址和中标金额，主要中标标的名称、服务范围、服务要求、服务时间、服务标准等予以公示。</w:t>
      </w:r>
    </w:p>
    <w:p w14:paraId="4710CB9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2E2BF48B">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14:paraId="0995715E">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sz w:val="32"/>
          <w:szCs w:val="32"/>
          <w:highlight w:val="none"/>
        </w:rPr>
        <w:t>中小企业声明函（如果有）</w:t>
      </w:r>
    </w:p>
    <w:p w14:paraId="7CC9C277">
      <w:pPr>
        <w:widowControl/>
        <w:spacing w:line="360" w:lineRule="auto"/>
        <w:ind w:firstLine="120" w:firstLineChars="50"/>
        <w:jc w:val="left"/>
        <w:rPr>
          <w:rFonts w:hint="eastAsia" w:ascii="宋体" w:hAnsi="宋体" w:cs="宋体"/>
          <w:b/>
          <w:color w:val="auto"/>
          <w:sz w:val="24"/>
          <w:highlight w:val="none"/>
        </w:rPr>
      </w:pPr>
      <w:r>
        <w:rPr>
          <w:rFonts w:hint="eastAsia" w:ascii="宋体" w:hAnsi="宋体" w:cs="宋体"/>
          <w:b/>
          <w:color w:val="auto"/>
          <w:sz w:val="24"/>
          <w:highlight w:val="none"/>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0EB77924">
      <w:pPr>
        <w:pStyle w:val="80"/>
        <w:rPr>
          <w:rFonts w:hint="eastAsia" w:ascii="宋体" w:hAnsi="宋体" w:cs="宋体"/>
          <w:b/>
          <w:color w:val="auto"/>
          <w:sz w:val="24"/>
          <w:highlight w:val="none"/>
        </w:rPr>
      </w:pPr>
    </w:p>
    <w:p w14:paraId="1AA2EA6C">
      <w:pPr>
        <w:pStyle w:val="80"/>
        <w:rPr>
          <w:rFonts w:hint="eastAsia" w:ascii="宋体" w:hAnsi="宋体" w:cs="宋体"/>
          <w:b/>
          <w:color w:val="auto"/>
          <w:sz w:val="24"/>
          <w:highlight w:val="none"/>
        </w:rPr>
      </w:pPr>
    </w:p>
    <w:p w14:paraId="4AF87534">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highlight w:val="none"/>
        </w:rPr>
      </w:pPr>
    </w:p>
    <w:p w14:paraId="33D4F674">
      <w:pPr>
        <w:spacing w:line="360" w:lineRule="auto"/>
        <w:ind w:right="420" w:firstLine="3614" w:firstLineChars="1000"/>
        <w:rPr>
          <w:rFonts w:ascii="宋体" w:hAnsi="宋体" w:cs="宋体"/>
          <w:b/>
          <w:color w:val="auto"/>
          <w:kern w:val="0"/>
          <w:sz w:val="36"/>
          <w:szCs w:val="36"/>
          <w:highlight w:val="none"/>
        </w:rPr>
      </w:pPr>
    </w:p>
    <w:p w14:paraId="6BAC30FB">
      <w:pPr>
        <w:spacing w:line="360" w:lineRule="auto"/>
        <w:ind w:right="420" w:firstLine="3614" w:firstLineChars="1000"/>
        <w:rPr>
          <w:rFonts w:ascii="宋体" w:hAnsi="宋体" w:cs="宋体"/>
          <w:b/>
          <w:color w:val="auto"/>
          <w:kern w:val="0"/>
          <w:sz w:val="36"/>
          <w:szCs w:val="36"/>
          <w:highlight w:val="none"/>
        </w:rPr>
      </w:pPr>
    </w:p>
    <w:p w14:paraId="43FD64A7">
      <w:pPr>
        <w:spacing w:line="360" w:lineRule="auto"/>
        <w:ind w:right="420" w:firstLine="3614" w:firstLineChars="1000"/>
        <w:rPr>
          <w:rFonts w:ascii="宋体" w:hAnsi="宋体" w:cs="宋体"/>
          <w:b/>
          <w:color w:val="auto"/>
          <w:kern w:val="0"/>
          <w:sz w:val="36"/>
          <w:szCs w:val="36"/>
          <w:highlight w:val="none"/>
        </w:rPr>
      </w:pPr>
    </w:p>
    <w:p w14:paraId="461772AE">
      <w:pPr>
        <w:spacing w:line="360" w:lineRule="auto"/>
        <w:ind w:right="420" w:firstLine="3614" w:firstLineChars="1000"/>
        <w:rPr>
          <w:rFonts w:ascii="宋体" w:hAnsi="宋体" w:cs="宋体"/>
          <w:b/>
          <w:color w:val="auto"/>
          <w:kern w:val="0"/>
          <w:sz w:val="36"/>
          <w:szCs w:val="36"/>
          <w:highlight w:val="none"/>
        </w:rPr>
      </w:pPr>
    </w:p>
    <w:p w14:paraId="79020EB4">
      <w:pPr>
        <w:spacing w:line="360" w:lineRule="auto"/>
        <w:ind w:right="420" w:firstLine="3614" w:firstLineChars="1000"/>
        <w:rPr>
          <w:rFonts w:ascii="宋体" w:hAnsi="宋体" w:cs="宋体"/>
          <w:b/>
          <w:color w:val="auto"/>
          <w:kern w:val="0"/>
          <w:sz w:val="36"/>
          <w:szCs w:val="36"/>
          <w:highlight w:val="none"/>
        </w:rPr>
      </w:pPr>
    </w:p>
    <w:p w14:paraId="03609E24">
      <w:pPr>
        <w:spacing w:line="360" w:lineRule="auto"/>
        <w:ind w:right="420" w:firstLine="3614" w:firstLineChars="1000"/>
        <w:rPr>
          <w:rFonts w:ascii="宋体" w:hAnsi="宋体" w:cs="宋体"/>
          <w:b/>
          <w:color w:val="auto"/>
          <w:kern w:val="0"/>
          <w:sz w:val="36"/>
          <w:szCs w:val="36"/>
          <w:highlight w:val="none"/>
        </w:rPr>
      </w:pPr>
    </w:p>
    <w:p w14:paraId="707D7CE0">
      <w:pPr>
        <w:spacing w:line="360" w:lineRule="auto"/>
        <w:ind w:right="420" w:firstLine="3614" w:firstLineChars="1000"/>
        <w:rPr>
          <w:rFonts w:ascii="宋体" w:hAnsi="宋体" w:cs="宋体"/>
          <w:b/>
          <w:color w:val="auto"/>
          <w:kern w:val="0"/>
          <w:sz w:val="36"/>
          <w:szCs w:val="36"/>
          <w:highlight w:val="none"/>
        </w:rPr>
      </w:pPr>
    </w:p>
    <w:p w14:paraId="2FED25A0">
      <w:pPr>
        <w:spacing w:line="360" w:lineRule="auto"/>
        <w:ind w:right="420" w:firstLine="3614" w:firstLineChars="1000"/>
        <w:rPr>
          <w:rFonts w:ascii="宋体" w:hAnsi="宋体" w:cs="宋体"/>
          <w:b/>
          <w:color w:val="auto"/>
          <w:kern w:val="0"/>
          <w:sz w:val="36"/>
          <w:szCs w:val="36"/>
          <w:highlight w:val="none"/>
        </w:rPr>
      </w:pPr>
    </w:p>
    <w:p w14:paraId="144D7808">
      <w:pPr>
        <w:spacing w:line="360" w:lineRule="auto"/>
        <w:ind w:right="420" w:firstLine="3614" w:firstLineChars="1000"/>
        <w:rPr>
          <w:rFonts w:ascii="宋体" w:hAnsi="宋体" w:cs="宋体"/>
          <w:b/>
          <w:color w:val="auto"/>
          <w:kern w:val="0"/>
          <w:sz w:val="36"/>
          <w:szCs w:val="36"/>
          <w:highlight w:val="none"/>
        </w:rPr>
      </w:pPr>
    </w:p>
    <w:p w14:paraId="3D92A257">
      <w:pPr>
        <w:spacing w:line="360" w:lineRule="auto"/>
        <w:ind w:right="420" w:firstLine="3614" w:firstLineChars="1000"/>
        <w:rPr>
          <w:rFonts w:ascii="宋体" w:hAnsi="宋体" w:cs="宋体"/>
          <w:b/>
          <w:color w:val="auto"/>
          <w:kern w:val="0"/>
          <w:sz w:val="36"/>
          <w:szCs w:val="36"/>
          <w:highlight w:val="none"/>
        </w:rPr>
      </w:pPr>
    </w:p>
    <w:p w14:paraId="1F93F3A9">
      <w:pPr>
        <w:spacing w:line="360" w:lineRule="auto"/>
        <w:ind w:right="420" w:firstLine="3614" w:firstLineChars="1000"/>
        <w:rPr>
          <w:rFonts w:ascii="宋体" w:hAnsi="宋体" w:cs="宋体"/>
          <w:b/>
          <w:color w:val="auto"/>
          <w:kern w:val="0"/>
          <w:sz w:val="36"/>
          <w:szCs w:val="36"/>
          <w:highlight w:val="none"/>
        </w:rPr>
      </w:pPr>
    </w:p>
    <w:p w14:paraId="4F8F70F7">
      <w:pPr>
        <w:spacing w:line="360" w:lineRule="auto"/>
        <w:ind w:right="420" w:firstLine="3614" w:firstLineChars="1000"/>
        <w:rPr>
          <w:rFonts w:ascii="宋体" w:hAnsi="宋体" w:cs="宋体"/>
          <w:b/>
          <w:color w:val="auto"/>
          <w:kern w:val="0"/>
          <w:sz w:val="36"/>
          <w:szCs w:val="36"/>
          <w:highlight w:val="none"/>
        </w:rPr>
      </w:pPr>
    </w:p>
    <w:p w14:paraId="4B15FB6C">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r>
        <w:rPr>
          <w:rFonts w:hint="eastAsia" w:ascii="宋体" w:hAnsi="宋体" w:cs="宋体"/>
          <w:color w:val="auto"/>
          <w:highlight w:val="none"/>
        </w:rPr>
        <w:t>附件</w:t>
      </w:r>
    </w:p>
    <w:p w14:paraId="3E614CA6">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265346D3">
      <w:pPr>
        <w:spacing w:line="360" w:lineRule="auto"/>
        <w:jc w:val="center"/>
        <w:rPr>
          <w:rFonts w:ascii="宋体" w:hAnsi="宋体" w:cs="宋体"/>
          <w:b/>
          <w:color w:val="auto"/>
          <w:spacing w:val="6"/>
          <w:sz w:val="32"/>
          <w:szCs w:val="32"/>
          <w:highlight w:val="none"/>
        </w:rPr>
      </w:pPr>
      <w:bookmarkStart w:id="510" w:name="OLE_LINK14"/>
      <w:bookmarkStart w:id="511" w:name="OLE_LINK13"/>
      <w:r>
        <w:rPr>
          <w:rFonts w:hint="eastAsia" w:ascii="宋体" w:hAnsi="宋体" w:cs="宋体"/>
          <w:b/>
          <w:color w:val="auto"/>
          <w:spacing w:val="6"/>
          <w:sz w:val="32"/>
          <w:szCs w:val="32"/>
          <w:highlight w:val="none"/>
        </w:rPr>
        <w:t>残疾人福利性单位声明函</w:t>
      </w:r>
    </w:p>
    <w:bookmarkEnd w:id="510"/>
    <w:bookmarkEnd w:id="511"/>
    <w:p w14:paraId="644B776E">
      <w:pPr>
        <w:spacing w:line="360" w:lineRule="auto"/>
        <w:rPr>
          <w:rFonts w:ascii="宋体" w:hAnsi="宋体" w:cs="宋体"/>
          <w:b/>
          <w:color w:val="auto"/>
          <w:spacing w:val="6"/>
          <w:sz w:val="30"/>
          <w:szCs w:val="30"/>
          <w:highlight w:val="none"/>
        </w:rPr>
      </w:pPr>
    </w:p>
    <w:p w14:paraId="7296717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highlight w:val="none"/>
          <w:u w:val="single"/>
        </w:rPr>
        <w:t>(采购人)</w:t>
      </w:r>
      <w:r>
        <w:rPr>
          <w:rFonts w:hint="eastAsia" w:ascii="宋体" w:hAnsi="宋体" w:cs="宋体"/>
          <w:color w:val="auto"/>
          <w:sz w:val="24"/>
          <w:highlight w:val="none"/>
        </w:rPr>
        <w:t>_单位的_</w:t>
      </w:r>
      <w:r>
        <w:rPr>
          <w:rFonts w:hint="eastAsia" w:ascii="宋体" w:hAnsi="宋体" w:cs="宋体"/>
          <w:color w:val="auto"/>
          <w:sz w:val="24"/>
          <w:highlight w:val="none"/>
          <w:u w:val="single"/>
          <w:lang w:eastAsia="zh-CN"/>
        </w:rPr>
        <w:t xml:space="preserve">西湖区财政局非税和票据管理一体化系统运维项目 </w:t>
      </w:r>
      <w:r>
        <w:rPr>
          <w:rFonts w:hint="eastAsia" w:ascii="宋体" w:hAnsi="宋体" w:cs="宋体"/>
          <w:color w:val="auto"/>
          <w:sz w:val="24"/>
          <w:highlight w:val="none"/>
        </w:rPr>
        <w:t>__项目采购活动提供本单位制造的货物（由本单位承担工程/提供服务），或者提供其他残疾人福利性单位制造的货物（不包括使用非残疾人福利性单位注册商标的货物）。</w:t>
      </w:r>
    </w:p>
    <w:p w14:paraId="512FDE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2B8D15C4">
      <w:pPr>
        <w:spacing w:line="360" w:lineRule="auto"/>
        <w:ind w:firstLine="480" w:firstLineChars="200"/>
        <w:rPr>
          <w:rFonts w:ascii="宋体" w:hAnsi="宋体" w:cs="宋体"/>
          <w:color w:val="auto"/>
          <w:sz w:val="24"/>
          <w:highlight w:val="none"/>
        </w:rPr>
      </w:pPr>
    </w:p>
    <w:p w14:paraId="4A4E7005">
      <w:pPr>
        <w:spacing w:line="360" w:lineRule="auto"/>
        <w:ind w:firstLine="480" w:firstLineChars="200"/>
        <w:rPr>
          <w:rFonts w:ascii="宋体" w:hAnsi="宋体" w:cs="宋体"/>
          <w:color w:val="auto"/>
          <w:sz w:val="24"/>
          <w:highlight w:val="none"/>
        </w:rPr>
      </w:pPr>
    </w:p>
    <w:p w14:paraId="7A378528">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投标人名称（电子签名）</w:t>
      </w:r>
      <w:r>
        <w:rPr>
          <w:rFonts w:hint="eastAsia" w:ascii="宋体" w:hAnsi="宋体" w:cs="宋体"/>
          <w:color w:val="auto"/>
          <w:sz w:val="24"/>
          <w:highlight w:val="none"/>
        </w:rPr>
        <w:t>：</w:t>
      </w:r>
    </w:p>
    <w:p w14:paraId="3AD4830B">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68F2440">
      <w:pPr>
        <w:spacing w:line="360" w:lineRule="auto"/>
        <w:ind w:firstLine="480" w:firstLineChars="200"/>
        <w:rPr>
          <w:rFonts w:ascii="宋体" w:hAnsi="宋体" w:cs="宋体"/>
          <w:color w:val="auto"/>
          <w:sz w:val="24"/>
          <w:highlight w:val="none"/>
        </w:rPr>
      </w:pPr>
    </w:p>
    <w:p w14:paraId="51EDB0FD">
      <w:pPr>
        <w:spacing w:line="360" w:lineRule="auto"/>
        <w:ind w:firstLine="420" w:firstLineChars="200"/>
        <w:rPr>
          <w:rFonts w:ascii="宋体" w:hAnsi="宋体" w:cs="宋体"/>
          <w:color w:val="auto"/>
          <w:highlight w:val="none"/>
        </w:rPr>
      </w:pPr>
    </w:p>
    <w:p w14:paraId="1AFE5B6B">
      <w:pPr>
        <w:spacing w:line="360" w:lineRule="auto"/>
        <w:ind w:firstLine="420" w:firstLineChars="200"/>
        <w:rPr>
          <w:rFonts w:ascii="宋体" w:hAnsi="宋体" w:cs="宋体"/>
          <w:color w:val="auto"/>
          <w:highlight w:val="none"/>
        </w:rPr>
      </w:pPr>
    </w:p>
    <w:p w14:paraId="2C136107">
      <w:pPr>
        <w:spacing w:line="360" w:lineRule="auto"/>
        <w:ind w:firstLine="420" w:firstLineChars="200"/>
        <w:rPr>
          <w:rFonts w:ascii="宋体" w:hAnsi="宋体" w:cs="宋体"/>
          <w:color w:val="auto"/>
          <w:highlight w:val="none"/>
        </w:rPr>
      </w:pPr>
    </w:p>
    <w:p w14:paraId="14B97413">
      <w:pPr>
        <w:spacing w:line="360" w:lineRule="auto"/>
        <w:ind w:firstLine="420" w:firstLineChars="200"/>
        <w:rPr>
          <w:rFonts w:ascii="宋体" w:hAnsi="宋体" w:cs="宋体"/>
          <w:color w:val="auto"/>
          <w:highlight w:val="none"/>
        </w:rPr>
      </w:pPr>
    </w:p>
    <w:p w14:paraId="4165D934">
      <w:pPr>
        <w:spacing w:line="360" w:lineRule="auto"/>
        <w:rPr>
          <w:rFonts w:ascii="宋体" w:hAnsi="宋体" w:cs="宋体"/>
          <w:b/>
          <w:color w:val="auto"/>
          <w:sz w:val="24"/>
          <w:highlight w:val="none"/>
        </w:rPr>
      </w:pPr>
    </w:p>
    <w:p w14:paraId="575CC771">
      <w:pPr>
        <w:spacing w:line="360" w:lineRule="auto"/>
        <w:rPr>
          <w:rFonts w:ascii="宋体" w:hAnsi="宋体" w:cs="宋体"/>
          <w:b/>
          <w:color w:val="auto"/>
          <w:sz w:val="24"/>
          <w:highlight w:val="none"/>
        </w:rPr>
      </w:pPr>
    </w:p>
    <w:p w14:paraId="2D596182">
      <w:pPr>
        <w:spacing w:line="360" w:lineRule="auto"/>
        <w:rPr>
          <w:rFonts w:ascii="宋体" w:hAnsi="宋体" w:cs="宋体"/>
          <w:b/>
          <w:color w:val="auto"/>
          <w:sz w:val="24"/>
          <w:highlight w:val="none"/>
        </w:rPr>
      </w:pPr>
    </w:p>
    <w:p w14:paraId="444EDB10">
      <w:pPr>
        <w:spacing w:line="360" w:lineRule="auto"/>
        <w:rPr>
          <w:rFonts w:ascii="宋体" w:hAnsi="宋体" w:cs="宋体"/>
          <w:b/>
          <w:color w:val="auto"/>
          <w:sz w:val="24"/>
          <w:highlight w:val="none"/>
        </w:rPr>
      </w:pPr>
    </w:p>
    <w:p w14:paraId="73E8755E">
      <w:pPr>
        <w:spacing w:line="360" w:lineRule="auto"/>
        <w:rPr>
          <w:rFonts w:ascii="宋体" w:hAnsi="宋体" w:cs="宋体"/>
          <w:b/>
          <w:color w:val="auto"/>
          <w:sz w:val="24"/>
          <w:highlight w:val="none"/>
        </w:rPr>
      </w:pPr>
    </w:p>
    <w:p w14:paraId="698BDF1A">
      <w:pPr>
        <w:spacing w:line="360" w:lineRule="auto"/>
        <w:rPr>
          <w:rFonts w:ascii="宋体" w:hAnsi="宋体" w:cs="宋体"/>
          <w:b/>
          <w:color w:val="auto"/>
          <w:sz w:val="24"/>
          <w:highlight w:val="none"/>
        </w:rPr>
      </w:pPr>
    </w:p>
    <w:p w14:paraId="79A22B8C">
      <w:pPr>
        <w:spacing w:line="360" w:lineRule="auto"/>
        <w:jc w:val="left"/>
        <w:rPr>
          <w:rFonts w:hint="eastAsia" w:ascii="宋体" w:hAnsi="宋体" w:cs="宋体"/>
          <w:b/>
          <w:color w:val="auto"/>
          <w:spacing w:val="6"/>
          <w:sz w:val="32"/>
          <w:szCs w:val="32"/>
          <w:highlight w:val="none"/>
        </w:rPr>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pPr>
    </w:p>
    <w:p w14:paraId="2F37603A">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18D593ED">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5F7A74C7">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01C8B7A3">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质疑供应商：                                        </w:t>
      </w:r>
    </w:p>
    <w:p w14:paraId="6F26DF9C">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地址：                          邮编：                                                   </w:t>
      </w:r>
    </w:p>
    <w:p w14:paraId="2FD45BF7">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联系人：                      联系电话：                              </w:t>
      </w:r>
    </w:p>
    <w:p w14:paraId="4A7F6160">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授权代表：                                          </w:t>
      </w:r>
    </w:p>
    <w:p w14:paraId="230B3E5F">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联系电话：                                            </w:t>
      </w:r>
    </w:p>
    <w:p w14:paraId="443974D6">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地址：                         邮编：                                                </w:t>
      </w:r>
    </w:p>
    <w:p w14:paraId="40E521CD">
      <w:pPr>
        <w:snapToGrid w:val="0"/>
        <w:spacing w:line="360" w:lineRule="auto"/>
        <w:rPr>
          <w:rFonts w:ascii="宋体" w:hAnsi="宋体" w:cs="宋体"/>
          <w:bCs/>
          <w:color w:val="auto"/>
          <w:sz w:val="24"/>
          <w:highlight w:val="none"/>
          <w:u w:val="none"/>
        </w:rPr>
      </w:pPr>
      <w:r>
        <w:rPr>
          <w:rFonts w:hint="eastAsia" w:ascii="宋体" w:hAnsi="宋体" w:cs="宋体"/>
          <w:bCs/>
          <w:color w:val="auto"/>
          <w:sz w:val="24"/>
          <w:highlight w:val="none"/>
          <w:u w:val="none"/>
        </w:rPr>
        <w:t>二、质疑项目基本情况</w:t>
      </w:r>
    </w:p>
    <w:p w14:paraId="33989902">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质疑项目的名称：                                      </w:t>
      </w:r>
    </w:p>
    <w:p w14:paraId="4096133F">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质疑项目的编号：               包号：                 </w:t>
      </w:r>
    </w:p>
    <w:p w14:paraId="0B703771">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采购人名称：                                         </w:t>
      </w:r>
    </w:p>
    <w:p w14:paraId="0AF79AB4">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采购文件获取日期：                                           </w:t>
      </w:r>
    </w:p>
    <w:p w14:paraId="0555B4C6">
      <w:pPr>
        <w:snapToGrid w:val="0"/>
        <w:spacing w:line="360" w:lineRule="auto"/>
        <w:rPr>
          <w:rFonts w:ascii="宋体" w:hAnsi="宋体" w:cs="宋体"/>
          <w:bCs/>
          <w:color w:val="auto"/>
          <w:sz w:val="24"/>
          <w:highlight w:val="none"/>
          <w:u w:val="none"/>
        </w:rPr>
      </w:pPr>
      <w:r>
        <w:rPr>
          <w:rFonts w:hint="eastAsia" w:ascii="宋体" w:hAnsi="宋体" w:cs="宋体"/>
          <w:bCs/>
          <w:color w:val="auto"/>
          <w:sz w:val="24"/>
          <w:highlight w:val="none"/>
          <w:u w:val="none"/>
        </w:rPr>
        <w:t>三、质疑事项具体内容</w:t>
      </w:r>
    </w:p>
    <w:p w14:paraId="50CB08D6">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质疑事项1：                                         </w:t>
      </w:r>
    </w:p>
    <w:p w14:paraId="7E2D8135">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事实依据：                                          </w:t>
      </w:r>
    </w:p>
    <w:p w14:paraId="7A2A15EB">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                                                       </w:t>
      </w:r>
    </w:p>
    <w:p w14:paraId="199D5F5E">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法律依据：                                          </w:t>
      </w:r>
    </w:p>
    <w:p w14:paraId="1ECE2B56">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                                                     </w:t>
      </w:r>
    </w:p>
    <w:p w14:paraId="4F672838">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质疑事项2</w:t>
      </w:r>
    </w:p>
    <w:p w14:paraId="76740CE5">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w:t>
      </w:r>
    </w:p>
    <w:p w14:paraId="056DB144">
      <w:pPr>
        <w:snapToGrid w:val="0"/>
        <w:spacing w:line="360" w:lineRule="auto"/>
        <w:rPr>
          <w:rFonts w:ascii="宋体" w:hAnsi="宋体" w:cs="宋体"/>
          <w:bCs/>
          <w:color w:val="auto"/>
          <w:sz w:val="24"/>
          <w:highlight w:val="none"/>
          <w:u w:val="none"/>
        </w:rPr>
      </w:pPr>
      <w:r>
        <w:rPr>
          <w:rFonts w:hint="eastAsia" w:ascii="宋体" w:hAnsi="宋体" w:cs="宋体"/>
          <w:bCs/>
          <w:color w:val="auto"/>
          <w:sz w:val="24"/>
          <w:highlight w:val="none"/>
          <w:u w:val="none"/>
        </w:rPr>
        <w:t>四、与质疑事项相关的质疑请求</w:t>
      </w:r>
    </w:p>
    <w:p w14:paraId="672CF138">
      <w:pPr>
        <w:snapToGrid w:val="0"/>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请求：                                               </w:t>
      </w:r>
    </w:p>
    <w:p w14:paraId="63220687">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签字(签章)：                   公章：                      </w:t>
      </w:r>
    </w:p>
    <w:p w14:paraId="22F4FDC4">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日期：    </w:t>
      </w:r>
    </w:p>
    <w:p w14:paraId="6A5FC3F1">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17FE1AF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96C3DA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70C61F05">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5110A12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3787E89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1861F87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3EE35404">
      <w:pPr>
        <w:widowControl/>
        <w:spacing w:line="360" w:lineRule="auto"/>
        <w:ind w:firstLine="600" w:firstLineChars="200"/>
        <w:jc w:val="left"/>
        <w:rPr>
          <w:rFonts w:ascii="宋体" w:hAnsi="宋体" w:cs="宋体"/>
          <w:color w:val="auto"/>
          <w:sz w:val="30"/>
          <w:szCs w:val="30"/>
          <w:highlight w:val="none"/>
        </w:rPr>
      </w:pPr>
    </w:p>
    <w:p w14:paraId="7DD96783">
      <w:pPr>
        <w:spacing w:line="360" w:lineRule="auto"/>
        <w:jc w:val="center"/>
        <w:rPr>
          <w:rFonts w:ascii="宋体" w:hAnsi="宋体" w:cs="宋体"/>
          <w:b/>
          <w:color w:val="auto"/>
          <w:spacing w:val="6"/>
          <w:sz w:val="32"/>
          <w:szCs w:val="32"/>
          <w:highlight w:val="none"/>
        </w:rPr>
      </w:pPr>
    </w:p>
    <w:p w14:paraId="4796C07D">
      <w:pPr>
        <w:spacing w:line="360" w:lineRule="auto"/>
        <w:jc w:val="center"/>
        <w:rPr>
          <w:rFonts w:ascii="宋体" w:hAnsi="宋体" w:cs="宋体"/>
          <w:b/>
          <w:color w:val="auto"/>
          <w:spacing w:val="6"/>
          <w:sz w:val="32"/>
          <w:szCs w:val="32"/>
          <w:highlight w:val="none"/>
        </w:rPr>
      </w:pPr>
    </w:p>
    <w:p w14:paraId="34ABC162">
      <w:pPr>
        <w:spacing w:line="360" w:lineRule="auto"/>
        <w:jc w:val="center"/>
        <w:rPr>
          <w:rFonts w:ascii="宋体" w:hAnsi="宋体" w:cs="宋体"/>
          <w:b/>
          <w:color w:val="auto"/>
          <w:spacing w:val="6"/>
          <w:sz w:val="32"/>
          <w:szCs w:val="32"/>
          <w:highlight w:val="none"/>
        </w:rPr>
      </w:pPr>
    </w:p>
    <w:p w14:paraId="7EADAACE">
      <w:pPr>
        <w:spacing w:line="360" w:lineRule="auto"/>
        <w:jc w:val="center"/>
        <w:rPr>
          <w:rFonts w:ascii="宋体" w:hAnsi="宋体" w:cs="宋体"/>
          <w:b/>
          <w:color w:val="auto"/>
          <w:spacing w:val="6"/>
          <w:sz w:val="32"/>
          <w:szCs w:val="32"/>
          <w:highlight w:val="none"/>
        </w:rPr>
      </w:pPr>
    </w:p>
    <w:p w14:paraId="3FE6DAAA">
      <w:pPr>
        <w:spacing w:line="360" w:lineRule="auto"/>
        <w:jc w:val="center"/>
        <w:rPr>
          <w:rFonts w:ascii="宋体" w:hAnsi="宋体" w:cs="宋体"/>
          <w:b/>
          <w:color w:val="auto"/>
          <w:spacing w:val="6"/>
          <w:sz w:val="32"/>
          <w:szCs w:val="32"/>
          <w:highlight w:val="none"/>
        </w:rPr>
      </w:pPr>
    </w:p>
    <w:p w14:paraId="01224C28">
      <w:pPr>
        <w:spacing w:line="360" w:lineRule="auto"/>
        <w:jc w:val="center"/>
        <w:rPr>
          <w:rFonts w:ascii="宋体" w:hAnsi="宋体" w:cs="宋体"/>
          <w:b/>
          <w:color w:val="auto"/>
          <w:spacing w:val="6"/>
          <w:sz w:val="32"/>
          <w:szCs w:val="32"/>
          <w:highlight w:val="none"/>
        </w:rPr>
      </w:pPr>
    </w:p>
    <w:p w14:paraId="3FAC232D">
      <w:pPr>
        <w:spacing w:line="360" w:lineRule="auto"/>
        <w:jc w:val="center"/>
        <w:rPr>
          <w:rFonts w:ascii="宋体" w:hAnsi="宋体" w:cs="宋体"/>
          <w:b/>
          <w:color w:val="auto"/>
          <w:spacing w:val="6"/>
          <w:sz w:val="32"/>
          <w:szCs w:val="32"/>
          <w:highlight w:val="none"/>
        </w:rPr>
      </w:pPr>
    </w:p>
    <w:p w14:paraId="009CB44F">
      <w:pPr>
        <w:spacing w:line="360" w:lineRule="auto"/>
        <w:jc w:val="center"/>
        <w:rPr>
          <w:rFonts w:ascii="宋体" w:hAnsi="宋体" w:cs="宋体"/>
          <w:b/>
          <w:color w:val="auto"/>
          <w:spacing w:val="6"/>
          <w:sz w:val="32"/>
          <w:szCs w:val="32"/>
          <w:highlight w:val="none"/>
        </w:rPr>
      </w:pPr>
    </w:p>
    <w:p w14:paraId="668EFC3D">
      <w:pPr>
        <w:spacing w:line="360" w:lineRule="auto"/>
        <w:jc w:val="center"/>
        <w:rPr>
          <w:rFonts w:ascii="宋体" w:hAnsi="宋体" w:cs="宋体"/>
          <w:b/>
          <w:color w:val="auto"/>
          <w:spacing w:val="6"/>
          <w:sz w:val="32"/>
          <w:szCs w:val="32"/>
          <w:highlight w:val="none"/>
        </w:rPr>
      </w:pPr>
    </w:p>
    <w:p w14:paraId="0F78ED7D">
      <w:pPr>
        <w:spacing w:line="360" w:lineRule="auto"/>
        <w:jc w:val="left"/>
        <w:rPr>
          <w:rFonts w:hint="eastAsia" w:ascii="宋体" w:hAnsi="宋体" w:cs="宋体"/>
          <w:b/>
          <w:color w:val="auto"/>
          <w:spacing w:val="6"/>
          <w:sz w:val="32"/>
          <w:szCs w:val="32"/>
          <w:highlight w:val="none"/>
        </w:rPr>
      </w:pPr>
    </w:p>
    <w:p w14:paraId="389C1EA1">
      <w:pPr>
        <w:spacing w:line="360" w:lineRule="auto"/>
        <w:jc w:val="left"/>
        <w:rPr>
          <w:rFonts w:hint="eastAsia" w:ascii="宋体" w:hAnsi="宋体" w:cs="宋体"/>
          <w:b/>
          <w:color w:val="auto"/>
          <w:spacing w:val="6"/>
          <w:sz w:val="32"/>
          <w:szCs w:val="32"/>
          <w:highlight w:val="none"/>
        </w:rPr>
      </w:pPr>
    </w:p>
    <w:p w14:paraId="42853BF6">
      <w:pPr>
        <w:spacing w:line="360" w:lineRule="auto"/>
        <w:jc w:val="left"/>
        <w:rPr>
          <w:rFonts w:hint="eastAsia" w:ascii="宋体" w:hAnsi="宋体" w:cs="宋体"/>
          <w:b/>
          <w:color w:val="auto"/>
          <w:spacing w:val="6"/>
          <w:sz w:val="32"/>
          <w:szCs w:val="32"/>
          <w:highlight w:val="none"/>
        </w:rPr>
      </w:pPr>
    </w:p>
    <w:p w14:paraId="54461939">
      <w:pPr>
        <w:spacing w:line="360" w:lineRule="auto"/>
        <w:jc w:val="left"/>
        <w:rPr>
          <w:rFonts w:hint="eastAsia" w:ascii="宋体" w:hAnsi="宋体" w:cs="宋体"/>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4D8C628D">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7E4EDDD9">
      <w:pPr>
        <w:spacing w:line="360" w:lineRule="auto"/>
        <w:jc w:val="center"/>
        <w:rPr>
          <w:rFonts w:ascii="宋体" w:hAnsi="宋体" w:cs="宋体"/>
          <w:b/>
          <w:color w:val="auto"/>
          <w:sz w:val="24"/>
          <w:highlight w:val="none"/>
        </w:rPr>
      </w:pPr>
    </w:p>
    <w:p w14:paraId="05942B3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12C493C9">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2A0C5003">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投诉人：                                               </w:t>
      </w:r>
    </w:p>
    <w:p w14:paraId="48D014B1">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地     址：                             邮编：            </w:t>
      </w:r>
    </w:p>
    <w:p w14:paraId="56483F6B">
      <w:pPr>
        <w:tabs>
          <w:tab w:val="left" w:pos="6510"/>
        </w:tabs>
        <w:spacing w:line="360" w:lineRule="auto"/>
        <w:jc w:val="left"/>
        <w:rPr>
          <w:rFonts w:ascii="宋体" w:hAnsi="宋体" w:cs="宋体"/>
          <w:color w:val="auto"/>
          <w:sz w:val="24"/>
          <w:highlight w:val="none"/>
          <w:u w:val="none"/>
        </w:rPr>
      </w:pPr>
      <w:r>
        <w:rPr>
          <w:rFonts w:hint="eastAsia" w:ascii="宋体" w:hAnsi="宋体" w:cs="宋体"/>
          <w:color w:val="auto"/>
          <w:sz w:val="24"/>
          <w:highlight w:val="none"/>
          <w:u w:val="none"/>
        </w:rPr>
        <w:t xml:space="preserve">法定代表人/主要负责人：                                     </w:t>
      </w:r>
    </w:p>
    <w:p w14:paraId="39375B93">
      <w:pPr>
        <w:tabs>
          <w:tab w:val="left" w:pos="6510"/>
        </w:tabs>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联系电话：                                             </w:t>
      </w:r>
    </w:p>
    <w:p w14:paraId="35F7162F">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授权代表：             联系电话：                  </w:t>
      </w:r>
    </w:p>
    <w:p w14:paraId="697F4AEF">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地     址：                             邮编：                             </w:t>
      </w:r>
    </w:p>
    <w:p w14:paraId="3D5C1F56">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被投诉人1：                                             </w:t>
      </w:r>
    </w:p>
    <w:p w14:paraId="7134F988">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地     址：                             邮编：           </w:t>
      </w:r>
    </w:p>
    <w:p w14:paraId="286B2A04">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联系人：               联系电话：                       </w:t>
      </w:r>
    </w:p>
    <w:p w14:paraId="761D544D">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被投诉人2</w:t>
      </w:r>
    </w:p>
    <w:p w14:paraId="584F4C2F">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w:t>
      </w:r>
    </w:p>
    <w:p w14:paraId="7AE9790D">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相关供应商：                                               </w:t>
      </w:r>
    </w:p>
    <w:p w14:paraId="1C22ABC8">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地     址：                             邮编：           </w:t>
      </w:r>
    </w:p>
    <w:p w14:paraId="712A2388">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联系人：               联系电话：                            </w:t>
      </w:r>
    </w:p>
    <w:p w14:paraId="6F8F3DD2">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二、投诉项目基本情况</w:t>
      </w:r>
    </w:p>
    <w:p w14:paraId="13C5949A">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采购项目名称：                                        </w:t>
      </w:r>
    </w:p>
    <w:p w14:paraId="0683C5DA">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采购项目编号：                 包号：              </w:t>
      </w:r>
    </w:p>
    <w:p w14:paraId="0CDFC2D3">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采购人名称：                                             </w:t>
      </w:r>
    </w:p>
    <w:p w14:paraId="6235188D">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代理机构名称：                                         </w:t>
      </w:r>
    </w:p>
    <w:p w14:paraId="409F9279">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采购文件公告:是/否 公告期限：                                 </w:t>
      </w:r>
    </w:p>
    <w:p w14:paraId="2401EE8C">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采购结果公告:是/否 公告期限：                        </w:t>
      </w:r>
    </w:p>
    <w:p w14:paraId="30C3B546">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三、质疑基本情况</w:t>
      </w:r>
    </w:p>
    <w:p w14:paraId="6D848F90">
      <w:pPr>
        <w:spacing w:line="360" w:lineRule="auto"/>
        <w:ind w:firstLine="480" w:firstLineChars="200"/>
        <w:rPr>
          <w:rFonts w:ascii="宋体" w:hAnsi="宋体" w:cs="宋体"/>
          <w:color w:val="auto"/>
          <w:sz w:val="24"/>
          <w:highlight w:val="none"/>
          <w:u w:val="none"/>
        </w:rPr>
      </w:pPr>
      <w:r>
        <w:rPr>
          <w:rFonts w:hint="eastAsia" w:ascii="宋体" w:hAnsi="宋体" w:cs="宋体"/>
          <w:color w:val="auto"/>
          <w:sz w:val="24"/>
          <w:highlight w:val="none"/>
          <w:u w:val="none"/>
        </w:rPr>
        <w:t xml:space="preserve">投诉人于   年   月  日,向                   提出质疑，质疑事项为：                                </w:t>
      </w:r>
    </w:p>
    <w:p w14:paraId="7F68C9D9">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                                                       </w:t>
      </w:r>
    </w:p>
    <w:p w14:paraId="12BD79D4">
      <w:pPr>
        <w:spacing w:line="360" w:lineRule="auto"/>
        <w:ind w:firstLine="360" w:firstLineChars="150"/>
        <w:rPr>
          <w:rFonts w:ascii="宋体" w:hAnsi="宋体" w:cs="宋体"/>
          <w:color w:val="auto"/>
          <w:sz w:val="24"/>
          <w:highlight w:val="none"/>
          <w:u w:val="none"/>
        </w:rPr>
      </w:pPr>
      <w:r>
        <w:rPr>
          <w:rFonts w:hint="eastAsia" w:ascii="宋体" w:hAnsi="宋体" w:cs="宋体"/>
          <w:color w:val="auto"/>
          <w:sz w:val="24"/>
          <w:highlight w:val="none"/>
          <w:u w:val="none"/>
        </w:rPr>
        <w:t>采购人/代理机构于   年   月   日,就质疑事项作出了答复/没有在法定期限内作出答复。</w:t>
      </w:r>
    </w:p>
    <w:p w14:paraId="561A8435">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四、投诉事项具体内容</w:t>
      </w:r>
    </w:p>
    <w:p w14:paraId="2D566C3D">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投诉事项 1：                                       </w:t>
      </w:r>
    </w:p>
    <w:p w14:paraId="6D162C80">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事实依据：                                         </w:t>
      </w:r>
    </w:p>
    <w:p w14:paraId="39ED69F1">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                                                      </w:t>
      </w:r>
    </w:p>
    <w:p w14:paraId="5A5AD91F">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法律依据：                                          </w:t>
      </w:r>
    </w:p>
    <w:p w14:paraId="491A149E">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                                                      </w:t>
      </w:r>
    </w:p>
    <w:p w14:paraId="3DC5E9F8">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投诉事项2</w:t>
      </w:r>
    </w:p>
    <w:p w14:paraId="109CAD86">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w:t>
      </w:r>
    </w:p>
    <w:p w14:paraId="43F69D35">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五、与投诉事项相关的投诉请求</w:t>
      </w:r>
    </w:p>
    <w:p w14:paraId="1E251556">
      <w:pPr>
        <w:spacing w:line="360" w:lineRule="auto"/>
        <w:rPr>
          <w:rFonts w:ascii="宋体" w:hAnsi="宋体" w:cs="宋体"/>
          <w:color w:val="auto"/>
          <w:sz w:val="24"/>
          <w:highlight w:val="none"/>
          <w:u w:val="none"/>
        </w:rPr>
      </w:pPr>
      <w:r>
        <w:rPr>
          <w:rFonts w:hint="eastAsia" w:ascii="宋体" w:hAnsi="宋体" w:cs="宋体"/>
          <w:color w:val="auto"/>
          <w:sz w:val="24"/>
          <w:highlight w:val="none"/>
          <w:u w:val="none"/>
        </w:rPr>
        <w:t xml:space="preserve">请求：                                                                                                                                             </w:t>
      </w:r>
    </w:p>
    <w:p w14:paraId="14B99AD0">
      <w:pPr>
        <w:spacing w:line="360" w:lineRule="auto"/>
        <w:rPr>
          <w:rFonts w:ascii="宋体" w:hAnsi="宋体" w:cs="宋体"/>
          <w:color w:val="auto"/>
          <w:sz w:val="24"/>
          <w:highlight w:val="none"/>
        </w:rPr>
      </w:pPr>
      <w:r>
        <w:rPr>
          <w:rFonts w:hint="eastAsia" w:ascii="宋体" w:hAnsi="宋体" w:cs="宋体"/>
          <w:color w:val="auto"/>
          <w:sz w:val="24"/>
          <w:highlight w:val="none"/>
          <w:u w:val="none"/>
        </w:rPr>
        <w:t>签字(签章)：                   公章</w:t>
      </w:r>
      <w:r>
        <w:rPr>
          <w:rFonts w:hint="eastAsia" w:ascii="宋体" w:hAnsi="宋体" w:cs="宋体"/>
          <w:color w:val="auto"/>
          <w:sz w:val="24"/>
          <w:highlight w:val="none"/>
        </w:rPr>
        <w:t xml:space="preserve">：                      </w:t>
      </w:r>
    </w:p>
    <w:p w14:paraId="5BB97F2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68CC0B16">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52555B6A">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11D72D5F">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1D125D70">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34FD9B9B">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D7B3BE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3071CF3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849861E">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1A75AB1B">
      <w:pPr>
        <w:autoSpaceDE w:val="0"/>
        <w:autoSpaceDN w:val="0"/>
        <w:jc w:val="center"/>
        <w:rPr>
          <w:rFonts w:ascii="宋体" w:hAnsi="宋体" w:cs="宋体"/>
          <w:b/>
          <w:color w:val="auto"/>
          <w:spacing w:val="6"/>
          <w:sz w:val="32"/>
          <w:szCs w:val="32"/>
          <w:highlight w:val="none"/>
        </w:rPr>
      </w:pPr>
    </w:p>
    <w:p w14:paraId="4509BFBD">
      <w:pPr>
        <w:autoSpaceDE w:val="0"/>
        <w:autoSpaceDN w:val="0"/>
        <w:jc w:val="center"/>
        <w:rPr>
          <w:rFonts w:hint="eastAsia" w:ascii="宋体" w:hAnsi="宋体" w:cs="宋体"/>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4C65DFE0">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40E7C7AE">
      <w:pPr>
        <w:spacing w:line="360" w:lineRule="auto"/>
        <w:rPr>
          <w:rFonts w:ascii="宋体" w:hAnsi="宋体" w:cs="宋体"/>
          <w:color w:val="auto"/>
          <w:sz w:val="24"/>
          <w:highlight w:val="none"/>
          <w:u w:val="single"/>
        </w:rPr>
      </w:pPr>
    </w:p>
    <w:p w14:paraId="79E93652">
      <w:pPr>
        <w:spacing w:line="360" w:lineRule="auto"/>
        <w:rPr>
          <w:rFonts w:ascii="宋体" w:hAnsi="宋体" w:cs="宋体"/>
          <w:color w:val="auto"/>
          <w:sz w:val="24"/>
          <w:highlight w:val="none"/>
        </w:rPr>
      </w:pPr>
      <w:r>
        <w:rPr>
          <w:rFonts w:hint="eastAsia" w:ascii="宋体" w:hAnsi="宋体" w:cs="宋体"/>
          <w:color w:val="auto"/>
          <w:sz w:val="24"/>
          <w:highlight w:val="none"/>
          <w:u w:val="single"/>
          <w:lang w:eastAsia="zh-CN"/>
        </w:rPr>
        <w:t>杭州市西湖区财政局</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浙江信镧建设工程咨询有限公司</w:t>
      </w:r>
      <w:r>
        <w:rPr>
          <w:rFonts w:hint="eastAsia" w:ascii="宋体" w:hAnsi="宋体" w:cs="宋体"/>
          <w:color w:val="auto"/>
          <w:sz w:val="24"/>
          <w:highlight w:val="none"/>
          <w:u w:val="single"/>
        </w:rPr>
        <w:t>：</w:t>
      </w:r>
    </w:p>
    <w:p w14:paraId="2693B942">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(投标人全称)是中华人民共和国依法登记注册的合法企业，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 xml:space="preserve">西湖区财政局非税和票据管理一体化系统运维项目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ZJXL-XHCZ-202501</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6534A7C5">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7BCC1A51">
      <w:pPr>
        <w:spacing w:line="360" w:lineRule="auto"/>
        <w:ind w:firstLine="494"/>
        <w:rPr>
          <w:rFonts w:ascii="宋体" w:hAnsi="宋体" w:cs="宋体"/>
          <w:color w:val="auto"/>
          <w:sz w:val="24"/>
          <w:highlight w:val="none"/>
        </w:rPr>
      </w:pPr>
    </w:p>
    <w:p w14:paraId="729DC0D8">
      <w:pPr>
        <w:spacing w:line="360" w:lineRule="auto"/>
        <w:ind w:firstLine="494"/>
        <w:rPr>
          <w:rFonts w:ascii="宋体" w:hAnsi="宋体" w:cs="宋体"/>
          <w:color w:val="auto"/>
          <w:sz w:val="24"/>
          <w:highlight w:val="none"/>
        </w:rPr>
      </w:pPr>
    </w:p>
    <w:p w14:paraId="579D2806">
      <w:pPr>
        <w:spacing w:line="360" w:lineRule="auto"/>
        <w:ind w:firstLine="494"/>
        <w:rPr>
          <w:rFonts w:ascii="宋体" w:hAnsi="宋体" w:cs="宋体"/>
          <w:color w:val="auto"/>
          <w:sz w:val="24"/>
          <w:highlight w:val="none"/>
        </w:rPr>
      </w:pPr>
    </w:p>
    <w:p w14:paraId="69143BA4">
      <w:pPr>
        <w:spacing w:line="360" w:lineRule="auto"/>
        <w:ind w:firstLine="494"/>
        <w:rPr>
          <w:rFonts w:ascii="宋体" w:hAnsi="宋体" w:cs="宋体"/>
          <w:color w:val="auto"/>
          <w:sz w:val="24"/>
          <w:highlight w:val="none"/>
        </w:rPr>
      </w:pPr>
    </w:p>
    <w:p w14:paraId="06F85905">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投标单位（法定名称章）：</w:t>
      </w:r>
    </w:p>
    <w:p w14:paraId="3EEA8048">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71B2A1E3">
      <w:pPr>
        <w:rPr>
          <w:rFonts w:ascii="宋体" w:hAnsi="宋体" w:cs="宋体"/>
          <w:color w:val="auto"/>
          <w:sz w:val="24"/>
          <w:highlight w:val="none"/>
        </w:rPr>
      </w:pPr>
      <w:r>
        <w:rPr>
          <w:rFonts w:hint="eastAsia" w:ascii="宋体" w:hAnsi="宋体" w:cs="宋体"/>
          <w:b/>
          <w:bCs/>
          <w:color w:val="auto"/>
          <w:sz w:val="24"/>
          <w:highlight w:val="none"/>
        </w:rPr>
        <w:t>附：</w:t>
      </w:r>
    </w:p>
    <w:p w14:paraId="2E1BDE0F">
      <w:pPr>
        <w:spacing w:line="360" w:lineRule="auto"/>
        <w:rPr>
          <w:rFonts w:ascii="宋体" w:hAnsi="宋体" w:cs="宋体"/>
          <w:bCs/>
          <w:color w:val="auto"/>
          <w:sz w:val="24"/>
          <w:highlight w:val="none"/>
        </w:rPr>
      </w:pPr>
      <w:r>
        <w:rPr>
          <w:rFonts w:hint="eastAsia"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highlight w:val="none"/>
        </w:rPr>
        <w:t>投标单位法定名称章（印模）                投标单位“XX专用章”（印模）</w:t>
      </w:r>
    </w:p>
    <w:p w14:paraId="74574D01">
      <w:pPr>
        <w:autoSpaceDE w:val="0"/>
        <w:autoSpaceDN w:val="0"/>
        <w:jc w:val="center"/>
        <w:rPr>
          <w:rFonts w:ascii="宋体" w:hAnsi="宋体" w:cs="宋体"/>
          <w:b/>
          <w:color w:val="auto"/>
          <w:spacing w:val="6"/>
          <w:sz w:val="32"/>
          <w:szCs w:val="32"/>
          <w:highlight w:val="none"/>
        </w:rPr>
      </w:pPr>
    </w:p>
    <w:p w14:paraId="12472987">
      <w:pPr>
        <w:autoSpaceDE w:val="0"/>
        <w:autoSpaceDN w:val="0"/>
        <w:jc w:val="center"/>
        <w:rPr>
          <w:rFonts w:ascii="宋体" w:hAnsi="宋体" w:cs="宋体"/>
          <w:b/>
          <w:color w:val="auto"/>
          <w:spacing w:val="6"/>
          <w:sz w:val="32"/>
          <w:szCs w:val="32"/>
          <w:highlight w:val="none"/>
        </w:rPr>
      </w:pPr>
    </w:p>
    <w:p w14:paraId="40952730">
      <w:pPr>
        <w:autoSpaceDE w:val="0"/>
        <w:autoSpaceDN w:val="0"/>
        <w:jc w:val="center"/>
        <w:rPr>
          <w:rFonts w:ascii="宋体" w:hAnsi="宋体" w:cs="宋体"/>
          <w:b/>
          <w:color w:val="auto"/>
          <w:spacing w:val="6"/>
          <w:sz w:val="32"/>
          <w:szCs w:val="32"/>
          <w:highlight w:val="none"/>
        </w:rPr>
      </w:pPr>
    </w:p>
    <w:p w14:paraId="14C0A765">
      <w:pPr>
        <w:autoSpaceDE w:val="0"/>
        <w:autoSpaceDN w:val="0"/>
        <w:jc w:val="center"/>
        <w:rPr>
          <w:rFonts w:ascii="宋体" w:hAnsi="宋体" w:cs="宋体"/>
          <w:b/>
          <w:color w:val="auto"/>
          <w:spacing w:val="6"/>
          <w:sz w:val="32"/>
          <w:szCs w:val="32"/>
          <w:highlight w:val="none"/>
        </w:rPr>
      </w:pPr>
    </w:p>
    <w:p w14:paraId="03F6D7F9">
      <w:pPr>
        <w:autoSpaceDE w:val="0"/>
        <w:autoSpaceDN w:val="0"/>
        <w:jc w:val="center"/>
        <w:rPr>
          <w:rFonts w:ascii="宋体" w:hAnsi="宋体" w:cs="宋体"/>
          <w:b/>
          <w:color w:val="auto"/>
          <w:spacing w:val="6"/>
          <w:sz w:val="32"/>
          <w:szCs w:val="32"/>
          <w:highlight w:val="none"/>
        </w:rPr>
      </w:pPr>
    </w:p>
    <w:p w14:paraId="4D557FCA">
      <w:pPr>
        <w:autoSpaceDE w:val="0"/>
        <w:autoSpaceDN w:val="0"/>
        <w:jc w:val="center"/>
        <w:rPr>
          <w:rFonts w:ascii="宋体" w:hAnsi="宋体" w:cs="宋体"/>
          <w:b/>
          <w:color w:val="auto"/>
          <w:spacing w:val="6"/>
          <w:sz w:val="32"/>
          <w:szCs w:val="32"/>
          <w:highlight w:val="none"/>
        </w:rPr>
      </w:pPr>
    </w:p>
    <w:p w14:paraId="747D5734">
      <w:pPr>
        <w:autoSpaceDE w:val="0"/>
        <w:autoSpaceDN w:val="0"/>
        <w:jc w:val="center"/>
        <w:rPr>
          <w:rFonts w:ascii="宋体" w:hAnsi="宋体" w:cs="宋体"/>
          <w:b/>
          <w:color w:val="auto"/>
          <w:spacing w:val="6"/>
          <w:sz w:val="32"/>
          <w:szCs w:val="32"/>
          <w:highlight w:val="none"/>
        </w:rPr>
      </w:pPr>
    </w:p>
    <w:p w14:paraId="6CFA4C0C">
      <w:pPr>
        <w:autoSpaceDE w:val="0"/>
        <w:autoSpaceDN w:val="0"/>
        <w:jc w:val="center"/>
        <w:rPr>
          <w:rFonts w:ascii="宋体" w:hAnsi="宋体" w:cs="宋体"/>
          <w:b/>
          <w:color w:val="auto"/>
          <w:spacing w:val="6"/>
          <w:sz w:val="32"/>
          <w:szCs w:val="32"/>
          <w:highlight w:val="none"/>
        </w:rPr>
      </w:pPr>
    </w:p>
    <w:p w14:paraId="7C945D75">
      <w:pPr>
        <w:autoSpaceDE w:val="0"/>
        <w:autoSpaceDN w:val="0"/>
        <w:jc w:val="center"/>
        <w:rPr>
          <w:rFonts w:ascii="宋体" w:hAnsi="宋体" w:cs="宋体"/>
          <w:b/>
          <w:color w:val="auto"/>
          <w:spacing w:val="6"/>
          <w:sz w:val="32"/>
          <w:szCs w:val="32"/>
          <w:highlight w:val="none"/>
        </w:rPr>
      </w:pPr>
    </w:p>
    <w:p w14:paraId="1473A348">
      <w:pPr>
        <w:autoSpaceDE w:val="0"/>
        <w:autoSpaceDN w:val="0"/>
        <w:jc w:val="center"/>
        <w:rPr>
          <w:rFonts w:ascii="宋体" w:hAnsi="宋体" w:cs="宋体"/>
          <w:b/>
          <w:color w:val="auto"/>
          <w:spacing w:val="6"/>
          <w:sz w:val="32"/>
          <w:szCs w:val="32"/>
          <w:highlight w:val="none"/>
        </w:rPr>
      </w:pPr>
    </w:p>
    <w:p w14:paraId="718B60B3">
      <w:pPr>
        <w:autoSpaceDE w:val="0"/>
        <w:autoSpaceDN w:val="0"/>
        <w:jc w:val="center"/>
        <w:rPr>
          <w:rFonts w:hint="eastAsia" w:ascii="宋体" w:hAnsi="宋体" w:cs="宋体"/>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053887FC">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04B866B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（以联合体形式投标的，提供联合协议；本项目不接受联合体投标或者投标人不以联合体形式投标的，则不需要提供）</w:t>
      </w:r>
    </w:p>
    <w:p w14:paraId="50B6536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组成一个联合体，以一个投标人的身份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 xml:space="preserve">西湖区财政局非税和票据管理一体化系统运维项目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ZJXL-XHCZ-202501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投标。 </w:t>
      </w:r>
    </w:p>
    <w:p w14:paraId="35B55E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A863C4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授权代表根据招标文件规定及投标内容而对采购人、采购代理机构所作的任何合法承诺，包括书面澄清及响应等均对联合投标各方产生约束力。</w:t>
      </w:r>
    </w:p>
    <w:p w14:paraId="0C1510A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三、本次联合投标中，分工如下：</w:t>
      </w:r>
    </w:p>
    <w:p w14:paraId="28D94B9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208BA09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FC5BA9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p w14:paraId="7B2B33C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26ACD955">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w:t>
      </w:r>
      <w:bookmarkStart w:id="512" w:name="_Hlk101131882"/>
      <w:r>
        <w:rPr>
          <w:rFonts w:hint="eastAsia" w:ascii="宋体" w:hAnsi="宋体" w:cs="宋体"/>
          <w:color w:val="auto"/>
          <w:kern w:val="0"/>
          <w:sz w:val="24"/>
          <w:highlight w:val="none"/>
          <w:u w:val="single"/>
        </w:rPr>
        <w:t>联合体成员X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w:t>
      </w:r>
      <w:bookmarkEnd w:id="512"/>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提供的服务由小微企业承接，其合同份额占到合同总金额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w:t>
      </w:r>
      <w:bookmarkStart w:id="513" w:name="_Hlk101133598"/>
      <w:r>
        <w:rPr>
          <w:rFonts w:hint="eastAsia" w:ascii="宋体" w:hAnsi="宋体" w:cs="宋体"/>
          <w:b/>
          <w:color w:val="auto"/>
          <w:kern w:val="0"/>
          <w:sz w:val="24"/>
          <w:highlight w:val="none"/>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highlight w:val="none"/>
        </w:rPr>
        <w:t>拟享受以上价格扣除政策的，填写有关内容。</w:t>
      </w:r>
      <w:bookmarkEnd w:id="513"/>
      <w:r>
        <w:rPr>
          <w:rFonts w:hint="eastAsia" w:ascii="宋体" w:hAnsi="宋体" w:cs="宋体"/>
          <w:b/>
          <w:color w:val="auto"/>
          <w:kern w:val="0"/>
          <w:sz w:val="24"/>
          <w:highlight w:val="none"/>
          <w:lang w:val="zh-CN"/>
        </w:rPr>
        <w:t>）</w:t>
      </w:r>
    </w:p>
    <w:p w14:paraId="7A45B8E6">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514"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bookmarkEnd w:id="514"/>
    </w:p>
    <w:p w14:paraId="334C48E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五、如果中标，</w:t>
      </w:r>
      <w:r>
        <w:rPr>
          <w:rFonts w:hint="eastAsia" w:ascii="宋体" w:hAnsi="宋体" w:cs="宋体"/>
          <w:color w:val="auto"/>
          <w:sz w:val="24"/>
          <w:highlight w:val="none"/>
        </w:rPr>
        <w:t>联合体各成员方共同与采购人签订合同，并就采购合同约定的事项对采购人承担连带责任。</w:t>
      </w:r>
    </w:p>
    <w:p w14:paraId="6F570C1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六、有关本次联合投标的其他事宜：</w:t>
      </w:r>
    </w:p>
    <w:p w14:paraId="36092FD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00AE86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17F8D7F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C4D1EB">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1E9F89D8">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A8ECFA8">
      <w:pPr>
        <w:snapToGrid w:val="0"/>
        <w:spacing w:line="360" w:lineRule="auto"/>
        <w:ind w:right="960"/>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4C6BEB53">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日期：  年  月   日</w:t>
      </w:r>
    </w:p>
    <w:p w14:paraId="2F7A19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67719768">
      <w:pPr>
        <w:autoSpaceDE w:val="0"/>
        <w:autoSpaceDN w:val="0"/>
        <w:jc w:val="center"/>
        <w:rPr>
          <w:rFonts w:ascii="宋体" w:hAnsi="宋体" w:cs="宋体"/>
          <w:b/>
          <w:color w:val="auto"/>
          <w:spacing w:val="6"/>
          <w:sz w:val="32"/>
          <w:szCs w:val="32"/>
          <w:highlight w:val="none"/>
        </w:rPr>
      </w:pPr>
    </w:p>
    <w:p w14:paraId="1D0A103C">
      <w:pPr>
        <w:autoSpaceDE w:val="0"/>
        <w:autoSpaceDN w:val="0"/>
        <w:jc w:val="center"/>
        <w:rPr>
          <w:rFonts w:ascii="宋体" w:hAnsi="宋体" w:cs="宋体"/>
          <w:b/>
          <w:color w:val="auto"/>
          <w:spacing w:val="6"/>
          <w:sz w:val="32"/>
          <w:szCs w:val="32"/>
          <w:highlight w:val="none"/>
        </w:rPr>
      </w:pPr>
    </w:p>
    <w:p w14:paraId="4BFB4091">
      <w:pPr>
        <w:autoSpaceDE w:val="0"/>
        <w:autoSpaceDN w:val="0"/>
        <w:jc w:val="center"/>
        <w:rPr>
          <w:rFonts w:ascii="宋体" w:hAnsi="宋体" w:cs="宋体"/>
          <w:b/>
          <w:color w:val="auto"/>
          <w:spacing w:val="6"/>
          <w:sz w:val="32"/>
          <w:szCs w:val="32"/>
          <w:highlight w:val="none"/>
        </w:rPr>
      </w:pPr>
    </w:p>
    <w:p w14:paraId="07EB33BF">
      <w:pPr>
        <w:autoSpaceDE w:val="0"/>
        <w:autoSpaceDN w:val="0"/>
        <w:jc w:val="center"/>
        <w:rPr>
          <w:rFonts w:ascii="宋体" w:hAnsi="宋体" w:cs="宋体"/>
          <w:b/>
          <w:color w:val="auto"/>
          <w:spacing w:val="6"/>
          <w:sz w:val="32"/>
          <w:szCs w:val="32"/>
          <w:highlight w:val="none"/>
        </w:rPr>
      </w:pPr>
    </w:p>
    <w:p w14:paraId="2AA49C3A">
      <w:pPr>
        <w:autoSpaceDE w:val="0"/>
        <w:autoSpaceDN w:val="0"/>
        <w:jc w:val="center"/>
        <w:rPr>
          <w:rFonts w:ascii="宋体" w:hAnsi="宋体" w:cs="宋体"/>
          <w:b/>
          <w:color w:val="auto"/>
          <w:spacing w:val="6"/>
          <w:sz w:val="32"/>
          <w:szCs w:val="32"/>
          <w:highlight w:val="none"/>
        </w:rPr>
      </w:pPr>
    </w:p>
    <w:p w14:paraId="1D439732">
      <w:pPr>
        <w:autoSpaceDE w:val="0"/>
        <w:autoSpaceDN w:val="0"/>
        <w:jc w:val="center"/>
        <w:rPr>
          <w:rFonts w:ascii="宋体" w:hAnsi="宋体" w:cs="宋体"/>
          <w:b/>
          <w:color w:val="auto"/>
          <w:spacing w:val="6"/>
          <w:sz w:val="32"/>
          <w:szCs w:val="32"/>
          <w:highlight w:val="none"/>
        </w:rPr>
      </w:pPr>
    </w:p>
    <w:p w14:paraId="2B1F6293">
      <w:pPr>
        <w:autoSpaceDE w:val="0"/>
        <w:autoSpaceDN w:val="0"/>
        <w:jc w:val="center"/>
        <w:rPr>
          <w:rFonts w:ascii="宋体" w:hAnsi="宋体" w:cs="宋体"/>
          <w:b/>
          <w:color w:val="auto"/>
          <w:spacing w:val="6"/>
          <w:sz w:val="32"/>
          <w:szCs w:val="32"/>
          <w:highlight w:val="none"/>
        </w:rPr>
      </w:pPr>
    </w:p>
    <w:p w14:paraId="758E5C0F">
      <w:pPr>
        <w:autoSpaceDE w:val="0"/>
        <w:autoSpaceDN w:val="0"/>
        <w:jc w:val="center"/>
        <w:rPr>
          <w:rFonts w:ascii="宋体" w:hAnsi="宋体" w:cs="宋体"/>
          <w:b/>
          <w:color w:val="auto"/>
          <w:spacing w:val="6"/>
          <w:sz w:val="32"/>
          <w:szCs w:val="32"/>
          <w:highlight w:val="none"/>
        </w:rPr>
      </w:pPr>
    </w:p>
    <w:p w14:paraId="07E7DAF3">
      <w:pPr>
        <w:autoSpaceDE w:val="0"/>
        <w:autoSpaceDN w:val="0"/>
        <w:jc w:val="center"/>
        <w:rPr>
          <w:rFonts w:ascii="宋体" w:hAnsi="宋体" w:cs="宋体"/>
          <w:b/>
          <w:color w:val="auto"/>
          <w:spacing w:val="6"/>
          <w:sz w:val="32"/>
          <w:szCs w:val="32"/>
          <w:highlight w:val="none"/>
        </w:rPr>
      </w:pPr>
    </w:p>
    <w:p w14:paraId="74C77164">
      <w:pPr>
        <w:autoSpaceDE w:val="0"/>
        <w:autoSpaceDN w:val="0"/>
        <w:jc w:val="center"/>
        <w:rPr>
          <w:rFonts w:ascii="宋体" w:hAnsi="宋体" w:cs="宋体"/>
          <w:b/>
          <w:color w:val="auto"/>
          <w:spacing w:val="6"/>
          <w:sz w:val="32"/>
          <w:szCs w:val="32"/>
          <w:highlight w:val="none"/>
        </w:rPr>
      </w:pPr>
    </w:p>
    <w:p w14:paraId="12EE95AE">
      <w:pPr>
        <w:autoSpaceDE w:val="0"/>
        <w:autoSpaceDN w:val="0"/>
        <w:jc w:val="center"/>
        <w:rPr>
          <w:rFonts w:ascii="宋体" w:hAnsi="宋体" w:cs="宋体"/>
          <w:b/>
          <w:color w:val="auto"/>
          <w:spacing w:val="6"/>
          <w:sz w:val="32"/>
          <w:szCs w:val="32"/>
          <w:highlight w:val="none"/>
        </w:rPr>
      </w:pPr>
    </w:p>
    <w:p w14:paraId="652FE5F9">
      <w:pPr>
        <w:autoSpaceDE w:val="0"/>
        <w:autoSpaceDN w:val="0"/>
        <w:jc w:val="center"/>
        <w:rPr>
          <w:rFonts w:ascii="宋体" w:hAnsi="宋体" w:cs="宋体"/>
          <w:b/>
          <w:color w:val="auto"/>
          <w:spacing w:val="6"/>
          <w:sz w:val="32"/>
          <w:szCs w:val="32"/>
          <w:highlight w:val="none"/>
        </w:rPr>
      </w:pPr>
    </w:p>
    <w:p w14:paraId="4C86B973">
      <w:pPr>
        <w:autoSpaceDE w:val="0"/>
        <w:autoSpaceDN w:val="0"/>
        <w:jc w:val="center"/>
        <w:rPr>
          <w:rFonts w:ascii="宋体" w:hAnsi="宋体" w:cs="宋体"/>
          <w:b/>
          <w:color w:val="auto"/>
          <w:spacing w:val="6"/>
          <w:sz w:val="32"/>
          <w:szCs w:val="32"/>
          <w:highlight w:val="none"/>
        </w:rPr>
      </w:pPr>
    </w:p>
    <w:p w14:paraId="45FFA641">
      <w:pPr>
        <w:autoSpaceDE w:val="0"/>
        <w:autoSpaceDN w:val="0"/>
        <w:jc w:val="center"/>
        <w:rPr>
          <w:rFonts w:ascii="宋体" w:hAnsi="宋体" w:cs="宋体"/>
          <w:b/>
          <w:color w:val="auto"/>
          <w:spacing w:val="6"/>
          <w:sz w:val="32"/>
          <w:szCs w:val="32"/>
          <w:highlight w:val="none"/>
        </w:rPr>
      </w:pPr>
    </w:p>
    <w:p w14:paraId="602FA715">
      <w:pPr>
        <w:autoSpaceDE w:val="0"/>
        <w:autoSpaceDN w:val="0"/>
        <w:jc w:val="center"/>
        <w:rPr>
          <w:rFonts w:ascii="宋体" w:hAnsi="宋体" w:cs="宋体"/>
          <w:b/>
          <w:color w:val="auto"/>
          <w:spacing w:val="6"/>
          <w:sz w:val="32"/>
          <w:szCs w:val="32"/>
          <w:highlight w:val="none"/>
        </w:rPr>
      </w:pPr>
    </w:p>
    <w:p w14:paraId="6647DE36">
      <w:pPr>
        <w:autoSpaceDE w:val="0"/>
        <w:autoSpaceDN w:val="0"/>
        <w:jc w:val="center"/>
        <w:rPr>
          <w:rFonts w:ascii="宋体" w:hAnsi="宋体" w:cs="宋体"/>
          <w:b/>
          <w:color w:val="auto"/>
          <w:spacing w:val="6"/>
          <w:sz w:val="32"/>
          <w:szCs w:val="32"/>
          <w:highlight w:val="none"/>
        </w:rPr>
      </w:pPr>
    </w:p>
    <w:p w14:paraId="229706AC">
      <w:pPr>
        <w:autoSpaceDE w:val="0"/>
        <w:autoSpaceDN w:val="0"/>
        <w:jc w:val="center"/>
        <w:rPr>
          <w:rFonts w:ascii="宋体" w:hAnsi="宋体" w:cs="宋体"/>
          <w:b/>
          <w:color w:val="auto"/>
          <w:spacing w:val="6"/>
          <w:sz w:val="32"/>
          <w:szCs w:val="32"/>
          <w:highlight w:val="none"/>
        </w:rPr>
      </w:pPr>
    </w:p>
    <w:p w14:paraId="16F14ABB">
      <w:pPr>
        <w:autoSpaceDE w:val="0"/>
        <w:autoSpaceDN w:val="0"/>
        <w:jc w:val="center"/>
        <w:rPr>
          <w:rFonts w:ascii="宋体" w:hAnsi="宋体" w:cs="宋体"/>
          <w:b/>
          <w:color w:val="auto"/>
          <w:spacing w:val="6"/>
          <w:sz w:val="32"/>
          <w:szCs w:val="32"/>
          <w:highlight w:val="none"/>
        </w:rPr>
      </w:pPr>
    </w:p>
    <w:p w14:paraId="3E4B59CC">
      <w:pPr>
        <w:autoSpaceDE w:val="0"/>
        <w:autoSpaceDN w:val="0"/>
        <w:jc w:val="center"/>
        <w:rPr>
          <w:rFonts w:ascii="宋体" w:hAnsi="宋体" w:cs="宋体"/>
          <w:b/>
          <w:color w:val="auto"/>
          <w:spacing w:val="6"/>
          <w:sz w:val="32"/>
          <w:szCs w:val="32"/>
          <w:highlight w:val="none"/>
        </w:rPr>
      </w:pPr>
    </w:p>
    <w:p w14:paraId="73B76741">
      <w:pPr>
        <w:autoSpaceDE w:val="0"/>
        <w:autoSpaceDN w:val="0"/>
        <w:jc w:val="center"/>
        <w:rPr>
          <w:rFonts w:ascii="宋体" w:hAnsi="宋体" w:cs="宋体"/>
          <w:b/>
          <w:color w:val="auto"/>
          <w:spacing w:val="6"/>
          <w:sz w:val="32"/>
          <w:szCs w:val="32"/>
          <w:highlight w:val="none"/>
        </w:rPr>
      </w:pPr>
    </w:p>
    <w:p w14:paraId="5F928E57">
      <w:pPr>
        <w:snapToGrid w:val="0"/>
        <w:spacing w:line="360" w:lineRule="auto"/>
        <w:ind w:firstLine="3666" w:firstLineChars="1100"/>
        <w:rPr>
          <w:rFonts w:hint="eastAsia" w:ascii="宋体" w:hAnsi="宋体" w:cs="宋体"/>
          <w:b/>
          <w:color w:val="auto"/>
          <w:spacing w:val="6"/>
          <w:sz w:val="32"/>
          <w:szCs w:val="32"/>
          <w:highlight w:val="none"/>
        </w:rPr>
        <w:sectPr>
          <w:pgSz w:w="11906" w:h="16838"/>
          <w:pgMar w:top="1276" w:right="1418" w:bottom="1247" w:left="1418" w:header="851" w:footer="992" w:gutter="0"/>
          <w:cols w:space="720" w:num="1"/>
          <w:titlePg/>
          <w:docGrid w:linePitch="312" w:charSpace="0"/>
        </w:sectPr>
      </w:pPr>
    </w:p>
    <w:p w14:paraId="1EA60D8D">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333EFB72">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中标后以分包方式履行合同的，提供分包意向协议；采购人不同意分包或者投标人中标后不以分包方式履行合同的，则不需要提供。</w:t>
      </w:r>
      <w:r>
        <w:rPr>
          <w:rFonts w:hint="eastAsia" w:ascii="宋体" w:hAnsi="宋体" w:cs="宋体"/>
          <w:color w:val="auto"/>
          <w:sz w:val="24"/>
          <w:highlight w:val="none"/>
        </w:rPr>
        <w:t>）</w:t>
      </w:r>
    </w:p>
    <w:p w14:paraId="709C11F8">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 xml:space="preserve">西湖区财政局非税和票据管理一体化系统运维项目 </w:t>
      </w:r>
      <w:r>
        <w:rPr>
          <w:rFonts w:hint="eastAsia" w:ascii="宋体" w:hAnsi="宋体" w:cs="宋体"/>
          <w:color w:val="auto"/>
          <w:sz w:val="24"/>
          <w:highlight w:val="none"/>
        </w:rPr>
        <w:t>【招标编号：</w:t>
      </w:r>
      <w:r>
        <w:rPr>
          <w:rFonts w:hint="eastAsia" w:ascii="宋体" w:hAnsi="宋体" w:cs="宋体"/>
          <w:color w:val="auto"/>
          <w:sz w:val="24"/>
          <w:highlight w:val="none"/>
          <w:lang w:eastAsia="zh-CN"/>
        </w:rPr>
        <w:t>ZJXL-XHCZ-202501</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的中标供应商，将依法采取分包方式履行合同。</w:t>
      </w: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22C20F56">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2FE90929">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（投标人名称）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w:t>
      </w:r>
      <w:r>
        <w:rPr>
          <w:rFonts w:hint="eastAsia" w:ascii="宋体" w:hAnsi="宋体" w:cs="宋体"/>
          <w:color w:val="auto"/>
          <w:kern w:val="0"/>
          <w:sz w:val="24"/>
          <w:highlight w:val="none"/>
          <w:u w:val="single"/>
          <w:lang w:val="en-US" w:eastAsia="zh-CN"/>
        </w:rPr>
        <w:t>1</w:t>
      </w:r>
      <w:r>
        <w:rPr>
          <w:rFonts w:hint="eastAsia" w:ascii="宋体" w:hAnsi="宋体" w:cs="宋体"/>
          <w:color w:val="auto"/>
          <w:kern w:val="0"/>
          <w:sz w:val="24"/>
          <w:highlight w:val="none"/>
          <w:u w:val="single"/>
        </w:rPr>
        <w:t>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65C0A31C">
      <w:pPr>
        <w:pStyle w:val="3"/>
        <w:ind w:left="664" w:leftChars="316" w:firstLine="229" w:firstLineChars="95"/>
        <w:rPr>
          <w:color w:val="auto"/>
          <w:highlight w:val="none"/>
        </w:rPr>
      </w:pPr>
      <w:r>
        <w:rPr>
          <w:rFonts w:hint="eastAsia" w:ascii="宋体" w:hAnsi="宋体" w:eastAsia="宋体" w:cs="宋体"/>
          <w:color w:val="auto"/>
          <w:kern w:val="0"/>
          <w:sz w:val="24"/>
          <w:szCs w:val="24"/>
          <w:highlight w:val="none"/>
        </w:rPr>
        <w:t>……</w:t>
      </w:r>
    </w:p>
    <w:p w14:paraId="1A539F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1976068F">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……）提供的服务全部由小微企业承接，</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E445DCC">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要求合同分包形式参加的项目或采购包，供应商按招标文件第一部分招标公告申请人的资格要求中规定的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p>
    <w:p w14:paraId="665E13DA">
      <w:pPr>
        <w:snapToGrid w:val="0"/>
        <w:spacing w:line="360" w:lineRule="auto"/>
        <w:ind w:firstLine="576"/>
        <w:rPr>
          <w:rFonts w:ascii="宋体" w:hAnsi="宋体" w:cs="宋体"/>
          <w:color w:val="auto"/>
          <w:highlight w:val="none"/>
          <w:u w:val="single"/>
        </w:rPr>
      </w:pPr>
      <w:r>
        <w:rPr>
          <w:rFonts w:hint="eastAsia" w:ascii="宋体" w:hAnsi="宋体" w:cs="宋体"/>
          <w:color w:val="auto"/>
          <w:kern w:val="0"/>
          <w:sz w:val="24"/>
          <w:highlight w:val="none"/>
          <w:lang w:val="zh-CN"/>
        </w:rPr>
        <w:t>三、分包工作履行期限、地点、方式：</w:t>
      </w:r>
      <w:r>
        <w:rPr>
          <w:rFonts w:hint="eastAsia" w:ascii="宋体" w:hAnsi="宋体" w:cs="宋体"/>
          <w:color w:val="auto"/>
          <w:highlight w:val="none"/>
          <w:u w:val="single"/>
        </w:rPr>
        <w:t xml:space="preserve">                                                                                  </w:t>
      </w:r>
    </w:p>
    <w:p w14:paraId="0BAF6A9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r>
        <w:rPr>
          <w:rFonts w:hint="eastAsia" w:ascii="宋体" w:hAnsi="宋体" w:cs="宋体"/>
          <w:color w:val="auto"/>
          <w:highlight w:val="none"/>
          <w:u w:val="single"/>
        </w:rPr>
        <w:t xml:space="preserve">                                                                                       </w:t>
      </w:r>
    </w:p>
    <w:p w14:paraId="4898118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r>
        <w:rPr>
          <w:rFonts w:hint="eastAsia" w:ascii="宋体" w:hAnsi="宋体" w:cs="宋体"/>
          <w:color w:val="auto"/>
          <w:highlight w:val="none"/>
          <w:u w:val="single"/>
        </w:rPr>
        <w:t xml:space="preserve">                                                                                     </w:t>
      </w:r>
    </w:p>
    <w:p w14:paraId="738A792E">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r>
        <w:rPr>
          <w:rFonts w:hint="eastAsia" w:ascii="宋体" w:hAnsi="宋体" w:cs="宋体"/>
          <w:color w:val="auto"/>
          <w:highlight w:val="none"/>
          <w:u w:val="single"/>
        </w:rPr>
        <w:t xml:space="preserve">                                                                                     </w:t>
      </w:r>
    </w:p>
    <w:p w14:paraId="3F55D7B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r>
        <w:rPr>
          <w:rFonts w:hint="eastAsia" w:ascii="宋体" w:hAnsi="宋体" w:cs="宋体"/>
          <w:color w:val="auto"/>
          <w:highlight w:val="none"/>
          <w:u w:val="single"/>
        </w:rPr>
        <w:t xml:space="preserve">                                                                                  </w:t>
      </w:r>
    </w:p>
    <w:p w14:paraId="61BB1E4F">
      <w:pPr>
        <w:snapToGrid w:val="0"/>
        <w:spacing w:line="360" w:lineRule="auto"/>
        <w:ind w:firstLine="576"/>
        <w:rPr>
          <w:rFonts w:hint="eastAsia" w:ascii="宋体" w:hAnsi="宋体" w:cs="宋体"/>
          <w:color w:val="auto"/>
          <w:kern w:val="0"/>
          <w:sz w:val="24"/>
          <w:highlight w:val="none"/>
          <w:lang w:val="zh-CN"/>
        </w:rPr>
      </w:pPr>
      <w:r>
        <w:rPr>
          <w:rFonts w:hint="eastAsia" w:ascii="宋体" w:hAnsi="宋体" w:cs="宋体"/>
          <w:color w:val="auto"/>
          <w:kern w:val="0"/>
          <w:sz w:val="24"/>
          <w:highlight w:val="none"/>
          <w:lang w:val="zh-CN"/>
        </w:rPr>
        <w:t>八、其他：</w:t>
      </w:r>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 xml:space="preserve">。  </w:t>
      </w:r>
    </w:p>
    <w:p w14:paraId="30754B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投标人名称(电子签名)：</w:t>
      </w:r>
    </w:p>
    <w:p w14:paraId="05EF4018">
      <w:pPr>
        <w:snapToGrid w:val="0"/>
        <w:spacing w:line="360" w:lineRule="auto"/>
        <w:jc w:val="righ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分包供应商名称(电子签名/公章)：</w:t>
      </w:r>
    </w:p>
    <w:p w14:paraId="24585DD8">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0DA9AED3">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3AEAEC1D">
      <w:pPr>
        <w:spacing w:line="360" w:lineRule="auto"/>
        <w:ind w:right="420"/>
        <w:rPr>
          <w:rFonts w:hint="eastAsia" w:ascii="宋体" w:hAnsi="宋体" w:cs="宋体"/>
          <w:color w:val="auto"/>
          <w:sz w:val="24"/>
          <w:highlight w:val="none"/>
        </w:rPr>
        <w:sectPr>
          <w:pgSz w:w="11906" w:h="16838"/>
          <w:pgMar w:top="1276" w:right="1418" w:bottom="1247" w:left="1418" w:header="851" w:footer="992" w:gutter="0"/>
          <w:cols w:space="720" w:num="1"/>
          <w:titlePg/>
          <w:docGrid w:linePitch="312" w:charSpace="0"/>
        </w:sectPr>
      </w:pPr>
      <w:r>
        <w:rPr>
          <w:rFonts w:hint="eastAsia" w:ascii="宋体" w:hAnsi="宋体" w:cs="宋体"/>
          <w:color w:val="auto"/>
          <w:sz w:val="24"/>
          <w:highlight w:val="none"/>
        </w:rPr>
        <w:t>注：按本格式和要求提供。</w:t>
      </w:r>
    </w:p>
    <w:p w14:paraId="6CC22D28">
      <w:pPr>
        <w:spacing w:line="360" w:lineRule="auto"/>
        <w:jc w:val="left"/>
        <w:outlineLvl w:val="0"/>
        <w:rPr>
          <w:rFonts w:ascii="宋体" w:hAnsi="宋体" w:cs="宋体"/>
          <w:b/>
          <w:color w:val="auto"/>
          <w:sz w:val="36"/>
          <w:szCs w:val="20"/>
          <w:highlight w:val="none"/>
        </w:rPr>
      </w:pPr>
      <w:r>
        <w:rPr>
          <w:rFonts w:hint="eastAsia" w:ascii="宋体" w:hAnsi="宋体" w:cs="宋体"/>
          <w:b/>
          <w:color w:val="auto"/>
          <w:sz w:val="36"/>
          <w:szCs w:val="20"/>
          <w:highlight w:val="none"/>
        </w:rPr>
        <w:t>附件</w:t>
      </w:r>
      <w:r>
        <w:rPr>
          <w:rFonts w:ascii="宋体" w:hAnsi="宋体" w:cs="宋体"/>
          <w:b/>
          <w:color w:val="auto"/>
          <w:sz w:val="36"/>
          <w:szCs w:val="20"/>
          <w:highlight w:val="none"/>
        </w:rPr>
        <w:t>7</w:t>
      </w:r>
      <w:r>
        <w:rPr>
          <w:rFonts w:hint="eastAsia" w:ascii="宋体" w:hAnsi="宋体" w:cs="宋体"/>
          <w:b/>
          <w:color w:val="auto"/>
          <w:sz w:val="36"/>
          <w:szCs w:val="20"/>
          <w:highlight w:val="none"/>
        </w:rPr>
        <w:t>：中小企业声明函</w:t>
      </w:r>
    </w:p>
    <w:p w14:paraId="4C891253">
      <w:pPr>
        <w:spacing w:line="360" w:lineRule="auto"/>
        <w:jc w:val="center"/>
        <w:rPr>
          <w:rFonts w:ascii="宋体" w:hAnsi="宋体" w:cs="宋体"/>
          <w:color w:val="auto"/>
          <w:sz w:val="24"/>
          <w:highlight w:val="none"/>
          <w:u w:val="single"/>
        </w:rPr>
      </w:pPr>
    </w:p>
    <w:p w14:paraId="0E7047D3">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中小企业声明函（服务）</w:t>
      </w:r>
    </w:p>
    <w:p w14:paraId="50CC7A42">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杭州市西湖区财政局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 xml:space="preserve">西湖区财政局非税和票据管理一体化系统运维项目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4F9E3AB8">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，属于</w:t>
      </w:r>
      <w:r>
        <w:rPr>
          <w:rFonts w:hint="eastAsia" w:ascii="宋体" w:hAnsi="宋体" w:cs="宋体"/>
          <w:color w:val="auto"/>
          <w:sz w:val="24"/>
          <w:highlight w:val="none"/>
          <w:u w:val="single"/>
        </w:rPr>
        <w:t xml:space="preserve"> （采购文件中明确的所属行业）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1528A28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u w:val="single"/>
        </w:rPr>
        <w:t xml:space="preserve"> （标的名称），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 xml:space="preserve">（采购文件中明确的所属行业） </w:t>
      </w:r>
      <w:r>
        <w:rPr>
          <w:rFonts w:hint="eastAsia" w:ascii="宋体" w:hAnsi="宋体" w:cs="宋体"/>
          <w:color w:val="auto"/>
          <w:sz w:val="24"/>
          <w:highlight w:val="none"/>
        </w:rPr>
        <w:t xml:space="preserve">；承建（承接）企业为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2D59F55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28B6AB17">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08C7AAC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B534DF5">
      <w:pPr>
        <w:spacing w:line="360" w:lineRule="auto"/>
        <w:ind w:right="1760"/>
        <w:jc w:val="right"/>
        <w:rPr>
          <w:rFonts w:ascii="宋体" w:hAnsi="宋体" w:cs="宋体"/>
          <w:color w:val="auto"/>
          <w:sz w:val="24"/>
          <w:highlight w:val="none"/>
        </w:rPr>
      </w:pPr>
      <w:r>
        <w:rPr>
          <w:rFonts w:hint="eastAsia" w:ascii="宋体" w:hAnsi="宋体" w:cs="宋体"/>
          <w:color w:val="auto"/>
          <w:sz w:val="24"/>
          <w:highlight w:val="none"/>
        </w:rPr>
        <w:t>投标人名称（电子签名）：</w:t>
      </w:r>
    </w:p>
    <w:p w14:paraId="2C5C628B">
      <w:pPr>
        <w:spacing w:line="360" w:lineRule="auto"/>
        <w:ind w:right="1120" w:firstLine="4680" w:firstLineChars="1950"/>
        <w:rPr>
          <w:rFonts w:ascii="宋体" w:hAnsi="宋体" w:cs="宋体"/>
          <w:color w:val="auto"/>
          <w:sz w:val="24"/>
          <w:highlight w:val="none"/>
        </w:rPr>
      </w:pPr>
      <w:r>
        <w:rPr>
          <w:rFonts w:hint="eastAsia" w:ascii="宋体" w:hAnsi="宋体" w:cs="宋体"/>
          <w:color w:val="auto"/>
          <w:sz w:val="24"/>
          <w:highlight w:val="none"/>
        </w:rPr>
        <w:t>日 期：</w:t>
      </w:r>
    </w:p>
    <w:p w14:paraId="70056AB9">
      <w:pPr>
        <w:spacing w:line="360" w:lineRule="auto"/>
        <w:ind w:right="420" w:firstLine="480" w:firstLineChars="200"/>
        <w:rPr>
          <w:rFonts w:hint="eastAsia" w:ascii="宋体" w:hAnsi="宋体" w:eastAsia="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eastAsia="zh-CN"/>
        </w:rPr>
        <w:t>：</w:t>
      </w:r>
      <w:r>
        <w:rPr>
          <w:rFonts w:hint="eastAsia" w:ascii="宋体" w:hAnsi="宋体" w:eastAsia="宋体" w:cs="宋体"/>
          <w:color w:val="auto"/>
          <w:sz w:val="24"/>
          <w:highlight w:val="none"/>
          <w:lang w:eastAsia="zh-CN"/>
        </w:rPr>
        <w:t>①</w:t>
      </w:r>
      <w:r>
        <w:rPr>
          <w:rFonts w:hint="eastAsia" w:ascii="宋体" w:hAnsi="宋体" w:eastAsia="宋体" w:cs="宋体"/>
          <w:color w:val="auto"/>
          <w:sz w:val="24"/>
          <w:highlight w:val="none"/>
        </w:rPr>
        <w:t>从业人员、营业收入、资产总额填报上一年度数据，无上一年度数据的新成立企业可不填报</w:t>
      </w:r>
      <w:r>
        <w:rPr>
          <w:rFonts w:hint="eastAsia" w:ascii="宋体" w:hAnsi="宋体" w:eastAsia="宋体" w:cs="宋体"/>
          <w:color w:val="auto"/>
          <w:sz w:val="24"/>
          <w:highlight w:val="none"/>
          <w:lang w:eastAsia="zh-CN"/>
        </w:rPr>
        <w:t>。②</w:t>
      </w:r>
      <w:r>
        <w:rPr>
          <w:rFonts w:hint="eastAsia" w:ascii="宋体" w:hAnsi="宋体" w:eastAsia="宋体" w:cs="宋体"/>
          <w:color w:val="auto"/>
          <w:sz w:val="24"/>
          <w:highlight w:val="none"/>
        </w:rPr>
        <w:t>《中小企业声明函》中“标的名称”、“采购文件中明确的所属行业”依据招标文件第二部分投标人须知前附表中“采购标的及其对应的中小企业划分标准所属行业”的指引，逐一填写，不得缺漏。</w:t>
      </w: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0"/>
    <w:family w:val="auto"/>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swiss"/>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黑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Segoe Print"/>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Segoe UI Symbol">
    <w:panose1 w:val="020B0502040204020203"/>
    <w:charset w:val="00"/>
    <w:family w:val="swiss"/>
    <w:pitch w:val="default"/>
    <w:sig w:usb0="800001E3" w:usb1="1200FFEF" w:usb2="00040000" w:usb3="04000000" w:csb0="00000001" w:csb1="40000000"/>
  </w:font>
  <w:font w:name="MS Gothic">
    <w:panose1 w:val="020B0609070205080204"/>
    <w:charset w:val="80"/>
    <w:family w:val="modern"/>
    <w:pitch w:val="default"/>
    <w:sig w:usb0="E00002FF" w:usb1="6AC7FDFB" w:usb2="08000012" w:usb3="00000000" w:csb0="4002009F" w:csb1="DFD70000"/>
  </w:font>
  <w:font w:name="MS Mincho">
    <w:altName w:val="MS UI Gothic"/>
    <w:panose1 w:val="02020609040205080304"/>
    <w:charset w:val="80"/>
    <w:family w:val="roman"/>
    <w:pitch w:val="default"/>
    <w:sig w:usb0="00000000" w:usb1="00000000" w:usb2="00000012" w:usb3="00000000" w:csb0="4002009F" w:csb1="DFD70000"/>
  </w:font>
  <w:font w:name="MS UI 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63A9BE">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A9E069">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22FE7">
    <w:pPr>
      <w:pStyle w:val="39"/>
      <w:framePr w:wrap="around" w:vAnchor="text" w:hAnchor="margin" w:xAlign="right" w:y="1"/>
      <w:rPr>
        <w:rStyle w:val="72"/>
      </w:rPr>
    </w:pPr>
    <w:r>
      <w:fldChar w:fldCharType="begin"/>
    </w:r>
    <w:r>
      <w:rPr>
        <w:rStyle w:val="72"/>
      </w:rPr>
      <w:instrText xml:space="preserve">PAGE  </w:instrText>
    </w:r>
    <w:r>
      <w:fldChar w:fldCharType="end"/>
    </w:r>
  </w:p>
  <w:p w14:paraId="65FC6C0A">
    <w:pPr>
      <w:pStyle w:val="39"/>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EB675">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515" w:name="_Toc91899912"/>
    <w:bookmarkStart w:id="516" w:name="_Toc164085800"/>
    <w:bookmarkStart w:id="517" w:name="_Toc36110187"/>
    <w:bookmarkStart w:id="518" w:name="_Toc131845147"/>
    <w:r>
      <w:rPr>
        <w:rFonts w:hint="eastAsia" w:ascii="仿宋_GB2312" w:eastAsia="仿宋_GB2312"/>
        <w:kern w:val="0"/>
        <w:szCs w:val="21"/>
      </w:rPr>
      <w:t xml:space="preserve"> 页</w:t>
    </w:r>
    <w:bookmarkEnd w:id="515"/>
    <w:bookmarkEnd w:id="516"/>
    <w:bookmarkEnd w:id="517"/>
    <w:bookmarkEnd w:id="51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736CE6">
    <w:pPr>
      <w:pStyle w:val="39"/>
      <w:framePr w:wrap="around" w:vAnchor="text" w:hAnchor="margin" w:xAlign="right" w:y="1"/>
      <w:rPr>
        <w:rStyle w:val="72"/>
      </w:rPr>
    </w:pPr>
    <w:r>
      <w:fldChar w:fldCharType="begin"/>
    </w:r>
    <w:r>
      <w:rPr>
        <w:rStyle w:val="72"/>
      </w:rPr>
      <w:instrText xml:space="preserve">PAGE  </w:instrText>
    </w:r>
    <w:r>
      <w:fldChar w:fldCharType="end"/>
    </w:r>
  </w:p>
  <w:p w14:paraId="5E0900AF">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DCCF49">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C6DF42">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798249BA">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467A5">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A8062F7">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3AF66">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6948AC30">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8C8FC4">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5831DD3">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5DEE7">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0E3EDA19">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46EDA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14:paraId="1AB157C5">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986DA1">
    <w:pPr>
      <w:pStyle w:val="40"/>
      <w:pBdr>
        <w:bottom w:val="none" w:color="auto" w:sz="0" w:space="4"/>
      </w:pBdr>
      <w:jc w:val="right"/>
    </w:pPr>
    <w:r>
      <w:t></w:t>
    </w:r>
    <w:r>
      <w:rPr>
        <w:rFonts w:hint="eastAsia"/>
      </w:rPr>
      <w:t xml:space="preserve">         </w:t>
    </w:r>
  </w:p>
  <w:p w14:paraId="5E97806E">
    <w:pPr>
      <w:pStyle w:val="58"/>
      <w:pBdr>
        <w:bottom w:val="none" w:color="auto" w:sz="0" w:space="0"/>
      </w:pBdr>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DFFC5">
    <w:pPr>
      <w:pStyle w:val="40"/>
      <w:pBdr>
        <w:bottom w:val="none" w:color="auto" w:sz="0" w:space="1"/>
      </w:pBdr>
    </w:pPr>
    <w:r>
      <w:t></w:t>
    </w: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C7586B">
    <w:pPr>
      <w:pStyle w:val="40"/>
      <w:pBdr>
        <w:bottom w:val="none" w:color="auto" w:sz="0" w:space="0"/>
      </w:pBdr>
      <w:tabs>
        <w:tab w:val="center" w:pos="4535"/>
        <w:tab w:val="right" w:pos="9070"/>
        <w:tab w:val="clear" w:pos="4153"/>
        <w:tab w:val="clear" w:pos="8306"/>
      </w:tabs>
      <w:jc w:val="right"/>
    </w:pPr>
    <w:r>
      <w:rPr>
        <w:lang w:val="zh-CN"/>
      </w:rPr>
      <w:t></w:t>
    </w:r>
    <w:r>
      <w:tab/>
    </w:r>
    <w:r>
      <w:rPr>
        <w:lang w:val="zh-CN"/>
      </w:rPr>
      <w:t></w: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F3B6CC">
    <w:pPr>
      <w:pStyle w:val="40"/>
      <w:pBdr>
        <w:bottom w:val="none" w:color="auto" w:sz="0" w:space="1"/>
      </w:pBdr>
      <w:rPr>
        <w:rFonts w:ascii="仿宋_GB2312" w:eastAsia="仿宋_GB2312"/>
        <w:b/>
        <w:i/>
        <w:u w:val="single"/>
      </w:rPr>
    </w:pPr>
    <w:r>
      <w:t></w:t>
    </w:r>
    <w:r>
      <w:rPr>
        <w:rFonts w:hint="eastAsia"/>
      </w:rPr>
      <w:t xml:space="preserve">                                                  </w:t>
    </w:r>
    <w:r>
      <w:t xml:space="preserve">            </w:t>
    </w:r>
  </w:p>
  <w:p w14:paraId="7DC11C7F">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CA6B78">
    <w:pPr>
      <w:pStyle w:val="40"/>
      <w:pBdr>
        <w:bottom w:val="none" w:color="auto" w:sz="0" w:space="1"/>
      </w:pBdr>
    </w:pPr>
    <w:r>
      <w:t></w:t>
    </w:r>
    <w:r>
      <w:rPr>
        <w:rFonts w:hint="eastAsia"/>
      </w:rPr>
      <w:t xml:space="preserve">         </w:t>
    </w:r>
  </w:p>
  <w:p w14:paraId="6F97612A">
    <w:pPr>
      <w:pStyle w:val="40"/>
      <w:pBdr>
        <w:bottom w:val="none" w:color="auto" w:sz="0" w:space="1"/>
      </w:pBdr>
    </w:pPr>
    <w:r>
      <w:rPr>
        <w:rFonts w:hint="eastAsia"/>
      </w:rPr>
      <w:t xml:space="preserve">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F8352">
    <w:pPr>
      <w:pStyle w:val="40"/>
      <w:pBdr>
        <w:bottom w:val="none" w:color="auto" w:sz="0" w:space="1"/>
      </w:pBdr>
      <w:rPr>
        <w:rFonts w:ascii="仿宋_GB2312" w:eastAsia="仿宋_GB2312"/>
        <w:b/>
        <w:i/>
        <w:u w:val="single"/>
      </w:rPr>
    </w:pPr>
    <w:r>
      <w:t></w:t>
    </w:r>
    <w:r>
      <w:rPr>
        <w:rFonts w:hint="eastAsia"/>
      </w:rPr>
      <w:t xml:space="preserve">                                   </w:t>
    </w:r>
  </w:p>
  <w:p w14:paraId="4E6D3F42">
    <w:pPr>
      <w:pBdr>
        <w:bottom w:val="none" w:color="auto" w:sz="0" w:space="0"/>
      </w:pBd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FF6727">
    <w:pPr>
      <w:pStyle w:val="40"/>
      <w:pBdr>
        <w:bottom w:val="none" w:color="auto" w:sz="0" w:space="1"/>
      </w:pBdr>
      <w:jc w:val="right"/>
    </w:pPr>
    <w:r>
      <w:t></w:t>
    </w:r>
    <w:r>
      <w:rPr>
        <w:rFonts w:hint="eastAsia"/>
      </w:rPr>
      <w:t xml:space="preserve">                 </w:t>
    </w:r>
    <w:r>
      <w:t xml:space="preserve">                                </w:t>
    </w:r>
    <w:r>
      <w:rPr>
        <w:rFonts w:hint="eastAsia"/>
      </w:rPr>
      <w:t xml:space="preserve">         </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165F28">
    <w:pPr>
      <w:pStyle w:val="40"/>
      <w:jc w:val="right"/>
      <w:rPr>
        <w:rFonts w:ascii="仿宋_GB2312" w:eastAsia="仿宋_GB2312"/>
        <w:b/>
        <w:i/>
        <w:u w:val="single"/>
      </w:rPr>
    </w:pPr>
    <w:r>
      <w:rPr>
        <w:rFonts w:hint="eastAsia"/>
      </w:rPr>
      <w:t xml:space="preserve">                                  </w:t>
    </w:r>
    <w:r>
      <w:t>杭州市政府采购公开招标文件</w:t>
    </w:r>
  </w:p>
  <w:p w14:paraId="6EB7AF38">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F54DC7">
    <w:pPr>
      <w:pStyle w:val="40"/>
      <w:pBdr>
        <w:bottom w:val="none" w:color="auto" w:sz="0" w:space="1"/>
      </w:pBdr>
      <w:jc w:val="right"/>
    </w:pPr>
    <w:r>
      <w:rPr>
        <w:rFonts w:hint="eastAsia"/>
      </w:rPr>
      <w:t xml:space="preserve">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982D0">
    <w:pPr>
      <w:pStyle w:val="40"/>
      <w:pBdr>
        <w:bottom w:val="none" w:color="auto" w:sz="0" w:space="1"/>
      </w:pBdr>
      <w:jc w:val="right"/>
      <w:rPr>
        <w:rFonts w:ascii="仿宋_GB2312" w:eastAsia="仿宋_GB2312"/>
        <w:b/>
        <w:i/>
        <w:iCs/>
        <w:u w:val="single"/>
      </w:rP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1892D21"/>
    <w:multiLevelType w:val="singleLevel"/>
    <w:tmpl w:val="41892D2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31C21"/>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4E70E3"/>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2E3923"/>
    <w:rsid w:val="135F4BE2"/>
    <w:rsid w:val="139B1A0A"/>
    <w:rsid w:val="139D25C7"/>
    <w:rsid w:val="13BF3CE4"/>
    <w:rsid w:val="13CE750E"/>
    <w:rsid w:val="141008D8"/>
    <w:rsid w:val="14125FE6"/>
    <w:rsid w:val="146D271E"/>
    <w:rsid w:val="14982588"/>
    <w:rsid w:val="149A5AD9"/>
    <w:rsid w:val="14A7619D"/>
    <w:rsid w:val="150536C3"/>
    <w:rsid w:val="150C1963"/>
    <w:rsid w:val="151447A0"/>
    <w:rsid w:val="154A6454"/>
    <w:rsid w:val="15762120"/>
    <w:rsid w:val="16A8729C"/>
    <w:rsid w:val="16B33777"/>
    <w:rsid w:val="16BC70A7"/>
    <w:rsid w:val="16C6339E"/>
    <w:rsid w:val="172F2D79"/>
    <w:rsid w:val="17557BEF"/>
    <w:rsid w:val="17D349C1"/>
    <w:rsid w:val="1830729E"/>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3D060F"/>
    <w:rsid w:val="1E3F7D2E"/>
    <w:rsid w:val="1E4134E4"/>
    <w:rsid w:val="1E5062B3"/>
    <w:rsid w:val="1E523514"/>
    <w:rsid w:val="1E714A66"/>
    <w:rsid w:val="1E802593"/>
    <w:rsid w:val="1E8B6156"/>
    <w:rsid w:val="1EA703CC"/>
    <w:rsid w:val="1EB7330C"/>
    <w:rsid w:val="1F0A0FF3"/>
    <w:rsid w:val="1F5771FF"/>
    <w:rsid w:val="1FD52DD5"/>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6D06C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0402C4"/>
    <w:rsid w:val="314550B7"/>
    <w:rsid w:val="319C6071"/>
    <w:rsid w:val="31AC537E"/>
    <w:rsid w:val="31E3679B"/>
    <w:rsid w:val="31E732FD"/>
    <w:rsid w:val="32517576"/>
    <w:rsid w:val="32BE5C2C"/>
    <w:rsid w:val="32FB6478"/>
    <w:rsid w:val="3304433F"/>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86797"/>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5765F"/>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B82D0F"/>
    <w:rsid w:val="4AEB7664"/>
    <w:rsid w:val="4AFD7C19"/>
    <w:rsid w:val="4B0567D1"/>
    <w:rsid w:val="4B236AAE"/>
    <w:rsid w:val="4B65492A"/>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6D4A83"/>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CF35D1E"/>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0FC0DF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59E3481"/>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2541"/>
    <w:rsid w:val="68876EFB"/>
    <w:rsid w:val="68884654"/>
    <w:rsid w:val="689F444F"/>
    <w:rsid w:val="68B96DBB"/>
    <w:rsid w:val="68CA2805"/>
    <w:rsid w:val="68E937A3"/>
    <w:rsid w:val="691664E5"/>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4B4683"/>
    <w:rsid w:val="707723D0"/>
    <w:rsid w:val="70F5661B"/>
    <w:rsid w:val="71360107"/>
    <w:rsid w:val="713B688E"/>
    <w:rsid w:val="71D43752"/>
    <w:rsid w:val="71F1796A"/>
    <w:rsid w:val="72154626"/>
    <w:rsid w:val="72262B5D"/>
    <w:rsid w:val="72283FF7"/>
    <w:rsid w:val="722E7212"/>
    <w:rsid w:val="723A0474"/>
    <w:rsid w:val="725923E4"/>
    <w:rsid w:val="72864BF7"/>
    <w:rsid w:val="729023FC"/>
    <w:rsid w:val="72AE1882"/>
    <w:rsid w:val="73C0646E"/>
    <w:rsid w:val="73E7CF11"/>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6FD013A"/>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D05746"/>
    <w:rsid w:val="7B257FFD"/>
    <w:rsid w:val="7B273D20"/>
    <w:rsid w:val="7B343476"/>
    <w:rsid w:val="7B5A2978"/>
    <w:rsid w:val="7B5A7E4C"/>
    <w:rsid w:val="7B667AF9"/>
    <w:rsid w:val="7B7468F8"/>
    <w:rsid w:val="7BA9702E"/>
    <w:rsid w:val="7BEE0103"/>
    <w:rsid w:val="7C0A0FE4"/>
    <w:rsid w:val="7C254906"/>
    <w:rsid w:val="7C590818"/>
    <w:rsid w:val="7C7C10F6"/>
    <w:rsid w:val="7C853BEA"/>
    <w:rsid w:val="7C881368"/>
    <w:rsid w:val="7CE27788"/>
    <w:rsid w:val="7D0C32F1"/>
    <w:rsid w:val="7D0F408D"/>
    <w:rsid w:val="7D491C6C"/>
    <w:rsid w:val="7D5429C0"/>
    <w:rsid w:val="7D6E6D43"/>
    <w:rsid w:val="7D733B0F"/>
    <w:rsid w:val="7DB57A34"/>
    <w:rsid w:val="7DE60973"/>
    <w:rsid w:val="7DEF0916"/>
    <w:rsid w:val="7E1E5218"/>
    <w:rsid w:val="7E9A4E1F"/>
    <w:rsid w:val="7EA7723A"/>
    <w:rsid w:val="7EF56FBB"/>
    <w:rsid w:val="7F0768EB"/>
    <w:rsid w:val="7F143BEC"/>
    <w:rsid w:val="7F715AF2"/>
    <w:rsid w:val="7F886E69"/>
    <w:rsid w:val="BB7FA927"/>
    <w:rsid w:val="F5FFD31F"/>
    <w:rsid w:val="F6FF69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qFormat/>
    <w:uiPriority w:val="0"/>
    <w:pPr>
      <w:keepNext/>
      <w:keepLines/>
      <w:tabs>
        <w:tab w:val="left" w:pos="900"/>
      </w:tabs>
      <w:spacing w:before="260" w:after="260" w:line="416" w:lineRule="auto"/>
      <w:ind w:left="900" w:hanging="720"/>
      <w:outlineLvl w:val="2"/>
    </w:pPr>
    <w:rPr>
      <w:b/>
      <w:bCs/>
      <w:sz w:val="32"/>
      <w:szCs w:val="32"/>
    </w:rPr>
  </w:style>
  <w:style w:type="paragraph" w:styleId="5">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6">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7">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8">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9">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0">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style>
  <w:style w:type="paragraph" w:styleId="12">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3">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4">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1"/>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next w:val="1"/>
    <w:link w:val="265"/>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125"/>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181"/>
    <w:qFormat/>
    <w:uiPriority w:val="0"/>
    <w:pPr>
      <w:ind w:left="100" w:leftChars="2500"/>
    </w:pPr>
    <w:rPr>
      <w:rFonts w:ascii="宋体"/>
      <w:sz w:val="24"/>
      <w:szCs w:val="21"/>
      <w:lang w:val="zh-CN"/>
    </w:rPr>
  </w:style>
  <w:style w:type="paragraph" w:styleId="36">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7">
    <w:name w:val="endnote text"/>
    <w:basedOn w:val="1"/>
    <w:link w:val="932"/>
    <w:qFormat/>
    <w:uiPriority w:val="0"/>
    <w:rPr>
      <w:lang w:val="zh-CN"/>
    </w:rPr>
  </w:style>
  <w:style w:type="paragraph" w:styleId="38">
    <w:name w:val="Balloon Text"/>
    <w:basedOn w:val="1"/>
    <w:link w:val="188"/>
    <w:qFormat/>
    <w:uiPriority w:val="0"/>
    <w:rPr>
      <w:sz w:val="18"/>
      <w:szCs w:val="18"/>
    </w:rPr>
  </w:style>
  <w:style w:type="paragraph" w:styleId="39">
    <w:name w:val="footer"/>
    <w:basedOn w:val="1"/>
    <w:link w:val="383"/>
    <w:qFormat/>
    <w:uiPriority w:val="99"/>
    <w:pPr>
      <w:tabs>
        <w:tab w:val="center" w:pos="4153"/>
        <w:tab w:val="right" w:pos="8306"/>
      </w:tabs>
      <w:snapToGrid w:val="0"/>
      <w:jc w:val="left"/>
    </w:pPr>
    <w:rPr>
      <w:sz w:val="18"/>
      <w:szCs w:val="18"/>
    </w:rPr>
  </w:style>
  <w:style w:type="paragraph" w:styleId="40">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5"/>
    <w:link w:val="310"/>
    <w:qFormat/>
    <w:uiPriority w:val="0"/>
    <w:pPr>
      <w:adjustRightInd/>
      <w:snapToGrid/>
      <w:spacing w:before="60" w:after="60" w:line="300" w:lineRule="exact"/>
      <w:ind w:firstLine="0"/>
    </w:pPr>
    <w:rPr>
      <w:rFonts w:ascii="Calibri"/>
      <w:snapToGrid/>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375"/>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302"/>
    <w:qFormat/>
    <w:uiPriority w:val="0"/>
    <w:pPr>
      <w:spacing w:after="120" w:line="480" w:lineRule="auto"/>
    </w:pPr>
  </w:style>
  <w:style w:type="paragraph" w:styleId="56">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59">
    <w:name w:val="annotation subject"/>
    <w:basedOn w:val="19"/>
    <w:next w:val="19"/>
    <w:link w:val="96"/>
    <w:qFormat/>
    <w:uiPriority w:val="0"/>
    <w:rPr>
      <w:b/>
      <w:bCs/>
    </w:rPr>
  </w:style>
  <w:style w:type="paragraph" w:styleId="60">
    <w:name w:val="Body Text First Indent"/>
    <w:basedOn w:val="23"/>
    <w:next w:val="1"/>
    <w:link w:val="321"/>
    <w:qFormat/>
    <w:uiPriority w:val="0"/>
    <w:pPr>
      <w:ind w:firstLine="420"/>
    </w:pPr>
    <w:rPr>
      <w:rFonts w:hAnsi="Calibri" w:cs="Times New Roman"/>
      <w:snapToGrid/>
      <w:szCs w:val="20"/>
    </w:rPr>
  </w:style>
  <w:style w:type="paragraph" w:styleId="61">
    <w:name w:val="Body Text First Indent 2"/>
    <w:basedOn w:val="24"/>
    <w:next w:val="60"/>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59"/>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6"/>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7"/>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5"/>
    <w:qFormat/>
    <w:uiPriority w:val="0"/>
    <w:rPr>
      <w:rFonts w:ascii="宋体"/>
      <w:kern w:val="2"/>
      <w:sz w:val="24"/>
      <w:szCs w:val="21"/>
      <w:lang w:val="zh-CN"/>
    </w:rPr>
  </w:style>
  <w:style w:type="character" w:customStyle="1" w:styleId="182">
    <w:name w:val="标题 9 Char"/>
    <w:link w:val="10"/>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99"/>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38"/>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1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29"/>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5"/>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4"/>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8"/>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6"/>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6"/>
    <w:qFormat/>
    <w:uiPriority w:val="0"/>
    <w:rPr>
      <w:rFonts w:ascii="黑体" w:hAnsi="Courier New" w:eastAsia="黑体"/>
    </w:rPr>
  </w:style>
  <w:style w:type="character" w:customStyle="1" w:styleId="302">
    <w:name w:val="正文文本 2 Char1"/>
    <w:link w:val="55"/>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5"/>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8"/>
    <w:qFormat/>
    <w:uiPriority w:val="0"/>
    <w:rPr>
      <w:b/>
      <w:bCs/>
      <w:kern w:val="2"/>
      <w:sz w:val="24"/>
      <w:szCs w:val="24"/>
    </w:rPr>
  </w:style>
  <w:style w:type="character" w:customStyle="1" w:styleId="308">
    <w:name w:val="正文文本缩进 2 Char"/>
    <w:link w:val="36"/>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49"/>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60"/>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5"/>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99"/>
    <w:rPr>
      <w:kern w:val="2"/>
      <w:sz w:val="21"/>
      <w:szCs w:val="24"/>
    </w:rPr>
  </w:style>
  <w:style w:type="character" w:customStyle="1" w:styleId="345">
    <w:name w:val="签名 Char"/>
    <w:link w:val="41"/>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9"/>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2"/>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39"/>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0"/>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1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5"/>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7"/>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6"/>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1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60"/>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5"/>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1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5"/>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5"/>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28"/>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5"/>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6"/>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8"/>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1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5"/>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4"/>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6"/>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7"/>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character" w:customStyle="1" w:styleId="965">
    <w:name w:val="bookmark-item"/>
    <w:basedOn w:val="6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86</Pages>
  <Words>7895</Words>
  <Characters>8613</Characters>
  <Lines>281</Lines>
  <Paragraphs>79</Paragraphs>
  <TotalTime>11</TotalTime>
  <ScaleCrop>false</ScaleCrop>
  <LinksUpToDate>false</LinksUpToDate>
  <CharactersWithSpaces>8952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2021-07-31T00:22:00Z</dcterms:created>
  <dc:creator>玥</dc:creator>
  <cp:lastModifiedBy>broccoliiiiiii</cp:lastModifiedBy>
  <cp:lastPrinted>2021-12-28T03:06:00Z</cp:lastPrinted>
  <dcterms:modified xsi:type="dcterms:W3CDTF">2025-05-28T06:53:56Z</dcterms:modified>
  <dc:title>杭州市市民卡扩大发卡工程</dc:title>
  <cp:revision>303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A080F0EEF67B48B695FE45E058CA1A4C_13</vt:lpwstr>
  </property>
  <property fmtid="{D5CDD505-2E9C-101B-9397-08002B2CF9AE}" pid="5" name="KSOTemplateDocerSaveRecord">
    <vt:lpwstr>eyJoZGlkIjoiZjE1YzM4N2RkZjQ1MmQwYWQ5NDFiYmU3Y2M3Yjc0ZmQiLCJ1c2VySWQiOiIyMDY5NDcyOTMifQ==</vt:lpwstr>
  </property>
</Properties>
</file>