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拱墅区住宅电梯安全责任险</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ZJZN-25838-GSSJ02</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杭州市拱墅区市场监督管理局</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浙江中诺招标代理有限公司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拱墅区住宅电梯安全责任险</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eastAsia="宋体" w:cs="宋体"/>
          <w:snapToGrid/>
          <w:color w:val="auto"/>
          <w:kern w:val="2"/>
          <w:sz w:val="24"/>
          <w:szCs w:val="24"/>
          <w:highlight w:val="none"/>
          <w:lang w:val="en-US" w:eastAsia="zh-CN"/>
        </w:rPr>
        <w:t>8月7日10</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ZJZN-25838-GSSJ02</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拱墅区住宅电梯安全责任险</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570000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57元每台电梯</w:t>
      </w:r>
      <w:r>
        <w:rPr>
          <w:rFonts w:ascii="宋体" w:hAnsi="宋体" w:cs="宋体"/>
          <w:color w:val="auto"/>
          <w:sz w:val="24"/>
          <w:highlight w:val="none"/>
        </w:rPr>
        <w:t xml:space="preserve"> </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拱墅区住宅电梯安全责任险</w:t>
      </w:r>
      <w:r>
        <w:rPr>
          <w:rFonts w:hint="eastAsia" w:hAnsi="宋体" w:cs="宋体"/>
          <w:bCs/>
          <w:snapToGrid/>
          <w:color w:val="auto"/>
          <w:kern w:val="2"/>
          <w:sz w:val="24"/>
          <w:szCs w:val="24"/>
          <w:highlight w:val="none"/>
        </w:rPr>
        <w:t>主要内容： 为提高我区电梯事故预防和风险管理水平，保障人民群众生命财产安全，在全区推广住宅电梯安全责任险，发挥保险的灾害预防、经济补偿和社会管理功能，妥善处理电梯事故责任赔偿，避免或减少相关法律纠纷。</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至202</w:t>
      </w:r>
      <w:r>
        <w:rPr>
          <w:rFonts w:hint="eastAsia" w:ascii="宋体" w:hAnsi="宋体" w:cs="宋体"/>
          <w:b w:val="0"/>
          <w:bCs/>
          <w:color w:val="auto"/>
          <w:highlight w:val="none"/>
          <w:lang w:val="en-US" w:eastAsia="zh-CN"/>
        </w:rPr>
        <w:t>5</w:t>
      </w:r>
      <w:r>
        <w:rPr>
          <w:rFonts w:hint="eastAsia" w:ascii="宋体" w:hAnsi="宋体" w:cs="宋体"/>
          <w:b w:val="0"/>
          <w:bCs/>
          <w:color w:val="auto"/>
          <w:highlight w:val="none"/>
        </w:rPr>
        <w:t>年11月30日</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经国务院保险监督管理机构批准</w:t>
      </w:r>
      <w:r>
        <w:rPr>
          <w:rFonts w:hint="eastAsia" w:ascii="宋体" w:hAnsi="宋体" w:cs="宋体"/>
          <w:color w:val="auto"/>
          <w:sz w:val="24"/>
          <w:highlight w:val="none"/>
          <w:u w:val="single"/>
          <w:lang w:val="en-US" w:eastAsia="zh-CN"/>
        </w:rPr>
        <w:t>成立</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取得保险许可证的保险公司或其分支机构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《中华人民共和国保险法》</w:t>
      </w:r>
      <w:r>
        <w:rPr>
          <w:rFonts w:hint="eastAsia" w:ascii="宋体" w:hAnsi="宋体" w:cs="宋体"/>
          <w:color w:val="auto"/>
          <w:sz w:val="24"/>
          <w:highlight w:val="none"/>
          <w:u w:val="single"/>
          <w:lang w:val="en-US" w:eastAsia="zh-CN"/>
        </w:rPr>
        <w:t>第六十七条、《银行保险机构许可证管理办法》第三条、第四条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杭州市拱墅区市场监督管理局</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址：杭州市拱墅区沈半路129号鹏龙商务大厦</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项目联系人（询问）：郑琦</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项目联系方式（询问）：0571-89506046</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质疑联系人：邵苗之</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质疑联系方式：0571-89506030</w:t>
      </w:r>
      <w:r>
        <w:rPr>
          <w:rFonts w:hint="eastAsia" w:ascii="宋体" w:hAnsi="宋体" w:eastAsia="宋体" w:cs="宋体"/>
          <w:snapToGrid w:val="0"/>
          <w:color w:val="auto"/>
          <w:kern w:val="0"/>
          <w:sz w:val="24"/>
          <w:szCs w:val="24"/>
          <w:highlight w:val="none"/>
          <w:lang w:val="en-US" w:eastAsia="zh-CN"/>
        </w:rPr>
        <w:t>（请通过以下路径在线提起质疑：政采云-项目采购-询问质疑投诉-质疑列表）</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浙江中诺招标代理有限公司</w:t>
      </w:r>
    </w:p>
    <w:p w14:paraId="7E69AC9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址：杭州市西湖区教工路269号保翌大厦14楼</w:t>
      </w:r>
    </w:p>
    <w:p w14:paraId="615091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8C5C4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eastAsia="宋体" w:cs="宋体"/>
          <w:snapToGrid w:val="0"/>
          <w:color w:val="auto"/>
          <w:kern w:val="0"/>
          <w:sz w:val="24"/>
          <w:szCs w:val="24"/>
          <w:highlight w:val="none"/>
        </w:rPr>
        <w:t>刘宋斌</w:t>
      </w:r>
    </w:p>
    <w:p w14:paraId="40D807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snapToGrid w:val="0"/>
          <w:color w:val="auto"/>
          <w:kern w:val="0"/>
          <w:sz w:val="24"/>
          <w:szCs w:val="24"/>
          <w:highlight w:val="none"/>
        </w:rPr>
        <w:t>0571-88821402</w:t>
      </w:r>
      <w:r>
        <w:rPr>
          <w:rFonts w:hint="eastAsia" w:ascii="宋体" w:hAnsi="宋体" w:eastAsia="宋体" w:cs="宋体"/>
          <w:snapToGrid w:val="0"/>
          <w:color w:val="auto"/>
          <w:kern w:val="0"/>
          <w:sz w:val="24"/>
          <w:szCs w:val="24"/>
          <w:highlight w:val="none"/>
          <w:lang w:val="en-US" w:eastAsia="zh-CN"/>
        </w:rPr>
        <w:t>-0</w:t>
      </w:r>
    </w:p>
    <w:p w14:paraId="460B39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snapToGrid w:val="0"/>
          <w:color w:val="auto"/>
          <w:kern w:val="0"/>
          <w:sz w:val="24"/>
          <w:szCs w:val="24"/>
          <w:highlight w:val="none"/>
        </w:rPr>
        <w:t>李倩</w:t>
      </w:r>
    </w:p>
    <w:p w14:paraId="48D3C49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snapToGrid w:val="0"/>
          <w:color w:val="auto"/>
          <w:kern w:val="0"/>
          <w:sz w:val="24"/>
          <w:szCs w:val="24"/>
          <w:highlight w:val="none"/>
        </w:rPr>
        <w:t>0571-88821402-80</w:t>
      </w:r>
      <w:r>
        <w:rPr>
          <w:rFonts w:hint="eastAsia" w:ascii="宋体" w:hAnsi="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lang w:val="en-US" w:eastAsia="zh-CN"/>
        </w:rPr>
        <w:t>（请通过以下路径在线提起质疑：政采云-项目采购-询问质疑投诉-质疑列表）</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称：杭州市拱墅区财政局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6535EC1C">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68601067">
      <w:pPr>
        <w:adjustRightInd/>
        <w:spacing w:line="360" w:lineRule="auto"/>
        <w:ind w:left="0" w:leftChars="0" w:firstLine="0" w:firstLineChars="0"/>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8"/>
        <w:gridCol w:w="2107"/>
        <w:gridCol w:w="6973"/>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tcPr>
          <w:p w14:paraId="37CF1AE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3BF79A5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023DC29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6308F35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04E4AB13">
            <w:pPr>
              <w:keepNext w:val="0"/>
              <w:keepLines w:val="0"/>
              <w:pageBreakBefore w:val="0"/>
              <w:kinsoku/>
              <w:wordWrap/>
              <w:overflowPunct/>
              <w:topLinePunct w:val="0"/>
              <w:bidi w:val="0"/>
              <w:adjustRightInd w:val="0"/>
              <w:snapToGrid w:val="0"/>
              <w:spacing w:line="240" w:lineRule="auto"/>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14:paraId="5EEA470E">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241F26C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56AA107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29380E4B">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拱墅区住宅电梯安全责任险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金融业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根据中国人民银行 中国银行业监督管理委员会 中国证券监督管理委员会 中国保险监督管理委员会 国家统计局关于印发《金融业企业划型标准规定》的通知（</w:t>
            </w:r>
            <w:r>
              <w:rPr>
                <w:rFonts w:hint="eastAsia" w:ascii="宋体" w:hAnsi="宋体" w:cs="宋体"/>
                <w:b w:val="0"/>
                <w:bCs w:val="0"/>
                <w:color w:val="auto"/>
                <w:kern w:val="0"/>
                <w:sz w:val="24"/>
                <w:szCs w:val="24"/>
                <w:highlight w:val="none"/>
                <w:lang w:val="en-US" w:eastAsia="zh-CN" w:bidi="ar-SA"/>
              </w:rPr>
              <w:t>银发</w:t>
            </w:r>
            <w:r>
              <w:rPr>
                <w:rFonts w:hint="eastAsia" w:ascii="宋体" w:hAnsi="宋体" w:eastAsia="宋体" w:cs="宋体"/>
                <w:b w:val="0"/>
                <w:bCs w:val="0"/>
                <w:color w:val="auto"/>
                <w:kern w:val="0"/>
                <w:sz w:val="24"/>
                <w:szCs w:val="24"/>
                <w:highlight w:val="none"/>
                <w:lang w:val="en-US" w:eastAsia="zh-CN" w:bidi="ar-SA"/>
              </w:rPr>
              <w:t>〔201</w:t>
            </w:r>
            <w:r>
              <w:rPr>
                <w:rFonts w:hint="eastAsia" w:ascii="宋体" w:hAnsi="宋体" w:cs="宋体"/>
                <w:b w:val="0"/>
                <w:bCs w:val="0"/>
                <w:color w:val="auto"/>
                <w:kern w:val="0"/>
                <w:sz w:val="24"/>
                <w:szCs w:val="24"/>
                <w:highlight w:val="none"/>
                <w:lang w:val="en-US" w:eastAsia="zh-CN" w:bidi="ar-SA"/>
              </w:rPr>
              <w:t>5</w:t>
            </w:r>
            <w:r>
              <w:rPr>
                <w:rFonts w:hint="eastAsia" w:ascii="宋体" w:hAnsi="宋体" w:eastAsia="宋体" w:cs="宋体"/>
                <w:b w:val="0"/>
                <w:bCs w:val="0"/>
                <w:color w:val="auto"/>
                <w:kern w:val="0"/>
                <w:sz w:val="24"/>
                <w:szCs w:val="24"/>
                <w:highlight w:val="none"/>
                <w:lang w:val="en-US" w:eastAsia="zh-CN" w:bidi="ar-SA"/>
              </w:rPr>
              <w:t>〕30</w:t>
            </w:r>
            <w:r>
              <w:rPr>
                <w:rFonts w:hint="eastAsia" w:ascii="宋体" w:hAnsi="宋体" w:cs="宋体"/>
                <w:b w:val="0"/>
                <w:bCs w:val="0"/>
                <w:color w:val="auto"/>
                <w:kern w:val="0"/>
                <w:sz w:val="24"/>
                <w:szCs w:val="24"/>
                <w:highlight w:val="none"/>
                <w:lang w:val="en-US" w:eastAsia="zh-CN" w:bidi="ar-SA"/>
              </w:rPr>
              <w:t>9</w:t>
            </w:r>
            <w:r>
              <w:rPr>
                <w:rFonts w:hint="eastAsia" w:ascii="宋体" w:hAnsi="宋体" w:eastAsia="宋体" w:cs="宋体"/>
                <w:b w:val="0"/>
                <w:bCs w:val="0"/>
                <w:color w:val="auto"/>
                <w:kern w:val="0"/>
                <w:sz w:val="24"/>
                <w:szCs w:val="24"/>
                <w:highlight w:val="none"/>
                <w:lang w:val="en-US" w:eastAsia="zh-CN" w:bidi="ar-SA"/>
              </w:rPr>
              <w:t>号）第</w:t>
            </w:r>
            <w:r>
              <w:rPr>
                <w:rFonts w:hint="eastAsia" w:ascii="宋体" w:hAnsi="宋体" w:cs="宋体"/>
                <w:b w:val="0"/>
                <w:bCs w:val="0"/>
                <w:color w:val="auto"/>
                <w:kern w:val="0"/>
                <w:sz w:val="24"/>
                <w:szCs w:val="24"/>
                <w:highlight w:val="none"/>
                <w:lang w:val="en-US" w:eastAsia="zh-CN" w:bidi="ar-SA"/>
              </w:rPr>
              <w:t>五</w:t>
            </w:r>
            <w:r>
              <w:rPr>
                <w:rFonts w:hint="eastAsia" w:ascii="宋体" w:hAnsi="宋体" w:eastAsia="宋体" w:cs="宋体"/>
                <w:b w:val="0"/>
                <w:bCs w:val="0"/>
                <w:color w:val="auto"/>
                <w:kern w:val="0"/>
                <w:sz w:val="24"/>
                <w:szCs w:val="24"/>
                <w:highlight w:val="none"/>
                <w:lang w:val="en-US" w:eastAsia="zh-CN" w:bidi="ar-SA"/>
              </w:rPr>
              <w:t>条规定：（五）保险业金融机构。资产总额5000亿元以下的为中小微型企业。其中，资产总额400亿元及以上的为中型企业，资产总额 20亿元及以上的为小型企业，资产总额20亿元以下的为微型企业。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73FFBC6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586A7D2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58D6E171">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7D9677A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079E4312">
            <w:pPr>
              <w:keepNext w:val="0"/>
              <w:keepLines w:val="0"/>
              <w:pageBreakBefore w:val="0"/>
              <w:kinsoku/>
              <w:wordWrap/>
              <w:overflowPunct/>
              <w:topLinePunct w:val="0"/>
              <w:bidi w:val="0"/>
              <w:adjustRightInd w:val="0"/>
              <w:snapToGrid w:val="0"/>
              <w:spacing w:line="24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7AFD7F88">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FE069BD">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4E3B3BF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2F59C2C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607723BC">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18E5266">
            <w:pPr>
              <w:pStyle w:val="79"/>
              <w:keepNext w:val="0"/>
              <w:keepLines w:val="0"/>
              <w:pageBreakBefore w:val="0"/>
              <w:kinsoku/>
              <w:wordWrap/>
              <w:overflowPunct/>
              <w:topLinePunct w:val="0"/>
              <w:bidi w:val="0"/>
              <w:adjustRightInd w:val="0"/>
              <w:snapToGrid w:val="0"/>
              <w:spacing w:line="240" w:lineRule="auto"/>
              <w:ind w:firstLine="0" w:firstLineChars="0"/>
              <w:textAlignment w:val="auto"/>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3925828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34F96D8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29A19C74">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keepNext w:val="0"/>
              <w:keepLines w:val="0"/>
              <w:pageBreakBefore w:val="0"/>
              <w:kinsoku/>
              <w:wordWrap/>
              <w:overflowPunct/>
              <w:topLinePunct w:val="0"/>
              <w:bidi w:val="0"/>
              <w:adjustRightInd w:val="0"/>
              <w:snapToGrid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32C2B9F7">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4CE53DD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150BEE83">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keepNext w:val="0"/>
              <w:keepLines w:val="0"/>
              <w:pageBreakBefore w:val="0"/>
              <w:kinsoku/>
              <w:wordWrap/>
              <w:overflowPunct/>
              <w:topLinePunct w:val="0"/>
              <w:bidi w:val="0"/>
              <w:adjustRightInd w:val="0"/>
              <w:snapToGrid w:val="0"/>
              <w:spacing w:line="24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restart"/>
            <w:tcBorders>
              <w:top w:val="single" w:color="auto" w:sz="4" w:space="0"/>
              <w:left w:val="single" w:color="auto" w:sz="4" w:space="0"/>
              <w:right w:val="single" w:color="auto" w:sz="4" w:space="0"/>
            </w:tcBorders>
            <w:vAlign w:val="center"/>
          </w:tcPr>
          <w:p w14:paraId="40B1E49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075" w:type="pct"/>
            <w:vMerge w:val="restart"/>
            <w:tcBorders>
              <w:top w:val="single" w:color="000000" w:sz="8" w:space="0"/>
              <w:left w:val="single" w:color="auto" w:sz="4" w:space="0"/>
              <w:right w:val="single" w:color="000000" w:sz="8" w:space="0"/>
            </w:tcBorders>
            <w:vAlign w:val="center"/>
          </w:tcPr>
          <w:p w14:paraId="4DDDB98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31715BE8">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continue"/>
            <w:tcBorders>
              <w:left w:val="single" w:color="auto" w:sz="4" w:space="0"/>
              <w:bottom w:val="single" w:color="auto" w:sz="4" w:space="0"/>
              <w:right w:val="single" w:color="auto" w:sz="4" w:space="0"/>
            </w:tcBorders>
            <w:vAlign w:val="center"/>
          </w:tcPr>
          <w:p w14:paraId="5C7A07D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14:paraId="4590D7B1">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2A08AE2E">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bottom w:val="single" w:color="auto" w:sz="4" w:space="0"/>
              <w:right w:val="single" w:color="000000" w:sz="2" w:space="0"/>
            </w:tcBorders>
            <w:vAlign w:val="center"/>
          </w:tcPr>
          <w:p w14:paraId="6F751B8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6A8F342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079EFCC3">
            <w:pPr>
              <w:pStyle w:val="7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keepNext w:val="0"/>
              <w:keepLines w:val="0"/>
              <w:pageBreakBefore w:val="0"/>
              <w:kinsoku/>
              <w:wordWrap/>
              <w:overflowPunct/>
              <w:topLinePunct w:val="0"/>
              <w:bidi w:val="0"/>
              <w:adjustRightInd w:val="0"/>
              <w:snapToGrid w:val="0"/>
              <w:spacing w:line="240" w:lineRule="auto"/>
              <w:jc w:val="both"/>
              <w:textAlignment w:val="auto"/>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bottom w:val="single" w:color="auto" w:sz="4" w:space="0"/>
              <w:right w:val="single" w:color="000000" w:sz="2" w:space="0"/>
            </w:tcBorders>
            <w:vAlign w:val="center"/>
          </w:tcPr>
          <w:p w14:paraId="65ED4C9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00383485">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6C0E6760">
            <w:pPr>
              <w:keepNext w:val="0"/>
              <w:keepLines w:val="0"/>
              <w:pageBreakBefore w:val="0"/>
              <w:kinsoku/>
              <w:wordWrap/>
              <w:overflowPunct/>
              <w:topLinePunct w:val="0"/>
              <w:bidi w:val="0"/>
              <w:adjustRightInd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keepNext w:val="0"/>
              <w:keepLines w:val="0"/>
              <w:pageBreakBefore w:val="0"/>
              <w:kinsoku/>
              <w:wordWrap/>
              <w:overflowPunct/>
              <w:topLinePunct w:val="0"/>
              <w:bidi w:val="0"/>
              <w:adjustRightInd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keepNext w:val="0"/>
              <w:keepLines w:val="0"/>
              <w:pageBreakBefore w:val="0"/>
              <w:kinsoku/>
              <w:wordWrap/>
              <w:overflowPunct/>
              <w:topLinePunct w:val="0"/>
              <w:bidi w:val="0"/>
              <w:adjustRightInd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keepNext w:val="0"/>
              <w:keepLines w:val="0"/>
              <w:pageBreakBefore w:val="0"/>
              <w:kinsoku/>
              <w:wordWrap/>
              <w:overflowPunct/>
              <w:topLinePunct w:val="0"/>
              <w:bidi w:val="0"/>
              <w:adjustRightInd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keepNext w:val="0"/>
              <w:keepLines w:val="0"/>
              <w:pageBreakBefore w:val="0"/>
              <w:kinsoku/>
              <w:wordWrap/>
              <w:overflowPunct/>
              <w:topLinePunct w:val="0"/>
              <w:bidi w:val="0"/>
              <w:adjustRightInd w:val="0"/>
              <w:snapToGrid w:val="0"/>
              <w:spacing w:line="240" w:lineRule="auto"/>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keepNext w:val="0"/>
              <w:keepLines w:val="0"/>
              <w:pageBreakBefore w:val="0"/>
              <w:kinsoku/>
              <w:wordWrap/>
              <w:overflowPunct/>
              <w:topLinePunct w:val="0"/>
              <w:bidi w:val="0"/>
              <w:adjustRightInd w:val="0"/>
              <w:snapToGrid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right w:val="single" w:color="000000" w:sz="2" w:space="0"/>
            </w:tcBorders>
            <w:vAlign w:val="center"/>
          </w:tcPr>
          <w:p w14:paraId="508204F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075" w:type="pct"/>
            <w:tcBorders>
              <w:top w:val="single" w:color="000000" w:sz="8" w:space="0"/>
              <w:left w:val="single" w:color="000000" w:sz="2" w:space="0"/>
              <w:right w:val="single" w:color="000000" w:sz="8" w:space="0"/>
            </w:tcBorders>
            <w:vAlign w:val="center"/>
          </w:tcPr>
          <w:p w14:paraId="3D8BAA3D">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3557" w:type="pct"/>
            <w:tcBorders>
              <w:top w:val="single" w:color="000000" w:sz="8" w:space="0"/>
              <w:left w:val="single" w:color="000000" w:sz="2" w:space="0"/>
              <w:right w:val="single" w:color="000000" w:sz="8" w:space="0"/>
            </w:tcBorders>
            <w:vAlign w:val="center"/>
          </w:tcPr>
          <w:p w14:paraId="204574E8">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bottom w:val="single" w:color="auto" w:sz="4" w:space="0"/>
              <w:right w:val="single" w:color="000000" w:sz="2" w:space="0"/>
            </w:tcBorders>
            <w:vAlign w:val="center"/>
          </w:tcPr>
          <w:p w14:paraId="03E67B0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075" w:type="pct"/>
            <w:tcBorders>
              <w:top w:val="single" w:color="000000" w:sz="8" w:space="0"/>
              <w:left w:val="single" w:color="000000" w:sz="2" w:space="0"/>
              <w:bottom w:val="single" w:color="000000" w:sz="8" w:space="0"/>
              <w:right w:val="single" w:color="000000" w:sz="8" w:space="0"/>
            </w:tcBorders>
            <w:vAlign w:val="center"/>
          </w:tcPr>
          <w:p w14:paraId="4002ED00">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14:paraId="1C4D0354">
            <w:pPr>
              <w:pStyle w:val="32"/>
              <w:keepNext w:val="0"/>
              <w:keepLines w:val="0"/>
              <w:pageBreakBefore w:val="0"/>
              <w:kinsoku/>
              <w:wordWrap/>
              <w:overflowPunct/>
              <w:topLinePunct w:val="0"/>
              <w:bidi w:val="0"/>
              <w:adjustRightInd w:val="0"/>
              <w:snapToGrid w:val="0"/>
              <w:spacing w:line="240" w:lineRule="auto"/>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浙江中诺招标代理有限公司（杭州市西湖区教工路269号保翌大厦14楼）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ascii="宋体" w:hAnsi="宋体" w:eastAsia="宋体" w:cs="宋体"/>
                <w:color w:val="auto"/>
                <w:kern w:val="28"/>
                <w:sz w:val="24"/>
                <w:szCs w:val="24"/>
                <w:highlight w:val="none"/>
                <w:u w:val="single"/>
              </w:rPr>
              <w:t>刘宋斌</w:t>
            </w:r>
            <w:r>
              <w:rPr>
                <w:rFonts w:hint="eastAsia" w:ascii="宋体" w:hAnsi="宋体" w:eastAsia="宋体" w:cs="宋体"/>
                <w:color w:val="auto"/>
                <w:kern w:val="28"/>
                <w:sz w:val="24"/>
                <w:szCs w:val="24"/>
                <w:highlight w:val="none"/>
                <w:u w:val="single"/>
                <w:lang w:val="en-US" w:eastAsia="zh-CN"/>
              </w:rPr>
              <w:t xml:space="preserve"> </w:t>
            </w:r>
            <w:r>
              <w:rPr>
                <w:rFonts w:hint="eastAsia" w:ascii="宋体" w:hAnsi="宋体" w:eastAsia="宋体" w:cs="宋体"/>
                <w:color w:val="auto"/>
                <w:kern w:val="28"/>
                <w:sz w:val="24"/>
                <w:szCs w:val="24"/>
                <w:highlight w:val="none"/>
                <w:u w:val="single"/>
              </w:rPr>
              <w:t>0571-88821402</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restart"/>
            <w:tcBorders>
              <w:top w:val="single" w:color="auto" w:sz="4" w:space="0"/>
              <w:left w:val="single" w:color="000000" w:sz="8" w:space="0"/>
              <w:right w:val="single" w:color="000000" w:sz="2" w:space="0"/>
            </w:tcBorders>
            <w:vAlign w:val="center"/>
          </w:tcPr>
          <w:p w14:paraId="26667A4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075" w:type="pct"/>
            <w:vMerge w:val="restart"/>
            <w:tcBorders>
              <w:top w:val="single" w:color="000000" w:sz="8" w:space="0"/>
              <w:left w:val="single" w:color="000000" w:sz="2" w:space="0"/>
              <w:right w:val="single" w:color="000000" w:sz="8" w:space="0"/>
            </w:tcBorders>
            <w:vAlign w:val="center"/>
          </w:tcPr>
          <w:p w14:paraId="251E7FA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14:paraId="087E5F2E">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continue"/>
            <w:tcBorders>
              <w:left w:val="single" w:color="000000" w:sz="8" w:space="0"/>
              <w:right w:val="single" w:color="000000" w:sz="2" w:space="0"/>
            </w:tcBorders>
            <w:vAlign w:val="center"/>
          </w:tcPr>
          <w:p w14:paraId="7FF9857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075" w:type="pct"/>
            <w:vMerge w:val="continue"/>
            <w:tcBorders>
              <w:left w:val="single" w:color="000000" w:sz="2" w:space="0"/>
              <w:right w:val="single" w:color="000000" w:sz="8" w:space="0"/>
            </w:tcBorders>
            <w:vAlign w:val="center"/>
          </w:tcPr>
          <w:p w14:paraId="500B23D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3557" w:type="pct"/>
            <w:tcBorders>
              <w:top w:val="single" w:color="000000" w:sz="8" w:space="0"/>
              <w:left w:val="single" w:color="000000" w:sz="2" w:space="0"/>
              <w:bottom w:val="single" w:color="000000" w:sz="8" w:space="0"/>
              <w:right w:val="single" w:color="000000" w:sz="8" w:space="0"/>
            </w:tcBorders>
            <w:vAlign w:val="center"/>
          </w:tcPr>
          <w:p w14:paraId="1456170E">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000000" w:sz="2" w:space="0"/>
            </w:tcBorders>
            <w:vAlign w:val="center"/>
          </w:tcPr>
          <w:p w14:paraId="67AD759D">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075" w:type="pct"/>
            <w:tcBorders>
              <w:top w:val="single" w:color="auto" w:sz="4" w:space="0"/>
              <w:left w:val="single" w:color="000000" w:sz="2" w:space="0"/>
              <w:bottom w:val="single" w:color="auto" w:sz="4" w:space="0"/>
              <w:right w:val="single" w:color="000000" w:sz="8" w:space="0"/>
            </w:tcBorders>
            <w:vAlign w:val="center"/>
          </w:tcPr>
          <w:p w14:paraId="7BF9C4C7">
            <w:pPr>
              <w:keepNext w:val="0"/>
              <w:keepLines w:val="0"/>
              <w:pageBreakBefore w:val="0"/>
              <w:kinsoku/>
              <w:wordWrap/>
              <w:overflowPunct/>
              <w:topLinePunct w:val="0"/>
              <w:bidi w:val="0"/>
              <w:adjustRightInd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3557" w:type="pct"/>
            <w:tcBorders>
              <w:top w:val="single" w:color="auto" w:sz="4" w:space="0"/>
              <w:left w:val="single" w:color="000000" w:sz="2" w:space="0"/>
              <w:bottom w:val="single" w:color="000000" w:sz="8" w:space="0"/>
              <w:right w:val="single" w:color="auto" w:sz="4" w:space="0"/>
            </w:tcBorders>
            <w:vAlign w:val="center"/>
          </w:tcPr>
          <w:p w14:paraId="5C98162B">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3家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000000" w:sz="2" w:space="0"/>
            </w:tcBorders>
            <w:vAlign w:val="center"/>
          </w:tcPr>
          <w:p w14:paraId="7D09EDAD">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075" w:type="pct"/>
            <w:tcBorders>
              <w:top w:val="single" w:color="auto" w:sz="4" w:space="0"/>
              <w:left w:val="single" w:color="000000" w:sz="2" w:space="0"/>
              <w:bottom w:val="single" w:color="auto" w:sz="4" w:space="0"/>
              <w:right w:val="single" w:color="auto" w:sz="4" w:space="0"/>
            </w:tcBorders>
            <w:vAlign w:val="center"/>
          </w:tcPr>
          <w:p w14:paraId="61E57FAC">
            <w:pPr>
              <w:keepNext w:val="0"/>
              <w:keepLines w:val="0"/>
              <w:pageBreakBefore w:val="0"/>
              <w:kinsoku/>
              <w:wordWrap/>
              <w:overflowPunct/>
              <w:topLinePunct w:val="0"/>
              <w:bidi w:val="0"/>
              <w:adjustRightInd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3557" w:type="pct"/>
            <w:tcBorders>
              <w:top w:val="single" w:color="000000" w:sz="8" w:space="0"/>
              <w:left w:val="single" w:color="auto" w:sz="4" w:space="0"/>
              <w:bottom w:val="single" w:color="auto" w:sz="4" w:space="0"/>
              <w:right w:val="single" w:color="auto" w:sz="4" w:space="0"/>
            </w:tcBorders>
            <w:vAlign w:val="center"/>
          </w:tcPr>
          <w:p w14:paraId="64C3F1E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snapToGrid w:val="0"/>
                <w:color w:val="auto"/>
                <w:kern w:val="28"/>
                <w:sz w:val="24"/>
                <w:lang w:val="zh-CN"/>
              </w:rPr>
            </w:pPr>
            <w:r>
              <w:rPr>
                <w:rFonts w:hint="eastAsia" w:ascii="宋体" w:hAnsi="宋体" w:eastAsia="宋体" w:cs="宋体"/>
                <w:snapToGrid w:val="0"/>
                <w:color w:val="auto"/>
                <w:kern w:val="28"/>
                <w:sz w:val="24"/>
                <w:lang w:val="zh-CN"/>
              </w:rPr>
              <w:t>本项目的</w:t>
            </w:r>
            <w:r>
              <w:rPr>
                <w:rFonts w:hint="eastAsia" w:ascii="宋体" w:hAnsi="宋体" w:eastAsia="宋体" w:cs="宋体"/>
                <w:snapToGrid w:val="0"/>
                <w:color w:val="auto"/>
                <w:kern w:val="28"/>
                <w:sz w:val="24"/>
              </w:rPr>
              <w:t>招标代理服务费</w:t>
            </w:r>
            <w:r>
              <w:rPr>
                <w:rFonts w:hint="eastAsia" w:ascii="宋体" w:hAnsi="宋体" w:eastAsia="宋体" w:cs="宋体"/>
                <w:snapToGrid w:val="0"/>
                <w:color w:val="auto"/>
                <w:kern w:val="28"/>
                <w:sz w:val="24"/>
                <w:lang w:val="zh-CN"/>
              </w:rPr>
              <w:t>由中标供应商支付。</w:t>
            </w:r>
          </w:p>
          <w:p w14:paraId="5335F43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zh-CN"/>
              </w:rPr>
              <w:t>计费标准：</w:t>
            </w:r>
            <w:r>
              <w:rPr>
                <w:rFonts w:hint="eastAsia" w:ascii="宋体" w:hAnsi="宋体" w:eastAsia="宋体" w:cs="宋体"/>
                <w:snapToGrid w:val="0"/>
                <w:color w:val="auto"/>
                <w:kern w:val="28"/>
                <w:sz w:val="24"/>
                <w:lang w:val="en-US" w:eastAsia="zh-CN"/>
              </w:rPr>
              <w:t>定额</w:t>
            </w:r>
            <w:r>
              <w:rPr>
                <w:rFonts w:hint="eastAsia" w:ascii="宋体" w:hAnsi="宋体" w:cs="宋体"/>
                <w:snapToGrid w:val="0"/>
                <w:color w:val="auto"/>
                <w:kern w:val="28"/>
                <w:sz w:val="24"/>
                <w:lang w:val="en-US" w:eastAsia="zh-CN"/>
              </w:rPr>
              <w:t>6840</w:t>
            </w:r>
            <w:r>
              <w:rPr>
                <w:rFonts w:hint="eastAsia" w:ascii="宋体" w:hAnsi="宋体" w:eastAsia="宋体" w:cs="宋体"/>
                <w:snapToGrid w:val="0"/>
                <w:color w:val="auto"/>
                <w:kern w:val="28"/>
                <w:sz w:val="24"/>
                <w:lang w:val="en-US" w:eastAsia="zh-CN"/>
              </w:rPr>
              <w:t>元</w:t>
            </w:r>
          </w:p>
          <w:p w14:paraId="440DD2F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color w:val="auto"/>
                <w:kern w:val="28"/>
                <w:sz w:val="24"/>
                <w:lang w:val="zh-CN"/>
              </w:rPr>
              <w:t>结算方式及时间为：在领取中标通知书时由中标供应商一次性向采购代理机构付清。</w:t>
            </w:r>
            <w:r>
              <w:rPr>
                <w:rFonts w:hint="eastAsia" w:ascii="宋体" w:hAnsi="宋体" w:eastAsia="宋体" w:cs="宋体"/>
                <w:snapToGrid w:val="0"/>
                <w:color w:val="auto"/>
                <w:kern w:val="28"/>
                <w:sz w:val="24"/>
                <w:lang w:val="en-US" w:eastAsia="zh-CN"/>
              </w:rPr>
              <w:t xml:space="preserve"> </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left="0" w:leftChars="0" w:firstLine="0" w:firstLineChars="0"/>
        <w:jc w:val="center"/>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CF9C45">
      <w:pPr>
        <w:pStyle w:val="32"/>
        <w:keepNext w:val="0"/>
        <w:keepLines w:val="0"/>
        <w:pageBreakBefore w:val="0"/>
        <w:kinsoku/>
        <w:wordWrap/>
        <w:overflowPunct/>
        <w:topLinePunct w:val="0"/>
        <w:bidi w:val="0"/>
        <w:snapToGrid w:val="0"/>
        <w:spacing w:beforeAutospacing="0" w:line="360" w:lineRule="auto"/>
        <w:ind w:left="479" w:leftChars="228"/>
        <w:textAlignment w:val="auto"/>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593C149A">
      <w:pPr>
        <w:pStyle w:val="32"/>
        <w:keepNext w:val="0"/>
        <w:keepLines w:val="0"/>
        <w:pageBreakBefore w:val="0"/>
        <w:kinsoku/>
        <w:wordWrap/>
        <w:overflowPunct/>
        <w:topLinePunct w:val="0"/>
        <w:bidi w:val="0"/>
        <w:snapToGrid w:val="0"/>
        <w:spacing w:beforeAutospacing="0" w:line="360" w:lineRule="auto"/>
        <w:ind w:left="479" w:leftChars="228"/>
        <w:textAlignment w:val="auto"/>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34CBB85F">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keepNext w:val="0"/>
        <w:keepLines w:val="0"/>
        <w:pageBreakBefore w:val="0"/>
        <w:kinsoku/>
        <w:wordWrap/>
        <w:overflowPunct/>
        <w:topLinePunct w:val="0"/>
        <w:bidi w:val="0"/>
        <w:snapToGrid w:val="0"/>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13D330D2">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14:paraId="6BAEB4ED">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3B98A2A9">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4.4.3供应商投诉应当有明确的请求和必要的证明材料。</w:t>
      </w:r>
    </w:p>
    <w:p w14:paraId="65D7F310">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收件人：匡老师，电话：0571-87807798。</w:t>
      </w:r>
    </w:p>
    <w:p w14:paraId="712FF852">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ind w:left="0" w:leftChars="0"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ind w:left="0" w:leftChars="0"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adjustRightInd/>
        <w:spacing w:line="360" w:lineRule="auto"/>
        <w:ind w:left="0" w:leftChars="0"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adjustRightInd/>
        <w:spacing w:line="360" w:lineRule="auto"/>
        <w:ind w:left="0" w:leftChars="0"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adjustRightInd/>
        <w:spacing w:line="360" w:lineRule="auto"/>
        <w:ind w:left="0" w:leftChars="0"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六、定标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0" w:firstLineChars="200"/>
        <w:rPr>
          <w:rStyle w:val="78"/>
          <w:color w:val="auto"/>
          <w:highlight w:val="none"/>
        </w:rPr>
      </w:pPr>
      <w:r>
        <w:rPr>
          <w:rFonts w:hint="eastAsia" w:ascii="宋体" w:hAnsi="宋体" w:cs="宋体"/>
          <w:b w:val="0"/>
          <w:bCs/>
          <w:color w:val="auto"/>
          <w:szCs w:val="24"/>
          <w:highlight w:val="none"/>
          <w:lang w:val="en-US" w:eastAsia="zh-CN"/>
        </w:rPr>
        <w:t>23.4</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adjustRightInd/>
        <w:spacing w:line="360" w:lineRule="auto"/>
        <w:ind w:left="0" w:leftChars="0"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tabs>
          <w:tab w:val="left" w:pos="0"/>
        </w:tabs>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en-US"/>
        </w:rPr>
        <w:t>可</w:t>
      </w:r>
      <w:r>
        <w:rPr>
          <w:rFonts w:hint="eastAsia" w:ascii="宋体" w:hAnsi="宋体" w:eastAsia="宋体" w:cs="宋体"/>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kern w:val="0"/>
          <w:sz w:val="24"/>
          <w:highlight w:val="none"/>
          <w:lang w:val="en-US" w:eastAsia="zh-CN"/>
        </w:rPr>
        <w:t>95763</w:t>
      </w:r>
      <w:r>
        <w:rPr>
          <w:rFonts w:hint="eastAsia" w:ascii="宋体" w:hAnsi="宋体" w:eastAsia="宋体" w:cs="宋体"/>
          <w:color w:val="auto"/>
          <w:kern w:val="0"/>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adjustRightInd/>
        <w:spacing w:line="360" w:lineRule="auto"/>
        <w:ind w:left="0" w:leftChars="0"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adjustRightInd/>
        <w:spacing w:line="360" w:lineRule="auto"/>
        <w:ind w:left="0" w:leftChars="0"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5" w:name="_Hlt75236101"/>
      <w:bookmarkEnd w:id="15"/>
      <w:bookmarkStart w:id="16" w:name="_Hlt68072998"/>
      <w:bookmarkEnd w:id="16"/>
      <w:bookmarkStart w:id="17" w:name="_Hlt68072990"/>
      <w:bookmarkEnd w:id="17"/>
      <w:bookmarkStart w:id="18" w:name="_Hlt74707468"/>
      <w:bookmarkEnd w:id="18"/>
      <w:bookmarkStart w:id="19" w:name="_Hlt74730295"/>
      <w:bookmarkEnd w:id="19"/>
      <w:bookmarkStart w:id="20" w:name="_Hlt68057669"/>
      <w:bookmarkEnd w:id="20"/>
      <w:bookmarkStart w:id="21" w:name="_Hlt68073093"/>
      <w:bookmarkEnd w:id="21"/>
      <w:bookmarkStart w:id="22" w:name="_Hlt75236290"/>
      <w:bookmarkEnd w:id="22"/>
      <w:bookmarkStart w:id="23" w:name="_Hlt74714665"/>
      <w:bookmarkEnd w:id="23"/>
      <w:bookmarkStart w:id="24" w:name="_Hlt75236011"/>
      <w:bookmarkEnd w:id="24"/>
      <w:bookmarkStart w:id="25" w:name="_Hlt68403820"/>
      <w:bookmarkEnd w:id="25"/>
      <w:bookmarkStart w:id="26" w:name="_Hlt74729768"/>
      <w:bookmarkEnd w:id="26"/>
    </w:p>
    <w:bookmarkEnd w:id="11"/>
    <w:bookmarkEnd w:id="12"/>
    <w:p w14:paraId="5EB35967">
      <w:pPr>
        <w:adjustRightInd/>
        <w:spacing w:line="360" w:lineRule="auto"/>
        <w:jc w:val="center"/>
        <w:outlineLvl w:val="0"/>
        <w:rPr>
          <w:rFonts w:hint="eastAsia" w:ascii="宋体" w:hAnsi="宋体" w:eastAsia="宋体" w:cs="宋体"/>
          <w:b/>
          <w:color w:val="auto"/>
          <w:sz w:val="36"/>
          <w:szCs w:val="20"/>
          <w:highlight w:val="none"/>
        </w:rPr>
      </w:pPr>
      <w:bookmarkStart w:id="27" w:name="第四部分"/>
      <w:r>
        <w:rPr>
          <w:rFonts w:hint="eastAsia" w:ascii="宋体" w:hAnsi="宋体" w:eastAsia="宋体" w:cs="宋体"/>
          <w:b/>
          <w:color w:val="auto"/>
          <w:sz w:val="36"/>
          <w:szCs w:val="20"/>
          <w:highlight w:val="none"/>
        </w:rPr>
        <w:t>第三部分   采购需求</w:t>
      </w:r>
    </w:p>
    <w:p w14:paraId="34A35439">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rPr>
        <w:t>项目概况</w:t>
      </w:r>
    </w:p>
    <w:p w14:paraId="6129CDB1">
      <w:pPr>
        <w:snapToGrid w:val="0"/>
        <w:spacing w:line="360" w:lineRule="auto"/>
        <w:ind w:firstLine="600"/>
        <w:rPr>
          <w:rFonts w:hint="eastAsia" w:ascii="宋体" w:hAnsi="宋体" w:cs="宋体"/>
          <w:color w:val="auto"/>
          <w:sz w:val="24"/>
          <w:u w:val="none"/>
          <w:lang w:eastAsia="zh-CN"/>
        </w:rPr>
      </w:pPr>
      <w:r>
        <w:rPr>
          <w:rFonts w:hint="eastAsia" w:ascii="宋体" w:hAnsi="宋体" w:cs="宋体"/>
          <w:color w:val="auto"/>
          <w:sz w:val="24"/>
          <w:u w:val="none"/>
          <w:lang w:val="en-US" w:eastAsia="zh-CN"/>
        </w:rPr>
        <w:t>为</w:t>
      </w:r>
      <w:r>
        <w:rPr>
          <w:rFonts w:hint="eastAsia" w:ascii="宋体" w:hAnsi="宋体" w:cs="宋体"/>
          <w:color w:val="auto"/>
          <w:sz w:val="24"/>
          <w:u w:val="none"/>
          <w:lang w:eastAsia="zh-CN"/>
        </w:rPr>
        <w:t>提高</w:t>
      </w:r>
      <w:r>
        <w:rPr>
          <w:rFonts w:hint="eastAsia" w:ascii="宋体" w:hAnsi="宋体" w:cs="宋体"/>
          <w:color w:val="auto"/>
          <w:sz w:val="24"/>
          <w:u w:val="none"/>
          <w:lang w:val="en-US" w:eastAsia="zh-CN"/>
        </w:rPr>
        <w:t>拱墅</w:t>
      </w:r>
      <w:r>
        <w:rPr>
          <w:rFonts w:hint="eastAsia" w:ascii="宋体" w:hAnsi="宋体" w:cs="宋体"/>
          <w:color w:val="auto"/>
          <w:sz w:val="24"/>
          <w:u w:val="none"/>
          <w:lang w:eastAsia="zh-CN"/>
        </w:rPr>
        <w:t>区电梯事故预防和风险管理水平，保障人民群众生命财产安全，</w:t>
      </w:r>
      <w:r>
        <w:rPr>
          <w:rFonts w:hint="eastAsia" w:ascii="宋体" w:hAnsi="宋体" w:cs="宋体"/>
          <w:color w:val="auto"/>
          <w:sz w:val="24"/>
          <w:u w:val="none"/>
          <w:lang w:val="en-US" w:eastAsia="zh-CN"/>
        </w:rPr>
        <w:t>杭州市拱墅区市场监督管理局</w:t>
      </w:r>
      <w:r>
        <w:rPr>
          <w:rFonts w:hint="eastAsia" w:ascii="宋体" w:hAnsi="宋体" w:cs="宋体"/>
          <w:color w:val="auto"/>
          <w:sz w:val="24"/>
          <w:u w:val="none"/>
          <w:lang w:eastAsia="zh-CN"/>
        </w:rPr>
        <w:t>在全区推广住宅电梯安全责任险，发挥保险的灾害预防、经济补偿和社会管理功能，妥善处理电梯事故责任赔偿，避免或减少相关法律纠纷。</w:t>
      </w:r>
    </w:p>
    <w:p w14:paraId="574B9B1B">
      <w:pPr>
        <w:snapToGrid w:val="0"/>
        <w:spacing w:line="360" w:lineRule="auto"/>
        <w:ind w:firstLine="600"/>
        <w:rPr>
          <w:rFonts w:hint="default" w:ascii="宋体" w:hAnsi="宋体" w:eastAsia="宋体" w:cs="宋体"/>
          <w:color w:val="auto"/>
          <w:sz w:val="24"/>
          <w:u w:val="none"/>
          <w:lang w:val="en-US" w:eastAsia="zh-CN"/>
        </w:rPr>
      </w:pPr>
      <w:r>
        <w:rPr>
          <w:rFonts w:hint="eastAsia" w:ascii="宋体" w:hAnsi="宋体" w:eastAsia="宋体" w:cs="宋体"/>
          <w:color w:val="auto"/>
          <w:sz w:val="24"/>
          <w:u w:val="none"/>
          <w:lang w:val="en-US" w:eastAsia="zh-CN"/>
        </w:rPr>
        <w:t>本项目计划投保电梯数量</w:t>
      </w:r>
      <w:r>
        <w:rPr>
          <w:rFonts w:hint="default" w:ascii="宋体" w:hAnsi="宋体" w:eastAsia="宋体" w:cs="宋体"/>
          <w:color w:val="auto"/>
          <w:sz w:val="24"/>
          <w:u w:val="none"/>
          <w:lang w:val="en-US" w:eastAsia="zh-CN"/>
        </w:rPr>
        <w:t>约为</w:t>
      </w:r>
      <w:r>
        <w:rPr>
          <w:rFonts w:hint="eastAsia" w:ascii="宋体" w:hAnsi="宋体" w:eastAsia="宋体" w:cs="宋体"/>
          <w:color w:val="auto"/>
          <w:sz w:val="24"/>
          <w:u w:val="none"/>
          <w:lang w:val="en-US" w:eastAsia="zh-CN"/>
        </w:rPr>
        <w:t>10</w:t>
      </w:r>
      <w:r>
        <w:rPr>
          <w:rFonts w:hint="default" w:ascii="宋体" w:hAnsi="宋体" w:eastAsia="宋体" w:cs="宋体"/>
          <w:color w:val="auto"/>
          <w:sz w:val="24"/>
          <w:u w:val="none"/>
          <w:lang w:val="en-US" w:eastAsia="zh-CN"/>
        </w:rPr>
        <w:t>000台</w:t>
      </w:r>
      <w:r>
        <w:rPr>
          <w:rFonts w:hint="eastAsia" w:ascii="宋体" w:hAnsi="宋体" w:eastAsia="宋体" w:cs="宋体"/>
          <w:color w:val="auto"/>
          <w:sz w:val="24"/>
          <w:u w:val="none"/>
          <w:lang w:val="en-US" w:eastAsia="zh-CN"/>
        </w:rPr>
        <w:t>，</w:t>
      </w:r>
      <w:r>
        <w:rPr>
          <w:rFonts w:hint="default" w:ascii="宋体" w:hAnsi="宋体" w:eastAsia="宋体" w:cs="宋体"/>
          <w:color w:val="auto"/>
          <w:sz w:val="24"/>
          <w:u w:val="none"/>
          <w:lang w:val="en-US" w:eastAsia="zh-CN"/>
        </w:rPr>
        <w:t>具体以实际投保的电梯台数按实结算</w:t>
      </w:r>
      <w:r>
        <w:rPr>
          <w:rFonts w:hint="eastAsia" w:ascii="宋体" w:hAnsi="宋体" w:eastAsia="宋体" w:cs="宋体"/>
          <w:color w:val="auto"/>
          <w:sz w:val="24"/>
          <w:u w:val="none"/>
          <w:lang w:val="en-US" w:eastAsia="zh-CN"/>
        </w:rPr>
        <w:t>。</w:t>
      </w:r>
    </w:p>
    <w:p w14:paraId="43244B8B">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二、</w:t>
      </w:r>
      <w:r>
        <w:rPr>
          <w:rFonts w:hint="eastAsia" w:ascii="宋体" w:hAnsi="宋体" w:eastAsia="宋体" w:cs="宋体"/>
          <w:b/>
          <w:bCs/>
          <w:color w:val="auto"/>
          <w:sz w:val="24"/>
        </w:rPr>
        <w:t>拟采购标的的技术要求</w:t>
      </w:r>
    </w:p>
    <w:p w14:paraId="7110F724">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拟采购标的（1）</w:t>
      </w:r>
    </w:p>
    <w:tbl>
      <w:tblPr>
        <w:tblStyle w:val="62"/>
        <w:tblW w:w="9963"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95"/>
        <w:gridCol w:w="3167"/>
        <w:gridCol w:w="1638"/>
        <w:gridCol w:w="3663"/>
      </w:tblGrid>
      <w:tr w14:paraId="3A009B3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95" w:type="dxa"/>
            <w:shd w:val="clear" w:color="auto" w:fill="auto"/>
            <w:vAlign w:val="center"/>
          </w:tcPr>
          <w:p w14:paraId="481119C8">
            <w:pPr>
              <w:spacing w:line="360" w:lineRule="auto"/>
              <w:jc w:val="center"/>
              <w:rPr>
                <w:rFonts w:ascii="宋体" w:hAnsi="宋体" w:cs="仿宋_GB2312"/>
                <w:color w:val="auto"/>
                <w:sz w:val="24"/>
              </w:rPr>
            </w:pPr>
            <w:r>
              <w:rPr>
                <w:rFonts w:hint="eastAsia" w:ascii="宋体" w:hAnsi="宋体" w:cs="仿宋_GB2312"/>
                <w:color w:val="auto"/>
                <w:sz w:val="24"/>
              </w:rPr>
              <w:t>标的内容</w:t>
            </w:r>
          </w:p>
        </w:tc>
        <w:tc>
          <w:tcPr>
            <w:tcW w:w="8468" w:type="dxa"/>
            <w:gridSpan w:val="3"/>
            <w:shd w:val="clear" w:color="auto" w:fill="auto"/>
            <w:vAlign w:val="center"/>
          </w:tcPr>
          <w:p w14:paraId="29B32308">
            <w:pPr>
              <w:spacing w:line="360" w:lineRule="auto"/>
              <w:rPr>
                <w:rFonts w:ascii="宋体" w:hAnsi="宋体" w:cs="仿宋_GB2312"/>
                <w:color w:val="auto"/>
                <w:sz w:val="24"/>
              </w:rPr>
            </w:pPr>
            <w:r>
              <w:rPr>
                <w:rFonts w:hint="eastAsia" w:ascii="宋体" w:hAnsi="宋体" w:cs="仿宋_GB2312"/>
                <w:color w:val="auto"/>
                <w:sz w:val="24"/>
              </w:rPr>
              <w:t>拱墅区住宅电梯安全责任保险</w:t>
            </w:r>
          </w:p>
        </w:tc>
      </w:tr>
      <w:tr w14:paraId="18BEA1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95" w:type="dxa"/>
            <w:shd w:val="clear" w:color="auto" w:fill="auto"/>
            <w:vAlign w:val="center"/>
          </w:tcPr>
          <w:p w14:paraId="339391F5">
            <w:pPr>
              <w:spacing w:line="360" w:lineRule="auto"/>
              <w:jc w:val="center"/>
              <w:rPr>
                <w:rFonts w:ascii="宋体" w:hAnsi="宋体" w:cs="仿宋_GB2312"/>
                <w:color w:val="auto"/>
                <w:sz w:val="24"/>
              </w:rPr>
            </w:pPr>
            <w:r>
              <w:rPr>
                <w:rFonts w:hint="eastAsia" w:ascii="宋体" w:hAnsi="宋体" w:cs="仿宋_GB2312"/>
                <w:color w:val="auto"/>
                <w:sz w:val="24"/>
              </w:rPr>
              <w:t>数量</w:t>
            </w:r>
          </w:p>
        </w:tc>
        <w:tc>
          <w:tcPr>
            <w:tcW w:w="3167" w:type="dxa"/>
            <w:shd w:val="clear" w:color="auto" w:fill="auto"/>
            <w:vAlign w:val="center"/>
          </w:tcPr>
          <w:p w14:paraId="32AA7D68">
            <w:pPr>
              <w:spacing w:line="360" w:lineRule="auto"/>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w:t>
            </w:r>
          </w:p>
        </w:tc>
        <w:tc>
          <w:tcPr>
            <w:tcW w:w="1638" w:type="dxa"/>
            <w:shd w:val="clear" w:color="auto" w:fill="auto"/>
            <w:vAlign w:val="center"/>
          </w:tcPr>
          <w:p w14:paraId="72F785EE">
            <w:pPr>
              <w:spacing w:line="360" w:lineRule="auto"/>
              <w:jc w:val="center"/>
              <w:rPr>
                <w:rFonts w:ascii="宋体" w:hAnsi="宋体" w:cs="仿宋_GB2312"/>
                <w:color w:val="auto"/>
                <w:sz w:val="24"/>
              </w:rPr>
            </w:pPr>
            <w:r>
              <w:rPr>
                <w:rFonts w:hint="eastAsia" w:ascii="宋体" w:hAnsi="宋体" w:cs="仿宋_GB2312"/>
                <w:color w:val="auto"/>
                <w:sz w:val="24"/>
              </w:rPr>
              <w:t>单位</w:t>
            </w:r>
          </w:p>
        </w:tc>
        <w:tc>
          <w:tcPr>
            <w:tcW w:w="3663" w:type="dxa"/>
            <w:shd w:val="clear" w:color="auto" w:fill="auto"/>
            <w:vAlign w:val="center"/>
          </w:tcPr>
          <w:p w14:paraId="5DFF11B6">
            <w:pPr>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项</w:t>
            </w:r>
          </w:p>
        </w:tc>
      </w:tr>
    </w:tbl>
    <w:p w14:paraId="2ABDB704">
      <w:pPr>
        <w:spacing w:line="360" w:lineRule="auto"/>
        <w:jc w:val="left"/>
        <w:rPr>
          <w:rFonts w:hint="eastAsia" w:ascii="宋体" w:hAnsi="宋体" w:eastAsia="宋体" w:cs="宋体"/>
          <w:b/>
          <w:color w:val="auto"/>
          <w:sz w:val="36"/>
          <w:szCs w:val="36"/>
          <w:lang w:eastAsia="zh-CN"/>
        </w:rPr>
      </w:pPr>
      <w:r>
        <w:rPr>
          <w:rFonts w:hint="eastAsia" w:ascii="宋体" w:hAnsi="宋体" w:eastAsia="宋体" w:cs="宋体"/>
          <w:color w:val="auto"/>
          <w:sz w:val="24"/>
        </w:rPr>
        <w:t>功能和质量要求</w:t>
      </w:r>
      <w:r>
        <w:rPr>
          <w:rFonts w:hint="eastAsia" w:ascii="宋体" w:hAnsi="宋体" w:eastAsia="宋体" w:cs="宋体"/>
          <w:color w:val="auto"/>
          <w:sz w:val="24"/>
          <w:lang w:eastAsia="zh-CN"/>
        </w:rPr>
        <w:t>：</w:t>
      </w:r>
    </w:p>
    <w:p w14:paraId="34FF740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u w:val="none"/>
          <w:lang w:val="en-US" w:eastAsia="zh-CN"/>
        </w:rPr>
      </w:pPr>
      <w:r>
        <w:rPr>
          <w:rFonts w:hint="eastAsia" w:ascii="宋体" w:hAnsi="宋体" w:eastAsia="宋体" w:cs="宋体"/>
          <w:b/>
          <w:bCs/>
          <w:color w:val="auto"/>
          <w:sz w:val="24"/>
          <w:u w:val="none"/>
          <w:lang w:val="en-US" w:eastAsia="zh-CN"/>
        </w:rPr>
        <w:t>（一）基本服务要求</w:t>
      </w:r>
    </w:p>
    <w:p w14:paraId="2C31CE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1、保证投保方获得优先服务的权利，根据投保方的通知及时签定保险单。</w:t>
      </w:r>
    </w:p>
    <w:p w14:paraId="7F68FF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2、保险公司应设有24小时全天报案服务电话，并设专人受理索赔接、报案。</w:t>
      </w:r>
    </w:p>
    <w:p w14:paraId="64BD6D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3、保险公司应对投保方提供出险索赔程序，保险知识等方面的咨询服务。</w:t>
      </w:r>
    </w:p>
    <w:p w14:paraId="373045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4、保险公司协助投保方做好对投保经办人的廉政工作，不得以任何形式向投保方提供回扣。</w:t>
      </w:r>
    </w:p>
    <w:p w14:paraId="2626B6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5、保险公司承诺签订合同后，按投标明确的保费、保险金额签发保单。若发现中标人不按此规定执行，一经查实立即取消中标人资格。</w:t>
      </w:r>
    </w:p>
    <w:p w14:paraId="29CC1E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6、保险公司具有相关服务网络及网点分布，专业人员班子配备；提供特色服务，投保过程中可能出现的特殊情况及应对方案等。</w:t>
      </w:r>
    </w:p>
    <w:p w14:paraId="477D00C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b/>
          <w:bCs/>
          <w:color w:val="auto"/>
          <w:sz w:val="24"/>
          <w:u w:val="none"/>
          <w:lang w:val="en-US" w:eastAsia="zh-CN"/>
        </w:rPr>
      </w:pPr>
      <w:r>
        <w:rPr>
          <w:rFonts w:hint="eastAsia" w:ascii="宋体" w:hAnsi="宋体" w:eastAsia="宋体" w:cs="宋体"/>
          <w:b/>
          <w:bCs/>
          <w:color w:val="auto"/>
          <w:sz w:val="24"/>
          <w:u w:val="none"/>
          <w:lang w:val="en-US" w:eastAsia="zh-CN"/>
        </w:rPr>
        <w:t>（二）</w:t>
      </w:r>
      <w:r>
        <w:rPr>
          <w:rFonts w:hint="default" w:ascii="宋体" w:hAnsi="宋体" w:eastAsia="宋体" w:cs="宋体"/>
          <w:b/>
          <w:bCs/>
          <w:color w:val="auto"/>
          <w:sz w:val="24"/>
          <w:u w:val="none"/>
          <w:lang w:val="en-US" w:eastAsia="zh-CN"/>
        </w:rPr>
        <w:t>保险方案和保险责任</w:t>
      </w:r>
    </w:p>
    <w:tbl>
      <w:tblPr>
        <w:tblStyle w:val="6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50"/>
        <w:gridCol w:w="1480"/>
        <w:gridCol w:w="1992"/>
        <w:gridCol w:w="2167"/>
        <w:gridCol w:w="2869"/>
      </w:tblGrid>
      <w:tr w14:paraId="664BB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8" w:type="pct"/>
            <w:tcBorders>
              <w:top w:val="single" w:color="auto" w:sz="4" w:space="0"/>
              <w:left w:val="single" w:color="auto" w:sz="4" w:space="0"/>
              <w:bottom w:val="single" w:color="auto" w:sz="4" w:space="0"/>
              <w:right w:val="single" w:color="auto" w:sz="4" w:space="0"/>
            </w:tcBorders>
            <w:noWrap w:val="0"/>
            <w:vAlign w:val="center"/>
          </w:tcPr>
          <w:p w14:paraId="6EDB132F">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保险</w:t>
            </w:r>
            <w:r>
              <w:rPr>
                <w:rFonts w:hint="eastAsia" w:ascii="宋体" w:hAnsi="宋体" w:eastAsia="宋体" w:cs="宋体"/>
                <w:b/>
                <w:bCs w:val="0"/>
                <w:color w:val="auto"/>
                <w:kern w:val="0"/>
                <w:sz w:val="21"/>
                <w:szCs w:val="21"/>
              </w:rPr>
              <w:t>险种</w:t>
            </w:r>
          </w:p>
        </w:tc>
        <w:tc>
          <w:tcPr>
            <w:tcW w:w="743" w:type="pct"/>
            <w:tcBorders>
              <w:top w:val="single" w:color="auto" w:sz="4" w:space="0"/>
              <w:left w:val="single" w:color="auto" w:sz="4" w:space="0"/>
              <w:bottom w:val="single" w:color="auto" w:sz="4" w:space="0"/>
              <w:right w:val="single" w:color="auto" w:sz="4" w:space="0"/>
            </w:tcBorders>
            <w:noWrap w:val="0"/>
            <w:vAlign w:val="center"/>
          </w:tcPr>
          <w:p w14:paraId="7C0EA51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累积赔偿最高限额</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354102E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每次事故赔偿最高限额</w:t>
            </w:r>
          </w:p>
        </w:tc>
        <w:tc>
          <w:tcPr>
            <w:tcW w:w="1088" w:type="pct"/>
            <w:tcBorders>
              <w:top w:val="single" w:color="auto" w:sz="4" w:space="0"/>
              <w:left w:val="single" w:color="auto" w:sz="4" w:space="0"/>
              <w:bottom w:val="single" w:color="auto" w:sz="4" w:space="0"/>
              <w:right w:val="single" w:color="auto" w:sz="4" w:space="0"/>
            </w:tcBorders>
            <w:noWrap w:val="0"/>
            <w:vAlign w:val="center"/>
          </w:tcPr>
          <w:p w14:paraId="005E0D6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每次事故每人赔偿最高限额</w:t>
            </w:r>
          </w:p>
        </w:tc>
        <w:tc>
          <w:tcPr>
            <w:tcW w:w="1438" w:type="pct"/>
            <w:tcBorders>
              <w:top w:val="single" w:color="auto" w:sz="4" w:space="0"/>
              <w:left w:val="single" w:color="auto" w:sz="4" w:space="0"/>
              <w:bottom w:val="single" w:color="auto" w:sz="4" w:space="0"/>
              <w:right w:val="single" w:color="auto" w:sz="4" w:space="0"/>
            </w:tcBorders>
            <w:noWrap w:val="0"/>
            <w:vAlign w:val="center"/>
          </w:tcPr>
          <w:p w14:paraId="58EAC88D">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免赔条件</w:t>
            </w:r>
          </w:p>
        </w:tc>
      </w:tr>
      <w:tr w14:paraId="7034D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8" w:type="pct"/>
            <w:vMerge w:val="restart"/>
            <w:tcBorders>
              <w:top w:val="single" w:color="auto" w:sz="4" w:space="0"/>
              <w:left w:val="single" w:color="auto" w:sz="4" w:space="0"/>
              <w:right w:val="single" w:color="auto" w:sz="4" w:space="0"/>
            </w:tcBorders>
            <w:noWrap w:val="0"/>
            <w:vAlign w:val="center"/>
          </w:tcPr>
          <w:p w14:paraId="77A14C4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住宅电梯安全责任保险</w:t>
            </w:r>
          </w:p>
        </w:tc>
        <w:tc>
          <w:tcPr>
            <w:tcW w:w="743" w:type="pct"/>
            <w:tcBorders>
              <w:top w:val="single" w:color="auto" w:sz="4" w:space="0"/>
              <w:left w:val="single" w:color="auto" w:sz="4" w:space="0"/>
              <w:bottom w:val="single" w:color="auto" w:sz="4" w:space="0"/>
              <w:right w:val="single" w:color="auto" w:sz="4" w:space="0"/>
            </w:tcBorders>
            <w:noWrap w:val="0"/>
            <w:vAlign w:val="center"/>
          </w:tcPr>
          <w:p w14:paraId="2FAB8E5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300万</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078D440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100万</w:t>
            </w:r>
          </w:p>
        </w:tc>
        <w:tc>
          <w:tcPr>
            <w:tcW w:w="1088" w:type="pct"/>
            <w:tcBorders>
              <w:top w:val="single" w:color="auto" w:sz="4" w:space="0"/>
              <w:left w:val="single" w:color="auto" w:sz="4" w:space="0"/>
              <w:bottom w:val="single" w:color="auto" w:sz="4" w:space="0"/>
              <w:right w:val="single" w:color="auto" w:sz="4" w:space="0"/>
            </w:tcBorders>
            <w:noWrap w:val="0"/>
            <w:vAlign w:val="center"/>
          </w:tcPr>
          <w:p w14:paraId="28410D9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100万</w:t>
            </w:r>
          </w:p>
        </w:tc>
        <w:tc>
          <w:tcPr>
            <w:tcW w:w="1438" w:type="pct"/>
            <w:tcBorders>
              <w:top w:val="single" w:color="auto" w:sz="4" w:space="0"/>
              <w:left w:val="single" w:color="auto" w:sz="4" w:space="0"/>
              <w:bottom w:val="single" w:color="auto" w:sz="4" w:space="0"/>
              <w:right w:val="single" w:color="auto" w:sz="4" w:space="0"/>
            </w:tcBorders>
            <w:noWrap w:val="0"/>
            <w:vAlign w:val="center"/>
          </w:tcPr>
          <w:p w14:paraId="5DF60C2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每次事故</w:t>
            </w:r>
            <w:r>
              <w:rPr>
                <w:rFonts w:hint="eastAsia" w:ascii="宋体" w:hAnsi="宋体" w:eastAsia="宋体" w:cs="宋体"/>
                <w:b w:val="0"/>
                <w:bCs/>
                <w:color w:val="auto"/>
                <w:sz w:val="21"/>
                <w:szCs w:val="21"/>
                <w:lang w:val="en-US" w:eastAsia="zh-CN"/>
              </w:rPr>
              <w:t>损失</w:t>
            </w:r>
            <w:r>
              <w:rPr>
                <w:rFonts w:hint="eastAsia" w:ascii="宋体" w:hAnsi="宋体" w:eastAsia="宋体" w:cs="宋体"/>
                <w:b w:val="0"/>
                <w:bCs/>
                <w:color w:val="auto"/>
                <w:sz w:val="21"/>
                <w:szCs w:val="21"/>
              </w:rPr>
              <w:t>绝对免赔额为人民币</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00元</w:t>
            </w:r>
            <w:r>
              <w:rPr>
                <w:rFonts w:hint="eastAsia" w:ascii="宋体" w:hAnsi="宋体" w:eastAsia="宋体" w:cs="宋体"/>
                <w:b w:val="0"/>
                <w:bCs/>
                <w:color w:val="auto"/>
                <w:sz w:val="21"/>
                <w:szCs w:val="21"/>
                <w:lang w:val="en-US" w:eastAsia="zh-CN"/>
              </w:rPr>
              <w:t>或损失金额的10%，二者以高者为准。</w:t>
            </w:r>
          </w:p>
        </w:tc>
      </w:tr>
      <w:tr w14:paraId="627A9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8" w:type="pct"/>
            <w:vMerge w:val="continue"/>
            <w:tcBorders>
              <w:left w:val="single" w:color="auto" w:sz="4" w:space="0"/>
              <w:bottom w:val="single" w:color="auto" w:sz="4" w:space="0"/>
              <w:right w:val="single" w:color="auto" w:sz="4" w:space="0"/>
            </w:tcBorders>
            <w:noWrap w:val="0"/>
            <w:vAlign w:val="center"/>
          </w:tcPr>
          <w:p w14:paraId="5D4BCB1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bCs w:val="0"/>
                <w:color w:val="auto"/>
                <w:sz w:val="21"/>
                <w:szCs w:val="21"/>
              </w:rPr>
            </w:pPr>
          </w:p>
        </w:tc>
        <w:tc>
          <w:tcPr>
            <w:tcW w:w="4271" w:type="pct"/>
            <w:gridSpan w:val="4"/>
            <w:tcBorders>
              <w:top w:val="single" w:color="auto" w:sz="4" w:space="0"/>
              <w:left w:val="single" w:color="auto" w:sz="4" w:space="0"/>
              <w:bottom w:val="single" w:color="auto" w:sz="4" w:space="0"/>
              <w:right w:val="single" w:color="auto" w:sz="4" w:space="0"/>
            </w:tcBorders>
            <w:noWrap w:val="0"/>
            <w:vAlign w:val="center"/>
          </w:tcPr>
          <w:p w14:paraId="5A3041D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在保险期限内保单载明的电梯在正常的</w:t>
            </w:r>
            <w:r>
              <w:rPr>
                <w:rFonts w:hint="eastAsia" w:ascii="宋体" w:hAnsi="宋体" w:eastAsia="宋体" w:cs="宋体"/>
                <w:b w:val="0"/>
                <w:bCs/>
                <w:color w:val="auto"/>
                <w:sz w:val="21"/>
                <w:szCs w:val="21"/>
                <w:lang w:val="en-US" w:eastAsia="zh-CN"/>
              </w:rPr>
              <w:t>静止、</w:t>
            </w:r>
            <w:r>
              <w:rPr>
                <w:rFonts w:hint="eastAsia" w:ascii="宋体" w:hAnsi="宋体" w:eastAsia="宋体" w:cs="宋体"/>
                <w:b w:val="0"/>
                <w:bCs/>
                <w:color w:val="auto"/>
                <w:sz w:val="21"/>
                <w:szCs w:val="21"/>
              </w:rPr>
              <w:t>运行和维保作业过程中发生意外与责任事故造成的电梯使用人员、管理人员以及维保人员的人身伤害与财产损失，依法应由被保险人承担的经济赔偿责任，保险人按照本保险合同约定负责赔偿。</w:t>
            </w:r>
          </w:p>
        </w:tc>
      </w:tr>
      <w:tr w14:paraId="04326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8" w:type="pct"/>
            <w:tcBorders>
              <w:top w:val="single" w:color="auto" w:sz="4" w:space="0"/>
              <w:left w:val="single" w:color="auto" w:sz="4" w:space="0"/>
              <w:right w:val="single" w:color="auto" w:sz="4" w:space="0"/>
            </w:tcBorders>
            <w:noWrap w:val="0"/>
            <w:vAlign w:val="center"/>
          </w:tcPr>
          <w:p w14:paraId="4D8423C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扩展电梯</w:t>
            </w:r>
            <w:r>
              <w:rPr>
                <w:rFonts w:hint="eastAsia" w:ascii="宋体" w:hAnsi="宋体" w:eastAsia="宋体" w:cs="宋体"/>
                <w:b/>
                <w:bCs w:val="0"/>
                <w:color w:val="auto"/>
                <w:sz w:val="21"/>
                <w:szCs w:val="21"/>
              </w:rPr>
              <w:t>滞留</w:t>
            </w:r>
            <w:r>
              <w:rPr>
                <w:rFonts w:hint="eastAsia" w:ascii="宋体" w:hAnsi="宋体" w:eastAsia="宋体" w:cs="宋体"/>
                <w:b/>
                <w:bCs w:val="0"/>
                <w:color w:val="auto"/>
                <w:sz w:val="21"/>
                <w:szCs w:val="21"/>
                <w:lang w:val="en-US" w:eastAsia="zh-CN"/>
              </w:rPr>
              <w:t>事件经济补偿</w:t>
            </w:r>
          </w:p>
        </w:tc>
        <w:tc>
          <w:tcPr>
            <w:tcW w:w="4271" w:type="pct"/>
            <w:gridSpan w:val="4"/>
            <w:tcBorders>
              <w:top w:val="single" w:color="auto" w:sz="4" w:space="0"/>
              <w:left w:val="single" w:color="auto" w:sz="4" w:space="0"/>
              <w:right w:val="single" w:color="auto" w:sz="4" w:space="0"/>
            </w:tcBorders>
            <w:noWrap w:val="0"/>
            <w:vAlign w:val="center"/>
          </w:tcPr>
          <w:p w14:paraId="4B52328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保险期间内，由于保险责任导致第三者轿厢滞留超过</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含</w:t>
            </w:r>
            <w:r>
              <w:rPr>
                <w:rFonts w:hint="eastAsia" w:ascii="宋体" w:hAnsi="宋体" w:eastAsia="宋体" w:cs="宋体"/>
                <w:b w:val="0"/>
                <w:bCs/>
                <w:color w:val="auto"/>
                <w:sz w:val="21"/>
                <w:szCs w:val="21"/>
                <w:lang w:val="en-US" w:eastAsia="zh-CN"/>
              </w:rPr>
              <w:t>)1小时</w:t>
            </w:r>
            <w:r>
              <w:rPr>
                <w:rFonts w:hint="eastAsia" w:ascii="宋体" w:hAnsi="宋体" w:eastAsia="宋体" w:cs="宋体"/>
                <w:b w:val="0"/>
                <w:bCs/>
                <w:color w:val="auto"/>
                <w:sz w:val="21"/>
                <w:szCs w:val="21"/>
              </w:rPr>
              <w:t>且在</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小时之内，但未造成人身伤害的，保险人按照本保险的约定对滞留乘客进行一次性赔偿</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每次每人滞留赔偿限额200元。若发生电梯滞留时间超过</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含</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小时的，每次每人滞留赔偿限额</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00元。</w:t>
            </w:r>
          </w:p>
        </w:tc>
      </w:tr>
    </w:tbl>
    <w:p w14:paraId="1889E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1、投保人和被保险人</w:t>
      </w:r>
    </w:p>
    <w:p w14:paraId="712A2F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拱墅区范围内经检验合格的在用住宅电梯的所有人、使用人、管理人、电梯维修保养方，均可作为本保险合同的投保人。</w:t>
      </w:r>
    </w:p>
    <w:p w14:paraId="7CEBFB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投保电梯设备的电梯所有人、使用人、管理人、电梯维修保养方，均作为本保险合同的被保险人。</w:t>
      </w:r>
    </w:p>
    <w:p w14:paraId="35DD5B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2、保险期限（服务期）</w:t>
      </w:r>
    </w:p>
    <w:p w14:paraId="49CD34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每次投保的保险期限为1年。</w:t>
      </w:r>
    </w:p>
    <w:p w14:paraId="72E77D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3、保险费支付方式</w:t>
      </w:r>
    </w:p>
    <w:p w14:paraId="584AA0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每台电梯由电梯安全责任保险投保人支付1元保费，剩余部分由招标人以补贴的形式支付；补贴部分支付时间：投标人凭实际投保电梯清单及保费发票于每季度末向招标人结算保险费补贴。</w:t>
      </w:r>
    </w:p>
    <w:p w14:paraId="582C74C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u w:val="none"/>
          <w:lang w:val="en-US" w:eastAsia="zh-CN"/>
        </w:rPr>
      </w:pPr>
      <w:r>
        <w:rPr>
          <w:rFonts w:hint="eastAsia" w:ascii="宋体" w:hAnsi="宋体" w:eastAsia="宋体" w:cs="宋体"/>
          <w:b/>
          <w:bCs/>
          <w:color w:val="auto"/>
          <w:sz w:val="24"/>
          <w:u w:val="none"/>
          <w:lang w:val="en-US" w:eastAsia="zh-CN"/>
        </w:rPr>
        <w:t>（三）其他要求</w:t>
      </w:r>
    </w:p>
    <w:p w14:paraId="190D9D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1、投标人须在招标文件中提供针对本项目的人员配备、承保服务、理赔服务、防灾防损服务等方案，方案内容需全面详尽。</w:t>
      </w:r>
    </w:p>
    <w:p w14:paraId="00242B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2、服务期内投标人需完成核实拱墅区住宅电梯数据等相关服务。</w:t>
      </w:r>
    </w:p>
    <w:p w14:paraId="0A9F06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3、投标人针对服务范围内老旧住宅电梯提供有效的技术性安全评估方案。</w:t>
      </w:r>
    </w:p>
    <w:p w14:paraId="73D719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4、投标人针对服务范围内住宅电梯维保质量安全抽查提供有效的抽查方案。</w:t>
      </w:r>
    </w:p>
    <w:p w14:paraId="146EA0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u w:val="none"/>
          <w:lang w:val="en-US" w:eastAsia="zh-CN"/>
        </w:rPr>
      </w:pPr>
      <w:r>
        <w:rPr>
          <w:rFonts w:hint="eastAsia" w:ascii="宋体" w:hAnsi="宋体" w:eastAsia="宋体" w:cs="宋体"/>
          <w:b w:val="0"/>
          <w:bCs w:val="0"/>
          <w:color w:val="auto"/>
          <w:sz w:val="24"/>
          <w:u w:val="none"/>
          <w:lang w:val="en-US" w:eastAsia="zh-CN"/>
        </w:rPr>
        <w:t>5、中标后中标单位须根据采购人要求对所有投保电梯制作宣传方案，并制作宣传告示牌和提供宣传方案的具体实施计划和细则。</w:t>
      </w:r>
    </w:p>
    <w:p w14:paraId="56F8C5F6">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三、拟采购标的的商务要求</w:t>
      </w:r>
    </w:p>
    <w:p w14:paraId="015D07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eastAsia="宋体" w:cs="仿宋_GB2312"/>
          <w:color w:val="auto"/>
          <w:sz w:val="24"/>
        </w:rPr>
      </w:pPr>
      <w:r>
        <w:rPr>
          <w:rFonts w:hint="eastAsia" w:ascii="宋体" w:hAnsi="宋体" w:eastAsia="宋体" w:cs="仿宋_GB2312"/>
          <w:color w:val="auto"/>
          <w:sz w:val="24"/>
        </w:rPr>
        <w:t>1.交付（实施）的时间（期限）：</w:t>
      </w:r>
      <w:r>
        <w:rPr>
          <w:rFonts w:hint="eastAsia" w:ascii="宋体" w:hAnsi="宋体" w:eastAsia="宋体" w:cs="Times New Roman"/>
          <w:color w:val="auto"/>
          <w:sz w:val="24"/>
          <w:u w:val="single"/>
        </w:rPr>
        <w:t xml:space="preserve"> 202</w:t>
      </w:r>
      <w:r>
        <w:rPr>
          <w:rFonts w:hint="eastAsia" w:ascii="宋体" w:hAnsi="宋体" w:cs="Times New Roman"/>
          <w:color w:val="auto"/>
          <w:sz w:val="24"/>
          <w:u w:val="single"/>
          <w:lang w:val="en-US" w:eastAsia="zh-CN"/>
        </w:rPr>
        <w:t>5</w:t>
      </w:r>
      <w:r>
        <w:rPr>
          <w:rFonts w:hint="eastAsia" w:ascii="宋体" w:hAnsi="宋体" w:eastAsia="宋体" w:cs="Times New Roman"/>
          <w:color w:val="auto"/>
          <w:sz w:val="24"/>
          <w:u w:val="single"/>
        </w:rPr>
        <w:t>年11月30日</w:t>
      </w:r>
      <w:r>
        <w:rPr>
          <w:rFonts w:hint="eastAsia" w:ascii="宋体" w:hAnsi="宋体" w:cs="Times New Roman"/>
          <w:color w:val="auto"/>
          <w:sz w:val="24"/>
          <w:u w:val="single"/>
          <w:lang w:val="en-US" w:eastAsia="zh-CN"/>
        </w:rPr>
        <w:t>前完成投保工作</w:t>
      </w:r>
      <w:r>
        <w:rPr>
          <w:rFonts w:hint="eastAsia" w:ascii="宋体" w:hAnsi="宋体" w:cs="Times New Roman"/>
          <w:color w:val="auto"/>
          <w:sz w:val="24"/>
          <w:u w:val="single"/>
          <w:lang w:eastAsia="zh-CN"/>
        </w:rPr>
        <w:t>。</w:t>
      </w:r>
      <w:r>
        <w:rPr>
          <w:rFonts w:hint="eastAsia" w:ascii="宋体" w:hAnsi="宋体" w:eastAsia="宋体" w:cs="Times New Roman"/>
          <w:color w:val="auto"/>
          <w:sz w:val="24"/>
          <w:u w:val="single"/>
        </w:rPr>
        <w:t xml:space="preserve"> </w:t>
      </w:r>
    </w:p>
    <w:p w14:paraId="7F8A5DB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eastAsia="宋体" w:cs="仿宋_GB2312"/>
          <w:color w:val="auto"/>
          <w:sz w:val="24"/>
        </w:rPr>
      </w:pPr>
      <w:r>
        <w:rPr>
          <w:rFonts w:hint="eastAsia" w:ascii="宋体" w:hAnsi="宋体" w:eastAsia="宋体" w:cs="仿宋_GB2312"/>
          <w:color w:val="auto"/>
          <w:sz w:val="24"/>
        </w:rPr>
        <w:t>2.交付（实施）的地点（范围）：</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u w:val="single"/>
          <w:lang w:val="en-US" w:eastAsia="zh-CN"/>
        </w:rPr>
        <w:t>采购人指定地点</w:t>
      </w:r>
      <w:r>
        <w:rPr>
          <w:rFonts w:hint="eastAsia" w:ascii="宋体" w:hAnsi="宋体" w:eastAsia="宋体" w:cs="Times New Roman"/>
          <w:color w:val="auto"/>
          <w:sz w:val="24"/>
          <w:u w:val="single"/>
        </w:rPr>
        <w:t xml:space="preserve"> </w:t>
      </w:r>
    </w:p>
    <w:p w14:paraId="52E95C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eastAsia="宋体" w:cs="Times New Roman"/>
          <w:color w:val="auto"/>
          <w:kern w:val="2"/>
          <w:sz w:val="24"/>
          <w:szCs w:val="24"/>
          <w:u w:val="single"/>
          <w:lang w:val="en-US" w:eastAsia="zh-CN" w:bidi="ar-SA"/>
        </w:rPr>
      </w:pPr>
      <w:r>
        <w:rPr>
          <w:rFonts w:hint="eastAsia" w:ascii="宋体" w:hAnsi="宋体" w:cs="仿宋_GB2312"/>
          <w:color w:val="auto"/>
          <w:sz w:val="24"/>
          <w:lang w:val="en-US" w:eastAsia="zh-CN"/>
        </w:rPr>
        <w:t>3</w:t>
      </w:r>
      <w:r>
        <w:rPr>
          <w:rFonts w:hint="eastAsia" w:ascii="宋体" w:hAnsi="宋体" w:eastAsia="宋体" w:cs="仿宋_GB2312"/>
          <w:color w:val="auto"/>
          <w:sz w:val="24"/>
        </w:rPr>
        <w:t>.售后服务要求</w:t>
      </w:r>
      <w:r>
        <w:rPr>
          <w:rFonts w:hint="eastAsia" w:ascii="宋体" w:hAnsi="宋体" w:eastAsia="宋体" w:cs="仿宋_GB2312"/>
          <w:color w:val="auto"/>
          <w:sz w:val="24"/>
          <w:lang w:eastAsia="zh-CN"/>
        </w:rPr>
        <w:t>：</w:t>
      </w:r>
      <w:r>
        <w:rPr>
          <w:rFonts w:hint="eastAsia" w:ascii="宋体" w:hAnsi="宋体" w:eastAsia="宋体" w:cs="Times New Roman"/>
          <w:color w:val="auto"/>
          <w:kern w:val="2"/>
          <w:sz w:val="24"/>
          <w:szCs w:val="24"/>
          <w:u w:val="single"/>
          <w:lang w:val="en-US" w:eastAsia="zh-CN" w:bidi="ar-SA"/>
        </w:rPr>
        <w:t xml:space="preserve">本项目承保电梯保险期限为1年 </w:t>
      </w:r>
    </w:p>
    <w:p w14:paraId="638391E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cs="仿宋_GB2312"/>
          <w:color w:val="auto"/>
          <w:sz w:val="24"/>
          <w:lang w:val="en-US" w:eastAsia="zh-CN"/>
        </w:rPr>
        <w:t>4</w:t>
      </w:r>
      <w:r>
        <w:rPr>
          <w:rFonts w:hint="eastAsia" w:ascii="宋体" w:hAnsi="宋体" w:eastAsia="宋体" w:cs="仿宋_GB2312"/>
          <w:color w:val="auto"/>
          <w:sz w:val="24"/>
        </w:rPr>
        <w:t>.其他商务要求（包装和运输、保险等）</w:t>
      </w:r>
      <w:r>
        <w:rPr>
          <w:rFonts w:hint="eastAsia" w:ascii="宋体" w:hAnsi="宋体" w:eastAsia="宋体" w:cs="仿宋_GB2312"/>
          <w:color w:val="auto"/>
          <w:sz w:val="24"/>
          <w:lang w:eastAsia="zh-CN"/>
        </w:rPr>
        <w:t>：</w:t>
      </w:r>
      <w:r>
        <w:rPr>
          <w:rFonts w:hint="eastAsia" w:ascii="宋体" w:hAnsi="宋体" w:eastAsia="宋体" w:cs="Times New Roman"/>
          <w:color w:val="auto"/>
          <w:kern w:val="2"/>
          <w:sz w:val="24"/>
          <w:szCs w:val="24"/>
          <w:highlight w:val="none"/>
          <w:u w:val="single"/>
          <w:lang w:val="en-US" w:eastAsia="zh-CN" w:bidi="ar-SA"/>
        </w:rPr>
        <w:t>无</w:t>
      </w:r>
    </w:p>
    <w:p w14:paraId="71C9AD82">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四、采购项目的其他要求</w:t>
      </w:r>
    </w:p>
    <w:p w14:paraId="5A99B32A">
      <w:pPr>
        <w:pStyle w:val="25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val="en-US" w:eastAsia="zh-CN"/>
        </w:rPr>
        <w:t>本项目为数量不确定的单价采购项目，投标报价应包含投保可能产生的所有费用，但不包含电梯安全责任保险投保人支付1元保费部分。</w:t>
      </w:r>
    </w:p>
    <w:p w14:paraId="6D636660">
      <w:pPr>
        <w:rPr>
          <w:rFonts w:ascii="宋体" w:hAnsi="宋体" w:cs="宋体"/>
          <w:snapToGrid w:val="0"/>
          <w:color w:val="auto"/>
          <w:kern w:val="0"/>
          <w:sz w:val="24"/>
          <w:highlight w:val="none"/>
        </w:rPr>
      </w:pPr>
    </w:p>
    <w:p w14:paraId="7D18B210">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eastAsia="宋体" w:cs="宋体"/>
          <w:b/>
          <w:color w:val="auto"/>
          <w:sz w:val="36"/>
          <w:szCs w:val="20"/>
          <w:highlight w:val="none"/>
        </w:rPr>
        <w:t xml:space="preserve">第四部分   </w:t>
      </w:r>
      <w:bookmarkStart w:id="28" w:name="_Toc184312139"/>
      <w:bookmarkEnd w:id="28"/>
      <w:bookmarkStart w:id="29" w:name="_Toc184310333"/>
      <w:bookmarkEnd w:id="29"/>
      <w:bookmarkStart w:id="30" w:name="_Toc184310280"/>
      <w:bookmarkEnd w:id="30"/>
      <w:bookmarkStart w:id="31" w:name="_Toc184310302"/>
      <w:bookmarkEnd w:id="31"/>
      <w:bookmarkStart w:id="32" w:name="_Toc184313255"/>
      <w:bookmarkEnd w:id="32"/>
      <w:bookmarkStart w:id="33" w:name="_Toc184314449"/>
      <w:bookmarkEnd w:id="33"/>
      <w:bookmarkStart w:id="34" w:name="_Toc184310289"/>
      <w:bookmarkEnd w:id="34"/>
      <w:bookmarkStart w:id="35" w:name="_Toc184314466"/>
      <w:bookmarkEnd w:id="35"/>
      <w:bookmarkStart w:id="36" w:name="_Toc184314472"/>
      <w:bookmarkEnd w:id="36"/>
      <w:bookmarkStart w:id="37" w:name="_Toc184308037"/>
      <w:bookmarkEnd w:id="37"/>
      <w:bookmarkStart w:id="38" w:name="_Toc184312089"/>
      <w:bookmarkEnd w:id="38"/>
      <w:bookmarkStart w:id="39" w:name="_Toc184312080"/>
      <w:bookmarkEnd w:id="39"/>
      <w:bookmarkStart w:id="40" w:name="_Toc184313243"/>
      <w:bookmarkEnd w:id="40"/>
      <w:bookmarkStart w:id="41" w:name="_Toc184308090"/>
      <w:bookmarkEnd w:id="41"/>
      <w:bookmarkStart w:id="42" w:name="_Toc184313304"/>
      <w:bookmarkEnd w:id="42"/>
      <w:bookmarkStart w:id="43" w:name="_Toc184308052"/>
      <w:bookmarkEnd w:id="43"/>
      <w:bookmarkStart w:id="44" w:name="_Toc184310298"/>
      <w:bookmarkEnd w:id="44"/>
      <w:bookmarkStart w:id="45" w:name="_Toc184314461"/>
      <w:bookmarkEnd w:id="45"/>
      <w:bookmarkStart w:id="46" w:name="_Toc184313273"/>
      <w:bookmarkEnd w:id="46"/>
      <w:bookmarkStart w:id="47" w:name="_Toc184312121"/>
      <w:bookmarkEnd w:id="47"/>
      <w:bookmarkStart w:id="48" w:name="_Toc184312132"/>
      <w:bookmarkEnd w:id="48"/>
      <w:bookmarkStart w:id="49" w:name="_Toc184312092"/>
      <w:bookmarkEnd w:id="49"/>
      <w:bookmarkStart w:id="50" w:name="_Toc184314416"/>
      <w:bookmarkEnd w:id="50"/>
      <w:bookmarkStart w:id="51" w:name="_Toc184314432"/>
      <w:bookmarkEnd w:id="51"/>
      <w:bookmarkStart w:id="52" w:name="_Toc184314415"/>
      <w:bookmarkEnd w:id="52"/>
      <w:bookmarkStart w:id="53" w:name="_Toc184312071"/>
      <w:bookmarkEnd w:id="53"/>
      <w:bookmarkStart w:id="54" w:name="_Toc184313283"/>
      <w:bookmarkEnd w:id="54"/>
      <w:bookmarkStart w:id="55" w:name="_Toc184310291"/>
      <w:bookmarkEnd w:id="55"/>
      <w:bookmarkStart w:id="56" w:name="_Toc184310338"/>
      <w:bookmarkEnd w:id="56"/>
      <w:bookmarkStart w:id="57" w:name="_Toc184308100"/>
      <w:bookmarkEnd w:id="57"/>
      <w:bookmarkStart w:id="58" w:name="_Toc184310328"/>
      <w:bookmarkEnd w:id="58"/>
      <w:bookmarkStart w:id="59" w:name="_Toc184308093"/>
      <w:bookmarkEnd w:id="59"/>
      <w:bookmarkStart w:id="60" w:name="_Toc184310308"/>
      <w:bookmarkEnd w:id="60"/>
      <w:bookmarkStart w:id="61" w:name="_Toc184313241"/>
      <w:bookmarkEnd w:id="61"/>
      <w:bookmarkStart w:id="62" w:name="_Toc184308083"/>
      <w:bookmarkEnd w:id="62"/>
      <w:bookmarkStart w:id="63" w:name="_Toc184313270"/>
      <w:bookmarkEnd w:id="63"/>
      <w:bookmarkStart w:id="64" w:name="_Toc184310339"/>
      <w:bookmarkEnd w:id="64"/>
      <w:bookmarkStart w:id="65" w:name="_Toc184312135"/>
      <w:bookmarkEnd w:id="65"/>
      <w:bookmarkStart w:id="66" w:name="_Toc184313292"/>
      <w:bookmarkEnd w:id="66"/>
      <w:bookmarkStart w:id="67" w:name="_Toc184308063"/>
      <w:bookmarkEnd w:id="67"/>
      <w:bookmarkStart w:id="68" w:name="_Toc184312115"/>
      <w:bookmarkEnd w:id="68"/>
      <w:bookmarkStart w:id="69" w:name="_Toc184310307"/>
      <w:bookmarkEnd w:id="69"/>
      <w:bookmarkStart w:id="70" w:name="_Toc184312081"/>
      <w:bookmarkEnd w:id="70"/>
      <w:bookmarkStart w:id="71" w:name="_Toc184310305"/>
      <w:bookmarkEnd w:id="71"/>
      <w:bookmarkStart w:id="72" w:name="_Toc184313250"/>
      <w:bookmarkEnd w:id="72"/>
      <w:bookmarkStart w:id="73" w:name="_Toc184308053"/>
      <w:bookmarkEnd w:id="73"/>
      <w:bookmarkStart w:id="74" w:name="_Toc184310334"/>
      <w:bookmarkEnd w:id="74"/>
      <w:bookmarkStart w:id="75" w:name="_Toc184314413"/>
      <w:bookmarkEnd w:id="75"/>
      <w:bookmarkStart w:id="76" w:name="_Toc184308094"/>
      <w:bookmarkEnd w:id="76"/>
      <w:bookmarkStart w:id="77" w:name="_Toc184314437"/>
      <w:bookmarkEnd w:id="77"/>
      <w:bookmarkStart w:id="78" w:name="_Toc184312126"/>
      <w:bookmarkEnd w:id="78"/>
      <w:bookmarkStart w:id="79" w:name="_Toc184308098"/>
      <w:bookmarkEnd w:id="79"/>
      <w:bookmarkStart w:id="80" w:name="_Toc184308072"/>
      <w:bookmarkEnd w:id="80"/>
      <w:bookmarkStart w:id="81" w:name="_Toc184313238"/>
      <w:bookmarkEnd w:id="81"/>
      <w:bookmarkStart w:id="82" w:name="_Toc184313259"/>
      <w:bookmarkEnd w:id="82"/>
      <w:bookmarkStart w:id="83" w:name="_Toc184313279"/>
      <w:bookmarkEnd w:id="83"/>
      <w:bookmarkStart w:id="84" w:name="_Toc184313309"/>
      <w:bookmarkEnd w:id="84"/>
      <w:bookmarkStart w:id="85" w:name="_Toc184314422"/>
      <w:bookmarkEnd w:id="85"/>
      <w:bookmarkStart w:id="86" w:name="_Toc184310343"/>
      <w:bookmarkEnd w:id="86"/>
      <w:bookmarkStart w:id="87" w:name="_Toc184310320"/>
      <w:bookmarkEnd w:id="87"/>
      <w:bookmarkStart w:id="88" w:name="_Toc184308060"/>
      <w:bookmarkEnd w:id="88"/>
      <w:bookmarkStart w:id="89" w:name="_Toc184313303"/>
      <w:bookmarkEnd w:id="89"/>
      <w:bookmarkStart w:id="90" w:name="_Toc184310330"/>
      <w:bookmarkEnd w:id="90"/>
      <w:bookmarkStart w:id="91" w:name="_Toc184310296"/>
      <w:bookmarkEnd w:id="91"/>
      <w:bookmarkStart w:id="92" w:name="_Toc184310287"/>
      <w:bookmarkEnd w:id="92"/>
      <w:bookmarkStart w:id="93" w:name="_Toc184314434"/>
      <w:bookmarkEnd w:id="93"/>
      <w:bookmarkStart w:id="94" w:name="_Toc184310275"/>
      <w:bookmarkEnd w:id="94"/>
      <w:bookmarkStart w:id="95" w:name="_Toc184313262"/>
      <w:bookmarkEnd w:id="95"/>
      <w:bookmarkStart w:id="96" w:name="_Toc184314462"/>
      <w:bookmarkEnd w:id="96"/>
      <w:bookmarkStart w:id="97" w:name="_Toc184314478"/>
      <w:bookmarkEnd w:id="97"/>
      <w:bookmarkStart w:id="98" w:name="_Toc184308061"/>
      <w:bookmarkEnd w:id="98"/>
      <w:bookmarkStart w:id="99" w:name="_Toc184310315"/>
      <w:bookmarkEnd w:id="99"/>
      <w:bookmarkStart w:id="100" w:name="_Toc184308080"/>
      <w:bookmarkEnd w:id="100"/>
      <w:bookmarkStart w:id="101" w:name="_Toc184314446"/>
      <w:bookmarkEnd w:id="101"/>
      <w:bookmarkStart w:id="102" w:name="_Toc184314440"/>
      <w:bookmarkEnd w:id="102"/>
      <w:bookmarkStart w:id="103" w:name="_Toc184314459"/>
      <w:bookmarkEnd w:id="103"/>
      <w:bookmarkStart w:id="104" w:name="_Toc184312074"/>
      <w:bookmarkEnd w:id="104"/>
      <w:bookmarkStart w:id="105" w:name="_Toc184312083"/>
      <w:bookmarkEnd w:id="105"/>
      <w:bookmarkStart w:id="106" w:name="_Toc184314482"/>
      <w:bookmarkEnd w:id="106"/>
      <w:bookmarkStart w:id="107" w:name="_Toc184314455"/>
      <w:bookmarkEnd w:id="107"/>
      <w:bookmarkStart w:id="108" w:name="_Toc184312079"/>
      <w:bookmarkEnd w:id="108"/>
      <w:bookmarkStart w:id="109" w:name="_Toc184310281"/>
      <w:bookmarkEnd w:id="109"/>
      <w:bookmarkStart w:id="110" w:name="_Toc184308045"/>
      <w:bookmarkEnd w:id="110"/>
      <w:bookmarkStart w:id="111" w:name="_Toc184314445"/>
      <w:bookmarkEnd w:id="111"/>
      <w:bookmarkStart w:id="112" w:name="_Toc184310324"/>
      <w:bookmarkEnd w:id="112"/>
      <w:bookmarkStart w:id="113" w:name="_Toc184308087"/>
      <w:bookmarkEnd w:id="113"/>
      <w:bookmarkStart w:id="114" w:name="_Toc184308039"/>
      <w:bookmarkEnd w:id="114"/>
      <w:bookmarkStart w:id="115" w:name="_Toc184312113"/>
      <w:bookmarkEnd w:id="115"/>
      <w:bookmarkStart w:id="116" w:name="_Toc184310326"/>
      <w:bookmarkEnd w:id="116"/>
      <w:bookmarkStart w:id="117" w:name="_Toc184313299"/>
      <w:bookmarkEnd w:id="117"/>
      <w:bookmarkStart w:id="118" w:name="_Toc184313269"/>
      <w:bookmarkEnd w:id="118"/>
      <w:bookmarkStart w:id="119" w:name="_Toc184313276"/>
      <w:bookmarkEnd w:id="119"/>
      <w:bookmarkStart w:id="120" w:name="_Toc184313274"/>
      <w:bookmarkEnd w:id="120"/>
      <w:bookmarkStart w:id="121" w:name="_Toc184312076"/>
      <w:bookmarkEnd w:id="121"/>
      <w:bookmarkStart w:id="122" w:name="_Toc184308040"/>
      <w:bookmarkEnd w:id="122"/>
      <w:bookmarkStart w:id="123" w:name="_Toc184312084"/>
      <w:bookmarkEnd w:id="123"/>
      <w:bookmarkStart w:id="124" w:name="_Toc184314436"/>
      <w:bookmarkEnd w:id="124"/>
      <w:bookmarkStart w:id="125" w:name="_Toc184312114"/>
      <w:bookmarkEnd w:id="125"/>
      <w:bookmarkStart w:id="126" w:name="_Toc184312110"/>
      <w:bookmarkEnd w:id="126"/>
      <w:bookmarkStart w:id="127" w:name="_Toc184314453"/>
      <w:bookmarkEnd w:id="127"/>
      <w:bookmarkStart w:id="128" w:name="_Toc184308076"/>
      <w:bookmarkEnd w:id="128"/>
      <w:bookmarkStart w:id="129" w:name="_Toc184310282"/>
      <w:bookmarkEnd w:id="129"/>
      <w:bookmarkStart w:id="130" w:name="_Toc184312103"/>
      <w:bookmarkEnd w:id="130"/>
      <w:bookmarkStart w:id="131" w:name="_Toc184310286"/>
      <w:bookmarkEnd w:id="131"/>
      <w:bookmarkStart w:id="132" w:name="_Toc184314474"/>
      <w:bookmarkEnd w:id="132"/>
      <w:bookmarkStart w:id="133" w:name="_Toc184313284"/>
      <w:bookmarkEnd w:id="133"/>
      <w:bookmarkStart w:id="134" w:name="_Toc184312069"/>
      <w:bookmarkEnd w:id="134"/>
      <w:bookmarkStart w:id="135" w:name="_Toc184314480"/>
      <w:bookmarkEnd w:id="135"/>
      <w:bookmarkStart w:id="136" w:name="_Toc184313265"/>
      <w:bookmarkEnd w:id="136"/>
      <w:bookmarkStart w:id="137" w:name="_Toc184310278"/>
      <w:bookmarkEnd w:id="137"/>
      <w:bookmarkStart w:id="138" w:name="_Toc184310337"/>
      <w:bookmarkEnd w:id="138"/>
      <w:bookmarkStart w:id="139" w:name="_Toc184314417"/>
      <w:bookmarkEnd w:id="139"/>
      <w:bookmarkStart w:id="140" w:name="_Toc184310293"/>
      <w:bookmarkEnd w:id="140"/>
      <w:bookmarkStart w:id="141" w:name="_Toc184313278"/>
      <w:bookmarkEnd w:id="141"/>
      <w:bookmarkStart w:id="142" w:name="_Toc184310272"/>
      <w:bookmarkEnd w:id="142"/>
      <w:bookmarkStart w:id="143" w:name="_Toc184308108"/>
      <w:bookmarkEnd w:id="143"/>
      <w:bookmarkStart w:id="144" w:name="_Toc184312106"/>
      <w:bookmarkEnd w:id="144"/>
      <w:bookmarkStart w:id="145" w:name="_Toc184312130"/>
      <w:bookmarkEnd w:id="145"/>
      <w:bookmarkStart w:id="146" w:name="_Toc184314452"/>
      <w:bookmarkEnd w:id="146"/>
      <w:bookmarkStart w:id="147" w:name="_Toc184312075"/>
      <w:bookmarkEnd w:id="147"/>
      <w:bookmarkStart w:id="148" w:name="_Toc184308074"/>
      <w:bookmarkEnd w:id="148"/>
      <w:bookmarkStart w:id="149" w:name="_Toc184314469"/>
      <w:bookmarkEnd w:id="149"/>
      <w:bookmarkStart w:id="150" w:name="_Toc184312137"/>
      <w:bookmarkEnd w:id="150"/>
      <w:bookmarkStart w:id="151" w:name="_Toc184314470"/>
      <w:bookmarkEnd w:id="151"/>
      <w:bookmarkStart w:id="152" w:name="_Toc184308046"/>
      <w:bookmarkEnd w:id="152"/>
      <w:bookmarkStart w:id="153" w:name="_Toc184308064"/>
      <w:bookmarkEnd w:id="153"/>
      <w:bookmarkStart w:id="154" w:name="_Toc184312109"/>
      <w:bookmarkEnd w:id="154"/>
      <w:bookmarkStart w:id="155" w:name="_Toc184310323"/>
      <w:bookmarkEnd w:id="155"/>
      <w:bookmarkStart w:id="156" w:name="_Toc184308078"/>
      <w:bookmarkEnd w:id="156"/>
      <w:bookmarkStart w:id="157" w:name="_Toc184310341"/>
      <w:bookmarkEnd w:id="157"/>
      <w:bookmarkStart w:id="158" w:name="_Toc184310311"/>
      <w:bookmarkEnd w:id="158"/>
      <w:bookmarkStart w:id="159" w:name="_Toc184310331"/>
      <w:bookmarkEnd w:id="159"/>
      <w:bookmarkStart w:id="160" w:name="_Toc184313310"/>
      <w:bookmarkEnd w:id="160"/>
      <w:bookmarkStart w:id="161" w:name="_Toc184310344"/>
      <w:bookmarkEnd w:id="161"/>
      <w:bookmarkStart w:id="162" w:name="_Toc184308104"/>
      <w:bookmarkEnd w:id="162"/>
      <w:bookmarkStart w:id="163" w:name="_Toc184310319"/>
      <w:bookmarkEnd w:id="163"/>
      <w:bookmarkStart w:id="164" w:name="_Toc184314473"/>
      <w:bookmarkEnd w:id="164"/>
      <w:bookmarkStart w:id="165" w:name="_Toc184312101"/>
      <w:bookmarkEnd w:id="165"/>
      <w:bookmarkStart w:id="166" w:name="_Toc184312134"/>
      <w:bookmarkEnd w:id="166"/>
      <w:bookmarkStart w:id="167" w:name="_Toc184314428"/>
      <w:bookmarkEnd w:id="167"/>
      <w:bookmarkStart w:id="168" w:name="_Toc184308068"/>
      <w:bookmarkEnd w:id="168"/>
      <w:bookmarkStart w:id="169" w:name="_Toc184308101"/>
      <w:bookmarkEnd w:id="169"/>
      <w:bookmarkStart w:id="170" w:name="_Toc184313245"/>
      <w:bookmarkEnd w:id="170"/>
      <w:bookmarkStart w:id="171" w:name="_Toc184308041"/>
      <w:bookmarkEnd w:id="171"/>
      <w:bookmarkStart w:id="172" w:name="_Toc184312088"/>
      <w:bookmarkEnd w:id="172"/>
      <w:bookmarkStart w:id="173" w:name="_Toc184310310"/>
      <w:bookmarkEnd w:id="173"/>
      <w:bookmarkStart w:id="174" w:name="_Toc184313251"/>
      <w:bookmarkEnd w:id="174"/>
      <w:bookmarkStart w:id="175" w:name="_Toc184314427"/>
      <w:bookmarkEnd w:id="175"/>
      <w:bookmarkStart w:id="176" w:name="_Toc184313293"/>
      <w:bookmarkEnd w:id="176"/>
      <w:bookmarkStart w:id="177" w:name="_Toc184310292"/>
      <w:bookmarkEnd w:id="177"/>
      <w:bookmarkStart w:id="178" w:name="_Toc184310329"/>
      <w:bookmarkEnd w:id="178"/>
      <w:bookmarkStart w:id="179" w:name="_Toc184314460"/>
      <w:bookmarkEnd w:id="179"/>
      <w:bookmarkStart w:id="180" w:name="_Toc184313246"/>
      <w:bookmarkEnd w:id="180"/>
      <w:bookmarkStart w:id="181" w:name="_Toc184308058"/>
      <w:bookmarkEnd w:id="181"/>
      <w:bookmarkStart w:id="182" w:name="_Toc184310335"/>
      <w:bookmarkEnd w:id="182"/>
      <w:bookmarkStart w:id="183" w:name="_Toc184308048"/>
      <w:bookmarkEnd w:id="183"/>
      <w:bookmarkStart w:id="184" w:name="_Toc184314471"/>
      <w:bookmarkEnd w:id="184"/>
      <w:bookmarkStart w:id="185" w:name="_Toc184312118"/>
      <w:bookmarkEnd w:id="185"/>
      <w:bookmarkStart w:id="186" w:name="_Toc184308055"/>
      <w:bookmarkEnd w:id="186"/>
      <w:bookmarkStart w:id="187" w:name="_Toc184308099"/>
      <w:bookmarkEnd w:id="187"/>
      <w:bookmarkStart w:id="188" w:name="_Toc184312122"/>
      <w:bookmarkEnd w:id="188"/>
      <w:bookmarkStart w:id="189" w:name="_Toc184308070"/>
      <w:bookmarkEnd w:id="189"/>
      <w:bookmarkStart w:id="190" w:name="_Toc184310290"/>
      <w:bookmarkEnd w:id="190"/>
      <w:bookmarkStart w:id="191" w:name="_Toc184313308"/>
      <w:bookmarkEnd w:id="191"/>
      <w:bookmarkStart w:id="192" w:name="_Toc184313287"/>
      <w:bookmarkEnd w:id="192"/>
      <w:bookmarkStart w:id="193" w:name="_Toc184310279"/>
      <w:bookmarkEnd w:id="193"/>
      <w:bookmarkStart w:id="194" w:name="_Toc184314426"/>
      <w:bookmarkEnd w:id="194"/>
      <w:bookmarkStart w:id="195" w:name="_Toc184314448"/>
      <w:bookmarkEnd w:id="195"/>
      <w:bookmarkStart w:id="196" w:name="_Toc184314475"/>
      <w:bookmarkEnd w:id="196"/>
      <w:bookmarkStart w:id="197" w:name="_Toc184314433"/>
      <w:bookmarkEnd w:id="197"/>
      <w:bookmarkStart w:id="198" w:name="_Toc184313252"/>
      <w:bookmarkEnd w:id="198"/>
      <w:bookmarkStart w:id="199" w:name="_Toc184313271"/>
      <w:bookmarkEnd w:id="199"/>
      <w:bookmarkStart w:id="200" w:name="_Toc184308088"/>
      <w:bookmarkEnd w:id="200"/>
      <w:bookmarkStart w:id="201" w:name="_Toc184314444"/>
      <w:bookmarkEnd w:id="201"/>
      <w:bookmarkStart w:id="202" w:name="_Toc184308049"/>
      <w:bookmarkEnd w:id="202"/>
      <w:bookmarkStart w:id="203" w:name="_Toc184314412"/>
      <w:bookmarkEnd w:id="203"/>
      <w:bookmarkStart w:id="204" w:name="_Toc184313282"/>
      <w:bookmarkEnd w:id="204"/>
      <w:bookmarkStart w:id="205" w:name="_Toc184308107"/>
      <w:bookmarkEnd w:id="205"/>
      <w:bookmarkStart w:id="206" w:name="_Toc184312087"/>
      <w:bookmarkEnd w:id="206"/>
      <w:bookmarkStart w:id="207" w:name="_Toc184313253"/>
      <w:bookmarkEnd w:id="207"/>
      <w:bookmarkStart w:id="208" w:name="_Toc184308042"/>
      <w:bookmarkEnd w:id="208"/>
      <w:bookmarkStart w:id="209" w:name="_Toc184312117"/>
      <w:bookmarkEnd w:id="209"/>
      <w:bookmarkStart w:id="210" w:name="_Toc184310342"/>
      <w:bookmarkEnd w:id="210"/>
      <w:bookmarkStart w:id="211" w:name="_Toc184312100"/>
      <w:bookmarkEnd w:id="211"/>
      <w:bookmarkStart w:id="212" w:name="_Toc184310283"/>
      <w:bookmarkEnd w:id="212"/>
      <w:bookmarkStart w:id="213" w:name="_Toc184314477"/>
      <w:bookmarkEnd w:id="213"/>
      <w:bookmarkStart w:id="214" w:name="_Toc184308056"/>
      <w:bookmarkEnd w:id="214"/>
      <w:bookmarkStart w:id="215" w:name="_Toc184308065"/>
      <w:bookmarkEnd w:id="215"/>
      <w:bookmarkStart w:id="216" w:name="_Toc184314421"/>
      <w:bookmarkEnd w:id="216"/>
      <w:bookmarkStart w:id="217" w:name="_Toc184310304"/>
      <w:bookmarkEnd w:id="217"/>
      <w:bookmarkStart w:id="218" w:name="_Toc184310303"/>
      <w:bookmarkEnd w:id="218"/>
      <w:bookmarkStart w:id="219" w:name="_Toc184313247"/>
      <w:bookmarkEnd w:id="219"/>
      <w:bookmarkStart w:id="220" w:name="_Toc184308084"/>
      <w:bookmarkEnd w:id="220"/>
      <w:bookmarkStart w:id="221" w:name="_Toc184310317"/>
      <w:bookmarkEnd w:id="221"/>
      <w:bookmarkStart w:id="222" w:name="_Toc184310314"/>
      <w:bookmarkEnd w:id="222"/>
      <w:bookmarkStart w:id="223" w:name="_Toc184314441"/>
      <w:bookmarkEnd w:id="223"/>
      <w:bookmarkStart w:id="224" w:name="_Toc184313307"/>
      <w:bookmarkEnd w:id="224"/>
      <w:bookmarkStart w:id="225" w:name="_Toc184314431"/>
      <w:bookmarkEnd w:id="225"/>
      <w:bookmarkStart w:id="226" w:name="_Toc184312111"/>
      <w:bookmarkEnd w:id="226"/>
      <w:bookmarkStart w:id="227" w:name="_Toc184314410"/>
      <w:bookmarkEnd w:id="227"/>
      <w:bookmarkStart w:id="228" w:name="_Toc184308089"/>
      <w:bookmarkEnd w:id="228"/>
      <w:bookmarkStart w:id="229" w:name="_Toc184313296"/>
      <w:bookmarkEnd w:id="229"/>
      <w:bookmarkStart w:id="230" w:name="_Toc184313277"/>
      <w:bookmarkEnd w:id="230"/>
      <w:bookmarkStart w:id="231" w:name="_Toc184312128"/>
      <w:bookmarkEnd w:id="231"/>
      <w:bookmarkStart w:id="232" w:name="_Toc184308062"/>
      <w:bookmarkEnd w:id="232"/>
      <w:bookmarkStart w:id="233" w:name="_Toc184310327"/>
      <w:bookmarkEnd w:id="233"/>
      <w:bookmarkStart w:id="234" w:name="_Toc184312078"/>
      <w:bookmarkEnd w:id="234"/>
      <w:bookmarkStart w:id="235" w:name="_Toc184314451"/>
      <w:bookmarkEnd w:id="235"/>
      <w:bookmarkStart w:id="236" w:name="_Toc184313264"/>
      <w:bookmarkEnd w:id="236"/>
      <w:bookmarkStart w:id="237" w:name="_Toc184313286"/>
      <w:bookmarkEnd w:id="237"/>
      <w:bookmarkStart w:id="238" w:name="_Toc184308066"/>
      <w:bookmarkEnd w:id="238"/>
      <w:bookmarkStart w:id="239" w:name="_Toc184314458"/>
      <w:bookmarkEnd w:id="239"/>
      <w:bookmarkStart w:id="240" w:name="_Toc184313248"/>
      <w:bookmarkEnd w:id="240"/>
      <w:bookmarkStart w:id="241" w:name="_Toc184313294"/>
      <w:bookmarkEnd w:id="241"/>
      <w:bookmarkStart w:id="242" w:name="_Toc184314430"/>
      <w:bookmarkEnd w:id="242"/>
      <w:bookmarkStart w:id="243" w:name="_Toc184308105"/>
      <w:bookmarkEnd w:id="243"/>
      <w:bookmarkStart w:id="244" w:name="_Toc184308057"/>
      <w:bookmarkEnd w:id="244"/>
      <w:bookmarkStart w:id="245" w:name="_Toc184312127"/>
      <w:bookmarkEnd w:id="245"/>
      <w:bookmarkStart w:id="246" w:name="_Toc184312095"/>
      <w:bookmarkEnd w:id="246"/>
      <w:bookmarkStart w:id="247" w:name="_Toc184310316"/>
      <w:bookmarkEnd w:id="247"/>
      <w:bookmarkStart w:id="248" w:name="_Toc184308059"/>
      <w:bookmarkEnd w:id="248"/>
      <w:bookmarkStart w:id="249" w:name="_Toc184312119"/>
      <w:bookmarkEnd w:id="249"/>
      <w:bookmarkStart w:id="250" w:name="_Toc184313281"/>
      <w:bookmarkEnd w:id="250"/>
      <w:bookmarkStart w:id="251" w:name="_Toc184312085"/>
      <w:bookmarkEnd w:id="251"/>
      <w:bookmarkStart w:id="252" w:name="_Toc184314468"/>
      <w:bookmarkEnd w:id="252"/>
      <w:bookmarkStart w:id="253" w:name="_Toc184308103"/>
      <w:bookmarkEnd w:id="253"/>
      <w:bookmarkStart w:id="254" w:name="_Toc184314424"/>
      <w:bookmarkEnd w:id="254"/>
      <w:bookmarkStart w:id="255" w:name="_Toc184313291"/>
      <w:bookmarkEnd w:id="255"/>
      <w:bookmarkStart w:id="256" w:name="_Toc184314423"/>
      <w:bookmarkEnd w:id="256"/>
      <w:bookmarkStart w:id="257" w:name="_Toc184310312"/>
      <w:bookmarkEnd w:id="257"/>
      <w:bookmarkStart w:id="258" w:name="_Toc184310295"/>
      <w:bookmarkEnd w:id="258"/>
      <w:bookmarkStart w:id="259" w:name="_Toc184312108"/>
      <w:bookmarkEnd w:id="259"/>
      <w:bookmarkStart w:id="260" w:name="_Toc184313260"/>
      <w:bookmarkEnd w:id="260"/>
      <w:bookmarkStart w:id="261" w:name="_Toc184308044"/>
      <w:bookmarkEnd w:id="261"/>
      <w:bookmarkStart w:id="262" w:name="_Toc184308036"/>
      <w:bookmarkEnd w:id="262"/>
      <w:bookmarkStart w:id="263" w:name="_Toc184312136"/>
      <w:bookmarkEnd w:id="263"/>
      <w:bookmarkStart w:id="264" w:name="_Toc184314442"/>
      <w:bookmarkEnd w:id="264"/>
      <w:bookmarkStart w:id="265" w:name="_Toc184312093"/>
      <w:bookmarkEnd w:id="265"/>
      <w:bookmarkStart w:id="266" w:name="_Toc184314443"/>
      <w:bookmarkEnd w:id="266"/>
      <w:bookmarkStart w:id="267" w:name="_Toc184312131"/>
      <w:bookmarkEnd w:id="267"/>
      <w:bookmarkStart w:id="268" w:name="_Toc184313261"/>
      <w:bookmarkEnd w:id="268"/>
      <w:bookmarkStart w:id="269" w:name="_Toc184313263"/>
      <w:bookmarkEnd w:id="269"/>
      <w:bookmarkStart w:id="270" w:name="_Toc184314454"/>
      <w:bookmarkEnd w:id="270"/>
      <w:bookmarkStart w:id="271" w:name="_Toc184308071"/>
      <w:bookmarkEnd w:id="271"/>
      <w:bookmarkStart w:id="272" w:name="_Toc184312120"/>
      <w:bookmarkEnd w:id="272"/>
      <w:bookmarkStart w:id="273" w:name="_Toc184308096"/>
      <w:bookmarkEnd w:id="273"/>
      <w:bookmarkStart w:id="274" w:name="_Toc184313301"/>
      <w:bookmarkEnd w:id="274"/>
      <w:bookmarkStart w:id="275" w:name="_Toc184313302"/>
      <w:bookmarkEnd w:id="275"/>
      <w:bookmarkStart w:id="276" w:name="_Toc184310273"/>
      <w:bookmarkEnd w:id="276"/>
      <w:bookmarkStart w:id="277" w:name="_Toc184314457"/>
      <w:bookmarkEnd w:id="277"/>
      <w:bookmarkStart w:id="278" w:name="_Toc184314411"/>
      <w:bookmarkEnd w:id="278"/>
      <w:bookmarkStart w:id="279" w:name="_Toc184313275"/>
      <w:bookmarkEnd w:id="279"/>
      <w:bookmarkStart w:id="280" w:name="_Toc184313257"/>
      <w:bookmarkEnd w:id="280"/>
      <w:bookmarkStart w:id="281" w:name="_Toc184310285"/>
      <w:bookmarkEnd w:id="281"/>
      <w:bookmarkStart w:id="282" w:name="_Toc184310277"/>
      <w:bookmarkEnd w:id="282"/>
      <w:bookmarkStart w:id="283" w:name="_Toc184312138"/>
      <w:bookmarkEnd w:id="283"/>
      <w:bookmarkStart w:id="284" w:name="_Toc184312077"/>
      <w:bookmarkEnd w:id="284"/>
      <w:bookmarkStart w:id="285" w:name="_Toc184313288"/>
      <w:bookmarkEnd w:id="285"/>
      <w:bookmarkStart w:id="286" w:name="_Toc184308085"/>
      <w:bookmarkEnd w:id="286"/>
      <w:bookmarkStart w:id="287" w:name="_Toc184314476"/>
      <w:bookmarkEnd w:id="287"/>
      <w:bookmarkStart w:id="288" w:name="_Toc184308073"/>
      <w:bookmarkEnd w:id="288"/>
      <w:bookmarkStart w:id="289" w:name="_Toc184314419"/>
      <w:bookmarkEnd w:id="289"/>
      <w:bookmarkStart w:id="290" w:name="_Toc184312098"/>
      <w:bookmarkEnd w:id="290"/>
      <w:bookmarkStart w:id="291" w:name="_Toc184310321"/>
      <w:bookmarkEnd w:id="291"/>
      <w:bookmarkStart w:id="292" w:name="_Toc184312096"/>
      <w:bookmarkEnd w:id="292"/>
      <w:bookmarkStart w:id="293" w:name="_Toc184310332"/>
      <w:bookmarkEnd w:id="293"/>
      <w:bookmarkStart w:id="294" w:name="_Toc184314425"/>
      <w:bookmarkEnd w:id="294"/>
      <w:bookmarkStart w:id="295" w:name="_Toc184310309"/>
      <w:bookmarkEnd w:id="295"/>
      <w:bookmarkStart w:id="296" w:name="_Toc184310301"/>
      <w:bookmarkEnd w:id="296"/>
      <w:bookmarkStart w:id="297" w:name="_Toc184313295"/>
      <w:bookmarkEnd w:id="297"/>
      <w:bookmarkStart w:id="298" w:name="_Toc184310300"/>
      <w:bookmarkEnd w:id="298"/>
      <w:bookmarkStart w:id="299" w:name="_Toc184312099"/>
      <w:bookmarkEnd w:id="299"/>
      <w:bookmarkStart w:id="300" w:name="_Toc184308086"/>
      <w:bookmarkEnd w:id="300"/>
      <w:bookmarkStart w:id="301" w:name="_Toc184314420"/>
      <w:bookmarkEnd w:id="301"/>
      <w:bookmarkStart w:id="302" w:name="_Toc184310294"/>
      <w:bookmarkEnd w:id="302"/>
      <w:bookmarkStart w:id="303" w:name="_Toc184312072"/>
      <w:bookmarkEnd w:id="303"/>
      <w:bookmarkStart w:id="304" w:name="_Toc184314439"/>
      <w:bookmarkEnd w:id="304"/>
      <w:bookmarkStart w:id="305" w:name="_Toc184312094"/>
      <w:bookmarkEnd w:id="305"/>
      <w:bookmarkStart w:id="306" w:name="_Toc184310288"/>
      <w:bookmarkEnd w:id="306"/>
      <w:bookmarkStart w:id="307" w:name="_Toc184313244"/>
      <w:bookmarkEnd w:id="307"/>
      <w:bookmarkStart w:id="308" w:name="_Toc184313242"/>
      <w:bookmarkEnd w:id="308"/>
      <w:bookmarkStart w:id="309" w:name="_Toc184312123"/>
      <w:bookmarkEnd w:id="309"/>
      <w:bookmarkStart w:id="310" w:name="_Toc184308102"/>
      <w:bookmarkEnd w:id="310"/>
      <w:bookmarkStart w:id="311" w:name="_Toc184314463"/>
      <w:bookmarkEnd w:id="311"/>
      <w:bookmarkStart w:id="312" w:name="_Toc184312070"/>
      <w:bookmarkEnd w:id="312"/>
      <w:bookmarkStart w:id="313" w:name="_Toc184312107"/>
      <w:bookmarkEnd w:id="313"/>
      <w:bookmarkStart w:id="314" w:name="_Toc184308092"/>
      <w:bookmarkEnd w:id="314"/>
      <w:bookmarkStart w:id="315" w:name="_Toc184308082"/>
      <w:bookmarkEnd w:id="315"/>
      <w:bookmarkStart w:id="316" w:name="_Toc184310322"/>
      <w:bookmarkEnd w:id="316"/>
      <w:bookmarkStart w:id="317" w:name="_Toc184313266"/>
      <w:bookmarkEnd w:id="317"/>
      <w:bookmarkStart w:id="318" w:name="_Toc184312104"/>
      <w:bookmarkEnd w:id="318"/>
      <w:bookmarkStart w:id="319" w:name="_Toc184310306"/>
      <w:bookmarkEnd w:id="319"/>
      <w:bookmarkStart w:id="320" w:name="_Toc184308097"/>
      <w:bookmarkEnd w:id="320"/>
      <w:bookmarkStart w:id="321" w:name="_Toc184313290"/>
      <w:bookmarkEnd w:id="321"/>
      <w:bookmarkStart w:id="322" w:name="_Toc184314429"/>
      <w:bookmarkEnd w:id="322"/>
      <w:bookmarkStart w:id="323" w:name="_Toc184310276"/>
      <w:bookmarkEnd w:id="323"/>
      <w:bookmarkStart w:id="324" w:name="_Toc184312112"/>
      <w:bookmarkEnd w:id="324"/>
      <w:bookmarkStart w:id="325" w:name="_Toc184308077"/>
      <w:bookmarkEnd w:id="325"/>
      <w:bookmarkStart w:id="326" w:name="_Toc184310284"/>
      <w:bookmarkEnd w:id="326"/>
      <w:bookmarkStart w:id="327" w:name="_Toc184308054"/>
      <w:bookmarkEnd w:id="327"/>
      <w:bookmarkStart w:id="328" w:name="_Toc184313239"/>
      <w:bookmarkEnd w:id="328"/>
      <w:bookmarkStart w:id="329" w:name="_Toc184312086"/>
      <w:bookmarkEnd w:id="329"/>
      <w:bookmarkStart w:id="330" w:name="_Toc184314456"/>
      <w:bookmarkEnd w:id="330"/>
      <w:bookmarkStart w:id="331" w:name="_Toc184313285"/>
      <w:bookmarkEnd w:id="331"/>
      <w:bookmarkStart w:id="332" w:name="_Toc184314467"/>
      <w:bookmarkEnd w:id="332"/>
      <w:bookmarkStart w:id="333" w:name="_Toc184313306"/>
      <w:bookmarkEnd w:id="333"/>
      <w:bookmarkStart w:id="334" w:name="_Toc184308106"/>
      <w:bookmarkEnd w:id="334"/>
      <w:bookmarkStart w:id="335" w:name="_Toc184312067"/>
      <w:bookmarkEnd w:id="335"/>
      <w:bookmarkStart w:id="336" w:name="_Toc184313300"/>
      <w:bookmarkEnd w:id="336"/>
      <w:bookmarkStart w:id="337" w:name="_Toc184313256"/>
      <w:bookmarkEnd w:id="337"/>
      <w:bookmarkStart w:id="338" w:name="_Toc184313268"/>
      <w:bookmarkEnd w:id="338"/>
      <w:bookmarkStart w:id="339" w:name="_Toc184312129"/>
      <w:bookmarkEnd w:id="339"/>
      <w:bookmarkStart w:id="340" w:name="_Toc184313272"/>
      <w:bookmarkEnd w:id="340"/>
      <w:bookmarkStart w:id="341" w:name="_Toc184312082"/>
      <w:bookmarkEnd w:id="341"/>
      <w:bookmarkStart w:id="342" w:name="_Toc184308069"/>
      <w:bookmarkEnd w:id="342"/>
      <w:bookmarkStart w:id="343" w:name="_Toc184312125"/>
      <w:bookmarkEnd w:id="343"/>
      <w:bookmarkStart w:id="344" w:name="_Toc184312105"/>
      <w:bookmarkEnd w:id="344"/>
      <w:bookmarkStart w:id="345" w:name="_Toc184312097"/>
      <w:bookmarkEnd w:id="345"/>
      <w:bookmarkStart w:id="346" w:name="_Toc184312091"/>
      <w:bookmarkEnd w:id="346"/>
      <w:bookmarkStart w:id="347" w:name="_Toc184310313"/>
      <w:bookmarkEnd w:id="347"/>
      <w:bookmarkStart w:id="348" w:name="_Toc184308038"/>
      <w:bookmarkEnd w:id="348"/>
      <w:bookmarkStart w:id="349" w:name="_Toc184314481"/>
      <w:bookmarkEnd w:id="349"/>
      <w:bookmarkStart w:id="350" w:name="_Toc184314464"/>
      <w:bookmarkEnd w:id="350"/>
      <w:bookmarkStart w:id="351" w:name="_Toc184314465"/>
      <w:bookmarkEnd w:id="351"/>
      <w:bookmarkStart w:id="352" w:name="_Toc184313297"/>
      <w:bookmarkEnd w:id="352"/>
      <w:bookmarkStart w:id="353" w:name="_Toc184312090"/>
      <w:bookmarkEnd w:id="353"/>
      <w:bookmarkStart w:id="354" w:name="_Toc184313267"/>
      <w:bookmarkEnd w:id="354"/>
      <w:bookmarkStart w:id="355" w:name="_Toc184314435"/>
      <w:bookmarkEnd w:id="355"/>
      <w:bookmarkStart w:id="356" w:name="_Toc184308095"/>
      <w:bookmarkEnd w:id="356"/>
      <w:bookmarkStart w:id="357" w:name="_Toc184313249"/>
      <w:bookmarkEnd w:id="357"/>
      <w:bookmarkStart w:id="358" w:name="_Toc184308075"/>
      <w:bookmarkEnd w:id="358"/>
      <w:bookmarkStart w:id="359" w:name="_Toc184313305"/>
      <w:bookmarkEnd w:id="359"/>
      <w:bookmarkStart w:id="360" w:name="_Toc184314447"/>
      <w:bookmarkEnd w:id="360"/>
      <w:bookmarkStart w:id="361" w:name="_Toc184308067"/>
      <w:bookmarkEnd w:id="361"/>
      <w:bookmarkStart w:id="362" w:name="_Toc184313280"/>
      <w:bookmarkEnd w:id="362"/>
      <w:bookmarkStart w:id="363" w:name="_Toc184312133"/>
      <w:bookmarkEnd w:id="363"/>
      <w:bookmarkStart w:id="364" w:name="_Toc184308050"/>
      <w:bookmarkEnd w:id="364"/>
      <w:bookmarkStart w:id="365" w:name="_Toc184312068"/>
      <w:bookmarkEnd w:id="365"/>
      <w:bookmarkStart w:id="366" w:name="_Toc184313240"/>
      <w:bookmarkEnd w:id="366"/>
      <w:bookmarkStart w:id="367" w:name="_Toc184312116"/>
      <w:bookmarkEnd w:id="367"/>
      <w:bookmarkStart w:id="368" w:name="_Toc184308079"/>
      <w:bookmarkEnd w:id="368"/>
      <w:bookmarkStart w:id="369" w:name="_Toc184312124"/>
      <w:bookmarkEnd w:id="369"/>
      <w:bookmarkStart w:id="370" w:name="_Toc184310325"/>
      <w:bookmarkEnd w:id="370"/>
      <w:bookmarkStart w:id="371" w:name="_Toc184310274"/>
      <w:bookmarkEnd w:id="371"/>
      <w:bookmarkStart w:id="372" w:name="_Toc184310340"/>
      <w:bookmarkEnd w:id="372"/>
      <w:bookmarkStart w:id="373" w:name="_Toc184310336"/>
      <w:bookmarkEnd w:id="373"/>
      <w:bookmarkStart w:id="374" w:name="_Toc184314414"/>
      <w:bookmarkEnd w:id="374"/>
      <w:bookmarkStart w:id="375" w:name="_Toc184308043"/>
      <w:bookmarkEnd w:id="375"/>
      <w:bookmarkStart w:id="376" w:name="_Toc184313289"/>
      <w:bookmarkEnd w:id="376"/>
      <w:bookmarkStart w:id="377" w:name="_Toc184312073"/>
      <w:bookmarkEnd w:id="377"/>
      <w:bookmarkStart w:id="378" w:name="_Toc184308081"/>
      <w:bookmarkEnd w:id="378"/>
      <w:bookmarkStart w:id="379" w:name="_Toc184312102"/>
      <w:bookmarkEnd w:id="379"/>
      <w:bookmarkStart w:id="380" w:name="_Toc184310299"/>
      <w:bookmarkEnd w:id="380"/>
      <w:bookmarkStart w:id="381" w:name="_Toc184313258"/>
      <w:bookmarkEnd w:id="381"/>
      <w:bookmarkStart w:id="382" w:name="_Toc184313254"/>
      <w:bookmarkEnd w:id="382"/>
      <w:bookmarkStart w:id="383" w:name="_Toc184310297"/>
      <w:bookmarkEnd w:id="383"/>
      <w:bookmarkStart w:id="384" w:name="_Toc184314418"/>
      <w:bookmarkEnd w:id="384"/>
      <w:bookmarkStart w:id="385" w:name="_Toc184314438"/>
      <w:bookmarkEnd w:id="385"/>
      <w:bookmarkStart w:id="386" w:name="_Toc184308047"/>
      <w:bookmarkEnd w:id="386"/>
      <w:bookmarkStart w:id="387" w:name="_Toc184313298"/>
      <w:bookmarkEnd w:id="387"/>
      <w:bookmarkStart w:id="388" w:name="_Toc184314450"/>
      <w:bookmarkEnd w:id="388"/>
      <w:bookmarkStart w:id="389" w:name="_Toc184308091"/>
      <w:bookmarkEnd w:id="389"/>
      <w:bookmarkStart w:id="390" w:name="_Toc184308051"/>
      <w:bookmarkEnd w:id="390"/>
      <w:bookmarkStart w:id="391" w:name="_Toc184310318"/>
      <w:bookmarkEnd w:id="391"/>
      <w:bookmarkStart w:id="392" w:name="_Toc184314479"/>
      <w:bookmarkEnd w:id="392"/>
      <w:r>
        <w:rPr>
          <w:rFonts w:hint="eastAsia" w:ascii="宋体" w:hAnsi="宋体" w:eastAsia="宋体" w:cs="宋体"/>
          <w:b/>
          <w:color w:val="auto"/>
          <w:sz w:val="36"/>
          <w:szCs w:val="20"/>
          <w:highlight w:val="none"/>
        </w:rPr>
        <w:t>评标办法</w:t>
      </w:r>
    </w:p>
    <w:p w14:paraId="4DE568A7">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28"/>
        <w:gridCol w:w="5863"/>
        <w:gridCol w:w="564"/>
        <w:gridCol w:w="944"/>
        <w:gridCol w:w="1093"/>
      </w:tblGrid>
      <w:tr w14:paraId="74FB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320" w:type="pct"/>
            <w:noWrap w:val="0"/>
            <w:vAlign w:val="center"/>
          </w:tcPr>
          <w:p w14:paraId="6F17D03E">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b/>
                <w:bCs/>
                <w:color w:val="auto"/>
                <w:sz w:val="21"/>
                <w:szCs w:val="21"/>
              </w:rPr>
            </w:pPr>
            <w:bookmarkStart w:id="393" w:name="OLE_LINK1"/>
            <w:r>
              <w:rPr>
                <w:rFonts w:hint="eastAsia" w:ascii="宋体" w:hAnsi="宋体" w:eastAsia="宋体" w:cs="宋体"/>
                <w:b/>
                <w:bCs/>
                <w:color w:val="auto"/>
                <w:sz w:val="21"/>
                <w:szCs w:val="21"/>
              </w:rPr>
              <w:t>序号</w:t>
            </w:r>
          </w:p>
        </w:tc>
        <w:tc>
          <w:tcPr>
            <w:tcW w:w="417" w:type="pct"/>
            <w:noWrap w:val="0"/>
            <w:vAlign w:val="center"/>
          </w:tcPr>
          <w:p w14:paraId="29E7A797">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目录</w:t>
            </w:r>
          </w:p>
        </w:tc>
        <w:tc>
          <w:tcPr>
            <w:tcW w:w="2951" w:type="pct"/>
            <w:noWrap w:val="0"/>
            <w:vAlign w:val="center"/>
          </w:tcPr>
          <w:p w14:paraId="1C700CEB">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评标标准</w:t>
            </w:r>
          </w:p>
        </w:tc>
        <w:tc>
          <w:tcPr>
            <w:tcW w:w="284" w:type="pct"/>
            <w:noWrap w:val="0"/>
            <w:vAlign w:val="center"/>
          </w:tcPr>
          <w:p w14:paraId="499D531D">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权重</w:t>
            </w:r>
          </w:p>
        </w:tc>
        <w:tc>
          <w:tcPr>
            <w:tcW w:w="475" w:type="pct"/>
            <w:noWrap w:val="0"/>
            <w:vAlign w:val="center"/>
          </w:tcPr>
          <w:p w14:paraId="4A7DB009">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主观分/客观分属性</w:t>
            </w:r>
          </w:p>
        </w:tc>
        <w:tc>
          <w:tcPr>
            <w:tcW w:w="550" w:type="pct"/>
            <w:noWrap w:val="0"/>
            <w:vAlign w:val="center"/>
          </w:tcPr>
          <w:p w14:paraId="186192F7">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rPr>
              <w:t>投标文件中评标标准相应的商务技术资料目录*</w:t>
            </w:r>
          </w:p>
        </w:tc>
      </w:tr>
      <w:tr w14:paraId="4E1D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20" w:type="pct"/>
            <w:noWrap w:val="0"/>
            <w:vAlign w:val="center"/>
          </w:tcPr>
          <w:p w14:paraId="36447133">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17" w:type="pct"/>
            <w:noWrap w:val="0"/>
            <w:vAlign w:val="center"/>
          </w:tcPr>
          <w:p w14:paraId="0A721F4D">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偿付能力</w:t>
            </w:r>
          </w:p>
        </w:tc>
        <w:tc>
          <w:tcPr>
            <w:tcW w:w="2951" w:type="pct"/>
            <w:noWrap w:val="0"/>
            <w:vAlign w:val="center"/>
          </w:tcPr>
          <w:p w14:paraId="63DB6CE9">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投标人所属总公司202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年第一季度综合偿付能力充足率在200%及以上的得4分，150%（包含）-200%之间的得2分，100%（包含）-150%之间的得1分，100%以下不得分。(以中国保险行业协会官网偿付能力信息披露数据为依据)</w:t>
            </w:r>
          </w:p>
        </w:tc>
        <w:tc>
          <w:tcPr>
            <w:tcW w:w="284" w:type="pct"/>
            <w:noWrap w:val="0"/>
            <w:vAlign w:val="center"/>
          </w:tcPr>
          <w:p w14:paraId="22941B78">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75" w:type="pct"/>
            <w:noWrap w:val="0"/>
            <w:vAlign w:val="center"/>
          </w:tcPr>
          <w:p w14:paraId="78F9433C">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c>
          <w:tcPr>
            <w:tcW w:w="550" w:type="pct"/>
            <w:noWrap w:val="0"/>
            <w:vAlign w:val="center"/>
          </w:tcPr>
          <w:p w14:paraId="46371A0B">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default" w:ascii="宋体" w:hAnsi="宋体" w:eastAsia="宋体" w:cs="宋体"/>
                <w:color w:val="auto"/>
                <w:sz w:val="21"/>
                <w:szCs w:val="21"/>
                <w:lang w:val="en-US" w:eastAsia="zh-CN"/>
              </w:rPr>
            </w:pPr>
          </w:p>
        </w:tc>
      </w:tr>
      <w:tr w14:paraId="332C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43B3B959">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17" w:type="pct"/>
            <w:noWrap w:val="0"/>
            <w:vAlign w:val="center"/>
          </w:tcPr>
          <w:p w14:paraId="66403017">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投诉指标</w:t>
            </w:r>
          </w:p>
        </w:tc>
        <w:tc>
          <w:tcPr>
            <w:tcW w:w="2951" w:type="pct"/>
            <w:noWrap w:val="0"/>
            <w:vAlign w:val="center"/>
          </w:tcPr>
          <w:p w14:paraId="763998E8">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投标人总公司202</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年度平均亿元保费投诉量情况：亿元保费投诉案件数</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件（不含）以下得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件（含）-</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件（不含）得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件及以上不得分。（提供监管局出具的</w:t>
            </w:r>
            <w:r>
              <w:rPr>
                <w:rFonts w:hint="eastAsia" w:ascii="宋体" w:hAnsi="宋体" w:eastAsia="宋体" w:cs="宋体"/>
                <w:color w:val="auto"/>
                <w:sz w:val="21"/>
                <w:szCs w:val="21"/>
                <w:lang w:eastAsia="zh-CN"/>
              </w:rPr>
              <w:t>最新</w:t>
            </w:r>
            <w:r>
              <w:rPr>
                <w:rFonts w:hint="eastAsia" w:ascii="宋体" w:hAnsi="宋体" w:eastAsia="宋体" w:cs="宋体"/>
                <w:color w:val="auto"/>
                <w:sz w:val="21"/>
                <w:szCs w:val="21"/>
              </w:rPr>
              <w:t>年度消费者亿元保费投诉案件数指标）</w:t>
            </w:r>
          </w:p>
        </w:tc>
        <w:tc>
          <w:tcPr>
            <w:tcW w:w="284" w:type="pct"/>
            <w:noWrap w:val="0"/>
            <w:vAlign w:val="center"/>
          </w:tcPr>
          <w:p w14:paraId="08C80228">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475" w:type="pct"/>
            <w:noWrap w:val="0"/>
            <w:vAlign w:val="center"/>
          </w:tcPr>
          <w:p w14:paraId="34A8C0A3">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c>
          <w:tcPr>
            <w:tcW w:w="550" w:type="pct"/>
            <w:noWrap w:val="0"/>
            <w:vAlign w:val="center"/>
          </w:tcPr>
          <w:p w14:paraId="568CEA3C">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lang w:val="en-US" w:eastAsia="zh-CN"/>
              </w:rPr>
            </w:pPr>
          </w:p>
        </w:tc>
      </w:tr>
      <w:tr w14:paraId="1B7E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1F5AEDC2">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17" w:type="pct"/>
            <w:noWrap w:val="0"/>
            <w:vAlign w:val="center"/>
          </w:tcPr>
          <w:p w14:paraId="64AA647B">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风险综合评级</w:t>
            </w:r>
          </w:p>
        </w:tc>
        <w:tc>
          <w:tcPr>
            <w:tcW w:w="2951" w:type="pct"/>
            <w:noWrap w:val="0"/>
            <w:vAlign w:val="center"/>
          </w:tcPr>
          <w:p w14:paraId="36AD610C">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投标人所属总公司202</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年4季度综合评级(分类监管)评价得分,B级以上得8分，C级得4分，D级不得分。(以中国保险行业协会官网偿付能力信息披露数据为依据)</w:t>
            </w:r>
          </w:p>
        </w:tc>
        <w:tc>
          <w:tcPr>
            <w:tcW w:w="284" w:type="pct"/>
            <w:noWrap w:val="0"/>
            <w:vAlign w:val="center"/>
          </w:tcPr>
          <w:p w14:paraId="627EBCA1">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75" w:type="pct"/>
            <w:noWrap w:val="0"/>
            <w:vAlign w:val="center"/>
          </w:tcPr>
          <w:p w14:paraId="1A4C5599">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c>
          <w:tcPr>
            <w:tcW w:w="550" w:type="pct"/>
            <w:noWrap w:val="0"/>
            <w:vAlign w:val="center"/>
          </w:tcPr>
          <w:p w14:paraId="6AD28263">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p>
        </w:tc>
      </w:tr>
      <w:tr w14:paraId="1F28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0A77459D">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17" w:type="pct"/>
            <w:noWrap w:val="0"/>
            <w:vAlign w:val="center"/>
          </w:tcPr>
          <w:p w14:paraId="74445C81">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综合评价</w:t>
            </w:r>
          </w:p>
        </w:tc>
        <w:tc>
          <w:tcPr>
            <w:tcW w:w="2951" w:type="pct"/>
            <w:noWrap w:val="0"/>
            <w:vAlign w:val="center"/>
          </w:tcPr>
          <w:p w14:paraId="70FA32D5">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投标人及下属机构近一年来是否受到中国银行保险监督管理委员会浙江银保监局和银保监分局的行政处罚：无处罚，得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分；处罚一次扣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分，扣完为止。</w:t>
            </w:r>
          </w:p>
          <w:p w14:paraId="6B18FB94">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证明材料：以浙江银保监局行政处罚查询结果截图为准，不提供此项得0分。</w:t>
            </w:r>
          </w:p>
        </w:tc>
        <w:tc>
          <w:tcPr>
            <w:tcW w:w="284" w:type="pct"/>
            <w:noWrap w:val="0"/>
            <w:vAlign w:val="center"/>
          </w:tcPr>
          <w:p w14:paraId="67401FAB">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475" w:type="pct"/>
            <w:noWrap w:val="0"/>
            <w:vAlign w:val="center"/>
          </w:tcPr>
          <w:p w14:paraId="72B396B9">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c>
          <w:tcPr>
            <w:tcW w:w="550" w:type="pct"/>
            <w:noWrap w:val="0"/>
            <w:vAlign w:val="center"/>
          </w:tcPr>
          <w:p w14:paraId="20BECDF4">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default" w:ascii="宋体" w:hAnsi="宋体" w:eastAsia="宋体" w:cs="宋体"/>
                <w:color w:val="auto"/>
                <w:sz w:val="21"/>
                <w:szCs w:val="21"/>
                <w:lang w:val="en-US" w:eastAsia="zh-CN"/>
              </w:rPr>
            </w:pPr>
          </w:p>
        </w:tc>
      </w:tr>
      <w:tr w14:paraId="3387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050CA248">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17" w:type="pct"/>
            <w:noWrap w:val="0"/>
            <w:vAlign w:val="center"/>
          </w:tcPr>
          <w:p w14:paraId="69D31BAE">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经验业绩</w:t>
            </w:r>
          </w:p>
        </w:tc>
        <w:tc>
          <w:tcPr>
            <w:tcW w:w="2951" w:type="pct"/>
            <w:noWrap w:val="0"/>
            <w:vAlign w:val="center"/>
          </w:tcPr>
          <w:p w14:paraId="162FB3EA">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投标人自20</w:t>
            </w:r>
            <w:r>
              <w:rPr>
                <w:rFonts w:hint="eastAsia" w:ascii="宋体" w:hAnsi="宋体" w:cs="宋体"/>
                <w:color w:val="auto"/>
                <w:sz w:val="21"/>
                <w:szCs w:val="21"/>
                <w:lang w:val="en-US" w:eastAsia="zh-CN"/>
              </w:rPr>
              <w:t>23</w:t>
            </w:r>
            <w:r>
              <w:rPr>
                <w:rFonts w:hint="eastAsia" w:ascii="宋体" w:hAnsi="宋体" w:eastAsia="宋体" w:cs="宋体"/>
                <w:color w:val="auto"/>
                <w:sz w:val="21"/>
                <w:szCs w:val="21"/>
              </w:rPr>
              <w:t>年1月1日起(以合同签订之日或保单生效日期为准)，投标人承保住宅电梯安全责任保险业绩情况(提供证明材料)。具有相关业绩得1分，不具有相关业绩得0分。注：提供保险合同。</w:t>
            </w:r>
          </w:p>
        </w:tc>
        <w:tc>
          <w:tcPr>
            <w:tcW w:w="284" w:type="pct"/>
            <w:noWrap w:val="0"/>
            <w:vAlign w:val="center"/>
          </w:tcPr>
          <w:p w14:paraId="01CAA89A">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475" w:type="pct"/>
            <w:noWrap w:val="0"/>
            <w:vAlign w:val="center"/>
          </w:tcPr>
          <w:p w14:paraId="474F6F71">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c>
          <w:tcPr>
            <w:tcW w:w="550" w:type="pct"/>
            <w:noWrap w:val="0"/>
            <w:vAlign w:val="center"/>
          </w:tcPr>
          <w:p w14:paraId="6B3EDD56">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p>
        </w:tc>
      </w:tr>
      <w:tr w14:paraId="3106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21DAA1B1">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w:t>
            </w:r>
          </w:p>
        </w:tc>
        <w:tc>
          <w:tcPr>
            <w:tcW w:w="417" w:type="pct"/>
            <w:vMerge w:val="restart"/>
            <w:noWrap w:val="0"/>
            <w:vAlign w:val="center"/>
          </w:tcPr>
          <w:p w14:paraId="14C1FB9B">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基本服务承诺</w:t>
            </w:r>
          </w:p>
        </w:tc>
        <w:tc>
          <w:tcPr>
            <w:tcW w:w="2951" w:type="pct"/>
            <w:noWrap w:val="0"/>
            <w:vAlign w:val="center"/>
          </w:tcPr>
          <w:p w14:paraId="2E968938">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保证投保方获得优先服务的权利，根据投保方的通知及时签定保险单</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提供相关书面承诺。</w:t>
            </w:r>
          </w:p>
        </w:tc>
        <w:tc>
          <w:tcPr>
            <w:tcW w:w="284" w:type="pct"/>
            <w:noWrap w:val="0"/>
            <w:vAlign w:val="center"/>
          </w:tcPr>
          <w:p w14:paraId="08EFD090">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75" w:type="pct"/>
            <w:noWrap w:val="0"/>
            <w:vAlign w:val="center"/>
          </w:tcPr>
          <w:p w14:paraId="095F5F76">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c>
          <w:tcPr>
            <w:tcW w:w="550" w:type="pct"/>
            <w:noWrap w:val="0"/>
            <w:vAlign w:val="center"/>
          </w:tcPr>
          <w:p w14:paraId="7D4DD47E">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lang w:val="en-US" w:eastAsia="zh-CN"/>
              </w:rPr>
            </w:pPr>
          </w:p>
        </w:tc>
      </w:tr>
      <w:tr w14:paraId="719B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5AA6667C">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w:t>
            </w:r>
          </w:p>
        </w:tc>
        <w:tc>
          <w:tcPr>
            <w:tcW w:w="417" w:type="pct"/>
            <w:vMerge w:val="continue"/>
            <w:noWrap w:val="0"/>
            <w:vAlign w:val="center"/>
          </w:tcPr>
          <w:p w14:paraId="0F35E77B">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p>
        </w:tc>
        <w:tc>
          <w:tcPr>
            <w:tcW w:w="2951" w:type="pct"/>
            <w:noWrap w:val="0"/>
            <w:vAlign w:val="center"/>
          </w:tcPr>
          <w:p w14:paraId="112DE18B">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保险公司应设有24小时全天报案服务电话，并设专人受理索赔接、报案</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提供相关书面承诺和方案，无具体方案不得分。</w:t>
            </w:r>
          </w:p>
        </w:tc>
        <w:tc>
          <w:tcPr>
            <w:tcW w:w="284" w:type="pct"/>
            <w:noWrap w:val="0"/>
            <w:vAlign w:val="center"/>
          </w:tcPr>
          <w:p w14:paraId="4945530F">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475" w:type="pct"/>
            <w:noWrap w:val="0"/>
            <w:vAlign w:val="center"/>
          </w:tcPr>
          <w:p w14:paraId="4E456288">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c>
          <w:tcPr>
            <w:tcW w:w="550" w:type="pct"/>
            <w:noWrap w:val="0"/>
            <w:vAlign w:val="center"/>
          </w:tcPr>
          <w:p w14:paraId="3015CCEF">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lang w:val="en-US" w:eastAsia="zh-CN"/>
              </w:rPr>
            </w:pPr>
          </w:p>
        </w:tc>
      </w:tr>
      <w:tr w14:paraId="545B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603C2321">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p>
        </w:tc>
        <w:tc>
          <w:tcPr>
            <w:tcW w:w="417" w:type="pct"/>
            <w:vMerge w:val="continue"/>
            <w:noWrap w:val="0"/>
            <w:vAlign w:val="center"/>
          </w:tcPr>
          <w:p w14:paraId="3E7FCB61">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p>
        </w:tc>
        <w:tc>
          <w:tcPr>
            <w:tcW w:w="2951" w:type="pct"/>
            <w:noWrap w:val="0"/>
            <w:vAlign w:val="center"/>
          </w:tcPr>
          <w:p w14:paraId="0577C52A">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保险公司应对投保方提供出险索赔程序，保险知识等方面的咨询服务</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提供相关书面承诺和方案，无具体方案不得分。</w:t>
            </w:r>
          </w:p>
        </w:tc>
        <w:tc>
          <w:tcPr>
            <w:tcW w:w="284" w:type="pct"/>
            <w:noWrap w:val="0"/>
            <w:vAlign w:val="center"/>
          </w:tcPr>
          <w:p w14:paraId="67018874">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475" w:type="pct"/>
            <w:noWrap w:val="0"/>
            <w:vAlign w:val="center"/>
          </w:tcPr>
          <w:p w14:paraId="76BEC393">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c>
          <w:tcPr>
            <w:tcW w:w="550" w:type="pct"/>
            <w:noWrap w:val="0"/>
            <w:vAlign w:val="center"/>
          </w:tcPr>
          <w:p w14:paraId="7036BA81">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lang w:val="en-US" w:eastAsia="zh-CN"/>
              </w:rPr>
            </w:pPr>
          </w:p>
        </w:tc>
      </w:tr>
      <w:tr w14:paraId="3EC5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0CEDE95E">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w:t>
            </w:r>
          </w:p>
        </w:tc>
        <w:tc>
          <w:tcPr>
            <w:tcW w:w="417" w:type="pct"/>
            <w:vMerge w:val="continue"/>
            <w:noWrap w:val="0"/>
            <w:vAlign w:val="center"/>
          </w:tcPr>
          <w:p w14:paraId="3AE549B8">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p>
        </w:tc>
        <w:tc>
          <w:tcPr>
            <w:tcW w:w="2951" w:type="pct"/>
            <w:noWrap w:val="0"/>
            <w:vAlign w:val="center"/>
          </w:tcPr>
          <w:p w14:paraId="2769A900">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保险公司协助投保方做好对投保经办人的廉政工作，不得以任何形式向投保方提供回扣</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提供相关书面承诺和方案，无具体方案不得分。</w:t>
            </w:r>
          </w:p>
        </w:tc>
        <w:tc>
          <w:tcPr>
            <w:tcW w:w="284" w:type="pct"/>
            <w:noWrap w:val="0"/>
            <w:vAlign w:val="center"/>
          </w:tcPr>
          <w:p w14:paraId="750662EF">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475" w:type="pct"/>
            <w:noWrap w:val="0"/>
            <w:vAlign w:val="center"/>
          </w:tcPr>
          <w:p w14:paraId="63AB6EB8">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c>
          <w:tcPr>
            <w:tcW w:w="550" w:type="pct"/>
            <w:noWrap w:val="0"/>
            <w:vAlign w:val="center"/>
          </w:tcPr>
          <w:p w14:paraId="5AB4FED5">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lang w:val="en-US" w:eastAsia="zh-CN"/>
              </w:rPr>
            </w:pPr>
          </w:p>
        </w:tc>
      </w:tr>
      <w:tr w14:paraId="33AE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1FCCDEAB">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c>
          <w:tcPr>
            <w:tcW w:w="417" w:type="pct"/>
            <w:vMerge w:val="continue"/>
            <w:noWrap w:val="0"/>
            <w:vAlign w:val="center"/>
          </w:tcPr>
          <w:p w14:paraId="4909153C">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p>
        </w:tc>
        <w:tc>
          <w:tcPr>
            <w:tcW w:w="2951" w:type="pct"/>
            <w:noWrap w:val="0"/>
            <w:vAlign w:val="center"/>
          </w:tcPr>
          <w:p w14:paraId="0E331B61">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保险公司承诺签订合同后，按投标明确的保费、保险金额签发保单。若发现中标人不按此规定执行，一经查实立即取消中标人资格</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提供相关书面承诺。</w:t>
            </w:r>
          </w:p>
        </w:tc>
        <w:tc>
          <w:tcPr>
            <w:tcW w:w="284" w:type="pct"/>
            <w:noWrap w:val="0"/>
            <w:vAlign w:val="center"/>
          </w:tcPr>
          <w:p w14:paraId="4D1F6761">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75" w:type="pct"/>
            <w:noWrap w:val="0"/>
            <w:vAlign w:val="center"/>
          </w:tcPr>
          <w:p w14:paraId="4A43CAD1">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c>
          <w:tcPr>
            <w:tcW w:w="550" w:type="pct"/>
            <w:noWrap w:val="0"/>
            <w:vAlign w:val="center"/>
          </w:tcPr>
          <w:p w14:paraId="6674C216">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lang w:val="en-US" w:eastAsia="zh-CN"/>
              </w:rPr>
            </w:pPr>
          </w:p>
        </w:tc>
      </w:tr>
      <w:tr w14:paraId="6878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1B2B40A1">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417" w:type="pct"/>
            <w:vMerge w:val="continue"/>
            <w:noWrap w:val="0"/>
            <w:vAlign w:val="center"/>
          </w:tcPr>
          <w:p w14:paraId="27F8D2DF">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p>
        </w:tc>
        <w:tc>
          <w:tcPr>
            <w:tcW w:w="2951" w:type="pct"/>
            <w:noWrap w:val="0"/>
            <w:vAlign w:val="center"/>
          </w:tcPr>
          <w:p w14:paraId="150EB6CC">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保险公司具有相关服务网络及网点分布，专业人员班子配备；提供特色服务，投保过程中可能出现的特殊情况及应对方案等</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提供相关书面承诺和方案，无具体方案不得分。</w:t>
            </w:r>
          </w:p>
        </w:tc>
        <w:tc>
          <w:tcPr>
            <w:tcW w:w="284" w:type="pct"/>
            <w:noWrap w:val="0"/>
            <w:vAlign w:val="center"/>
          </w:tcPr>
          <w:p w14:paraId="13EA5993">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475" w:type="pct"/>
            <w:noWrap w:val="0"/>
            <w:vAlign w:val="center"/>
          </w:tcPr>
          <w:p w14:paraId="5F44BC85">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c>
          <w:tcPr>
            <w:tcW w:w="550" w:type="pct"/>
            <w:noWrap w:val="0"/>
            <w:vAlign w:val="center"/>
          </w:tcPr>
          <w:p w14:paraId="1C573DAA">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lang w:val="en-US" w:eastAsia="zh-CN"/>
              </w:rPr>
            </w:pPr>
          </w:p>
        </w:tc>
      </w:tr>
      <w:tr w14:paraId="3E50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673F12D7">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7</w:t>
            </w:r>
            <w:r>
              <w:rPr>
                <w:rFonts w:hint="eastAsia" w:ascii="宋体" w:hAnsi="宋体" w:cs="宋体"/>
                <w:color w:val="auto"/>
                <w:sz w:val="21"/>
                <w:szCs w:val="21"/>
                <w:lang w:val="en-US" w:eastAsia="zh-CN"/>
              </w:rPr>
              <w:t>.1</w:t>
            </w:r>
          </w:p>
        </w:tc>
        <w:tc>
          <w:tcPr>
            <w:tcW w:w="417" w:type="pct"/>
            <w:vMerge w:val="restart"/>
            <w:noWrap w:val="0"/>
            <w:vAlign w:val="center"/>
          </w:tcPr>
          <w:p w14:paraId="70B5B93C">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保险方案</w:t>
            </w:r>
          </w:p>
        </w:tc>
        <w:tc>
          <w:tcPr>
            <w:tcW w:w="2951" w:type="pct"/>
            <w:noWrap w:val="0"/>
            <w:vAlign w:val="center"/>
          </w:tcPr>
          <w:p w14:paraId="7A71A2AC">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针对采购文件第三部分中“（二）保险方案和保险责任”完全响应的，得12分；存在负偏离或未响应的，每项扣2分；扣完12分止。</w:t>
            </w:r>
          </w:p>
        </w:tc>
        <w:tc>
          <w:tcPr>
            <w:tcW w:w="284" w:type="pct"/>
            <w:noWrap w:val="0"/>
            <w:vAlign w:val="center"/>
          </w:tcPr>
          <w:p w14:paraId="5F90D07C">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475" w:type="pct"/>
            <w:noWrap w:val="0"/>
            <w:vAlign w:val="center"/>
          </w:tcPr>
          <w:p w14:paraId="4FFAC179">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c>
          <w:tcPr>
            <w:tcW w:w="550" w:type="pct"/>
            <w:noWrap w:val="0"/>
            <w:vAlign w:val="center"/>
          </w:tcPr>
          <w:p w14:paraId="33B69C27">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default" w:ascii="宋体" w:hAnsi="宋体" w:eastAsia="宋体" w:cs="宋体"/>
                <w:color w:val="auto"/>
                <w:sz w:val="21"/>
                <w:szCs w:val="21"/>
                <w:lang w:val="en-US" w:eastAsia="zh-CN"/>
              </w:rPr>
            </w:pPr>
          </w:p>
        </w:tc>
      </w:tr>
      <w:tr w14:paraId="5277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51849418">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7.2</w:t>
            </w:r>
          </w:p>
        </w:tc>
        <w:tc>
          <w:tcPr>
            <w:tcW w:w="417" w:type="pct"/>
            <w:vMerge w:val="continue"/>
            <w:noWrap w:val="0"/>
            <w:vAlign w:val="center"/>
          </w:tcPr>
          <w:p w14:paraId="6EC10505">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cs="宋体"/>
                <w:color w:val="auto"/>
                <w:sz w:val="21"/>
                <w:szCs w:val="21"/>
                <w:lang w:val="en-US" w:eastAsia="zh-CN"/>
              </w:rPr>
            </w:pPr>
          </w:p>
        </w:tc>
        <w:tc>
          <w:tcPr>
            <w:tcW w:w="2951" w:type="pct"/>
            <w:noWrap w:val="0"/>
            <w:vAlign w:val="center"/>
          </w:tcPr>
          <w:p w14:paraId="07D1C596">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投标人提供住宅电梯安全责任保险方案的针对性及合理性进行评审。</w:t>
            </w:r>
          </w:p>
        </w:tc>
        <w:tc>
          <w:tcPr>
            <w:tcW w:w="284" w:type="pct"/>
            <w:noWrap w:val="0"/>
            <w:vAlign w:val="center"/>
          </w:tcPr>
          <w:p w14:paraId="327D09FA">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475" w:type="pct"/>
            <w:noWrap w:val="0"/>
            <w:vAlign w:val="center"/>
          </w:tcPr>
          <w:p w14:paraId="0559C3DE">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c>
          <w:tcPr>
            <w:tcW w:w="550" w:type="pct"/>
            <w:noWrap w:val="0"/>
            <w:vAlign w:val="center"/>
          </w:tcPr>
          <w:p w14:paraId="4DFE362A">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default" w:ascii="宋体" w:hAnsi="宋体" w:eastAsia="宋体" w:cs="宋体"/>
                <w:color w:val="auto"/>
                <w:sz w:val="21"/>
                <w:szCs w:val="21"/>
                <w:lang w:val="en-US" w:eastAsia="zh-CN"/>
              </w:rPr>
            </w:pPr>
          </w:p>
        </w:tc>
      </w:tr>
      <w:tr w14:paraId="1326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20" w:type="pct"/>
            <w:noWrap w:val="0"/>
            <w:vAlign w:val="center"/>
          </w:tcPr>
          <w:p w14:paraId="3AFFC215">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7.3</w:t>
            </w:r>
          </w:p>
        </w:tc>
        <w:tc>
          <w:tcPr>
            <w:tcW w:w="417" w:type="pct"/>
            <w:vMerge w:val="continue"/>
            <w:noWrap w:val="0"/>
            <w:vAlign w:val="center"/>
          </w:tcPr>
          <w:p w14:paraId="5A64C61E">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cs="宋体"/>
                <w:color w:val="auto"/>
                <w:sz w:val="21"/>
                <w:szCs w:val="21"/>
                <w:lang w:val="en-US" w:eastAsia="zh-CN"/>
              </w:rPr>
            </w:pPr>
          </w:p>
        </w:tc>
        <w:tc>
          <w:tcPr>
            <w:tcW w:w="2951" w:type="pct"/>
            <w:noWrap w:val="0"/>
            <w:vAlign w:val="center"/>
          </w:tcPr>
          <w:p w14:paraId="2105A404">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投标人提供扩展电梯滞留事故经济补偿方案的针对性及合理性进行评审。</w:t>
            </w:r>
          </w:p>
        </w:tc>
        <w:tc>
          <w:tcPr>
            <w:tcW w:w="284" w:type="pct"/>
            <w:noWrap w:val="0"/>
            <w:vAlign w:val="center"/>
          </w:tcPr>
          <w:p w14:paraId="752DD43E">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475" w:type="pct"/>
            <w:noWrap w:val="0"/>
            <w:vAlign w:val="center"/>
          </w:tcPr>
          <w:p w14:paraId="498F29EF">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c>
          <w:tcPr>
            <w:tcW w:w="550" w:type="pct"/>
            <w:noWrap w:val="0"/>
            <w:vAlign w:val="center"/>
          </w:tcPr>
          <w:p w14:paraId="2B9203EC">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default" w:ascii="宋体" w:hAnsi="宋体" w:eastAsia="宋体" w:cs="宋体"/>
                <w:color w:val="auto"/>
                <w:sz w:val="21"/>
                <w:szCs w:val="21"/>
                <w:lang w:val="en-US" w:eastAsia="zh-CN"/>
              </w:rPr>
            </w:pPr>
          </w:p>
        </w:tc>
      </w:tr>
      <w:tr w14:paraId="6303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6A3659E1">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7.4</w:t>
            </w:r>
          </w:p>
        </w:tc>
        <w:tc>
          <w:tcPr>
            <w:tcW w:w="417" w:type="pct"/>
            <w:vMerge w:val="continue"/>
            <w:noWrap w:val="0"/>
            <w:vAlign w:val="center"/>
          </w:tcPr>
          <w:p w14:paraId="5754C417">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cs="宋体"/>
                <w:color w:val="auto"/>
                <w:sz w:val="21"/>
                <w:szCs w:val="21"/>
                <w:lang w:val="en-US" w:eastAsia="zh-CN"/>
              </w:rPr>
            </w:pPr>
          </w:p>
        </w:tc>
        <w:tc>
          <w:tcPr>
            <w:tcW w:w="2951" w:type="pct"/>
            <w:noWrap w:val="0"/>
            <w:vAlign w:val="center"/>
          </w:tcPr>
          <w:p w14:paraId="20EB411D">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提供保险配套服务方案的全面性及合理性进行评审。</w:t>
            </w:r>
          </w:p>
        </w:tc>
        <w:tc>
          <w:tcPr>
            <w:tcW w:w="284" w:type="pct"/>
            <w:noWrap w:val="0"/>
            <w:vAlign w:val="center"/>
          </w:tcPr>
          <w:p w14:paraId="585495C7">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475" w:type="pct"/>
            <w:noWrap w:val="0"/>
            <w:vAlign w:val="center"/>
          </w:tcPr>
          <w:p w14:paraId="7B527C6F">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c>
          <w:tcPr>
            <w:tcW w:w="550" w:type="pct"/>
            <w:noWrap w:val="0"/>
            <w:vAlign w:val="center"/>
          </w:tcPr>
          <w:p w14:paraId="11429333">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default" w:ascii="宋体" w:hAnsi="宋体" w:eastAsia="宋体" w:cs="宋体"/>
                <w:color w:val="auto"/>
                <w:sz w:val="21"/>
                <w:szCs w:val="21"/>
                <w:lang w:val="en-US" w:eastAsia="zh-CN"/>
              </w:rPr>
            </w:pPr>
          </w:p>
        </w:tc>
      </w:tr>
      <w:tr w14:paraId="6016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220AD28A">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8.1</w:t>
            </w:r>
          </w:p>
        </w:tc>
        <w:tc>
          <w:tcPr>
            <w:tcW w:w="417" w:type="pct"/>
            <w:vMerge w:val="restart"/>
            <w:noWrap w:val="0"/>
            <w:vAlign w:val="center"/>
          </w:tcPr>
          <w:p w14:paraId="52A82E93">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highlight w:val="none"/>
              </w:rPr>
              <w:t>整体服务方案</w:t>
            </w:r>
          </w:p>
        </w:tc>
        <w:tc>
          <w:tcPr>
            <w:tcW w:w="2951" w:type="pct"/>
            <w:noWrap w:val="0"/>
            <w:vAlign w:val="center"/>
          </w:tcPr>
          <w:p w14:paraId="4E6A2F45">
            <w:pPr>
              <w:pStyle w:val="32"/>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提供</w:t>
            </w:r>
            <w:r>
              <w:rPr>
                <w:rFonts w:hint="eastAsia" w:hAnsi="宋体" w:cs="宋体"/>
                <w:color w:val="auto"/>
                <w:sz w:val="21"/>
                <w:szCs w:val="21"/>
                <w:highlight w:val="none"/>
                <w:lang w:val="en-US" w:eastAsia="zh-CN"/>
              </w:rPr>
              <w:t>总体</w:t>
            </w:r>
            <w:r>
              <w:rPr>
                <w:rFonts w:hint="eastAsia" w:ascii="宋体" w:hAnsi="宋体" w:eastAsia="宋体" w:cs="宋体"/>
                <w:color w:val="auto"/>
                <w:sz w:val="21"/>
                <w:szCs w:val="21"/>
                <w:highlight w:val="none"/>
                <w:lang w:val="en-US" w:eastAsia="zh-CN"/>
              </w:rPr>
              <w:t>服务方案的全面合理性（0-</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分）、科学严密性（0-</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分）、有序可行性（0-2分）进行评分。</w:t>
            </w:r>
          </w:p>
        </w:tc>
        <w:tc>
          <w:tcPr>
            <w:tcW w:w="284" w:type="pct"/>
            <w:noWrap w:val="0"/>
            <w:vAlign w:val="center"/>
          </w:tcPr>
          <w:p w14:paraId="3DF1F6FD">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475" w:type="pct"/>
            <w:noWrap w:val="0"/>
            <w:vAlign w:val="center"/>
          </w:tcPr>
          <w:p w14:paraId="4EECD872">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c>
          <w:tcPr>
            <w:tcW w:w="550" w:type="pct"/>
            <w:noWrap w:val="0"/>
            <w:vAlign w:val="center"/>
          </w:tcPr>
          <w:p w14:paraId="6AD4AA12">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default" w:ascii="宋体" w:hAnsi="宋体" w:eastAsia="宋体" w:cs="宋体"/>
                <w:color w:val="auto"/>
                <w:sz w:val="21"/>
                <w:szCs w:val="21"/>
                <w:lang w:val="en-US" w:eastAsia="zh-CN"/>
              </w:rPr>
            </w:pPr>
          </w:p>
        </w:tc>
      </w:tr>
      <w:tr w14:paraId="64C8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5F90E71B">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8.2</w:t>
            </w:r>
          </w:p>
        </w:tc>
        <w:tc>
          <w:tcPr>
            <w:tcW w:w="417" w:type="pct"/>
            <w:vMerge w:val="continue"/>
            <w:noWrap w:val="0"/>
            <w:vAlign w:val="center"/>
          </w:tcPr>
          <w:p w14:paraId="6CC77B6F">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cs="宋体"/>
                <w:color w:val="auto"/>
                <w:sz w:val="21"/>
                <w:szCs w:val="21"/>
                <w:lang w:val="en-US" w:eastAsia="zh-CN"/>
              </w:rPr>
            </w:pPr>
          </w:p>
        </w:tc>
        <w:tc>
          <w:tcPr>
            <w:tcW w:w="2951" w:type="pct"/>
            <w:noWrap w:val="0"/>
            <w:vAlign w:val="center"/>
          </w:tcPr>
          <w:p w14:paraId="4D220B06">
            <w:pPr>
              <w:pStyle w:val="32"/>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针对本项目组织拟派的具有项目管理相关资质的服务团队情况，提供服务团队成员身份（</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分）、学历（</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分）、专业技术能力（</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分）、提供近3个月连续缴纳社保等证明材料，如无该项证明材料，此项不得分。</w:t>
            </w:r>
          </w:p>
        </w:tc>
        <w:tc>
          <w:tcPr>
            <w:tcW w:w="284" w:type="pct"/>
            <w:noWrap w:val="0"/>
            <w:vAlign w:val="center"/>
          </w:tcPr>
          <w:p w14:paraId="7D2E1C43">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475" w:type="pct"/>
            <w:noWrap w:val="0"/>
            <w:vAlign w:val="center"/>
          </w:tcPr>
          <w:p w14:paraId="292A85F8">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c>
          <w:tcPr>
            <w:tcW w:w="550" w:type="pct"/>
            <w:noWrap w:val="0"/>
            <w:vAlign w:val="center"/>
          </w:tcPr>
          <w:p w14:paraId="5D9B3867">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default" w:ascii="宋体" w:hAnsi="宋体" w:eastAsia="宋体" w:cs="宋体"/>
                <w:color w:val="auto"/>
                <w:sz w:val="21"/>
                <w:szCs w:val="21"/>
                <w:lang w:val="en-US" w:eastAsia="zh-CN"/>
              </w:rPr>
            </w:pPr>
          </w:p>
        </w:tc>
      </w:tr>
      <w:tr w14:paraId="3401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2BC2EED8">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8.3</w:t>
            </w:r>
          </w:p>
        </w:tc>
        <w:tc>
          <w:tcPr>
            <w:tcW w:w="417" w:type="pct"/>
            <w:vMerge w:val="continue"/>
            <w:noWrap w:val="0"/>
            <w:vAlign w:val="center"/>
          </w:tcPr>
          <w:p w14:paraId="005C86F1">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cs="宋体"/>
                <w:color w:val="auto"/>
                <w:sz w:val="21"/>
                <w:szCs w:val="21"/>
                <w:lang w:val="en-US" w:eastAsia="zh-CN"/>
              </w:rPr>
            </w:pPr>
          </w:p>
        </w:tc>
        <w:tc>
          <w:tcPr>
            <w:tcW w:w="2951" w:type="pct"/>
            <w:noWrap w:val="0"/>
            <w:vAlign w:val="center"/>
          </w:tcPr>
          <w:p w14:paraId="723252BB">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根据针对本项目提出的承保服务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r>
              <w:rPr>
                <w:rFonts w:hint="eastAsia" w:ascii="宋体" w:hAnsi="宋体" w:cs="宋体"/>
                <w:color w:val="auto"/>
                <w:sz w:val="21"/>
                <w:szCs w:val="21"/>
                <w:lang w:val="en-US" w:eastAsia="zh-CN"/>
              </w:rPr>
              <w:t>、理赔服务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、防灾防损服务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r>
              <w:rPr>
                <w:rFonts w:hint="eastAsia" w:ascii="宋体" w:hAnsi="宋体" w:cs="宋体"/>
                <w:color w:val="auto"/>
                <w:sz w:val="21"/>
                <w:szCs w:val="21"/>
                <w:lang w:val="en-US" w:eastAsia="zh-CN"/>
              </w:rPr>
              <w:t>的详尽流程方案质量和合理性进行评审</w:t>
            </w:r>
          </w:p>
        </w:tc>
        <w:tc>
          <w:tcPr>
            <w:tcW w:w="284" w:type="pct"/>
            <w:noWrap w:val="0"/>
            <w:vAlign w:val="center"/>
          </w:tcPr>
          <w:p w14:paraId="1EE0B824">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475" w:type="pct"/>
            <w:noWrap w:val="0"/>
            <w:vAlign w:val="center"/>
          </w:tcPr>
          <w:p w14:paraId="385B1C98">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c>
          <w:tcPr>
            <w:tcW w:w="550" w:type="pct"/>
            <w:noWrap w:val="0"/>
            <w:vAlign w:val="center"/>
          </w:tcPr>
          <w:p w14:paraId="23FDF92E">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default" w:ascii="宋体" w:hAnsi="宋体" w:eastAsia="宋体" w:cs="宋体"/>
                <w:color w:val="auto"/>
                <w:sz w:val="21"/>
                <w:szCs w:val="21"/>
                <w:lang w:val="en-US" w:eastAsia="zh-CN"/>
              </w:rPr>
            </w:pPr>
          </w:p>
        </w:tc>
      </w:tr>
      <w:tr w14:paraId="4127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4613DA89">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8</w:t>
            </w:r>
            <w:r>
              <w:rPr>
                <w:rFonts w:hint="eastAsia" w:ascii="宋体" w:hAnsi="宋体" w:cs="宋体"/>
                <w:color w:val="auto"/>
                <w:sz w:val="21"/>
                <w:szCs w:val="21"/>
                <w:lang w:val="en-US" w:eastAsia="zh-CN"/>
              </w:rPr>
              <w:t>.4</w:t>
            </w:r>
          </w:p>
        </w:tc>
        <w:tc>
          <w:tcPr>
            <w:tcW w:w="417" w:type="pct"/>
            <w:vMerge w:val="continue"/>
            <w:noWrap w:val="0"/>
            <w:vAlign w:val="center"/>
          </w:tcPr>
          <w:p w14:paraId="5A9AE7DB">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val="en-US" w:eastAsia="zh-CN"/>
              </w:rPr>
            </w:pPr>
          </w:p>
        </w:tc>
        <w:tc>
          <w:tcPr>
            <w:tcW w:w="2951" w:type="pct"/>
            <w:noWrap w:val="0"/>
            <w:vAlign w:val="center"/>
          </w:tcPr>
          <w:p w14:paraId="1A73E1F8">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根据投标人拟定的</w:t>
            </w:r>
            <w:r>
              <w:rPr>
                <w:rFonts w:hint="eastAsia" w:ascii="宋体" w:hAnsi="宋体" w:eastAsia="宋体" w:cs="宋体"/>
                <w:color w:val="auto"/>
                <w:sz w:val="21"/>
                <w:szCs w:val="21"/>
                <w:lang w:val="en-US" w:eastAsia="zh-CN"/>
              </w:rPr>
              <w:t>核实拱墅区住宅电梯数据方式方法得针对性及合理性进行评审。</w:t>
            </w:r>
          </w:p>
        </w:tc>
        <w:tc>
          <w:tcPr>
            <w:tcW w:w="284" w:type="pct"/>
            <w:noWrap w:val="0"/>
            <w:vAlign w:val="center"/>
          </w:tcPr>
          <w:p w14:paraId="457EBBC8">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475" w:type="pct"/>
            <w:noWrap w:val="0"/>
            <w:vAlign w:val="center"/>
          </w:tcPr>
          <w:p w14:paraId="61684C24">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c>
          <w:tcPr>
            <w:tcW w:w="550" w:type="pct"/>
            <w:noWrap w:val="0"/>
            <w:vAlign w:val="center"/>
          </w:tcPr>
          <w:p w14:paraId="76FBD576">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p>
        </w:tc>
      </w:tr>
      <w:tr w14:paraId="0A59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28983FBC">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8.5</w:t>
            </w:r>
          </w:p>
        </w:tc>
        <w:tc>
          <w:tcPr>
            <w:tcW w:w="417" w:type="pct"/>
            <w:vMerge w:val="continue"/>
            <w:noWrap w:val="0"/>
            <w:vAlign w:val="center"/>
          </w:tcPr>
          <w:p w14:paraId="6071AC63">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val="en-US" w:eastAsia="zh-CN"/>
              </w:rPr>
            </w:pPr>
          </w:p>
        </w:tc>
        <w:tc>
          <w:tcPr>
            <w:tcW w:w="2951" w:type="pct"/>
            <w:noWrap w:val="0"/>
            <w:vAlign w:val="center"/>
          </w:tcPr>
          <w:p w14:paraId="093A8446">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针对老旧住宅电梯提出有效的技术性安全评估方案内容的科学性及合理性</w:t>
            </w:r>
            <w:r>
              <w:rPr>
                <w:rFonts w:hint="eastAsia" w:ascii="宋体" w:hAnsi="宋体" w:cs="宋体"/>
                <w:color w:val="auto"/>
                <w:sz w:val="21"/>
                <w:szCs w:val="21"/>
                <w:lang w:val="en-US" w:eastAsia="zh-CN"/>
              </w:rPr>
              <w:t>进行</w:t>
            </w:r>
            <w:r>
              <w:rPr>
                <w:rFonts w:hint="eastAsia" w:ascii="宋体" w:hAnsi="宋体" w:eastAsia="宋体" w:cs="宋体"/>
                <w:color w:val="auto"/>
                <w:sz w:val="21"/>
                <w:szCs w:val="21"/>
                <w:lang w:val="en-US" w:eastAsia="zh-CN"/>
              </w:rPr>
              <w:t>评审。</w:t>
            </w:r>
          </w:p>
        </w:tc>
        <w:tc>
          <w:tcPr>
            <w:tcW w:w="284" w:type="pct"/>
            <w:noWrap w:val="0"/>
            <w:vAlign w:val="center"/>
          </w:tcPr>
          <w:p w14:paraId="53F9F929">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475" w:type="pct"/>
            <w:noWrap w:val="0"/>
            <w:vAlign w:val="center"/>
          </w:tcPr>
          <w:p w14:paraId="662E0B20">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c>
          <w:tcPr>
            <w:tcW w:w="550" w:type="pct"/>
            <w:noWrap w:val="0"/>
            <w:vAlign w:val="center"/>
          </w:tcPr>
          <w:p w14:paraId="48CE5781">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default" w:ascii="宋体" w:hAnsi="宋体" w:eastAsia="宋体" w:cs="宋体"/>
                <w:color w:val="auto"/>
                <w:sz w:val="21"/>
                <w:szCs w:val="21"/>
                <w:lang w:val="en-US" w:eastAsia="zh-CN"/>
              </w:rPr>
            </w:pPr>
          </w:p>
        </w:tc>
      </w:tr>
      <w:tr w14:paraId="6314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76BF26A4">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8.6</w:t>
            </w:r>
          </w:p>
        </w:tc>
        <w:tc>
          <w:tcPr>
            <w:tcW w:w="417" w:type="pct"/>
            <w:vMerge w:val="continue"/>
            <w:noWrap w:val="0"/>
            <w:vAlign w:val="center"/>
          </w:tcPr>
          <w:p w14:paraId="4E59EDF3">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val="en-US" w:eastAsia="zh-CN"/>
              </w:rPr>
            </w:pPr>
          </w:p>
        </w:tc>
        <w:tc>
          <w:tcPr>
            <w:tcW w:w="2951" w:type="pct"/>
            <w:noWrap w:val="0"/>
            <w:vAlign w:val="center"/>
          </w:tcPr>
          <w:p w14:paraId="07EA6476">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针对住宅电梯维保质量安全抽查提出有效的抽查方案的针对性及合理性进行评审。</w:t>
            </w:r>
          </w:p>
        </w:tc>
        <w:tc>
          <w:tcPr>
            <w:tcW w:w="284" w:type="pct"/>
            <w:noWrap w:val="0"/>
            <w:vAlign w:val="center"/>
          </w:tcPr>
          <w:p w14:paraId="790314EE">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475" w:type="pct"/>
            <w:noWrap w:val="0"/>
            <w:vAlign w:val="center"/>
          </w:tcPr>
          <w:p w14:paraId="2EBE130F">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c>
          <w:tcPr>
            <w:tcW w:w="550" w:type="pct"/>
            <w:noWrap w:val="0"/>
            <w:vAlign w:val="center"/>
          </w:tcPr>
          <w:p w14:paraId="76C52AF1">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p>
        </w:tc>
      </w:tr>
      <w:tr w14:paraId="5BB3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0" w:type="pct"/>
            <w:noWrap w:val="0"/>
            <w:vAlign w:val="center"/>
          </w:tcPr>
          <w:p w14:paraId="79C2DB99">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8.7</w:t>
            </w:r>
          </w:p>
        </w:tc>
        <w:tc>
          <w:tcPr>
            <w:tcW w:w="417" w:type="pct"/>
            <w:vMerge w:val="continue"/>
            <w:noWrap w:val="0"/>
            <w:vAlign w:val="center"/>
          </w:tcPr>
          <w:p w14:paraId="616AB1E6">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val="en-US" w:eastAsia="zh-CN"/>
              </w:rPr>
            </w:pPr>
          </w:p>
        </w:tc>
        <w:tc>
          <w:tcPr>
            <w:tcW w:w="2951" w:type="pct"/>
            <w:noWrap w:val="0"/>
            <w:vAlign w:val="center"/>
          </w:tcPr>
          <w:p w14:paraId="57964955">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根据投标人拟定的住宅电梯安全责任保险项目的宣传方案完整性及合理性进行评审。</w:t>
            </w:r>
          </w:p>
        </w:tc>
        <w:tc>
          <w:tcPr>
            <w:tcW w:w="284" w:type="pct"/>
            <w:noWrap w:val="0"/>
            <w:vAlign w:val="center"/>
          </w:tcPr>
          <w:p w14:paraId="72DF4E5A">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475" w:type="pct"/>
            <w:noWrap w:val="0"/>
            <w:vAlign w:val="center"/>
          </w:tcPr>
          <w:p w14:paraId="0335F3A0">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c>
          <w:tcPr>
            <w:tcW w:w="550" w:type="pct"/>
            <w:noWrap w:val="0"/>
            <w:vAlign w:val="center"/>
          </w:tcPr>
          <w:p w14:paraId="5A1CE70E">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p>
        </w:tc>
      </w:tr>
      <w:tr w14:paraId="09D5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0" w:type="pct"/>
            <w:noWrap w:val="0"/>
            <w:vAlign w:val="center"/>
          </w:tcPr>
          <w:p w14:paraId="55686393">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9</w:t>
            </w:r>
          </w:p>
        </w:tc>
        <w:tc>
          <w:tcPr>
            <w:tcW w:w="417" w:type="pct"/>
            <w:noWrap w:val="0"/>
            <w:vAlign w:val="center"/>
          </w:tcPr>
          <w:p w14:paraId="28170BB2">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投标报价</w:t>
            </w:r>
          </w:p>
        </w:tc>
        <w:tc>
          <w:tcPr>
            <w:tcW w:w="2951" w:type="pct"/>
            <w:noWrap w:val="0"/>
            <w:vAlign w:val="top"/>
          </w:tcPr>
          <w:p w14:paraId="540DF285">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有效投标报价的最低价作为评标基准价，其最低报价为满分；按［投标报价得分=（评标基准价/投标报价）×10］的计算公式计算。</w:t>
            </w:r>
          </w:p>
          <w:p w14:paraId="321520EE">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评标过程中，不得去掉报价中的最高报价和最低报价。</w:t>
            </w:r>
          </w:p>
          <w:p w14:paraId="12082F3C">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284" w:type="pct"/>
            <w:noWrap w:val="0"/>
            <w:vAlign w:val="center"/>
          </w:tcPr>
          <w:p w14:paraId="1484E3E5">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75" w:type="pct"/>
            <w:noWrap w:val="0"/>
            <w:vAlign w:val="center"/>
          </w:tcPr>
          <w:p w14:paraId="48AFFA4A">
            <w:pPr>
              <w:keepNext w:val="0"/>
              <w:keepLines w:val="0"/>
              <w:pageBreakBefore w:val="0"/>
              <w:numPr>
                <w:ilvl w:val="0"/>
                <w:numId w:val="0"/>
              </w:numPr>
              <w:kinsoku/>
              <w:wordWrap/>
              <w:overflowPunct/>
              <w:topLinePunct w:val="0"/>
              <w:autoSpaceDN/>
              <w:bidi w:val="0"/>
              <w:snapToGrid w:val="0"/>
              <w:spacing w:line="240" w:lineRule="auto"/>
              <w:ind w:lef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550" w:type="pct"/>
            <w:noWrap w:val="0"/>
            <w:vAlign w:val="center"/>
          </w:tcPr>
          <w:p w14:paraId="5FA51EA1">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default" w:ascii="宋体" w:hAnsi="宋体" w:eastAsia="宋体" w:cs="宋体"/>
                <w:color w:val="auto"/>
                <w:sz w:val="21"/>
                <w:szCs w:val="21"/>
                <w:lang w:val="en-US" w:eastAsia="zh-CN"/>
              </w:rPr>
            </w:pPr>
          </w:p>
        </w:tc>
      </w:tr>
      <w:bookmarkEnd w:id="393"/>
    </w:tbl>
    <w:p w14:paraId="3161394B">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3家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100B8C1">
      <w:pPr>
        <w:pStyle w:val="24"/>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r>
        <w:rPr>
          <w:rFonts w:ascii="宋体" w:hAnsi="宋体" w:cs="宋体"/>
          <w:b/>
          <w:color w:val="auto"/>
          <w:sz w:val="36"/>
          <w:szCs w:val="36"/>
          <w:highlight w:val="none"/>
        </w:rPr>
        <w:br w:type="page"/>
      </w:r>
    </w:p>
    <w:p w14:paraId="3CEA968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第五部分 拟签订的合同文本</w:t>
      </w:r>
    </w:p>
    <w:p w14:paraId="67944B22">
      <w:pPr>
        <w:spacing w:line="360" w:lineRule="auto"/>
        <w:jc w:val="center"/>
        <w:outlineLvl w:val="0"/>
        <w:rPr>
          <w:rFonts w:hint="eastAsia" w:ascii="宋体" w:hAnsi="宋体" w:cs="Arial"/>
          <w:b/>
          <w:bCs/>
          <w:color w:val="auto"/>
          <w:sz w:val="32"/>
          <w:szCs w:val="32"/>
        </w:rPr>
      </w:pPr>
      <w:r>
        <w:rPr>
          <w:rFonts w:hint="eastAsia" w:ascii="宋体" w:hAnsi="宋体" w:cs="Arial"/>
          <w:b/>
          <w:bCs/>
          <w:color w:val="auto"/>
          <w:sz w:val="32"/>
          <w:szCs w:val="32"/>
          <w:lang w:val="en-US" w:eastAsia="zh-CN"/>
        </w:rPr>
        <w:t>杭州市拱墅</w:t>
      </w:r>
      <w:r>
        <w:rPr>
          <w:rFonts w:hint="eastAsia" w:ascii="宋体" w:hAnsi="宋体" w:cs="Arial"/>
          <w:b/>
          <w:bCs/>
          <w:color w:val="auto"/>
          <w:sz w:val="32"/>
          <w:szCs w:val="32"/>
        </w:rPr>
        <w:t>区市场监督管理局</w:t>
      </w:r>
    </w:p>
    <w:p w14:paraId="2B932494">
      <w:pPr>
        <w:spacing w:line="360" w:lineRule="auto"/>
        <w:jc w:val="center"/>
        <w:outlineLvl w:val="0"/>
        <w:rPr>
          <w:rFonts w:ascii="宋体" w:hAnsi="宋体" w:cs="Arial"/>
          <w:b/>
          <w:bCs/>
          <w:color w:val="auto"/>
          <w:sz w:val="32"/>
          <w:szCs w:val="32"/>
        </w:rPr>
      </w:pPr>
      <w:r>
        <w:rPr>
          <w:rFonts w:hint="eastAsia" w:ascii="宋体" w:hAnsi="宋体" w:cs="Arial"/>
          <w:b/>
          <w:bCs/>
          <w:color w:val="auto"/>
          <w:sz w:val="32"/>
          <w:szCs w:val="32"/>
        </w:rPr>
        <w:t>住宅电梯安全责任保险</w:t>
      </w:r>
      <w:r>
        <w:rPr>
          <w:rFonts w:hint="eastAsia" w:ascii="宋体" w:hAnsi="宋体" w:cs="Arial"/>
          <w:b/>
          <w:bCs/>
          <w:color w:val="auto"/>
          <w:sz w:val="32"/>
          <w:szCs w:val="32"/>
          <w:lang w:val="en-US" w:eastAsia="zh-CN"/>
        </w:rPr>
        <w:t>采购项目</w:t>
      </w:r>
      <w:r>
        <w:rPr>
          <w:rFonts w:ascii="宋体" w:hAnsi="宋体" w:cs="Arial"/>
          <w:b/>
          <w:bCs/>
          <w:color w:val="auto"/>
          <w:sz w:val="32"/>
          <w:szCs w:val="32"/>
        </w:rPr>
        <w:t>主要合同条款</w:t>
      </w:r>
    </w:p>
    <w:p w14:paraId="13A08587">
      <w:pPr>
        <w:autoSpaceDE w:val="0"/>
        <w:autoSpaceDN w:val="0"/>
        <w:adjustRightIn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（以最终签订合同为准）</w:t>
      </w:r>
    </w:p>
    <w:p w14:paraId="744D40F1">
      <w:pPr>
        <w:autoSpaceDE w:val="0"/>
        <w:autoSpaceDN w:val="0"/>
        <w:adjustRightInd w:val="0"/>
        <w:spacing w:line="360" w:lineRule="auto"/>
        <w:ind w:firstLine="2653"/>
        <w:jc w:val="center"/>
        <w:rPr>
          <w:rFonts w:hint="eastAsia" w:ascii="宋体" w:hAnsi="宋体" w:eastAsia="宋体" w:cs="宋体"/>
          <w:b/>
          <w:bCs/>
          <w:color w:val="auto"/>
          <w:kern w:val="0"/>
          <w:sz w:val="24"/>
          <w:szCs w:val="24"/>
        </w:rPr>
      </w:pPr>
    </w:p>
    <w:p w14:paraId="6CF2D645">
      <w:pPr>
        <w:adjustRightInd w:val="0"/>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甲方（招标人、买方）：</w:t>
      </w:r>
      <w:r>
        <w:rPr>
          <w:rFonts w:hint="eastAsia" w:ascii="宋体" w:hAnsi="宋体" w:eastAsia="宋体" w:cs="宋体"/>
          <w:color w:val="auto"/>
          <w:sz w:val="24"/>
          <w:szCs w:val="24"/>
          <w:u w:val="single"/>
        </w:rPr>
        <w:t xml:space="preserve">                                            </w:t>
      </w:r>
    </w:p>
    <w:p w14:paraId="66670B21">
      <w:pPr>
        <w:adjustRightInd w:val="0"/>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乙方（中标人、卖方）：</w:t>
      </w:r>
      <w:r>
        <w:rPr>
          <w:rFonts w:hint="eastAsia" w:ascii="宋体" w:hAnsi="宋体" w:eastAsia="宋体" w:cs="宋体"/>
          <w:color w:val="auto"/>
          <w:sz w:val="24"/>
          <w:szCs w:val="24"/>
          <w:u w:val="single"/>
        </w:rPr>
        <w:t xml:space="preserve">                                            </w:t>
      </w:r>
    </w:p>
    <w:p w14:paraId="1333583D">
      <w:pPr>
        <w:adjustRightInd w:val="0"/>
        <w:snapToGrid w:val="0"/>
        <w:spacing w:line="360" w:lineRule="auto"/>
        <w:rPr>
          <w:rFonts w:hint="eastAsia" w:ascii="宋体" w:hAnsi="宋体" w:eastAsia="宋体" w:cs="宋体"/>
          <w:color w:val="auto"/>
          <w:sz w:val="24"/>
          <w:szCs w:val="24"/>
        </w:rPr>
      </w:pPr>
    </w:p>
    <w:p w14:paraId="1FB2460D">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日杭州市</w:t>
      </w:r>
      <w:r>
        <w:rPr>
          <w:rFonts w:hint="eastAsia" w:ascii="宋体" w:hAnsi="宋体" w:eastAsia="宋体" w:cs="宋体"/>
          <w:color w:val="auto"/>
          <w:sz w:val="24"/>
          <w:szCs w:val="24"/>
          <w:lang w:val="en-US" w:eastAsia="zh-CN"/>
        </w:rPr>
        <w:t>拱墅</w:t>
      </w:r>
      <w:r>
        <w:rPr>
          <w:rFonts w:hint="eastAsia" w:ascii="宋体" w:hAnsi="宋体" w:eastAsia="宋体" w:cs="宋体"/>
          <w:color w:val="auto"/>
          <w:sz w:val="24"/>
          <w:szCs w:val="24"/>
        </w:rPr>
        <w:t>区市场监督管理局住宅电梯安全责任保险项目招标结果和招标文件的要求，并依照《</w:t>
      </w:r>
      <w:r>
        <w:rPr>
          <w:rFonts w:hint="eastAsia" w:ascii="宋体" w:hAnsi="宋体" w:eastAsia="宋体" w:cs="宋体"/>
          <w:color w:val="auto"/>
          <w:sz w:val="24"/>
          <w:szCs w:val="24"/>
          <w:lang w:eastAsia="zh-CN"/>
        </w:rPr>
        <w:t>中华人民共和国民法典</w:t>
      </w:r>
      <w:r>
        <w:rPr>
          <w:rFonts w:hint="eastAsia" w:ascii="宋体" w:hAnsi="宋体" w:eastAsia="宋体" w:cs="宋体"/>
          <w:color w:val="auto"/>
          <w:sz w:val="24"/>
          <w:szCs w:val="24"/>
        </w:rPr>
        <w:t>》等有关法律、行政法规的规定，同时在平等、公平、诚实和信用的原则下，经双方协商一致，订立本合同。</w:t>
      </w:r>
    </w:p>
    <w:p w14:paraId="6F81170F">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本项目为杭州市</w:t>
      </w:r>
      <w:r>
        <w:rPr>
          <w:rFonts w:hint="eastAsia" w:ascii="宋体" w:hAnsi="宋体" w:eastAsia="宋体" w:cs="宋体"/>
          <w:b/>
          <w:color w:val="auto"/>
          <w:sz w:val="24"/>
          <w:szCs w:val="24"/>
          <w:lang w:val="en-US" w:eastAsia="zh-CN"/>
        </w:rPr>
        <w:t>拱墅</w:t>
      </w:r>
      <w:r>
        <w:rPr>
          <w:rFonts w:hint="eastAsia" w:ascii="宋体" w:hAnsi="宋体" w:eastAsia="宋体" w:cs="宋体"/>
          <w:b/>
          <w:color w:val="auto"/>
          <w:sz w:val="24"/>
          <w:szCs w:val="24"/>
        </w:rPr>
        <w:t>区市场监督管理局住宅电梯安全责任保险，最终按投标单价和实际服务数量结算，预算金额为</w:t>
      </w:r>
      <w:r>
        <w:rPr>
          <w:rFonts w:hint="eastAsia" w:ascii="宋体" w:hAnsi="宋体" w:cs="宋体"/>
          <w:b/>
          <w:color w:val="auto"/>
          <w:sz w:val="24"/>
          <w:szCs w:val="24"/>
          <w:lang w:val="en-US" w:eastAsia="zh-CN"/>
        </w:rPr>
        <w:t>57</w:t>
      </w:r>
      <w:r>
        <w:rPr>
          <w:rFonts w:hint="eastAsia" w:ascii="宋体" w:hAnsi="宋体" w:eastAsia="宋体" w:cs="宋体"/>
          <w:b/>
          <w:color w:val="auto"/>
          <w:sz w:val="24"/>
          <w:szCs w:val="24"/>
        </w:rPr>
        <w:t>万元。</w:t>
      </w:r>
    </w:p>
    <w:p w14:paraId="0C945B21">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服务内容及单价见 “中标价”（签订正式合同文本时，附在合同后）。</w:t>
      </w:r>
    </w:p>
    <w:p w14:paraId="432368AC">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一、服务内容：杭州市</w:t>
      </w:r>
      <w:r>
        <w:rPr>
          <w:rFonts w:hint="eastAsia" w:ascii="宋体" w:hAnsi="宋体" w:eastAsia="宋体" w:cs="宋体"/>
          <w:color w:val="auto"/>
          <w:kern w:val="0"/>
          <w:sz w:val="24"/>
          <w:szCs w:val="24"/>
          <w:lang w:val="en-US" w:eastAsia="zh-CN"/>
        </w:rPr>
        <w:t>拱墅</w:t>
      </w:r>
      <w:r>
        <w:rPr>
          <w:rFonts w:hint="eastAsia" w:ascii="宋体" w:hAnsi="宋体" w:eastAsia="宋体" w:cs="宋体"/>
          <w:color w:val="auto"/>
          <w:sz w:val="24"/>
          <w:szCs w:val="24"/>
        </w:rPr>
        <w:t>区市场监督管理局住宅</w:t>
      </w:r>
      <w:r>
        <w:rPr>
          <w:rFonts w:hint="eastAsia" w:ascii="宋体" w:hAnsi="宋体" w:eastAsia="宋体" w:cs="宋体"/>
          <w:color w:val="auto"/>
          <w:kern w:val="0"/>
          <w:sz w:val="24"/>
          <w:szCs w:val="24"/>
        </w:rPr>
        <w:t>电梯安全责任保险。</w:t>
      </w:r>
    </w:p>
    <w:p w14:paraId="39AA76E5">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二、合同金额以及结算方式</w:t>
      </w:r>
    </w:p>
    <w:p w14:paraId="09565067">
      <w:pPr>
        <w:widowControl/>
        <w:spacing w:line="360" w:lineRule="auto"/>
        <w:ind w:firstLine="48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每台住宅电梯安全综合保险保费金额为</w:t>
      </w:r>
      <w:r>
        <w:rPr>
          <w:rFonts w:hint="eastAsia" w:ascii="宋体" w:hAnsi="宋体" w:eastAsia="宋体" w:cs="宋体"/>
          <w:b/>
          <w:color w:val="auto"/>
          <w:kern w:val="0"/>
          <w:sz w:val="24"/>
          <w:szCs w:val="24"/>
          <w:u w:val="single"/>
        </w:rPr>
        <w:t xml:space="preserve">    </w:t>
      </w:r>
      <w:r>
        <w:rPr>
          <w:rFonts w:hint="eastAsia" w:ascii="宋体" w:hAnsi="宋体" w:eastAsia="宋体" w:cs="宋体"/>
          <w:b/>
          <w:color w:val="auto"/>
          <w:kern w:val="0"/>
          <w:sz w:val="24"/>
          <w:szCs w:val="24"/>
        </w:rPr>
        <w:t>元/年，由小区电梯使用管理单位</w:t>
      </w:r>
      <w:r>
        <w:rPr>
          <w:rFonts w:hint="eastAsia" w:ascii="宋体" w:hAnsi="宋体" w:eastAsia="宋体" w:cs="宋体"/>
          <w:b/>
          <w:color w:val="auto"/>
          <w:kern w:val="0"/>
          <w:sz w:val="24"/>
          <w:szCs w:val="24"/>
          <w:lang w:eastAsia="zh-CN"/>
        </w:rPr>
        <w:t>、产权单位、维保单位等相关方</w:t>
      </w:r>
      <w:r>
        <w:rPr>
          <w:rFonts w:hint="eastAsia" w:ascii="宋体" w:hAnsi="宋体" w:eastAsia="宋体" w:cs="宋体"/>
          <w:b/>
          <w:color w:val="auto"/>
          <w:kern w:val="0"/>
          <w:sz w:val="24"/>
          <w:szCs w:val="24"/>
        </w:rPr>
        <w:t>支付1元保费，剩余部分由甲方以补贴的形式支付；</w:t>
      </w:r>
    </w:p>
    <w:p w14:paraId="3A4C0530">
      <w:pPr>
        <w:widowControl/>
        <w:spacing w:line="360" w:lineRule="auto"/>
        <w:ind w:firstLine="48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具体</w:t>
      </w:r>
      <w:r>
        <w:rPr>
          <w:rFonts w:hint="eastAsia" w:ascii="宋体" w:hAnsi="宋体" w:eastAsia="宋体" w:cs="宋体"/>
          <w:color w:val="auto"/>
          <w:kern w:val="0"/>
          <w:sz w:val="24"/>
          <w:szCs w:val="24"/>
          <w:lang w:val="en-US" w:eastAsia="zh-CN"/>
        </w:rPr>
        <w:t>投保数量</w:t>
      </w:r>
      <w:r>
        <w:rPr>
          <w:rFonts w:hint="eastAsia" w:ascii="宋体" w:hAnsi="宋体" w:eastAsia="宋体" w:cs="宋体"/>
          <w:color w:val="auto"/>
          <w:kern w:val="0"/>
          <w:sz w:val="24"/>
          <w:szCs w:val="24"/>
        </w:rPr>
        <w:t>数据以实际发生为准</w:t>
      </w:r>
      <w:r>
        <w:rPr>
          <w:rFonts w:hint="eastAsia" w:ascii="宋体" w:hAnsi="宋体" w:cs="宋体"/>
          <w:color w:val="auto"/>
          <w:kern w:val="0"/>
          <w:sz w:val="24"/>
          <w:szCs w:val="24"/>
          <w:lang w:eastAsia="zh-CN"/>
        </w:rPr>
        <w:t>。</w:t>
      </w:r>
    </w:p>
    <w:p w14:paraId="04F1951A">
      <w:pPr>
        <w:widowControl/>
        <w:spacing w:line="360" w:lineRule="auto"/>
        <w:ind w:firstLine="48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结算方式：</w:t>
      </w:r>
      <w:r>
        <w:rPr>
          <w:rFonts w:hint="eastAsia" w:ascii="宋体" w:hAnsi="宋体" w:eastAsia="宋体" w:cs="宋体"/>
          <w:b/>
          <w:color w:val="auto"/>
          <w:kern w:val="0"/>
          <w:sz w:val="24"/>
          <w:szCs w:val="24"/>
          <w:lang w:eastAsia="zh-CN"/>
        </w:rPr>
        <w:t>乙方</w:t>
      </w:r>
      <w:r>
        <w:rPr>
          <w:rFonts w:hint="eastAsia" w:ascii="宋体" w:hAnsi="宋体" w:eastAsia="宋体" w:cs="宋体"/>
          <w:b/>
          <w:color w:val="auto"/>
          <w:kern w:val="0"/>
          <w:sz w:val="24"/>
        </w:rPr>
        <w:t>凭</w:t>
      </w:r>
      <w:r>
        <w:rPr>
          <w:rFonts w:hint="eastAsia" w:ascii="宋体" w:hAnsi="宋体" w:eastAsia="宋体" w:cs="宋体"/>
          <w:b/>
          <w:color w:val="auto"/>
          <w:kern w:val="0"/>
          <w:sz w:val="24"/>
          <w:lang w:eastAsia="zh-CN"/>
        </w:rPr>
        <w:t>实际</w:t>
      </w:r>
      <w:r>
        <w:rPr>
          <w:rFonts w:hint="eastAsia" w:ascii="宋体" w:hAnsi="宋体" w:eastAsia="宋体" w:cs="宋体"/>
          <w:b/>
          <w:color w:val="auto"/>
          <w:kern w:val="0"/>
          <w:sz w:val="24"/>
        </w:rPr>
        <w:t>投保电梯清单及保费发票于每季度末向</w:t>
      </w:r>
      <w:r>
        <w:rPr>
          <w:rFonts w:hint="eastAsia" w:ascii="宋体" w:hAnsi="宋体" w:eastAsia="宋体" w:cs="宋体"/>
          <w:b/>
          <w:color w:val="auto"/>
          <w:kern w:val="0"/>
          <w:sz w:val="24"/>
          <w:lang w:eastAsia="zh-CN"/>
        </w:rPr>
        <w:t>甲方结算</w:t>
      </w:r>
      <w:r>
        <w:rPr>
          <w:rFonts w:hint="eastAsia" w:ascii="宋体" w:hAnsi="宋体" w:eastAsia="宋体" w:cs="宋体"/>
          <w:b/>
          <w:color w:val="auto"/>
          <w:kern w:val="0"/>
          <w:sz w:val="24"/>
        </w:rPr>
        <w:t>保险费补贴</w:t>
      </w:r>
      <w:r>
        <w:rPr>
          <w:rFonts w:hint="eastAsia" w:ascii="宋体" w:hAnsi="宋体" w:eastAsia="宋体" w:cs="宋体"/>
          <w:b/>
          <w:color w:val="auto"/>
          <w:kern w:val="0"/>
          <w:sz w:val="24"/>
          <w:szCs w:val="24"/>
        </w:rPr>
        <w:t>，支付总金额不超过预算金额。</w:t>
      </w:r>
    </w:p>
    <w:p w14:paraId="63AB1E8A">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三、权利义务</w:t>
      </w:r>
    </w:p>
    <w:p w14:paraId="5BA5F4C6">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）甲方的权利与义务</w:t>
      </w:r>
    </w:p>
    <w:p w14:paraId="1A7EF6A6">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甲方承诺其是依中华人民共和国法律成立的合法有效的、能独立承担法律责任的法人，其签署本协议已获得授权，具备签约的主体资格；</w:t>
      </w:r>
    </w:p>
    <w:p w14:paraId="1F8558C2">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配合乙方的工作，按照乙方要求，及时如实地向乙方提供所需要的风险项目信息与资料；</w:t>
      </w:r>
    </w:p>
    <w:p w14:paraId="58AB4ADA">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按照本协议书约定，及时支付保险费。</w:t>
      </w:r>
    </w:p>
    <w:p w14:paraId="4BD2FF84">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二</w:t>
      </w:r>
      <w:r>
        <w:rPr>
          <w:rFonts w:hint="eastAsia" w:ascii="宋体" w:hAnsi="宋体" w:eastAsia="宋体" w:cs="宋体"/>
          <w:color w:val="auto"/>
          <w:kern w:val="0"/>
          <w:sz w:val="24"/>
          <w:szCs w:val="24"/>
        </w:rPr>
        <w:t>）乙方的权利与义务</w:t>
      </w:r>
    </w:p>
    <w:p w14:paraId="10ED69D4">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乙方承诺其是依中华人民共和国法律成立的合法有效的、能独立承担法律责任的公司法人，其签署本协议已获得内部必要的授权及批准；</w:t>
      </w:r>
    </w:p>
    <w:p w14:paraId="130FFB02">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有权获取甲方向其提供有关信息与资料；</w:t>
      </w:r>
    </w:p>
    <w:p w14:paraId="485EAD85">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有权及时得到保险费；</w:t>
      </w:r>
    </w:p>
    <w:p w14:paraId="06F4AEBA">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接到报案后，立即赶赴现场，根据现场查勘情况尽快定责、定损，并及时对事故进行结案，支付赔款；</w:t>
      </w:r>
    </w:p>
    <w:p w14:paraId="22BDD8AB">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从本协议约定的保单上记载的保险期间开始之日起，乙方所承担的保险责任开始生效，并对其在本协议项下所出具的保单效力承担的相应责任，不会因为保险合同的不对应性而行使抗辩权。</w:t>
      </w:r>
    </w:p>
    <w:p w14:paraId="46519CBB">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四、知识产权</w:t>
      </w:r>
    </w:p>
    <w:p w14:paraId="041F222F">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乙方应保证提供服务过程中不会侵犯任何第三方的知识产权。</w:t>
      </w:r>
    </w:p>
    <w:p w14:paraId="3B8F0FDE">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五、转包或分包</w:t>
      </w:r>
    </w:p>
    <w:p w14:paraId="21F1C206">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本合同范围的服务，应由乙方直接供应，不得转让他人供应；</w:t>
      </w:r>
    </w:p>
    <w:p w14:paraId="5C7385C8">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除非得到甲方的书面同意，乙方不得将本合同范围的服务全部或部分分包给他人供应；</w:t>
      </w:r>
    </w:p>
    <w:p w14:paraId="7E2FE9B8">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如有转让和未经甲方同意的分包行为，甲方有权解除合同，没收履约保证金并追究乙方的违约责任。</w:t>
      </w:r>
    </w:p>
    <w:p w14:paraId="18BD0340">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六、保险期限</w:t>
      </w:r>
    </w:p>
    <w:p w14:paraId="74743F64">
      <w:pPr>
        <w:widowControl/>
        <w:spacing w:line="360" w:lineRule="auto"/>
        <w:ind w:firstLine="48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本项目承保电梯保险期限为</w:t>
      </w:r>
      <w:r>
        <w:rPr>
          <w:rFonts w:hint="eastAsia" w:ascii="宋体" w:hAnsi="宋体" w:eastAsia="宋体" w:cs="宋体"/>
          <w:color w:val="auto"/>
          <w:kern w:val="0"/>
          <w:sz w:val="24"/>
          <w:szCs w:val="24"/>
        </w:rPr>
        <w:t>1年</w:t>
      </w:r>
      <w:r>
        <w:rPr>
          <w:rFonts w:hint="eastAsia" w:ascii="宋体" w:hAnsi="宋体" w:cs="宋体"/>
          <w:color w:val="auto"/>
          <w:kern w:val="0"/>
          <w:sz w:val="24"/>
          <w:szCs w:val="24"/>
          <w:lang w:eastAsia="zh-CN"/>
        </w:rPr>
        <w:t>，自投保之日起算。</w:t>
      </w:r>
    </w:p>
    <w:p w14:paraId="41DC57E5">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七、税费</w:t>
      </w:r>
    </w:p>
    <w:p w14:paraId="784104D1">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本合同执行中相关的一切税费均由乙方负担并包含在保险费中。</w:t>
      </w:r>
    </w:p>
    <w:p w14:paraId="6E27F36D">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八、违约责任</w:t>
      </w:r>
    </w:p>
    <w:p w14:paraId="2D32C7C4">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4BCD3218">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九、不可抗力事件处理</w:t>
      </w:r>
    </w:p>
    <w:p w14:paraId="085A98F3">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在合同有效期内，任何一方因不可抗力事件导致不能履行合同，则合同履行期可延长，其延长期与不可抗力影响期相同。</w:t>
      </w:r>
    </w:p>
    <w:p w14:paraId="5A745DD7">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不可抗力事件延续</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0天以上，双方应通过友好协商，确定是否继续履行合同。</w:t>
      </w:r>
    </w:p>
    <w:p w14:paraId="6A5CA52D">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十、诉讼</w:t>
      </w:r>
    </w:p>
    <w:p w14:paraId="1A6DDF4C">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双方在执行合同中所发生的一切争议，应通过协商解决。如协商不成，可向甲方所在地法院起诉。</w:t>
      </w:r>
    </w:p>
    <w:p w14:paraId="326BEE25">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十一、合同生效及其它</w:t>
      </w:r>
    </w:p>
    <w:p w14:paraId="0BF68158">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合同经双方法定代表人或授权代表签字并加盖单位公章后生效。</w:t>
      </w:r>
    </w:p>
    <w:p w14:paraId="57A9626B">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本合同未尽事宜，遵照《</w:t>
      </w:r>
      <w:r>
        <w:rPr>
          <w:rFonts w:hint="eastAsia" w:ascii="宋体" w:hAnsi="宋体" w:eastAsia="宋体" w:cs="宋体"/>
          <w:color w:val="auto"/>
          <w:kern w:val="0"/>
          <w:sz w:val="24"/>
          <w:szCs w:val="24"/>
          <w:lang w:val="en-US" w:eastAsia="zh-CN"/>
        </w:rPr>
        <w:t>民法典</w:t>
      </w:r>
      <w:r>
        <w:rPr>
          <w:rFonts w:hint="eastAsia" w:ascii="宋体" w:hAnsi="宋体" w:eastAsia="宋体" w:cs="宋体"/>
          <w:color w:val="auto"/>
          <w:kern w:val="0"/>
          <w:sz w:val="24"/>
          <w:szCs w:val="24"/>
        </w:rPr>
        <w:t>》有关条文执行。</w:t>
      </w:r>
    </w:p>
    <w:p w14:paraId="2F3D649A">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本合同正本一式肆份，具同等法律效力，鉴证方备案一份，甲乙双方各执一份。</w:t>
      </w:r>
    </w:p>
    <w:p w14:paraId="749C86D0">
      <w:pPr>
        <w:spacing w:line="360" w:lineRule="auto"/>
        <w:rPr>
          <w:rFonts w:hint="eastAsia" w:ascii="宋体" w:hAnsi="宋体" w:eastAsia="宋体" w:cs="宋体"/>
          <w:color w:val="auto"/>
          <w:sz w:val="24"/>
          <w:szCs w:val="24"/>
        </w:rPr>
      </w:pPr>
    </w:p>
    <w:p w14:paraId="065B9B1A">
      <w:pPr>
        <w:adjustRightInd w:val="0"/>
        <w:snapToGrid w:val="0"/>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买    方：                           卖    方：</w:t>
      </w:r>
    </w:p>
    <w:p w14:paraId="48BAC62A">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地    址：                           地    址：</w:t>
      </w:r>
    </w:p>
    <w:p w14:paraId="104147EC">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14:paraId="431574E2">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授权代表人：                         授权代表人：</w:t>
      </w:r>
    </w:p>
    <w:p w14:paraId="6B13C811">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电    话：                           电    话：</w:t>
      </w:r>
    </w:p>
    <w:p w14:paraId="0357376E">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14:paraId="4A027E4B">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账</w:t>
      </w:r>
      <w:r>
        <w:rPr>
          <w:rFonts w:hint="eastAsia" w:ascii="宋体" w:hAnsi="宋体" w:eastAsia="宋体" w:cs="宋体"/>
          <w:color w:val="auto"/>
          <w:sz w:val="24"/>
          <w:szCs w:val="24"/>
        </w:rPr>
        <w:t xml:space="preserve">    号：                           </w:t>
      </w:r>
      <w:r>
        <w:rPr>
          <w:rFonts w:hint="eastAsia" w:ascii="宋体" w:hAnsi="宋体" w:eastAsia="宋体" w:cs="宋体"/>
          <w:color w:val="auto"/>
          <w:sz w:val="24"/>
          <w:szCs w:val="24"/>
          <w:lang w:val="en-US" w:eastAsia="zh-CN"/>
        </w:rPr>
        <w:t>账</w:t>
      </w:r>
      <w:r>
        <w:rPr>
          <w:rFonts w:hint="eastAsia" w:ascii="宋体" w:hAnsi="宋体" w:eastAsia="宋体" w:cs="宋体"/>
          <w:color w:val="auto"/>
          <w:sz w:val="24"/>
          <w:szCs w:val="24"/>
        </w:rPr>
        <w:t xml:space="preserve">    号：</w:t>
      </w:r>
    </w:p>
    <w:p w14:paraId="6CE92C8D">
      <w:pPr>
        <w:adjustRightInd w:val="0"/>
        <w:snapToGrid w:val="0"/>
        <w:spacing w:line="360" w:lineRule="auto"/>
        <w:ind w:firstLine="240" w:firstLineChars="100"/>
        <w:rPr>
          <w:rFonts w:hint="eastAsia" w:ascii="宋体" w:hAnsi="宋体" w:eastAsia="宋体" w:cs="宋体"/>
          <w:color w:val="auto"/>
          <w:sz w:val="24"/>
          <w:szCs w:val="24"/>
        </w:rPr>
      </w:pPr>
    </w:p>
    <w:p w14:paraId="00927C31">
      <w:pPr>
        <w:adjustRightInd w:val="0"/>
        <w:snapToGrid w:val="0"/>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签订日期：</w:t>
      </w:r>
      <w:r>
        <w:rPr>
          <w:rFonts w:hint="eastAsia" w:ascii="宋体" w:hAnsi="宋体" w:eastAsia="宋体" w:cs="宋体"/>
          <w:color w:val="auto"/>
          <w:sz w:val="24"/>
          <w:szCs w:val="24"/>
          <w:u w:val="single"/>
        </w:rPr>
        <w:t xml:space="preserve">                                  </w:t>
      </w:r>
    </w:p>
    <w:p w14:paraId="52AA5532">
      <w:pPr>
        <w:adjustRightInd w:val="0"/>
        <w:snapToGrid w:val="0"/>
        <w:spacing w:line="360" w:lineRule="auto"/>
        <w:ind w:firstLine="204" w:firstLineChars="85"/>
        <w:rPr>
          <w:rFonts w:hint="eastAsia" w:ascii="宋体" w:hAnsi="宋体" w:eastAsia="宋体" w:cs="宋体"/>
          <w:color w:val="auto"/>
          <w:sz w:val="24"/>
          <w:szCs w:val="24"/>
        </w:rPr>
      </w:pPr>
      <w:r>
        <w:rPr>
          <w:rFonts w:hint="eastAsia" w:ascii="宋体" w:hAnsi="宋体" w:eastAsia="宋体" w:cs="宋体"/>
          <w:color w:val="auto"/>
          <w:sz w:val="24"/>
          <w:szCs w:val="24"/>
        </w:rPr>
        <w:t>签订地址：</w:t>
      </w:r>
      <w:r>
        <w:rPr>
          <w:rFonts w:hint="eastAsia" w:ascii="宋体" w:hAnsi="宋体" w:eastAsia="宋体" w:cs="宋体"/>
          <w:color w:val="auto"/>
          <w:sz w:val="24"/>
          <w:szCs w:val="24"/>
          <w:u w:val="single"/>
        </w:rPr>
        <w:t xml:space="preserve">                                  </w:t>
      </w:r>
    </w:p>
    <w:p w14:paraId="7E7B9B34">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拱墅区住宅电梯安全责任险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ZJZN-25838-GSSJ02</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C15D52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B685C2">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p>
    <w:p w14:paraId="04F3B08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拱墅区住宅电梯安全责任险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ZJZN-25838-GSSJ02</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04253B0E">
      <w:pPr>
        <w:pStyle w:val="23"/>
        <w:rPr>
          <w:color w:val="auto"/>
        </w:rPr>
      </w:pPr>
    </w:p>
    <w:p w14:paraId="187DA1AB">
      <w:pPr>
        <w:snapToGrid w:val="0"/>
        <w:spacing w:line="360" w:lineRule="auto"/>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left="0" w:leftChars="0" w:firstLine="0" w:firstLineChars="0"/>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拱墅区住宅电梯安全责任险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ZJZN-25838-GSSJ02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snapToGrid w:val="0"/>
        <w:spacing w:line="360" w:lineRule="auto"/>
        <w:ind w:left="0" w:leftChars="0" w:firstLine="0" w:firstLineChars="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拱墅区住宅电梯安全责任险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ZJZN-25838-GSSJ02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5000" w:type="pct"/>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BEE4E76">
      <w:pPr>
        <w:snapToGrid w:val="0"/>
        <w:spacing w:line="360" w:lineRule="auto"/>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snapToGrid w:val="0"/>
        <w:spacing w:line="360" w:lineRule="auto"/>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0F934229">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2EFD984F">
            <w:pPr>
              <w:jc w:val="both"/>
              <w:rPr>
                <w:rFonts w:ascii="宋体" w:hAnsi="宋体" w:cs="宋体"/>
                <w:color w:val="auto"/>
                <w:sz w:val="24"/>
                <w:highlight w:val="none"/>
              </w:rPr>
            </w:pPr>
            <w:r>
              <w:rPr>
                <w:rFonts w:hint="eastAsia" w:ascii="宋体" w:hAnsi="宋体" w:cs="宋体"/>
                <w:color w:val="auto"/>
                <w:sz w:val="24"/>
                <w:highlight w:val="none"/>
              </w:rPr>
              <w:t>见投标文件</w:t>
            </w:r>
          </w:p>
          <w:p w14:paraId="4D40010C">
            <w:pPr>
              <w:jc w:val="both"/>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9497FC0">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418A3ED7">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center"/>
          </w:tcPr>
          <w:p w14:paraId="0816E62A">
            <w:pPr>
              <w:spacing w:line="360" w:lineRule="auto"/>
              <w:jc w:val="both"/>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p>
        </w:tc>
        <w:tc>
          <w:tcPr>
            <w:tcW w:w="2551" w:type="dxa"/>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3FECB870">
            <w:pPr>
              <w:jc w:val="both"/>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40E9F02">
      <w:pPr>
        <w:pStyle w:val="23"/>
        <w:rPr>
          <w:rFonts w:ascii="宋体" w:hAnsi="宋体" w:cs="宋体"/>
          <w:b/>
          <w:color w:val="auto"/>
          <w:kern w:val="0"/>
          <w:sz w:val="32"/>
          <w:szCs w:val="32"/>
          <w:highlight w:val="none"/>
        </w:rPr>
      </w:pPr>
    </w:p>
    <w:p w14:paraId="0CCAA6E2">
      <w:pPr>
        <w:rPr>
          <w:rFonts w:ascii="宋体" w:hAnsi="宋体" w:cs="宋体"/>
          <w:b/>
          <w:color w:val="auto"/>
          <w:kern w:val="0"/>
          <w:sz w:val="32"/>
          <w:szCs w:val="32"/>
          <w:highlight w:val="none"/>
        </w:rPr>
      </w:pPr>
    </w:p>
    <w:p w14:paraId="7C895F58">
      <w:pPr>
        <w:pStyle w:val="23"/>
        <w:rPr>
          <w:rFonts w:ascii="宋体" w:hAnsi="宋体" w:cs="宋体"/>
          <w:b/>
          <w:color w:val="auto"/>
          <w:kern w:val="0"/>
          <w:sz w:val="32"/>
          <w:szCs w:val="32"/>
          <w:highlight w:val="none"/>
        </w:rPr>
      </w:pPr>
    </w:p>
    <w:p w14:paraId="311B1CB2">
      <w:pPr>
        <w:rPr>
          <w:rFonts w:ascii="宋体" w:hAnsi="宋体" w:cs="宋体"/>
          <w:b/>
          <w:color w:val="auto"/>
          <w:kern w:val="0"/>
          <w:sz w:val="32"/>
          <w:szCs w:val="32"/>
          <w:highlight w:val="none"/>
        </w:rPr>
      </w:pPr>
    </w:p>
    <w:p w14:paraId="1459E084">
      <w:pPr>
        <w:pStyle w:val="23"/>
        <w:rPr>
          <w:color w:val="auto"/>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snapToGrid w:val="0"/>
        <w:spacing w:line="360" w:lineRule="auto"/>
        <w:jc w:val="center"/>
        <w:outlineLvl w:val="0"/>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5863"/>
        <w:gridCol w:w="3268"/>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2942" w:type="pct"/>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1640" w:type="pct"/>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2942" w:type="pct"/>
          </w:tcPr>
          <w:p w14:paraId="3CFE82DA">
            <w:pPr>
              <w:snapToGrid/>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偿付能力</w:t>
            </w:r>
          </w:p>
        </w:tc>
        <w:tc>
          <w:tcPr>
            <w:tcW w:w="1640" w:type="pct"/>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2942" w:type="pct"/>
          </w:tcPr>
          <w:p w14:paraId="645D16A2">
            <w:pPr>
              <w:snapToGrid/>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投诉指标</w:t>
            </w:r>
          </w:p>
        </w:tc>
        <w:tc>
          <w:tcPr>
            <w:tcW w:w="1640" w:type="pct"/>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3</w:t>
            </w:r>
          </w:p>
        </w:tc>
        <w:tc>
          <w:tcPr>
            <w:tcW w:w="2942" w:type="pct"/>
          </w:tcPr>
          <w:p w14:paraId="0E1A2FB7">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风险综合评级</w:t>
            </w:r>
          </w:p>
        </w:tc>
        <w:tc>
          <w:tcPr>
            <w:tcW w:w="1640" w:type="pct"/>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9FD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64846291">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2942" w:type="pct"/>
          </w:tcPr>
          <w:p w14:paraId="694554B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综合评价</w:t>
            </w:r>
          </w:p>
        </w:tc>
        <w:tc>
          <w:tcPr>
            <w:tcW w:w="1640" w:type="pct"/>
          </w:tcPr>
          <w:p w14:paraId="3E288589">
            <w:pPr>
              <w:snapToGrid/>
              <w:spacing w:line="240" w:lineRule="auto"/>
              <w:jc w:val="center"/>
              <w:rPr>
                <w:rFonts w:hint="eastAsia" w:ascii="宋体" w:hAnsi="宋体" w:cs="宋体"/>
                <w:b w:val="0"/>
                <w:bCs/>
                <w:color w:val="auto"/>
                <w:sz w:val="24"/>
                <w:highlight w:val="none"/>
              </w:rPr>
            </w:pPr>
          </w:p>
        </w:tc>
      </w:tr>
      <w:tr w14:paraId="2773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49448830">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2942" w:type="pct"/>
          </w:tcPr>
          <w:p w14:paraId="23D10FC3">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经验业绩</w:t>
            </w:r>
          </w:p>
        </w:tc>
        <w:tc>
          <w:tcPr>
            <w:tcW w:w="1640" w:type="pct"/>
          </w:tcPr>
          <w:p w14:paraId="6C2EFD67">
            <w:pPr>
              <w:snapToGrid/>
              <w:spacing w:line="240" w:lineRule="auto"/>
              <w:jc w:val="center"/>
              <w:rPr>
                <w:rFonts w:hint="eastAsia" w:ascii="宋体" w:hAnsi="宋体" w:cs="宋体"/>
                <w:b w:val="0"/>
                <w:bCs/>
                <w:color w:val="auto"/>
                <w:sz w:val="24"/>
                <w:highlight w:val="none"/>
              </w:rPr>
            </w:pPr>
          </w:p>
        </w:tc>
      </w:tr>
      <w:tr w14:paraId="51C7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5277B3AB">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2942" w:type="pct"/>
          </w:tcPr>
          <w:p w14:paraId="64BF475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基本服务承诺</w:t>
            </w:r>
          </w:p>
        </w:tc>
        <w:tc>
          <w:tcPr>
            <w:tcW w:w="1640" w:type="pct"/>
          </w:tcPr>
          <w:p w14:paraId="740D1EF9">
            <w:pPr>
              <w:snapToGrid/>
              <w:spacing w:line="240" w:lineRule="auto"/>
              <w:jc w:val="center"/>
              <w:rPr>
                <w:rFonts w:hint="eastAsia" w:ascii="宋体" w:hAnsi="宋体" w:cs="宋体"/>
                <w:b w:val="0"/>
                <w:bCs/>
                <w:color w:val="auto"/>
                <w:sz w:val="24"/>
                <w:highlight w:val="none"/>
              </w:rPr>
            </w:pPr>
          </w:p>
        </w:tc>
      </w:tr>
      <w:tr w14:paraId="7CBA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30DB9871">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2942" w:type="pct"/>
          </w:tcPr>
          <w:p w14:paraId="23C0C81B">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保险方案</w:t>
            </w:r>
          </w:p>
        </w:tc>
        <w:tc>
          <w:tcPr>
            <w:tcW w:w="1640" w:type="pct"/>
          </w:tcPr>
          <w:p w14:paraId="4A330D32">
            <w:pPr>
              <w:snapToGrid/>
              <w:spacing w:line="240" w:lineRule="auto"/>
              <w:jc w:val="center"/>
              <w:rPr>
                <w:rFonts w:hint="eastAsia" w:ascii="宋体" w:hAnsi="宋体" w:cs="宋体"/>
                <w:b w:val="0"/>
                <w:bCs/>
                <w:color w:val="auto"/>
                <w:sz w:val="24"/>
                <w:highlight w:val="none"/>
              </w:rPr>
            </w:pPr>
          </w:p>
        </w:tc>
      </w:tr>
      <w:tr w14:paraId="4910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6C52D350">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2942" w:type="pct"/>
          </w:tcPr>
          <w:p w14:paraId="446EF62D">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整体服务方案</w:t>
            </w:r>
          </w:p>
        </w:tc>
        <w:tc>
          <w:tcPr>
            <w:tcW w:w="1640" w:type="pct"/>
          </w:tcPr>
          <w:p w14:paraId="5D7E7F0E">
            <w:pPr>
              <w:snapToGrid/>
              <w:spacing w:line="240" w:lineRule="auto"/>
              <w:jc w:val="center"/>
              <w:rPr>
                <w:rFonts w:hint="eastAsia" w:ascii="宋体" w:hAnsi="宋体" w:cs="宋体"/>
                <w:b w:val="0"/>
                <w:bCs/>
                <w:color w:val="auto"/>
                <w:sz w:val="24"/>
                <w:highlight w:val="none"/>
              </w:rPr>
            </w:pPr>
          </w:p>
        </w:tc>
      </w:tr>
      <w:tr w14:paraId="4498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7089D903">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942" w:type="pct"/>
          </w:tcPr>
          <w:p w14:paraId="5FE3A6E6">
            <w:pPr>
              <w:snapToGrid w:val="0"/>
              <w:spacing w:line="360" w:lineRule="auto"/>
              <w:jc w:val="center"/>
              <w:rPr>
                <w:rFonts w:hint="eastAsia" w:ascii="宋体" w:hAnsi="宋体" w:cs="宋体"/>
                <w:b w:val="0"/>
                <w:bCs/>
                <w:color w:val="auto"/>
                <w:sz w:val="24"/>
                <w:highlight w:val="none"/>
                <w:vertAlign w:val="baseline"/>
              </w:rPr>
            </w:pPr>
          </w:p>
        </w:tc>
        <w:tc>
          <w:tcPr>
            <w:tcW w:w="1640" w:type="pct"/>
          </w:tcPr>
          <w:p w14:paraId="1CBBBBBD">
            <w:pPr>
              <w:snapToGrid/>
              <w:spacing w:line="240" w:lineRule="auto"/>
              <w:jc w:val="center"/>
              <w:rPr>
                <w:rFonts w:hint="eastAsia" w:ascii="宋体" w:hAnsi="宋体" w:cs="宋体"/>
                <w:b w:val="0"/>
                <w:bCs/>
                <w:color w:val="auto"/>
                <w:sz w:val="24"/>
                <w:highlight w:val="none"/>
              </w:rPr>
            </w:pPr>
          </w:p>
        </w:tc>
      </w:tr>
    </w:tbl>
    <w:p w14:paraId="772F9B3A">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526"/>
        <w:gridCol w:w="1243"/>
        <w:gridCol w:w="1404"/>
        <w:gridCol w:w="3098"/>
        <w:gridCol w:w="1865"/>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624" w:type="pct"/>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555" w:type="pct"/>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36" w:type="pct"/>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拱墅区住宅电梯安全责任险</w:t>
            </w:r>
          </w:p>
        </w:tc>
        <w:tc>
          <w:tcPr>
            <w:tcW w:w="624" w:type="pct"/>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snapToGrid w:val="0"/>
        <w:spacing w:line="360" w:lineRule="auto"/>
        <w:jc w:val="center"/>
        <w:outlineLvl w:val="0"/>
        <w:rPr>
          <w:rFonts w:hint="eastAsia" w:ascii="宋体" w:hAnsi="宋体" w:eastAsia="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875"/>
        <w:gridCol w:w="3732"/>
        <w:gridCol w:w="1343"/>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6B6935F5">
            <w:pPr>
              <w:jc w:val="center"/>
              <w:rPr>
                <w:rFonts w:ascii="宋体" w:hAnsi="宋体" w:cs="宋体"/>
                <w:b/>
                <w:color w:val="auto"/>
                <w:kern w:val="0"/>
                <w:sz w:val="32"/>
                <w:szCs w:val="32"/>
                <w:highlight w:val="none"/>
              </w:rPr>
            </w:pPr>
          </w:p>
        </w:tc>
        <w:tc>
          <w:tcPr>
            <w:tcW w:w="1873" w:type="pct"/>
          </w:tcPr>
          <w:p w14:paraId="5FF76456">
            <w:pPr>
              <w:jc w:val="center"/>
              <w:rPr>
                <w:rFonts w:ascii="宋体" w:hAnsi="宋体" w:cs="宋体"/>
                <w:b/>
                <w:color w:val="auto"/>
                <w:kern w:val="0"/>
                <w:sz w:val="32"/>
                <w:szCs w:val="32"/>
                <w:highlight w:val="none"/>
              </w:rPr>
            </w:pPr>
          </w:p>
        </w:tc>
        <w:tc>
          <w:tcPr>
            <w:tcW w:w="674" w:type="pct"/>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3D96D204">
            <w:pPr>
              <w:jc w:val="center"/>
              <w:rPr>
                <w:rFonts w:ascii="宋体" w:hAnsi="宋体" w:cs="宋体"/>
                <w:b/>
                <w:color w:val="auto"/>
                <w:kern w:val="0"/>
                <w:sz w:val="32"/>
                <w:szCs w:val="32"/>
                <w:highlight w:val="none"/>
              </w:rPr>
            </w:pPr>
          </w:p>
        </w:tc>
        <w:tc>
          <w:tcPr>
            <w:tcW w:w="1873" w:type="pct"/>
          </w:tcPr>
          <w:p w14:paraId="0A81AFEB">
            <w:pPr>
              <w:jc w:val="center"/>
              <w:rPr>
                <w:rFonts w:ascii="宋体" w:hAnsi="宋体" w:cs="宋体"/>
                <w:b/>
                <w:color w:val="auto"/>
                <w:kern w:val="0"/>
                <w:sz w:val="32"/>
                <w:szCs w:val="32"/>
                <w:highlight w:val="none"/>
              </w:rPr>
            </w:pPr>
          </w:p>
        </w:tc>
        <w:tc>
          <w:tcPr>
            <w:tcW w:w="674" w:type="pct"/>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0A4801BD">
            <w:pPr>
              <w:jc w:val="center"/>
              <w:rPr>
                <w:rFonts w:ascii="宋体" w:hAnsi="宋体" w:cs="宋体"/>
                <w:b/>
                <w:color w:val="auto"/>
                <w:kern w:val="0"/>
                <w:sz w:val="32"/>
                <w:szCs w:val="32"/>
                <w:highlight w:val="none"/>
              </w:rPr>
            </w:pPr>
          </w:p>
        </w:tc>
        <w:tc>
          <w:tcPr>
            <w:tcW w:w="1873" w:type="pct"/>
          </w:tcPr>
          <w:p w14:paraId="25AE5A44">
            <w:pPr>
              <w:jc w:val="center"/>
              <w:rPr>
                <w:rFonts w:ascii="宋体" w:hAnsi="宋体" w:cs="宋体"/>
                <w:b/>
                <w:color w:val="auto"/>
                <w:kern w:val="0"/>
                <w:sz w:val="32"/>
                <w:szCs w:val="32"/>
                <w:highlight w:val="none"/>
              </w:rPr>
            </w:pPr>
          </w:p>
        </w:tc>
        <w:tc>
          <w:tcPr>
            <w:tcW w:w="674" w:type="pct"/>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拱墅区住宅电梯安全责任险</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ZJZN-25838-GSSJ02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F64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A321DD7">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序号</w:t>
            </w:r>
          </w:p>
        </w:tc>
        <w:tc>
          <w:tcPr>
            <w:tcW w:w="1417" w:type="dxa"/>
            <w:vAlign w:val="center"/>
          </w:tcPr>
          <w:p w14:paraId="7624D8C3">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名称</w:t>
            </w:r>
          </w:p>
        </w:tc>
        <w:tc>
          <w:tcPr>
            <w:tcW w:w="1843" w:type="dxa"/>
            <w:vAlign w:val="center"/>
          </w:tcPr>
          <w:p w14:paraId="773A06F3">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3118" w:type="dxa"/>
            <w:vAlign w:val="center"/>
          </w:tcPr>
          <w:p w14:paraId="684643F3">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规格型号（或具体服务）</w:t>
            </w:r>
          </w:p>
        </w:tc>
        <w:tc>
          <w:tcPr>
            <w:tcW w:w="993" w:type="dxa"/>
            <w:vAlign w:val="center"/>
          </w:tcPr>
          <w:p w14:paraId="4C0AFD0B">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数量</w:t>
            </w:r>
          </w:p>
        </w:tc>
        <w:tc>
          <w:tcPr>
            <w:tcW w:w="1559" w:type="dxa"/>
            <w:vAlign w:val="center"/>
          </w:tcPr>
          <w:p w14:paraId="4A967C92">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lang w:eastAsia="zh-CN"/>
              </w:rPr>
            </w:pPr>
            <w:r>
              <w:rPr>
                <w:rFonts w:hint="eastAsia" w:ascii="宋体" w:hAnsi="宋体" w:eastAsia="宋体" w:cs="宋体"/>
                <w:b/>
                <w:color w:val="auto"/>
                <w:sz w:val="24"/>
              </w:rPr>
              <w:t>单价</w:t>
            </w:r>
            <w:r>
              <w:rPr>
                <w:rFonts w:hint="eastAsia" w:ascii="宋体" w:hAnsi="宋体" w:cs="宋体"/>
                <w:b/>
                <w:color w:val="auto"/>
                <w:sz w:val="24"/>
                <w:lang w:val="en-US" w:eastAsia="zh-CN"/>
              </w:rPr>
              <w:t>(不含</w:t>
            </w:r>
            <w:r>
              <w:rPr>
                <w:rFonts w:hint="eastAsia" w:ascii="宋体" w:hAnsi="宋体" w:eastAsia="宋体" w:cs="宋体"/>
                <w:b/>
                <w:color w:val="auto"/>
                <w:sz w:val="24"/>
              </w:rPr>
              <w:t>电梯安全责任保险投保人支付1元保费</w:t>
            </w:r>
            <w:r>
              <w:rPr>
                <w:rFonts w:hint="eastAsia" w:ascii="宋体" w:hAnsi="宋体" w:cs="宋体"/>
                <w:b/>
                <w:color w:val="auto"/>
                <w:sz w:val="24"/>
                <w:lang w:eastAsia="zh-CN"/>
              </w:rPr>
              <w:t>）</w:t>
            </w:r>
          </w:p>
        </w:tc>
        <w:tc>
          <w:tcPr>
            <w:tcW w:w="1984" w:type="dxa"/>
            <w:vAlign w:val="center"/>
          </w:tcPr>
          <w:p w14:paraId="1B89F421">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总价</w:t>
            </w:r>
          </w:p>
        </w:tc>
        <w:tc>
          <w:tcPr>
            <w:tcW w:w="3119" w:type="dxa"/>
            <w:vAlign w:val="center"/>
          </w:tcPr>
          <w:p w14:paraId="669BB338">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p>
          <w:p w14:paraId="650753FA">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服务要求（年限）</w:t>
            </w:r>
          </w:p>
          <w:p w14:paraId="0CF9CDBF">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p>
        </w:tc>
      </w:tr>
      <w:tr w14:paraId="4604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4C2C21F">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417" w:type="dxa"/>
            <w:vAlign w:val="center"/>
          </w:tcPr>
          <w:p w14:paraId="48A340C0">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rPr>
            </w:pPr>
            <w:r>
              <w:rPr>
                <w:rFonts w:hint="eastAsia" w:ascii="宋体" w:hAnsi="宋体" w:cs="宋体"/>
                <w:color w:val="auto"/>
                <w:sz w:val="24"/>
                <w:lang w:eastAsia="zh-CN"/>
              </w:rPr>
              <w:t>拱墅区住宅电梯安全责任险</w:t>
            </w:r>
          </w:p>
        </w:tc>
        <w:tc>
          <w:tcPr>
            <w:tcW w:w="1843" w:type="dxa"/>
            <w:vAlign w:val="center"/>
          </w:tcPr>
          <w:p w14:paraId="7A7A18D9">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c>
          <w:tcPr>
            <w:tcW w:w="3118" w:type="dxa"/>
            <w:vAlign w:val="center"/>
          </w:tcPr>
          <w:p w14:paraId="00A060E5">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c>
          <w:tcPr>
            <w:tcW w:w="993" w:type="dxa"/>
            <w:vAlign w:val="center"/>
          </w:tcPr>
          <w:p w14:paraId="0ABB0056">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c>
          <w:tcPr>
            <w:tcW w:w="1559" w:type="dxa"/>
            <w:vAlign w:val="center"/>
          </w:tcPr>
          <w:p w14:paraId="294D4CD7">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    /电梯</w:t>
            </w:r>
          </w:p>
        </w:tc>
        <w:tc>
          <w:tcPr>
            <w:tcW w:w="1984" w:type="dxa"/>
            <w:vAlign w:val="center"/>
          </w:tcPr>
          <w:p w14:paraId="14A0A816">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c>
          <w:tcPr>
            <w:tcW w:w="3119" w:type="dxa"/>
            <w:vAlign w:val="center"/>
          </w:tcPr>
          <w:p w14:paraId="6BA1808B">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rPr>
            </w:pPr>
          </w:p>
        </w:tc>
      </w:tr>
      <w:tr w14:paraId="766C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F2F14B4">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7655" w:type="dxa"/>
            <w:gridSpan w:val="4"/>
            <w:vAlign w:val="center"/>
          </w:tcPr>
          <w:p w14:paraId="6CA447DD">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    /电梯</w:t>
            </w:r>
          </w:p>
        </w:tc>
      </w:tr>
      <w:tr w14:paraId="4E84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44D961A">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7655" w:type="dxa"/>
            <w:gridSpan w:val="4"/>
            <w:vAlign w:val="center"/>
          </w:tcPr>
          <w:p w14:paraId="0F566306">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人民币    圆每台电梯</w:t>
            </w:r>
          </w:p>
        </w:tc>
      </w:tr>
    </w:tbl>
    <w:p w14:paraId="6805EFDA">
      <w:pPr>
        <w:snapToGrid w:val="0"/>
        <w:spacing w:line="360" w:lineRule="auto"/>
        <w:ind w:left="480"/>
        <w:rPr>
          <w:rFonts w:ascii="宋体" w:hAnsi="宋体" w:cs="宋体"/>
          <w:b/>
          <w:color w:val="auto"/>
          <w:kern w:val="0"/>
          <w:sz w:val="24"/>
          <w:highlight w:val="none"/>
          <w:lang w:val="zh-CN"/>
        </w:rPr>
      </w:pPr>
      <w:bookmarkStart w:id="406" w:name="_GoBack"/>
      <w:bookmarkEnd w:id="406"/>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0995715E">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拱墅区住宅电梯安全责任险</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C65DFE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附件4：业务专用章使用说明函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杭州市拱墅区市场监督管理局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浙江中诺招标代理有限公司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拱墅区住宅电梯安全责任险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ZJZN-25838-GSSJ02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053887FC">
      <w:pPr>
        <w:spacing w:line="360" w:lineRule="auto"/>
        <w:jc w:val="left"/>
        <w:rPr>
          <w:rFonts w:hint="eastAsia" w:ascii="宋体" w:hAnsi="宋体" w:eastAsia="宋体" w:cs="宋体"/>
          <w:b/>
          <w:color w:val="auto"/>
          <w:spacing w:val="6"/>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pacing w:val="6"/>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拱墅区住宅电梯安全责任险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ZJZN-25838-GSSJ02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1EA60D8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附件6：分包意向协议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拱墅区住宅电梯安全责任险</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ZJZN-25838-GSSJ02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CC22D28">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附件7：中小企业声明函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杭州市拱墅区市场监督管理局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拱墅区住宅电梯安全责任险</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460B221">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2" w:name="_Toc91899912"/>
    <w:bookmarkStart w:id="403" w:name="_Toc36110187"/>
    <w:bookmarkStart w:id="404" w:name="_Toc164085800"/>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A4933"/>
    <w:rsid w:val="04F66F48"/>
    <w:rsid w:val="05251E14"/>
    <w:rsid w:val="05A16594"/>
    <w:rsid w:val="05A7762D"/>
    <w:rsid w:val="05C81483"/>
    <w:rsid w:val="060E5941"/>
    <w:rsid w:val="06110FAF"/>
    <w:rsid w:val="06493CA7"/>
    <w:rsid w:val="065A6178"/>
    <w:rsid w:val="066F1CF3"/>
    <w:rsid w:val="06930BB8"/>
    <w:rsid w:val="07245D42"/>
    <w:rsid w:val="07264C62"/>
    <w:rsid w:val="0779354C"/>
    <w:rsid w:val="080406A4"/>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0226E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956FF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16319"/>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34AA"/>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E13ABE"/>
    <w:rsid w:val="4E793892"/>
    <w:rsid w:val="4E800872"/>
    <w:rsid w:val="4EC569ED"/>
    <w:rsid w:val="4ED50EA1"/>
    <w:rsid w:val="4EEC050C"/>
    <w:rsid w:val="4F02066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EF7408"/>
    <w:rsid w:val="5CF35D1E"/>
    <w:rsid w:val="5D0C4701"/>
    <w:rsid w:val="5D0F0395"/>
    <w:rsid w:val="5D221076"/>
    <w:rsid w:val="5D397964"/>
    <w:rsid w:val="5D5A391C"/>
    <w:rsid w:val="5D5F10C0"/>
    <w:rsid w:val="5D6514F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434D78"/>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EF74BC5"/>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122</Words>
  <Characters>139</Characters>
  <Lines>281</Lines>
  <Paragraphs>79</Paragraphs>
  <TotalTime>0</TotalTime>
  <ScaleCrop>false</ScaleCrop>
  <LinksUpToDate>false</LinksUpToDate>
  <CharactersWithSpaces>178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Kizuna</cp:lastModifiedBy>
  <cp:lastPrinted>2021-12-28T03:06:00Z</cp:lastPrinted>
  <dcterms:modified xsi:type="dcterms:W3CDTF">2025-07-17T08:57:09Z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eyJoZGlkIjoiYTQ5YzYzYWFmYTA4NTljOTgxZTQwZjllMDlmZDJkOTEiLCJ1c2VySWQiOiIzOTEzNzY2NjEifQ==</vt:lpwstr>
  </property>
</Properties>
</file>