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r>
        <w:rPr>
          <w:rFonts w:hint="eastAsia" w:ascii="宋体" w:hAnsi="宋体"/>
          <w:b/>
          <w:color w:val="auto"/>
          <w:sz w:val="44"/>
          <w:szCs w:val="44"/>
        </w:rPr>
        <w:t>杭州市西湖区市场监督管理局</w:t>
      </w:r>
    </w:p>
    <w:p w14:paraId="0F01F23D">
      <w:pPr>
        <w:adjustRightInd/>
        <w:spacing w:line="360" w:lineRule="auto"/>
        <w:jc w:val="center"/>
        <w:rPr>
          <w:rFonts w:hint="eastAsia" w:ascii="宋体" w:hAnsi="宋体" w:eastAsia="宋体" w:cs="宋体"/>
          <w:color w:val="auto"/>
          <w:sz w:val="40"/>
          <w:szCs w:val="40"/>
          <w:highlight w:val="none"/>
          <w:lang w:eastAsia="zh-CN"/>
        </w:rPr>
      </w:pPr>
      <w:r>
        <w:rPr>
          <w:rFonts w:hint="eastAsia" w:ascii="宋体" w:hAnsi="宋体" w:cs="宋体"/>
          <w:color w:val="auto"/>
          <w:sz w:val="40"/>
          <w:szCs w:val="40"/>
          <w:highlight w:val="none"/>
          <w:lang w:eastAsia="zh-CN"/>
        </w:rPr>
        <w:t>药品、医疗器械、化妆品生产经营使用质量管理体系执行情况评估项目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ZJZN-25823-XHSJ02-01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杭州市西湖区市场监督管理局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浙江中诺招标代理有限公司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药品、医疗器械、化妆品生产经营使用质量管理体系执行情况评估项目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ZJZN-25823-XHSJ02-01</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药品、医疗器械、化妆品生产经营使用质量管理体系执行情况评估项目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450000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450000</w:t>
      </w:r>
      <w:r>
        <w:rPr>
          <w:rFonts w:ascii="宋体" w:hAnsi="宋体" w:cs="宋体"/>
          <w:b w:val="0"/>
          <w:bCs/>
          <w:color w:val="auto"/>
          <w:sz w:val="24"/>
          <w:highlight w:val="none"/>
        </w:rPr>
        <w:t xml:space="preserve"> </w:t>
      </w:r>
    </w:p>
    <w:p w14:paraId="6EC5DB8E">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药品、医疗器械、化妆品生产经营使用质量管理体系执行情况评估项目</w:t>
      </w:r>
      <w:r>
        <w:rPr>
          <w:rFonts w:hint="eastAsia" w:hAnsi="宋体" w:cs="宋体"/>
          <w:bCs/>
          <w:snapToGrid/>
          <w:color w:val="auto"/>
          <w:kern w:val="2"/>
          <w:sz w:val="24"/>
          <w:szCs w:val="24"/>
          <w:highlight w:val="none"/>
        </w:rPr>
        <w:t>主要内容：对辖区药品、医疗器械、化妆品相关企业的质量管理体系执行能力进行评估</w:t>
      </w:r>
      <w:r>
        <w:rPr>
          <w:rFonts w:hint="eastAsia" w:hAnsi="宋体" w:cs="宋体"/>
          <w:bCs/>
          <w:snapToGrid/>
          <w:color w:val="auto"/>
          <w:kern w:val="2"/>
          <w:sz w:val="24"/>
          <w:szCs w:val="24"/>
          <w:highlight w:val="none"/>
          <w:lang w:eastAsia="zh-CN"/>
        </w:rPr>
        <w:t>，药品、医疗器械、化妆品的经营使用类企业数量（不含药品批发类及医院类医疗机构）</w:t>
      </w:r>
      <w:r>
        <w:rPr>
          <w:rFonts w:hint="eastAsia" w:ascii="宋体" w:hAnsi="宋体" w:cs="宋体"/>
          <w:color w:val="auto"/>
          <w:sz w:val="24"/>
          <w:szCs w:val="24"/>
          <w:lang w:val="en-US" w:eastAsia="zh-CN"/>
        </w:rPr>
        <w:t>计划</w:t>
      </w:r>
      <w:r>
        <w:rPr>
          <w:rFonts w:hint="eastAsia" w:hAnsi="宋体" w:cs="宋体"/>
          <w:bCs/>
          <w:snapToGrid/>
          <w:color w:val="auto"/>
          <w:kern w:val="2"/>
          <w:sz w:val="24"/>
          <w:szCs w:val="24"/>
          <w:highlight w:val="none"/>
          <w:lang w:eastAsia="zh-CN"/>
        </w:rPr>
        <w:t>不少于130家，产品持有人、生产制造及药品批发、医院类医疗机构等企业数量</w:t>
      </w:r>
      <w:r>
        <w:rPr>
          <w:rFonts w:hint="eastAsia" w:ascii="宋体" w:hAnsi="宋体" w:cs="宋体"/>
          <w:color w:val="auto"/>
          <w:sz w:val="24"/>
          <w:szCs w:val="24"/>
          <w:lang w:val="en-US" w:eastAsia="zh-CN"/>
        </w:rPr>
        <w:t>计划</w:t>
      </w:r>
      <w:r>
        <w:rPr>
          <w:rFonts w:hint="eastAsia" w:hAnsi="宋体" w:cs="宋体"/>
          <w:bCs/>
          <w:snapToGrid/>
          <w:color w:val="auto"/>
          <w:kern w:val="2"/>
          <w:sz w:val="24"/>
          <w:szCs w:val="24"/>
          <w:highlight w:val="none"/>
          <w:lang w:eastAsia="zh-CN"/>
        </w:rPr>
        <w:t>不少于30家</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Cs w:val="21"/>
        </w:rPr>
        <w:t>2025年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日前完成</w:t>
      </w:r>
    </w:p>
    <w:p w14:paraId="07281B0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经国务院认证认可监督管理部门批准，并依法取得法人资格的具有开展质量管理体系认证能力的机构或其已备案的分支机构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《中华人民共和国认证认可条例》第九条</w:t>
      </w:r>
      <w:r>
        <w:rPr>
          <w:rFonts w:hint="eastAsia" w:ascii="宋体" w:hAnsi="宋体" w:cs="宋体"/>
          <w:color w:val="auto"/>
          <w:sz w:val="24"/>
          <w:highlight w:val="none"/>
          <w:u w:val="single"/>
          <w:lang w:eastAsia="zh-CN"/>
        </w:rPr>
        <w:t>、《认证机构管理办法》第七条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杭州市西湖区市场监督管理局</w:t>
      </w:r>
      <w:r>
        <w:rPr>
          <w:rFonts w:hint="eastAsia" w:ascii="宋体" w:hAnsi="宋体" w:cs="宋体"/>
          <w:color w:val="auto"/>
          <w:sz w:val="24"/>
          <w:highlight w:val="none"/>
        </w:rPr>
        <w:t xml:space="preserve"> </w:t>
      </w:r>
    </w:p>
    <w:p w14:paraId="141E4C2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地    址：杭州市文一西路858号</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项目联系人（询问）：吴惠萍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项目联系方式（询问）：0571-89510953</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质疑联系人：施小龙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质疑联系方式：0571-89510955</w:t>
      </w:r>
      <w:r>
        <w:rPr>
          <w:rFonts w:hint="eastAsia" w:ascii="宋体" w:hAnsi="宋体" w:eastAsia="宋体" w:cs="宋体"/>
          <w:b w:val="0"/>
          <w:bCs w:val="0"/>
          <w:color w:val="auto"/>
          <w:sz w:val="24"/>
          <w:highlight w:val="none"/>
        </w:rPr>
        <w:t>（请通过以下路径在线提起质疑：政采云-项目采购-询问质疑投诉-质疑列表）</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浙江中诺招标代理有限公司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rPr>
        <w:t>杭州市西湖区教工路269号保翌大厦14楼</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eastAsia="宋体" w:cs="宋体"/>
          <w:snapToGrid w:val="0"/>
          <w:color w:val="auto"/>
          <w:kern w:val="0"/>
          <w:sz w:val="24"/>
          <w:szCs w:val="24"/>
          <w:highlight w:val="none"/>
        </w:rPr>
        <w:t>刘宋斌</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snapToGrid w:val="0"/>
          <w:color w:val="auto"/>
          <w:kern w:val="0"/>
          <w:sz w:val="24"/>
          <w:szCs w:val="24"/>
          <w:highlight w:val="none"/>
        </w:rPr>
        <w:t>0571-88821402</w:t>
      </w:r>
      <w:r>
        <w:rPr>
          <w:rFonts w:hint="eastAsia" w:ascii="宋体" w:hAnsi="宋体" w:eastAsia="宋体" w:cs="宋体"/>
          <w:snapToGrid w:val="0"/>
          <w:color w:val="auto"/>
          <w:kern w:val="0"/>
          <w:sz w:val="24"/>
          <w:szCs w:val="24"/>
          <w:highlight w:val="none"/>
          <w:lang w:val="en-US" w:eastAsia="zh-CN"/>
        </w:rPr>
        <w:t>-0</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snapToGrid w:val="0"/>
          <w:color w:val="auto"/>
          <w:kern w:val="0"/>
          <w:sz w:val="24"/>
          <w:szCs w:val="24"/>
          <w:highlight w:val="none"/>
        </w:rPr>
        <w:t>李倩</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snapToGrid w:val="0"/>
          <w:color w:val="auto"/>
          <w:kern w:val="0"/>
          <w:sz w:val="24"/>
          <w:szCs w:val="24"/>
          <w:highlight w:val="none"/>
        </w:rPr>
        <w:t>0571-88821402-80</w:t>
      </w: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b w:val="0"/>
          <w:bCs w:val="0"/>
          <w:color w:val="auto"/>
          <w:sz w:val="24"/>
          <w:highlight w:val="none"/>
        </w:rPr>
        <w:t>（请通过以下路径在线提起质疑：政采云-项目采购-询问质疑投诉-质疑列表）</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称：杭州市西湖区财政局/浙江省政府采购行政裁决服务中心（杭州）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left="0" w:leftChars="0" w:firstLine="0" w:firstLineChars="0"/>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8"/>
        <w:gridCol w:w="2107"/>
        <w:gridCol w:w="6973"/>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14:paraId="37CF1AE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3BF79A5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023DC29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6308F35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04E4AB1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14:paraId="5EEA470E">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241F26C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56AA107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29380E4B">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药品、医疗器械、化妆品生产经营使用质量管理体系执行情况评估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color w:val="auto"/>
                <w:highlight w:val="none"/>
                <w:lang w:val="en-US"/>
              </w:rPr>
            </w:pPr>
            <w:r>
              <w:rPr>
                <w:rFonts w:hint="eastAsia" w:ascii="宋体" w:hAnsi="宋体" w:cs="宋体"/>
                <w:color w:val="auto"/>
                <w:kern w:val="0"/>
                <w:sz w:val="24"/>
                <w:highlight w:val="none"/>
                <w:lang w:val="en-US" w:eastAsia="zh-CN"/>
              </w:rPr>
              <w:t xml:space="preserve">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 </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73FFBC6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586A7D2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58D6E171">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7D9677A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079E431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3C67920F">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FE069BD">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4E3B3BF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2F59C2C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607723BC">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keepNext w:val="0"/>
              <w:keepLines w:val="0"/>
              <w:pageBreakBefore w:val="0"/>
              <w:kinsoku/>
              <w:wordWrap/>
              <w:overflowPunct/>
              <w:topLinePunct w:val="0"/>
              <w:bidi w:val="0"/>
              <w:adjustRightInd w:val="0"/>
              <w:snapToGrid w:val="0"/>
              <w:spacing w:line="240" w:lineRule="auto"/>
              <w:ind w:firstLine="0" w:firstLineChars="0"/>
              <w:textAlignment w:val="auto"/>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3925828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34F96D8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29A19C74">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keepNext w:val="0"/>
              <w:keepLines w:val="0"/>
              <w:pageBreakBefore w:val="0"/>
              <w:kinsoku/>
              <w:wordWrap/>
              <w:overflowPunct/>
              <w:topLinePunct w:val="0"/>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14:paraId="32C2B9F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4CE53DD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150BEE83">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keepNext w:val="0"/>
              <w:keepLines w:val="0"/>
              <w:pageBreakBefore w:val="0"/>
              <w:kinsoku/>
              <w:wordWrap/>
              <w:overflowPunct/>
              <w:topLinePunct w:val="0"/>
              <w:bidi w:val="0"/>
              <w:adjustRightInd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restart"/>
            <w:tcBorders>
              <w:top w:val="single" w:color="auto" w:sz="4" w:space="0"/>
              <w:left w:val="single" w:color="auto" w:sz="4" w:space="0"/>
              <w:right w:val="single" w:color="auto" w:sz="4" w:space="0"/>
            </w:tcBorders>
            <w:vAlign w:val="center"/>
          </w:tcPr>
          <w:p w14:paraId="40B1E49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075" w:type="pct"/>
            <w:vMerge w:val="restart"/>
            <w:tcBorders>
              <w:top w:val="single" w:color="000000" w:sz="8" w:space="0"/>
              <w:left w:val="single" w:color="auto" w:sz="4" w:space="0"/>
              <w:right w:val="single" w:color="000000" w:sz="8" w:space="0"/>
            </w:tcBorders>
            <w:vAlign w:val="center"/>
          </w:tcPr>
          <w:p w14:paraId="4DDDB98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31715BE8">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continue"/>
            <w:tcBorders>
              <w:left w:val="single" w:color="auto" w:sz="4" w:space="0"/>
              <w:bottom w:val="single" w:color="auto" w:sz="4" w:space="0"/>
              <w:right w:val="single" w:color="auto" w:sz="4" w:space="0"/>
            </w:tcBorders>
            <w:vAlign w:val="center"/>
          </w:tcPr>
          <w:p w14:paraId="5C7A07D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14:paraId="4590D7B1">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2A08AE2E">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vAlign w:val="center"/>
          </w:tcPr>
          <w:p w14:paraId="6F751B8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6A8F342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079EFCC3">
            <w:pPr>
              <w:pStyle w:val="7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keepNext w:val="0"/>
              <w:keepLines w:val="0"/>
              <w:pageBreakBefore w:val="0"/>
              <w:kinsoku/>
              <w:wordWrap/>
              <w:overflowPunct/>
              <w:topLinePunct w:val="0"/>
              <w:bidi w:val="0"/>
              <w:adjustRightInd w:val="0"/>
              <w:snapToGrid w:val="0"/>
              <w:spacing w:line="240" w:lineRule="auto"/>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vAlign w:val="center"/>
          </w:tcPr>
          <w:p w14:paraId="65ED4C9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00383485">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6C0E6760">
            <w:pPr>
              <w:keepNext w:val="0"/>
              <w:keepLines w:val="0"/>
              <w:pageBreakBefore w:val="0"/>
              <w:kinsoku/>
              <w:wordWrap/>
              <w:overflowPunct/>
              <w:topLinePunct w:val="0"/>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keepNext w:val="0"/>
              <w:keepLines w:val="0"/>
              <w:pageBreakBefore w:val="0"/>
              <w:kinsoku/>
              <w:wordWrap/>
              <w:overflowPunct/>
              <w:topLinePunct w:val="0"/>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keepNext w:val="0"/>
              <w:keepLines w:val="0"/>
              <w:pageBreakBefore w:val="0"/>
              <w:kinsoku/>
              <w:wordWrap/>
              <w:overflowPunct/>
              <w:topLinePunct w:val="0"/>
              <w:bidi w:val="0"/>
              <w:adjustRightInd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keepNext w:val="0"/>
              <w:keepLines w:val="0"/>
              <w:pageBreakBefore w:val="0"/>
              <w:kinsoku/>
              <w:wordWrap/>
              <w:overflowPunct/>
              <w:topLinePunct w:val="0"/>
              <w:bidi w:val="0"/>
              <w:adjustRightInd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keepNext w:val="0"/>
              <w:keepLines w:val="0"/>
              <w:pageBreakBefore w:val="0"/>
              <w:kinsoku/>
              <w:wordWrap/>
              <w:overflowPunct/>
              <w:topLinePunct w:val="0"/>
              <w:bidi w:val="0"/>
              <w:adjustRightInd w:val="0"/>
              <w:snapToGrid w:val="0"/>
              <w:spacing w:line="24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keepNext w:val="0"/>
              <w:keepLines w:val="0"/>
              <w:pageBreakBefore w:val="0"/>
              <w:kinsoku/>
              <w:wordWrap/>
              <w:overflowPunct/>
              <w:topLinePunct w:val="0"/>
              <w:bidi w:val="0"/>
              <w:adjustRightInd w:val="0"/>
              <w:snapToGrid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right w:val="single" w:color="000000" w:sz="2" w:space="0"/>
            </w:tcBorders>
            <w:vAlign w:val="center"/>
          </w:tcPr>
          <w:p w14:paraId="1128B2D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08204F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075" w:type="pct"/>
            <w:tcBorders>
              <w:top w:val="single" w:color="000000" w:sz="8" w:space="0"/>
              <w:left w:val="single" w:color="000000" w:sz="2" w:space="0"/>
              <w:right w:val="single" w:color="000000" w:sz="8" w:space="0"/>
            </w:tcBorders>
            <w:vAlign w:val="center"/>
          </w:tcPr>
          <w:p w14:paraId="3D8BAA3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3557" w:type="pct"/>
            <w:tcBorders>
              <w:top w:val="single" w:color="000000" w:sz="8" w:space="0"/>
              <w:left w:val="single" w:color="000000" w:sz="2" w:space="0"/>
              <w:right w:val="single" w:color="000000" w:sz="8" w:space="0"/>
            </w:tcBorders>
            <w:vAlign w:val="center"/>
          </w:tcPr>
          <w:p w14:paraId="204574E8">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vAlign w:val="center"/>
          </w:tcPr>
          <w:p w14:paraId="03E67B0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4002ED0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14:paraId="1C4D0354">
            <w:pPr>
              <w:pStyle w:val="33"/>
              <w:keepNext w:val="0"/>
              <w:keepLines w:val="0"/>
              <w:pageBreakBefore w:val="0"/>
              <w:kinsoku/>
              <w:wordWrap/>
              <w:overflowPunct/>
              <w:topLinePunct w:val="0"/>
              <w:bidi w:val="0"/>
              <w:adjustRightInd w:val="0"/>
              <w:snapToGrid w:val="0"/>
              <w:spacing w:line="24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浙江中诺招标代理有限公司（杭州市西湖区教工路269号保翌大厦14楼）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ascii="宋体" w:hAnsi="宋体" w:eastAsia="宋体" w:cs="宋体"/>
                <w:color w:val="auto"/>
                <w:kern w:val="28"/>
                <w:sz w:val="24"/>
                <w:szCs w:val="24"/>
                <w:highlight w:val="none"/>
                <w:u w:val="single"/>
              </w:rPr>
              <w:t>刘宋斌</w:t>
            </w:r>
            <w:r>
              <w:rPr>
                <w:rFonts w:hint="eastAsia" w:ascii="宋体" w:hAnsi="宋体" w:eastAsia="宋体" w:cs="宋体"/>
                <w:color w:val="auto"/>
                <w:kern w:val="28"/>
                <w:sz w:val="24"/>
                <w:szCs w:val="24"/>
                <w:highlight w:val="none"/>
                <w:u w:val="single"/>
                <w:lang w:val="en-US" w:eastAsia="zh-CN"/>
              </w:rPr>
              <w:t xml:space="preserve"> </w:t>
            </w:r>
            <w:r>
              <w:rPr>
                <w:rFonts w:hint="eastAsia" w:ascii="宋体" w:hAnsi="宋体" w:eastAsia="宋体" w:cs="宋体"/>
                <w:color w:val="auto"/>
                <w:kern w:val="28"/>
                <w:sz w:val="24"/>
                <w:szCs w:val="24"/>
                <w:highlight w:val="none"/>
                <w:u w:val="single"/>
              </w:rPr>
              <w:t>0571-88821402</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restart"/>
            <w:tcBorders>
              <w:top w:val="single" w:color="auto" w:sz="4" w:space="0"/>
              <w:left w:val="single" w:color="000000" w:sz="8" w:space="0"/>
              <w:right w:val="single" w:color="000000" w:sz="2" w:space="0"/>
            </w:tcBorders>
            <w:vAlign w:val="center"/>
          </w:tcPr>
          <w:p w14:paraId="26667A4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075" w:type="pct"/>
            <w:vMerge w:val="restart"/>
            <w:tcBorders>
              <w:top w:val="single" w:color="000000" w:sz="8" w:space="0"/>
              <w:left w:val="single" w:color="000000" w:sz="2" w:space="0"/>
              <w:right w:val="single" w:color="000000" w:sz="8" w:space="0"/>
            </w:tcBorders>
            <w:vAlign w:val="center"/>
          </w:tcPr>
          <w:p w14:paraId="251E7FA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14:paraId="087E5F2E">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continue"/>
            <w:tcBorders>
              <w:left w:val="single" w:color="000000" w:sz="8" w:space="0"/>
              <w:right w:val="single" w:color="000000" w:sz="2" w:space="0"/>
            </w:tcBorders>
            <w:vAlign w:val="center"/>
          </w:tcPr>
          <w:p w14:paraId="7FF9857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075" w:type="pct"/>
            <w:vMerge w:val="continue"/>
            <w:tcBorders>
              <w:left w:val="single" w:color="000000" w:sz="2" w:space="0"/>
              <w:right w:val="single" w:color="000000" w:sz="8" w:space="0"/>
            </w:tcBorders>
            <w:vAlign w:val="center"/>
          </w:tcPr>
          <w:p w14:paraId="500B23D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3557" w:type="pct"/>
            <w:tcBorders>
              <w:top w:val="single" w:color="000000" w:sz="8" w:space="0"/>
              <w:left w:val="single" w:color="000000" w:sz="2" w:space="0"/>
              <w:bottom w:val="single" w:color="000000" w:sz="8" w:space="0"/>
              <w:right w:val="single" w:color="000000" w:sz="8" w:space="0"/>
            </w:tcBorders>
            <w:vAlign w:val="center"/>
          </w:tcPr>
          <w:p w14:paraId="1456170E">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000000" w:sz="2" w:space="0"/>
            </w:tcBorders>
            <w:vAlign w:val="center"/>
          </w:tcPr>
          <w:p w14:paraId="67AD759D">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075" w:type="pct"/>
            <w:tcBorders>
              <w:top w:val="single" w:color="auto" w:sz="4" w:space="0"/>
              <w:left w:val="single" w:color="000000" w:sz="2" w:space="0"/>
              <w:bottom w:val="single" w:color="auto" w:sz="4" w:space="0"/>
              <w:right w:val="single" w:color="000000" w:sz="8" w:space="0"/>
            </w:tcBorders>
            <w:vAlign w:val="center"/>
          </w:tcPr>
          <w:p w14:paraId="7BF9C4C7">
            <w:pPr>
              <w:keepNext w:val="0"/>
              <w:keepLines w:val="0"/>
              <w:pageBreakBefore w:val="0"/>
              <w:kinsoku/>
              <w:wordWrap/>
              <w:overflowPunct/>
              <w:topLinePunct w:val="0"/>
              <w:bidi w:val="0"/>
              <w:adjustRightInd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3557" w:type="pct"/>
            <w:tcBorders>
              <w:top w:val="single" w:color="auto" w:sz="4" w:space="0"/>
              <w:left w:val="single" w:color="000000" w:sz="2" w:space="0"/>
              <w:bottom w:val="single" w:color="000000" w:sz="8" w:space="0"/>
              <w:right w:val="single" w:color="auto" w:sz="4" w:space="0"/>
            </w:tcBorders>
            <w:vAlign w:val="center"/>
          </w:tcPr>
          <w:p w14:paraId="5C98162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000000" w:sz="2" w:space="0"/>
            </w:tcBorders>
            <w:vAlign w:val="center"/>
          </w:tcPr>
          <w:p w14:paraId="7D09EDAD">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075" w:type="pct"/>
            <w:tcBorders>
              <w:top w:val="single" w:color="auto" w:sz="4" w:space="0"/>
              <w:left w:val="single" w:color="000000" w:sz="2" w:space="0"/>
              <w:bottom w:val="single" w:color="auto" w:sz="4" w:space="0"/>
              <w:right w:val="single" w:color="auto" w:sz="4" w:space="0"/>
            </w:tcBorders>
            <w:vAlign w:val="center"/>
          </w:tcPr>
          <w:p w14:paraId="61E57FAC">
            <w:pPr>
              <w:keepNext w:val="0"/>
              <w:keepLines w:val="0"/>
              <w:pageBreakBefore w:val="0"/>
              <w:kinsoku/>
              <w:wordWrap/>
              <w:overflowPunct/>
              <w:topLinePunct w:val="0"/>
              <w:bidi w:val="0"/>
              <w:adjustRightInd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3557" w:type="pct"/>
            <w:tcBorders>
              <w:top w:val="single" w:color="000000" w:sz="8" w:space="0"/>
              <w:left w:val="single" w:color="auto" w:sz="4" w:space="0"/>
              <w:bottom w:val="single" w:color="auto" w:sz="4" w:space="0"/>
              <w:right w:val="single" w:color="auto" w:sz="4" w:space="0"/>
            </w:tcBorders>
            <w:vAlign w:val="center"/>
          </w:tcPr>
          <w:p w14:paraId="77EBD00F">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中标单位需向浙江中诺招标代理有限公司支付中标服务费，代理服务费定额5400元。结算方式及时间为：在领取中标通知书时由中标人一次性向采购代理机构付清。</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left="0" w:leftChars="0" w:firstLine="0" w:firstLineChars="0"/>
        <w:jc w:val="center"/>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3DD513E">
      <w:pPr>
        <w:pStyle w:val="33"/>
        <w:keepNext w:val="0"/>
        <w:keepLines w:val="0"/>
        <w:pageBreakBefore w:val="0"/>
        <w:kinsoku/>
        <w:wordWrap/>
        <w:overflowPunct/>
        <w:topLinePunct w:val="0"/>
        <w:bidi w:val="0"/>
        <w:snapToGrid w:val="0"/>
        <w:spacing w:beforeAutospacing="0" w:line="360" w:lineRule="auto"/>
        <w:ind w:left="479" w:leftChars="228"/>
        <w:textAlignment w:val="auto"/>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593C149A">
      <w:pPr>
        <w:pStyle w:val="33"/>
        <w:keepNext w:val="0"/>
        <w:keepLines w:val="0"/>
        <w:pageBreakBefore w:val="0"/>
        <w:kinsoku/>
        <w:wordWrap/>
        <w:overflowPunct/>
        <w:topLinePunct w:val="0"/>
        <w:bidi w:val="0"/>
        <w:snapToGrid w:val="0"/>
        <w:spacing w:beforeAutospacing="0" w:line="360" w:lineRule="auto"/>
        <w:ind w:left="479" w:leftChars="228"/>
        <w:textAlignment w:val="auto"/>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34CBB85F">
      <w:pPr>
        <w:pStyle w:val="33"/>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E3EAF25">
      <w:pPr>
        <w:pStyle w:val="33"/>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486A27E">
      <w:pPr>
        <w:pStyle w:val="33"/>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4D239430">
      <w:pPr>
        <w:pStyle w:val="33"/>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C90EC9C">
      <w:pPr>
        <w:pStyle w:val="33"/>
        <w:keepNext w:val="0"/>
        <w:keepLines w:val="0"/>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5D64CD02">
      <w:pPr>
        <w:pStyle w:val="33"/>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5E9E5F8">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13D330D2">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6BAEB4ED">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3B98A2A9">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14:paraId="65D7F310">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六、定标</w:t>
      </w:r>
    </w:p>
    <w:p w14:paraId="1F2C2BB3">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3BB7C477">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3C90146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52757C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3E32013D">
      <w:pPr>
        <w:pStyle w:val="3"/>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5" w:name="_Hlt68057669"/>
      <w:bookmarkEnd w:id="15"/>
      <w:bookmarkStart w:id="16" w:name="_Hlt74714665"/>
      <w:bookmarkEnd w:id="16"/>
      <w:bookmarkStart w:id="17" w:name="_Hlt68072990"/>
      <w:bookmarkEnd w:id="17"/>
      <w:bookmarkStart w:id="18" w:name="_Hlt75236011"/>
      <w:bookmarkEnd w:id="18"/>
      <w:bookmarkStart w:id="19" w:name="_Hlt75236101"/>
      <w:bookmarkEnd w:id="19"/>
      <w:bookmarkStart w:id="20" w:name="_Hlt74729768"/>
      <w:bookmarkEnd w:id="20"/>
      <w:bookmarkStart w:id="21" w:name="_Hlt68072998"/>
      <w:bookmarkEnd w:id="21"/>
      <w:bookmarkStart w:id="22" w:name="_Hlt75236290"/>
      <w:bookmarkEnd w:id="22"/>
      <w:bookmarkStart w:id="23" w:name="_Hlt74730295"/>
      <w:bookmarkEnd w:id="23"/>
      <w:bookmarkStart w:id="24" w:name="_Hlt68073093"/>
      <w:bookmarkEnd w:id="24"/>
      <w:bookmarkStart w:id="25" w:name="_Hlt68403820"/>
      <w:bookmarkEnd w:id="25"/>
      <w:bookmarkStart w:id="26" w:name="_Hlt7470746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6E3DF74">
      <w:pPr>
        <w:spacing w:line="360" w:lineRule="auto"/>
        <w:jc w:val="left"/>
        <w:rPr>
          <w:rFonts w:ascii="宋体" w:hAnsi="宋体" w:cs="仿宋_GB2312"/>
          <w:b/>
          <w:bCs/>
          <w:color w:val="auto"/>
          <w:sz w:val="24"/>
        </w:rPr>
      </w:pPr>
      <w:r>
        <w:rPr>
          <w:rFonts w:hint="eastAsia" w:ascii="宋体" w:hAnsi="宋体" w:cs="仿宋_GB2312"/>
          <w:b/>
          <w:bCs/>
          <w:color w:val="auto"/>
          <w:sz w:val="24"/>
          <w:lang w:val="en-US" w:eastAsia="zh-CN"/>
        </w:rPr>
        <w:t>一、</w:t>
      </w:r>
      <w:r>
        <w:rPr>
          <w:rFonts w:hint="eastAsia" w:ascii="宋体" w:hAnsi="宋体" w:cs="仿宋_GB2312"/>
          <w:b/>
          <w:bCs/>
          <w:color w:val="auto"/>
          <w:sz w:val="24"/>
        </w:rPr>
        <w:t>项目概况</w:t>
      </w:r>
    </w:p>
    <w:p w14:paraId="477204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val="0"/>
          <w:color w:val="auto"/>
          <w:sz w:val="24"/>
          <w:u w:val="none"/>
          <w:lang w:eastAsia="zh-CN"/>
        </w:rPr>
      </w:pPr>
      <w:r>
        <w:rPr>
          <w:rFonts w:hint="eastAsia" w:ascii="宋体" w:hAnsi="宋体" w:eastAsia="宋体"/>
          <w:b w:val="0"/>
          <w:bCs w:val="0"/>
          <w:color w:val="auto"/>
          <w:sz w:val="24"/>
          <w:u w:val="none"/>
          <w:lang w:eastAsia="zh-CN"/>
        </w:rPr>
        <w:t>药品、医疗器械、化妆品生产经营使用质量管理体系执行情况评估，是对药品生产、批发、零售企业质量管理体系执行能力评估；医疗器械生产、经营企业质量管理体系执行能力评估；化妆品生产企业、备案人质量管理体系执行能力评估；医疗机构药械使用质量管理能力评估。需要具有质量管理体系认证资质的机构组织核查员对相应企业进行现场检查，并形成检查或评估报告，并对全年检查评估情况进行汇总并形成分析报告。</w:t>
      </w:r>
    </w:p>
    <w:p w14:paraId="2BAECDE5">
      <w:pPr>
        <w:spacing w:line="360" w:lineRule="auto"/>
        <w:jc w:val="left"/>
        <w:rPr>
          <w:rFonts w:ascii="宋体" w:hAnsi="宋体" w:cs="仿宋_GB2312"/>
          <w:color w:val="auto"/>
          <w:sz w:val="24"/>
        </w:rPr>
      </w:pPr>
      <w:r>
        <w:rPr>
          <w:rFonts w:hint="eastAsia" w:ascii="宋体" w:hAnsi="宋体" w:cs="仿宋_GB2312"/>
          <w:b/>
          <w:bCs/>
          <w:color w:val="auto"/>
          <w:sz w:val="24"/>
          <w:lang w:val="en-US" w:eastAsia="zh-CN"/>
        </w:rPr>
        <w:t>二、</w:t>
      </w:r>
      <w:r>
        <w:rPr>
          <w:rFonts w:hint="eastAsia" w:ascii="宋体" w:hAnsi="宋体" w:cs="仿宋_GB2312"/>
          <w:b/>
          <w:bCs/>
          <w:color w:val="auto"/>
          <w:sz w:val="24"/>
        </w:rPr>
        <w:t>预算金额（元）</w:t>
      </w:r>
      <w:r>
        <w:rPr>
          <w:rFonts w:hint="eastAsia" w:ascii="宋体" w:hAnsi="宋体" w:cs="仿宋_GB2312"/>
          <w:color w:val="auto"/>
          <w:sz w:val="24"/>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450000 </w:t>
      </w:r>
    </w:p>
    <w:p w14:paraId="1C5E8C4A">
      <w:pPr>
        <w:spacing w:line="360" w:lineRule="auto"/>
        <w:jc w:val="left"/>
        <w:rPr>
          <w:rFonts w:ascii="宋体" w:hAnsi="宋体" w:cs="仿宋_GB2312"/>
          <w:b/>
          <w:bCs/>
          <w:color w:val="auto"/>
          <w:sz w:val="24"/>
        </w:rPr>
      </w:pPr>
      <w:r>
        <w:rPr>
          <w:rFonts w:hint="eastAsia" w:ascii="宋体" w:hAnsi="宋体" w:cs="仿宋_GB2312"/>
          <w:b/>
          <w:bCs/>
          <w:color w:val="auto"/>
          <w:sz w:val="24"/>
          <w:lang w:val="en-US" w:eastAsia="zh-CN"/>
        </w:rPr>
        <w:t>三、</w:t>
      </w:r>
      <w:r>
        <w:rPr>
          <w:rFonts w:hint="eastAsia" w:ascii="宋体" w:hAnsi="宋体" w:cs="仿宋_GB2312"/>
          <w:b/>
          <w:bCs/>
          <w:color w:val="auto"/>
          <w:sz w:val="24"/>
        </w:rPr>
        <w:t>拟采购标的的技术要求</w:t>
      </w:r>
    </w:p>
    <w:p w14:paraId="3245D5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1、组织实施</w:t>
      </w:r>
    </w:p>
    <w:p w14:paraId="34F4DC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市西湖区市场监督管理局（下称区局）牵头开展，制定检查相关纪律规定，审核中标单位出具的现场评估方案和总体执行计划，由招标产生的组织实施质量管理体系执行能力评估工作，评估结果及汇总分析报区局。</w:t>
      </w:r>
    </w:p>
    <w:p w14:paraId="5092B1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2、质量管理体系执行能力评估家数</w:t>
      </w:r>
    </w:p>
    <w:p w14:paraId="619FB5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bookmarkStart w:id="28" w:name="OLE_LINK33"/>
      <w:r>
        <w:rPr>
          <w:rFonts w:hint="eastAsia" w:ascii="宋体" w:hAnsi="宋体" w:eastAsia="宋体" w:cs="宋体"/>
          <w:color w:val="auto"/>
          <w:sz w:val="24"/>
          <w:szCs w:val="24"/>
        </w:rPr>
        <w:t>药品、医疗器械、化妆品的经营使用类企业</w:t>
      </w:r>
      <w:bookmarkEnd w:id="28"/>
      <w:r>
        <w:rPr>
          <w:rFonts w:hint="eastAsia" w:ascii="宋体" w:hAnsi="宋体" w:eastAsia="宋体" w:cs="宋体"/>
          <w:color w:val="auto"/>
          <w:sz w:val="24"/>
          <w:szCs w:val="24"/>
        </w:rPr>
        <w:t>数量（不含药品批发类及医院类医疗机构）</w:t>
      </w:r>
      <w:r>
        <w:rPr>
          <w:rFonts w:hint="eastAsia" w:ascii="宋体" w:hAnsi="宋体" w:cs="宋体"/>
          <w:color w:val="auto"/>
          <w:sz w:val="24"/>
          <w:szCs w:val="24"/>
          <w:lang w:val="en-US" w:eastAsia="zh-CN"/>
        </w:rPr>
        <w:t>计划</w:t>
      </w:r>
      <w:r>
        <w:rPr>
          <w:rFonts w:hint="eastAsia" w:ascii="宋体" w:hAnsi="宋体" w:eastAsia="宋体" w:cs="宋体"/>
          <w:color w:val="auto"/>
          <w:sz w:val="24"/>
          <w:szCs w:val="24"/>
        </w:rPr>
        <w:t>不少于130家，产品持有人、生产制造及药品批发、</w:t>
      </w:r>
      <w:bookmarkStart w:id="29" w:name="OLE_LINK29"/>
      <w:bookmarkStart w:id="30" w:name="OLE_LINK32"/>
      <w:r>
        <w:rPr>
          <w:rFonts w:hint="eastAsia" w:ascii="宋体" w:hAnsi="宋体" w:eastAsia="宋体" w:cs="宋体"/>
          <w:color w:val="auto"/>
          <w:sz w:val="24"/>
          <w:szCs w:val="24"/>
        </w:rPr>
        <w:t>医院类医疗机构</w:t>
      </w:r>
      <w:bookmarkEnd w:id="29"/>
      <w:bookmarkEnd w:id="30"/>
      <w:r>
        <w:rPr>
          <w:rFonts w:hint="eastAsia" w:ascii="宋体" w:hAnsi="宋体" w:eastAsia="宋体" w:cs="宋体"/>
          <w:color w:val="auto"/>
          <w:sz w:val="24"/>
          <w:szCs w:val="24"/>
        </w:rPr>
        <w:t>等企业数量</w:t>
      </w:r>
      <w:r>
        <w:rPr>
          <w:rFonts w:hint="eastAsia" w:ascii="宋体" w:hAnsi="宋体" w:cs="宋体"/>
          <w:color w:val="auto"/>
          <w:sz w:val="24"/>
          <w:szCs w:val="24"/>
          <w:lang w:val="en-US" w:eastAsia="zh-CN"/>
        </w:rPr>
        <w:t>计划</w:t>
      </w:r>
      <w:r>
        <w:rPr>
          <w:rFonts w:hint="eastAsia" w:ascii="宋体" w:hAnsi="宋体" w:eastAsia="宋体" w:cs="宋体"/>
          <w:color w:val="auto"/>
          <w:sz w:val="24"/>
          <w:szCs w:val="24"/>
        </w:rPr>
        <w:t>不少于30家，具体家数以实际委托数量为准。</w:t>
      </w:r>
    </w:p>
    <w:p w14:paraId="003E22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3、评估要求</w:t>
      </w:r>
    </w:p>
    <w:p w14:paraId="0518FED1">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（1）按照本项目涉及的相关法律法规、技术标准等工作依据制定培训计划，并完成本项目所有检查评估人员的培训及考核上岗工作。</w:t>
      </w:r>
    </w:p>
    <w:p w14:paraId="66DA8F97">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（2）按照总量时间合理均衡分配评估检查量，在取得区局同意之前，不得延后，项目开始后每月末应当提交当月检查情况统计情况（包含异常及严重缺陷）及具体报告。</w:t>
      </w:r>
    </w:p>
    <w:p w14:paraId="401A7A4B">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（3）执行评估检查计划的核查组应由2-3名检查员组成，检查员必须具国家注册审核员资质。</w:t>
      </w:r>
    </w:p>
    <w:p w14:paraId="31B070C0">
      <w:pPr>
        <w:pStyle w:val="89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（4）检查时间一般为半天，如有需要请示区局，经同意可以延长。</w:t>
      </w:r>
    </w:p>
    <w:p w14:paraId="75A019F3">
      <w:pPr>
        <w:pStyle w:val="89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（5）现场检查发现企业违反相关法律法规规定，应于当天及时通报区局并提交证据及检查记录，配合区局做好证据采集和固定工作。</w:t>
      </w:r>
    </w:p>
    <w:p w14:paraId="0D04D3D0">
      <w:pPr>
        <w:pStyle w:val="89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（6）检查人员的交通食宿由中标单位自行解决，检查期间应遵守相关纪律规定，现场完成检查并形成评估报告，评估报告定期上交区局。</w:t>
      </w:r>
    </w:p>
    <w:p w14:paraId="54393856">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（7）现场评估检查的内容应当涵盖企业的基本情况及检查要点，不得减少检查涵盖的项目及内容，缺陷项目应当单独表述，增加更改检查内容应当与甲方进行协商，取得甲方同意。</w:t>
      </w:r>
    </w:p>
    <w:p w14:paraId="65382D89">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（8）应区局要求组织应急评估检查，应当根据承诺响应时间组织起相应数量的检查组，按时完成应急评估检查。</w:t>
      </w:r>
    </w:p>
    <w:p w14:paraId="689370A0">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（9）应当对企业上交的整改报告实施书面或现场审核，并保留审核记录，确保前次检查的缺陷已整改到位。</w:t>
      </w:r>
    </w:p>
    <w:p w14:paraId="26F464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4、总结报告</w:t>
      </w:r>
    </w:p>
    <w:p w14:paraId="56B9A3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（1）对年度检查评估情况按照企业类型进行汇总分析，并形成较为完善的分析报告,至少包含企业整体评级、缺陷分布分析、典型案例、监管建议。</w:t>
      </w:r>
    </w:p>
    <w:p w14:paraId="535326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（2）对自身年度工作情况进行汇总分析，并形成较为完善的自评（自我验收）报告 .</w:t>
      </w:r>
    </w:p>
    <w:p w14:paraId="78FEAA71">
      <w:pPr>
        <w:widowControl/>
        <w:ind w:firstLine="720" w:firstLineChars="300"/>
        <w:jc w:val="left"/>
        <w:rPr>
          <w:rFonts w:ascii="宋体" w:hAnsi="宋体" w:cs="宋体"/>
          <w:bCs/>
          <w:color w:val="auto"/>
          <w:sz w:val="24"/>
          <w:highlight w:val="none"/>
        </w:rPr>
      </w:pPr>
    </w:p>
    <w:p w14:paraId="15CEBCF7">
      <w:pPr>
        <w:spacing w:line="360" w:lineRule="auto"/>
        <w:jc w:val="left"/>
        <w:rPr>
          <w:rFonts w:hint="eastAsia" w:ascii="宋体" w:hAnsi="宋体" w:eastAsia="宋体" w:cs="仿宋_GB2312"/>
          <w:b/>
          <w:bCs/>
          <w:color w:val="auto"/>
          <w:sz w:val="24"/>
          <w:lang w:val="en-US" w:eastAsia="zh-CN"/>
        </w:rPr>
      </w:pPr>
      <w:r>
        <w:rPr>
          <w:rFonts w:hint="eastAsia" w:ascii="宋体" w:hAnsi="宋体" w:eastAsia="宋体" w:cs="仿宋_GB2312"/>
          <w:b/>
          <w:bCs/>
          <w:color w:val="auto"/>
          <w:sz w:val="24"/>
          <w:lang w:val="en-US" w:eastAsia="zh-CN"/>
        </w:rPr>
        <w:t>四、拟采购标的的商务要求</w:t>
      </w:r>
    </w:p>
    <w:p w14:paraId="43566FE1">
      <w:pPr>
        <w:spacing w:line="360" w:lineRule="auto"/>
        <w:ind w:left="210" w:leftChars="100"/>
        <w:jc w:val="left"/>
        <w:rPr>
          <w:rFonts w:hint="eastAsia" w:ascii="宋体" w:hAnsi="宋体"/>
          <w:color w:val="auto"/>
          <w:sz w:val="24"/>
          <w:u w:val="single"/>
          <w:lang w:val="en-US" w:eastAsia="zh-CN"/>
        </w:rPr>
      </w:pPr>
      <w:r>
        <w:rPr>
          <w:rFonts w:hint="eastAsia" w:ascii="宋体" w:hAnsi="宋体" w:cs="仿宋_GB2312"/>
          <w:color w:val="auto"/>
          <w:sz w:val="24"/>
        </w:rPr>
        <w:t>1.交付（实施）的时间（期限）</w:t>
      </w:r>
      <w:r>
        <w:rPr>
          <w:rFonts w:hint="eastAsia" w:ascii="宋体" w:hAnsi="宋体" w:cs="仿宋_GB2312"/>
          <w:color w:val="auto"/>
          <w:sz w:val="24"/>
          <w:u w:val="single"/>
        </w:rPr>
        <w:t>：</w:t>
      </w:r>
      <w:r>
        <w:rPr>
          <w:rFonts w:hint="eastAsia" w:ascii="宋体" w:hAnsi="宋体" w:cs="仿宋_GB2312"/>
          <w:color w:val="auto"/>
          <w:sz w:val="24"/>
          <w:u w:val="single"/>
          <w:lang w:eastAsia="zh-CN"/>
        </w:rPr>
        <w:t>在2025年1</w:t>
      </w:r>
      <w:r>
        <w:rPr>
          <w:rFonts w:hint="eastAsia" w:ascii="宋体" w:hAnsi="宋体" w:cs="仿宋_GB2312"/>
          <w:color w:val="auto"/>
          <w:sz w:val="24"/>
          <w:u w:val="single"/>
          <w:lang w:val="en-US" w:eastAsia="zh-CN"/>
        </w:rPr>
        <w:t>1</w:t>
      </w:r>
      <w:r>
        <w:rPr>
          <w:rFonts w:hint="eastAsia" w:ascii="宋体" w:hAnsi="宋体" w:cs="仿宋_GB2312"/>
          <w:color w:val="auto"/>
          <w:sz w:val="24"/>
          <w:u w:val="single"/>
          <w:lang w:eastAsia="zh-CN"/>
        </w:rPr>
        <w:t>月</w:t>
      </w:r>
      <w:r>
        <w:rPr>
          <w:rFonts w:hint="eastAsia" w:ascii="宋体" w:hAnsi="宋体" w:cs="仿宋_GB2312"/>
          <w:color w:val="auto"/>
          <w:sz w:val="24"/>
          <w:u w:val="single"/>
          <w:lang w:val="en-US" w:eastAsia="zh-CN"/>
        </w:rPr>
        <w:t>15</w:t>
      </w:r>
      <w:r>
        <w:rPr>
          <w:rFonts w:hint="eastAsia" w:ascii="宋体" w:hAnsi="宋体" w:cs="仿宋_GB2312"/>
          <w:color w:val="auto"/>
          <w:sz w:val="24"/>
          <w:u w:val="single"/>
          <w:lang w:eastAsia="zh-CN"/>
        </w:rPr>
        <w:t>日前完成</w:t>
      </w:r>
      <w:r>
        <w:rPr>
          <w:rFonts w:hint="eastAsia" w:ascii="宋体" w:hAnsi="宋体" w:cs="仿宋_GB2312"/>
          <w:color w:val="auto"/>
          <w:sz w:val="24"/>
          <w:u w:val="single"/>
          <w:lang w:val="en-US" w:eastAsia="zh-CN"/>
        </w:rPr>
        <w:t xml:space="preserve"> </w:t>
      </w:r>
      <w:r>
        <w:rPr>
          <w:rFonts w:hint="eastAsia" w:ascii="宋体" w:hAnsi="宋体" w:cs="宋体"/>
          <w:color w:val="auto"/>
          <w:sz w:val="24"/>
          <w:u w:val="single"/>
          <w:lang w:val="en-US" w:eastAsia="zh-CN"/>
        </w:rPr>
        <w:t xml:space="preserve"> </w:t>
      </w:r>
    </w:p>
    <w:p w14:paraId="3F3300B8">
      <w:pPr>
        <w:spacing w:line="360" w:lineRule="auto"/>
        <w:ind w:left="210" w:leftChars="100"/>
        <w:jc w:val="left"/>
        <w:rPr>
          <w:rFonts w:ascii="宋体" w:hAnsi="宋体" w:cs="仿宋_GB2312"/>
          <w:color w:val="auto"/>
          <w:sz w:val="24"/>
        </w:rPr>
      </w:pPr>
      <w:r>
        <w:rPr>
          <w:rFonts w:hint="eastAsia" w:ascii="宋体" w:hAnsi="宋体" w:cs="仿宋_GB2312"/>
          <w:color w:val="auto"/>
          <w:sz w:val="24"/>
        </w:rPr>
        <w:t>2.交付（实施）的地点（范围）：</w:t>
      </w:r>
      <w:r>
        <w:rPr>
          <w:rFonts w:hint="eastAsia" w:ascii="宋体" w:hAnsi="宋体"/>
          <w:color w:val="auto"/>
          <w:sz w:val="24"/>
          <w:u w:val="single"/>
        </w:rPr>
        <w:t xml:space="preserve"> </w:t>
      </w:r>
      <w:r>
        <w:rPr>
          <w:rFonts w:hint="eastAsia" w:ascii="宋体" w:hAnsi="宋体"/>
          <w:color w:val="auto"/>
          <w:sz w:val="24"/>
          <w:u w:val="single"/>
          <w:lang w:val="en-US" w:eastAsia="zh-CN"/>
        </w:rPr>
        <w:t>采购人指定地点</w:t>
      </w:r>
      <w:r>
        <w:rPr>
          <w:rFonts w:hint="eastAsia" w:ascii="宋体" w:hAnsi="宋体"/>
          <w:color w:val="auto"/>
          <w:sz w:val="24"/>
          <w:u w:val="single"/>
        </w:rPr>
        <w:t xml:space="preserve"> </w:t>
      </w:r>
    </w:p>
    <w:p w14:paraId="0E64B5D1">
      <w:pPr>
        <w:spacing w:line="360" w:lineRule="auto"/>
        <w:ind w:left="210" w:leftChars="100"/>
        <w:jc w:val="left"/>
        <w:rPr>
          <w:rFonts w:ascii="宋体" w:hAnsi="宋体" w:cs="仿宋_GB2312"/>
          <w:color w:val="auto"/>
          <w:sz w:val="24"/>
        </w:rPr>
      </w:pPr>
      <w:r>
        <w:rPr>
          <w:rFonts w:hint="eastAsia" w:ascii="宋体" w:hAnsi="宋体" w:cs="仿宋_GB2312"/>
          <w:color w:val="auto"/>
          <w:sz w:val="24"/>
        </w:rPr>
        <w:t>3.付款条件（进度和方式）</w:t>
      </w:r>
    </w:p>
    <w:tbl>
      <w:tblPr>
        <w:tblStyle w:val="62"/>
        <w:tblW w:w="4997"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06"/>
        <w:gridCol w:w="2330"/>
        <w:gridCol w:w="6220"/>
      </w:tblGrid>
      <w:tr w14:paraId="1A0219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06" w:type="pct"/>
            <w:shd w:val="clear" w:color="auto" w:fill="auto"/>
            <w:vAlign w:val="center"/>
          </w:tcPr>
          <w:p w14:paraId="79D544A3">
            <w:pPr>
              <w:spacing w:line="360" w:lineRule="auto"/>
              <w:jc w:val="center"/>
              <w:rPr>
                <w:rFonts w:ascii="宋体" w:hAnsi="宋体" w:cs="仿宋_GB2312"/>
                <w:b/>
                <w:bCs/>
                <w:color w:val="auto"/>
                <w:sz w:val="24"/>
              </w:rPr>
            </w:pPr>
            <w:r>
              <w:rPr>
                <w:rFonts w:hint="eastAsia" w:ascii="宋体" w:hAnsi="宋体" w:cs="仿宋_GB2312"/>
                <w:b/>
                <w:bCs/>
                <w:color w:val="auto"/>
                <w:sz w:val="24"/>
              </w:rPr>
              <w:t>序号</w:t>
            </w:r>
          </w:p>
        </w:tc>
        <w:tc>
          <w:tcPr>
            <w:tcW w:w="1170" w:type="pct"/>
            <w:shd w:val="clear" w:color="auto" w:fill="auto"/>
            <w:vAlign w:val="center"/>
          </w:tcPr>
          <w:p w14:paraId="15F54B9F">
            <w:pPr>
              <w:spacing w:line="360" w:lineRule="auto"/>
              <w:jc w:val="center"/>
              <w:rPr>
                <w:rFonts w:ascii="宋体" w:hAnsi="宋体" w:cs="仿宋_GB2312"/>
                <w:b/>
                <w:bCs/>
                <w:color w:val="auto"/>
                <w:sz w:val="24"/>
              </w:rPr>
            </w:pPr>
            <w:r>
              <w:rPr>
                <w:rFonts w:hint="eastAsia" w:ascii="宋体" w:hAnsi="宋体" w:cs="仿宋_GB2312"/>
                <w:b/>
                <w:bCs/>
                <w:color w:val="auto"/>
                <w:sz w:val="24"/>
              </w:rPr>
              <w:t>付款比例（%）</w:t>
            </w:r>
          </w:p>
        </w:tc>
        <w:tc>
          <w:tcPr>
            <w:tcW w:w="3123" w:type="pct"/>
            <w:shd w:val="clear" w:color="auto" w:fill="auto"/>
            <w:vAlign w:val="center"/>
          </w:tcPr>
          <w:p w14:paraId="7B87C1FA">
            <w:pPr>
              <w:spacing w:line="360" w:lineRule="auto"/>
              <w:jc w:val="center"/>
              <w:rPr>
                <w:rFonts w:ascii="宋体" w:hAnsi="宋体" w:cs="仿宋_GB2312"/>
                <w:b/>
                <w:bCs/>
                <w:color w:val="auto"/>
                <w:sz w:val="24"/>
              </w:rPr>
            </w:pPr>
            <w:r>
              <w:rPr>
                <w:rFonts w:hint="eastAsia" w:ascii="宋体" w:hAnsi="宋体" w:cs="仿宋_GB2312"/>
                <w:b/>
                <w:bCs/>
                <w:color w:val="auto"/>
                <w:sz w:val="24"/>
              </w:rPr>
              <w:t>付款方式</w:t>
            </w:r>
          </w:p>
        </w:tc>
      </w:tr>
      <w:tr w14:paraId="412C4B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6" w:type="pct"/>
            <w:shd w:val="clear" w:color="auto" w:fill="auto"/>
            <w:vAlign w:val="center"/>
          </w:tcPr>
          <w:p w14:paraId="32231D8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仿宋_GB2312"/>
                <w:color w:val="auto"/>
                <w:sz w:val="24"/>
              </w:rPr>
            </w:pPr>
            <w:r>
              <w:rPr>
                <w:rFonts w:hint="eastAsia" w:ascii="宋体" w:hAnsi="宋体" w:eastAsia="宋体" w:cs="宋体"/>
                <w:color w:val="auto"/>
                <w:sz w:val="21"/>
                <w:szCs w:val="21"/>
                <w:highlight w:val="none"/>
              </w:rPr>
              <w:t>1</w:t>
            </w:r>
          </w:p>
        </w:tc>
        <w:tc>
          <w:tcPr>
            <w:tcW w:w="2119" w:type="dxa"/>
            <w:shd w:val="clear" w:color="auto" w:fill="auto"/>
            <w:vAlign w:val="center"/>
          </w:tcPr>
          <w:p w14:paraId="5D2BCE6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仿宋_GB2312"/>
                <w:color w:val="auto"/>
                <w:sz w:val="24"/>
                <w:lang w:val="en-US" w:eastAsia="zh-CN"/>
              </w:rPr>
            </w:pPr>
            <w:r>
              <w:rPr>
                <w:rFonts w:hint="eastAsia" w:ascii="宋体" w:hAnsi="宋体" w:eastAsia="宋体" w:cs="宋体"/>
                <w:color w:val="auto"/>
                <w:sz w:val="21"/>
                <w:szCs w:val="21"/>
                <w:highlight w:val="none"/>
                <w:lang w:val="en-US" w:eastAsia="zh-CN"/>
              </w:rPr>
              <w:t>70%</w:t>
            </w:r>
          </w:p>
        </w:tc>
        <w:tc>
          <w:tcPr>
            <w:tcW w:w="5657" w:type="dxa"/>
            <w:shd w:val="clear" w:color="auto" w:fill="auto"/>
            <w:vAlign w:val="top"/>
          </w:tcPr>
          <w:p w14:paraId="50E0E588">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仿宋_GB2312"/>
                <w:color w:val="auto"/>
                <w:sz w:val="24"/>
              </w:rPr>
            </w:pPr>
            <w:r>
              <w:rPr>
                <w:rFonts w:hint="eastAsia" w:ascii="宋体" w:hAnsi="宋体" w:eastAsia="宋体" w:cs="宋体"/>
                <w:color w:val="auto"/>
                <w:sz w:val="21"/>
                <w:szCs w:val="21"/>
                <w:highlight w:val="none"/>
                <w:lang w:val="en-US" w:eastAsia="zh-CN"/>
              </w:rPr>
              <w:t>合</w:t>
            </w:r>
            <w:r>
              <w:rPr>
                <w:rFonts w:hint="eastAsia" w:ascii="宋体" w:hAnsi="宋体" w:eastAsia="宋体" w:cs="宋体"/>
                <w:color w:val="auto"/>
                <w:sz w:val="21"/>
                <w:szCs w:val="21"/>
                <w:highlight w:val="none"/>
              </w:rPr>
              <w:t>同签订以及具备实施条件后,</w:t>
            </w:r>
            <w:r>
              <w:rPr>
                <w:rFonts w:hint="eastAsia" w:ascii="宋体" w:hAnsi="宋体" w:eastAsia="宋体" w:cs="宋体"/>
                <w:color w:val="auto"/>
                <w:sz w:val="21"/>
                <w:szCs w:val="21"/>
                <w:highlight w:val="none"/>
                <w:lang w:val="en-US" w:eastAsia="zh-CN"/>
              </w:rPr>
              <w:t>甲方在收到发票</w:t>
            </w:r>
            <w:r>
              <w:rPr>
                <w:rFonts w:hint="eastAsia" w:ascii="宋体" w:hAnsi="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向乙方支付</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%的合同款</w:t>
            </w:r>
          </w:p>
        </w:tc>
      </w:tr>
      <w:tr w14:paraId="5ABE34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6" w:type="pct"/>
            <w:shd w:val="clear" w:color="auto" w:fill="auto"/>
            <w:vAlign w:val="center"/>
          </w:tcPr>
          <w:p w14:paraId="0E85E9A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仿宋_GB2312"/>
                <w:color w:val="auto"/>
                <w:sz w:val="24"/>
                <w:lang w:eastAsia="zh-CN"/>
              </w:rPr>
            </w:pPr>
            <w:r>
              <w:rPr>
                <w:rFonts w:hint="eastAsia" w:ascii="宋体" w:hAnsi="宋体" w:eastAsia="宋体" w:cs="宋体"/>
                <w:color w:val="auto"/>
                <w:sz w:val="21"/>
                <w:szCs w:val="21"/>
                <w:highlight w:val="none"/>
                <w:lang w:val="en-US" w:eastAsia="zh-CN"/>
              </w:rPr>
              <w:t>2</w:t>
            </w:r>
          </w:p>
        </w:tc>
        <w:tc>
          <w:tcPr>
            <w:tcW w:w="2119" w:type="dxa"/>
            <w:shd w:val="clear" w:color="auto" w:fill="auto"/>
            <w:vAlign w:val="center"/>
          </w:tcPr>
          <w:p w14:paraId="537E60C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仿宋_GB2312"/>
                <w:color w:val="auto"/>
                <w:sz w:val="24"/>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（按实结算）</w:t>
            </w:r>
          </w:p>
        </w:tc>
        <w:tc>
          <w:tcPr>
            <w:tcW w:w="5657" w:type="dxa"/>
            <w:shd w:val="clear" w:color="auto" w:fill="auto"/>
            <w:vAlign w:val="top"/>
          </w:tcPr>
          <w:p w14:paraId="0488E5B9">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仿宋_GB2312"/>
                <w:color w:val="auto"/>
                <w:sz w:val="24"/>
                <w:lang w:val="en-US" w:eastAsia="zh-CN"/>
              </w:rPr>
            </w:pPr>
            <w:r>
              <w:rPr>
                <w:rFonts w:hint="eastAsia" w:ascii="宋体" w:hAnsi="宋体" w:eastAsia="宋体" w:cs="宋体"/>
                <w:color w:val="auto"/>
                <w:sz w:val="21"/>
                <w:szCs w:val="21"/>
                <w:highlight w:val="none"/>
              </w:rPr>
              <w:t>中标人完成项目实施并经采购人验收合格后，</w:t>
            </w:r>
            <w:r>
              <w:rPr>
                <w:rFonts w:hint="eastAsia" w:ascii="宋体" w:hAnsi="宋体" w:eastAsia="宋体" w:cs="宋体"/>
                <w:color w:val="auto"/>
                <w:sz w:val="21"/>
                <w:szCs w:val="21"/>
                <w:highlight w:val="none"/>
                <w:lang w:val="en-US" w:eastAsia="zh-CN"/>
              </w:rPr>
              <w:t>甲方在收到发票</w:t>
            </w:r>
            <w:r>
              <w:rPr>
                <w:rFonts w:hint="eastAsia" w:ascii="宋体" w:hAnsi="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向中标人支付剩余合同款</w:t>
            </w:r>
          </w:p>
        </w:tc>
      </w:tr>
    </w:tbl>
    <w:p w14:paraId="061A90E8">
      <w:pPr>
        <w:spacing w:line="360" w:lineRule="auto"/>
        <w:ind w:left="210" w:leftChars="100"/>
        <w:jc w:val="left"/>
        <w:rPr>
          <w:rFonts w:ascii="宋体" w:hAnsi="宋体" w:cs="仿宋_GB2312"/>
          <w:color w:val="auto"/>
          <w:sz w:val="24"/>
        </w:rPr>
      </w:pPr>
      <w:r>
        <w:rPr>
          <w:rFonts w:hint="eastAsia" w:ascii="宋体" w:hAnsi="宋体" w:cs="仿宋_GB2312"/>
          <w:color w:val="auto"/>
          <w:sz w:val="24"/>
        </w:rPr>
        <w:t>4.售后服务要求</w:t>
      </w:r>
    </w:p>
    <w:p w14:paraId="19996F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u w:val="single"/>
        </w:rPr>
      </w:pPr>
      <w:r>
        <w:rPr>
          <w:rFonts w:hint="eastAsia" w:ascii="宋体" w:hAnsi="宋体"/>
          <w:color w:val="auto"/>
          <w:sz w:val="24"/>
          <w:u w:val="single"/>
          <w:lang w:val="en-US" w:eastAsia="zh-CN"/>
        </w:rPr>
        <w:t>无</w:t>
      </w:r>
      <w:r>
        <w:rPr>
          <w:rFonts w:hint="eastAsia" w:ascii="宋体" w:hAnsi="宋体"/>
          <w:color w:val="auto"/>
          <w:sz w:val="24"/>
          <w:u w:val="single"/>
        </w:rPr>
        <w:t>。</w:t>
      </w:r>
    </w:p>
    <w:p w14:paraId="3FA4C2AD">
      <w:pPr>
        <w:spacing w:line="360" w:lineRule="auto"/>
        <w:ind w:left="210" w:leftChars="100"/>
        <w:jc w:val="left"/>
        <w:rPr>
          <w:rFonts w:ascii="宋体" w:hAnsi="宋体" w:cs="仿宋_GB2312"/>
          <w:color w:val="auto"/>
          <w:sz w:val="24"/>
        </w:rPr>
      </w:pPr>
      <w:r>
        <w:rPr>
          <w:rFonts w:hint="eastAsia" w:ascii="宋体" w:hAnsi="宋体" w:cs="仿宋_GB2312"/>
          <w:color w:val="auto"/>
          <w:sz w:val="24"/>
        </w:rPr>
        <w:t>5.其他商务要求（包装和运输、保险等）</w:t>
      </w:r>
    </w:p>
    <w:p w14:paraId="2C589C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u w:val="single"/>
        </w:rPr>
      </w:pPr>
      <w:r>
        <w:rPr>
          <w:rFonts w:hint="eastAsia" w:ascii="宋体" w:hAnsi="宋体"/>
          <w:color w:val="auto"/>
          <w:sz w:val="24"/>
          <w:u w:val="single"/>
          <w:lang w:val="en-US" w:eastAsia="zh-CN"/>
        </w:rPr>
        <w:t>无</w:t>
      </w:r>
      <w:r>
        <w:rPr>
          <w:rFonts w:hint="eastAsia" w:ascii="宋体" w:hAnsi="宋体"/>
          <w:color w:val="auto"/>
          <w:sz w:val="24"/>
          <w:u w:val="single"/>
        </w:rPr>
        <w:t>。</w:t>
      </w:r>
    </w:p>
    <w:p w14:paraId="5B5F27E7">
      <w:pPr>
        <w:spacing w:line="360" w:lineRule="auto"/>
        <w:jc w:val="left"/>
        <w:rPr>
          <w:rFonts w:hint="eastAsia" w:ascii="宋体" w:hAnsi="宋体" w:eastAsia="宋体" w:cs="仿宋_GB2312"/>
          <w:b/>
          <w:bCs/>
          <w:color w:val="auto"/>
          <w:sz w:val="24"/>
          <w:lang w:val="en-US" w:eastAsia="zh-CN"/>
        </w:rPr>
      </w:pPr>
      <w:r>
        <w:rPr>
          <w:rFonts w:hint="eastAsia" w:ascii="宋体" w:hAnsi="宋体" w:eastAsia="宋体" w:cs="仿宋_GB2312"/>
          <w:b/>
          <w:bCs/>
          <w:color w:val="auto"/>
          <w:sz w:val="24"/>
          <w:lang w:val="en-US" w:eastAsia="zh-CN"/>
        </w:rPr>
        <w:t>五、采购项目的其他要求</w:t>
      </w:r>
    </w:p>
    <w:p w14:paraId="1371C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1、本项目根据中标人投标方案中声明的价格确定合同评估单价，最终根据评估单价和实际评估数量支付评估费用。</w:t>
      </w:r>
      <w:r>
        <w:rPr>
          <w:rFonts w:hint="eastAsia" w:ascii="宋体" w:hAnsi="宋体" w:eastAsia="宋体" w:cs="宋体"/>
          <w:b/>
          <w:bCs/>
          <w:color w:val="auto"/>
          <w:sz w:val="24"/>
          <w:szCs w:val="24"/>
          <w:lang w:val="en-US" w:eastAsia="zh-CN"/>
        </w:rPr>
        <w:t>投标人投标单价*计划检查数量合计高于项目最高限价的，视同投标报价高于项目最高限价。</w:t>
      </w:r>
    </w:p>
    <w:p w14:paraId="4E3ED6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2、采购人将根据招标文件、投标文件、相关律法法规委托招标代理单位进行履约验收。</w:t>
      </w:r>
    </w:p>
    <w:p w14:paraId="1F5A9BB7">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u w:val="single"/>
        </w:rPr>
      </w:pPr>
    </w:p>
    <w:p w14:paraId="0F0DF50C">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3282"/>
      <w:bookmarkEnd w:id="31"/>
      <w:bookmarkStart w:id="32" w:name="_Toc184308107"/>
      <w:bookmarkEnd w:id="32"/>
      <w:bookmarkStart w:id="33" w:name="_Toc184308049"/>
      <w:bookmarkEnd w:id="33"/>
      <w:bookmarkStart w:id="34" w:name="_Toc184313252"/>
      <w:bookmarkEnd w:id="34"/>
      <w:bookmarkStart w:id="35" w:name="_Toc184313265"/>
      <w:bookmarkEnd w:id="35"/>
      <w:bookmarkStart w:id="36" w:name="_Toc184314474"/>
      <w:bookmarkEnd w:id="36"/>
      <w:bookmarkStart w:id="37" w:name="_Toc184314453"/>
      <w:bookmarkEnd w:id="37"/>
      <w:bookmarkStart w:id="38" w:name="_Toc184312103"/>
      <w:bookmarkEnd w:id="38"/>
      <w:bookmarkStart w:id="39" w:name="_Toc184314417"/>
      <w:bookmarkEnd w:id="39"/>
      <w:bookmarkStart w:id="40" w:name="_Toc184310326"/>
      <w:bookmarkEnd w:id="40"/>
      <w:bookmarkStart w:id="41" w:name="_Toc184314455"/>
      <w:bookmarkEnd w:id="41"/>
      <w:bookmarkStart w:id="42" w:name="_Toc184310278"/>
      <w:bookmarkEnd w:id="42"/>
      <w:bookmarkStart w:id="43" w:name="_Toc184313269"/>
      <w:bookmarkEnd w:id="43"/>
      <w:bookmarkStart w:id="44" w:name="_Toc184312076"/>
      <w:bookmarkEnd w:id="44"/>
      <w:bookmarkStart w:id="45" w:name="_Toc184312079"/>
      <w:bookmarkEnd w:id="45"/>
      <w:bookmarkStart w:id="46" w:name="_Toc184310319"/>
      <w:bookmarkEnd w:id="46"/>
      <w:bookmarkStart w:id="47" w:name="_Toc184313276"/>
      <w:bookmarkEnd w:id="47"/>
      <w:bookmarkStart w:id="48" w:name="_Toc184312137"/>
      <w:bookmarkEnd w:id="48"/>
      <w:bookmarkStart w:id="49" w:name="_Toc184310272"/>
      <w:bookmarkEnd w:id="49"/>
      <w:bookmarkStart w:id="50" w:name="_Toc184308046"/>
      <w:bookmarkEnd w:id="50"/>
      <w:bookmarkStart w:id="51" w:name="_Toc184308076"/>
      <w:bookmarkEnd w:id="51"/>
      <w:bookmarkStart w:id="52" w:name="_Toc184312101"/>
      <w:bookmarkEnd w:id="52"/>
      <w:bookmarkStart w:id="53" w:name="_Toc184308074"/>
      <w:bookmarkEnd w:id="53"/>
      <w:bookmarkStart w:id="54" w:name="_Toc184313310"/>
      <w:bookmarkEnd w:id="54"/>
      <w:bookmarkStart w:id="55" w:name="_Toc184314452"/>
      <w:bookmarkEnd w:id="55"/>
      <w:bookmarkStart w:id="56" w:name="_Toc184312114"/>
      <w:bookmarkEnd w:id="56"/>
      <w:bookmarkStart w:id="57" w:name="_Toc184313245"/>
      <w:bookmarkEnd w:id="57"/>
      <w:bookmarkStart w:id="58" w:name="_Toc184310337"/>
      <w:bookmarkEnd w:id="58"/>
      <w:bookmarkStart w:id="59" w:name="_Toc184312109"/>
      <w:bookmarkEnd w:id="59"/>
      <w:bookmarkStart w:id="60" w:name="_Toc184312110"/>
      <w:bookmarkEnd w:id="60"/>
      <w:bookmarkStart w:id="61" w:name="_Toc184314480"/>
      <w:bookmarkEnd w:id="61"/>
      <w:bookmarkStart w:id="62" w:name="_Toc184308104"/>
      <w:bookmarkEnd w:id="62"/>
      <w:bookmarkStart w:id="63" w:name="_Toc184312106"/>
      <w:bookmarkEnd w:id="63"/>
      <w:bookmarkStart w:id="64" w:name="_Toc184312088"/>
      <w:bookmarkEnd w:id="64"/>
      <w:bookmarkStart w:id="65" w:name="_Toc184310323"/>
      <w:bookmarkEnd w:id="65"/>
      <w:bookmarkStart w:id="66" w:name="_Toc184314470"/>
      <w:bookmarkEnd w:id="66"/>
      <w:bookmarkStart w:id="67" w:name="_Toc184314473"/>
      <w:bookmarkEnd w:id="67"/>
      <w:bookmarkStart w:id="68" w:name="_Toc184308068"/>
      <w:bookmarkEnd w:id="68"/>
      <w:bookmarkStart w:id="69" w:name="_Toc184313271"/>
      <w:bookmarkEnd w:id="69"/>
      <w:bookmarkStart w:id="70" w:name="_Toc184314436"/>
      <w:bookmarkEnd w:id="70"/>
      <w:bookmarkStart w:id="71" w:name="_Toc184312130"/>
      <w:bookmarkEnd w:id="71"/>
      <w:bookmarkStart w:id="72" w:name="_Toc184310331"/>
      <w:bookmarkEnd w:id="72"/>
      <w:bookmarkStart w:id="73" w:name="_Toc184308064"/>
      <w:bookmarkEnd w:id="73"/>
      <w:bookmarkStart w:id="74" w:name="_Toc184313293"/>
      <w:bookmarkEnd w:id="74"/>
      <w:bookmarkStart w:id="75" w:name="_Toc184308108"/>
      <w:bookmarkEnd w:id="75"/>
      <w:bookmarkStart w:id="76" w:name="_Toc184310344"/>
      <w:bookmarkEnd w:id="76"/>
      <w:bookmarkStart w:id="77" w:name="_Toc184314469"/>
      <w:bookmarkEnd w:id="77"/>
      <w:bookmarkStart w:id="78" w:name="_Toc184313278"/>
      <w:bookmarkEnd w:id="78"/>
      <w:bookmarkStart w:id="79" w:name="_Toc184308041"/>
      <w:bookmarkEnd w:id="79"/>
      <w:bookmarkStart w:id="80" w:name="_Toc184310341"/>
      <w:bookmarkEnd w:id="80"/>
      <w:bookmarkStart w:id="81" w:name="_Toc184308078"/>
      <w:bookmarkEnd w:id="81"/>
      <w:bookmarkStart w:id="82" w:name="_Toc184310310"/>
      <w:bookmarkEnd w:id="82"/>
      <w:bookmarkStart w:id="83" w:name="_Toc184314427"/>
      <w:bookmarkEnd w:id="83"/>
      <w:bookmarkStart w:id="84" w:name="_Toc184310311"/>
      <w:bookmarkEnd w:id="84"/>
      <w:bookmarkStart w:id="85" w:name="_Toc184314444"/>
      <w:bookmarkEnd w:id="85"/>
      <w:bookmarkStart w:id="86" w:name="_Toc184312134"/>
      <w:bookmarkEnd w:id="86"/>
      <w:bookmarkStart w:id="87" w:name="_Toc184310293"/>
      <w:bookmarkEnd w:id="87"/>
      <w:bookmarkStart w:id="88" w:name="_Toc184313246"/>
      <w:bookmarkEnd w:id="88"/>
      <w:bookmarkStart w:id="89" w:name="_Toc184313251"/>
      <w:bookmarkEnd w:id="89"/>
      <w:bookmarkStart w:id="90" w:name="_Toc184308101"/>
      <w:bookmarkEnd w:id="90"/>
      <w:bookmarkStart w:id="91" w:name="_Toc184314428"/>
      <w:bookmarkEnd w:id="91"/>
      <w:bookmarkStart w:id="92" w:name="_Toc184310292"/>
      <w:bookmarkEnd w:id="92"/>
      <w:bookmarkStart w:id="93" w:name="_Toc184310329"/>
      <w:bookmarkEnd w:id="93"/>
      <w:bookmarkStart w:id="94" w:name="_Toc184308048"/>
      <w:bookmarkEnd w:id="94"/>
      <w:bookmarkStart w:id="95" w:name="_Toc184310290"/>
      <w:bookmarkEnd w:id="95"/>
      <w:bookmarkStart w:id="96" w:name="_Toc184308070"/>
      <w:bookmarkEnd w:id="96"/>
      <w:bookmarkStart w:id="97" w:name="_Toc184314426"/>
      <w:bookmarkEnd w:id="97"/>
      <w:bookmarkStart w:id="98" w:name="_Toc184314412"/>
      <w:bookmarkEnd w:id="98"/>
      <w:bookmarkStart w:id="99" w:name="_Toc184308042"/>
      <w:bookmarkEnd w:id="99"/>
      <w:bookmarkStart w:id="100" w:name="_Toc184312087"/>
      <w:bookmarkEnd w:id="100"/>
      <w:bookmarkStart w:id="101" w:name="_Toc184313287"/>
      <w:bookmarkEnd w:id="101"/>
      <w:bookmarkStart w:id="102" w:name="_Toc184314460"/>
      <w:bookmarkEnd w:id="102"/>
      <w:bookmarkStart w:id="103" w:name="_Toc184314471"/>
      <w:bookmarkEnd w:id="103"/>
      <w:bookmarkStart w:id="104" w:name="_Toc184308099"/>
      <w:bookmarkEnd w:id="104"/>
      <w:bookmarkStart w:id="105" w:name="_Toc184308055"/>
      <w:bookmarkEnd w:id="105"/>
      <w:bookmarkStart w:id="106" w:name="_Toc184314433"/>
      <w:bookmarkEnd w:id="106"/>
      <w:bookmarkStart w:id="107" w:name="_Toc184312118"/>
      <w:bookmarkEnd w:id="107"/>
      <w:bookmarkStart w:id="108" w:name="_Toc184308053"/>
      <w:bookmarkEnd w:id="108"/>
      <w:bookmarkStart w:id="109" w:name="_Toc184310296"/>
      <w:bookmarkEnd w:id="109"/>
      <w:bookmarkStart w:id="110" w:name="_Toc184314415"/>
      <w:bookmarkEnd w:id="110"/>
      <w:bookmarkStart w:id="111" w:name="_Toc184313279"/>
      <w:bookmarkEnd w:id="111"/>
      <w:bookmarkStart w:id="112" w:name="_Toc184314434"/>
      <w:bookmarkEnd w:id="112"/>
      <w:bookmarkStart w:id="113" w:name="_Toc184308094"/>
      <w:bookmarkEnd w:id="113"/>
      <w:bookmarkStart w:id="114" w:name="_Toc184310307"/>
      <w:bookmarkEnd w:id="114"/>
      <w:bookmarkStart w:id="115" w:name="_Toc184312083"/>
      <w:bookmarkEnd w:id="115"/>
      <w:bookmarkStart w:id="116" w:name="_Toc184314440"/>
      <w:bookmarkEnd w:id="116"/>
      <w:bookmarkStart w:id="117" w:name="_Toc184313259"/>
      <w:bookmarkEnd w:id="117"/>
      <w:bookmarkStart w:id="118" w:name="_Toc184310287"/>
      <w:bookmarkEnd w:id="118"/>
      <w:bookmarkStart w:id="119" w:name="_Toc184312126"/>
      <w:bookmarkEnd w:id="119"/>
      <w:bookmarkStart w:id="120" w:name="_Toc184310343"/>
      <w:bookmarkEnd w:id="120"/>
      <w:bookmarkStart w:id="121" w:name="_Toc184312074"/>
      <w:bookmarkEnd w:id="121"/>
      <w:bookmarkStart w:id="122" w:name="_Toc184308061"/>
      <w:bookmarkEnd w:id="122"/>
      <w:bookmarkStart w:id="123" w:name="_Toc184308072"/>
      <w:bookmarkEnd w:id="123"/>
      <w:bookmarkStart w:id="124" w:name="_Toc184313303"/>
      <w:bookmarkEnd w:id="124"/>
      <w:bookmarkStart w:id="125" w:name="_Toc184312113"/>
      <w:bookmarkEnd w:id="125"/>
      <w:bookmarkStart w:id="126" w:name="_Toc184308080"/>
      <w:bookmarkEnd w:id="126"/>
      <w:bookmarkStart w:id="127" w:name="_Toc184314462"/>
      <w:bookmarkEnd w:id="127"/>
      <w:bookmarkStart w:id="128" w:name="_Toc184308087"/>
      <w:bookmarkEnd w:id="128"/>
      <w:bookmarkStart w:id="129" w:name="_Toc184308039"/>
      <w:bookmarkEnd w:id="129"/>
      <w:bookmarkStart w:id="130" w:name="_Toc184314446"/>
      <w:bookmarkEnd w:id="130"/>
      <w:bookmarkStart w:id="131" w:name="_Toc184310320"/>
      <w:bookmarkEnd w:id="131"/>
      <w:bookmarkStart w:id="132" w:name="_Toc184308045"/>
      <w:bookmarkEnd w:id="132"/>
      <w:bookmarkStart w:id="133" w:name="_Toc184313284"/>
      <w:bookmarkEnd w:id="133"/>
      <w:bookmarkStart w:id="134" w:name="_Toc184312084"/>
      <w:bookmarkEnd w:id="134"/>
      <w:bookmarkStart w:id="135" w:name="_Toc184310315"/>
      <w:bookmarkEnd w:id="135"/>
      <w:bookmarkStart w:id="136" w:name="_Toc184314482"/>
      <w:bookmarkEnd w:id="136"/>
      <w:bookmarkStart w:id="137" w:name="_Toc184313299"/>
      <w:bookmarkEnd w:id="137"/>
      <w:bookmarkStart w:id="138" w:name="_Toc184313262"/>
      <w:bookmarkEnd w:id="138"/>
      <w:bookmarkStart w:id="139" w:name="_Toc184314445"/>
      <w:bookmarkEnd w:id="139"/>
      <w:bookmarkStart w:id="140" w:name="_Toc184310282"/>
      <w:bookmarkEnd w:id="140"/>
      <w:bookmarkStart w:id="141" w:name="_Toc184310286"/>
      <w:bookmarkEnd w:id="141"/>
      <w:bookmarkStart w:id="142" w:name="_Toc184308098"/>
      <w:bookmarkEnd w:id="142"/>
      <w:bookmarkStart w:id="143" w:name="_Toc184312075"/>
      <w:bookmarkEnd w:id="143"/>
      <w:bookmarkStart w:id="144" w:name="_Toc184308040"/>
      <w:bookmarkEnd w:id="144"/>
      <w:bookmarkStart w:id="145" w:name="_Toc184310324"/>
      <w:bookmarkEnd w:id="145"/>
      <w:bookmarkStart w:id="146" w:name="_Toc184310281"/>
      <w:bookmarkEnd w:id="146"/>
      <w:bookmarkStart w:id="147" w:name="_Toc184312069"/>
      <w:bookmarkEnd w:id="147"/>
      <w:bookmarkStart w:id="148" w:name="_Toc184310275"/>
      <w:bookmarkEnd w:id="148"/>
      <w:bookmarkStart w:id="149" w:name="_Toc184313274"/>
      <w:bookmarkEnd w:id="149"/>
      <w:bookmarkStart w:id="150" w:name="_Toc184314478"/>
      <w:bookmarkEnd w:id="150"/>
      <w:bookmarkStart w:id="151" w:name="_Toc184308059"/>
      <w:bookmarkEnd w:id="151"/>
      <w:bookmarkStart w:id="152" w:name="_Toc184314443"/>
      <w:bookmarkEnd w:id="152"/>
      <w:bookmarkStart w:id="153" w:name="_Toc184312131"/>
      <w:bookmarkEnd w:id="153"/>
      <w:bookmarkStart w:id="154" w:name="_Toc184313263"/>
      <w:bookmarkEnd w:id="154"/>
      <w:bookmarkStart w:id="155" w:name="_Toc184312120"/>
      <w:bookmarkEnd w:id="155"/>
      <w:bookmarkStart w:id="156" w:name="_Toc184313275"/>
      <w:bookmarkEnd w:id="156"/>
      <w:bookmarkStart w:id="157" w:name="_Toc184312123"/>
      <w:bookmarkEnd w:id="157"/>
      <w:bookmarkStart w:id="158" w:name="_Toc184313291"/>
      <w:bookmarkEnd w:id="158"/>
      <w:bookmarkStart w:id="159" w:name="_Toc184310332"/>
      <w:bookmarkEnd w:id="159"/>
      <w:bookmarkStart w:id="160" w:name="_Toc184314411"/>
      <w:bookmarkEnd w:id="160"/>
      <w:bookmarkStart w:id="161" w:name="_Toc184310295"/>
      <w:bookmarkEnd w:id="161"/>
      <w:bookmarkStart w:id="162" w:name="_Toc184312127"/>
      <w:bookmarkEnd w:id="162"/>
      <w:bookmarkStart w:id="163" w:name="_Toc184314468"/>
      <w:bookmarkEnd w:id="163"/>
      <w:bookmarkStart w:id="164" w:name="_Toc184314457"/>
      <w:bookmarkEnd w:id="164"/>
      <w:bookmarkStart w:id="165" w:name="_Toc184313294"/>
      <w:bookmarkEnd w:id="165"/>
      <w:bookmarkStart w:id="166" w:name="_Toc184310273"/>
      <w:bookmarkEnd w:id="166"/>
      <w:bookmarkStart w:id="167" w:name="_Toc184314423"/>
      <w:bookmarkEnd w:id="167"/>
      <w:bookmarkStart w:id="168" w:name="_Toc184312136"/>
      <w:bookmarkEnd w:id="168"/>
      <w:bookmarkStart w:id="169" w:name="_Toc184312119"/>
      <w:bookmarkEnd w:id="169"/>
      <w:bookmarkStart w:id="170" w:name="_Toc184310312"/>
      <w:bookmarkEnd w:id="170"/>
      <w:bookmarkStart w:id="171" w:name="_Toc184313301"/>
      <w:bookmarkEnd w:id="171"/>
      <w:bookmarkStart w:id="172" w:name="_Toc184308036"/>
      <w:bookmarkEnd w:id="172"/>
      <w:bookmarkStart w:id="173" w:name="_Toc184314442"/>
      <w:bookmarkEnd w:id="173"/>
      <w:bookmarkStart w:id="174" w:name="_Toc184312122"/>
      <w:bookmarkEnd w:id="174"/>
      <w:bookmarkStart w:id="175" w:name="_Toc184310283"/>
      <w:bookmarkEnd w:id="175"/>
      <w:bookmarkStart w:id="176" w:name="_Toc184314475"/>
      <w:bookmarkEnd w:id="176"/>
      <w:bookmarkStart w:id="177" w:name="_Toc184308065"/>
      <w:bookmarkEnd w:id="177"/>
      <w:bookmarkStart w:id="178" w:name="_Toc184310327"/>
      <w:bookmarkEnd w:id="178"/>
      <w:bookmarkStart w:id="179" w:name="_Toc184310304"/>
      <w:bookmarkEnd w:id="179"/>
      <w:bookmarkStart w:id="180" w:name="_Toc184310284"/>
      <w:bookmarkEnd w:id="180"/>
      <w:bookmarkStart w:id="181" w:name="_Toc184313300"/>
      <w:bookmarkEnd w:id="181"/>
      <w:bookmarkStart w:id="182" w:name="_Toc184313290"/>
      <w:bookmarkEnd w:id="182"/>
      <w:bookmarkStart w:id="183" w:name="_Toc184308054"/>
      <w:bookmarkEnd w:id="183"/>
      <w:bookmarkStart w:id="184" w:name="_Toc184314429"/>
      <w:bookmarkEnd w:id="184"/>
      <w:bookmarkStart w:id="185" w:name="_Toc184314476"/>
      <w:bookmarkEnd w:id="185"/>
      <w:bookmarkStart w:id="186" w:name="_Toc184308086"/>
      <w:bookmarkEnd w:id="186"/>
      <w:bookmarkStart w:id="187" w:name="_Toc184314425"/>
      <w:bookmarkEnd w:id="187"/>
      <w:bookmarkStart w:id="188" w:name="_Toc184312138"/>
      <w:bookmarkEnd w:id="188"/>
      <w:bookmarkStart w:id="189" w:name="_Toc184308092"/>
      <w:bookmarkEnd w:id="189"/>
      <w:bookmarkStart w:id="190" w:name="_Toc184312104"/>
      <w:bookmarkEnd w:id="190"/>
      <w:bookmarkStart w:id="191" w:name="_Toc184308097"/>
      <w:bookmarkEnd w:id="191"/>
      <w:bookmarkStart w:id="192" w:name="_Toc184313242"/>
      <w:bookmarkEnd w:id="192"/>
      <w:bookmarkStart w:id="193" w:name="_Toc184313244"/>
      <w:bookmarkEnd w:id="193"/>
      <w:bookmarkStart w:id="194" w:name="_Toc184312112"/>
      <w:bookmarkEnd w:id="194"/>
      <w:bookmarkStart w:id="195" w:name="_Toc184308077"/>
      <w:bookmarkEnd w:id="195"/>
      <w:bookmarkStart w:id="196" w:name="_Toc184313266"/>
      <w:bookmarkEnd w:id="196"/>
      <w:bookmarkStart w:id="197" w:name="_Toc184314463"/>
      <w:bookmarkEnd w:id="197"/>
      <w:bookmarkStart w:id="198" w:name="_Toc184314420"/>
      <w:bookmarkEnd w:id="198"/>
      <w:bookmarkStart w:id="199" w:name="_Toc184312067"/>
      <w:bookmarkEnd w:id="199"/>
      <w:bookmarkStart w:id="200" w:name="_Toc184312072"/>
      <w:bookmarkEnd w:id="200"/>
      <w:bookmarkStart w:id="201" w:name="_Toc184313239"/>
      <w:bookmarkEnd w:id="201"/>
      <w:bookmarkStart w:id="202" w:name="_Toc184308102"/>
      <w:bookmarkEnd w:id="202"/>
      <w:bookmarkStart w:id="203" w:name="_Toc184310294"/>
      <w:bookmarkEnd w:id="203"/>
      <w:bookmarkStart w:id="204" w:name="_Toc184310303"/>
      <w:bookmarkEnd w:id="204"/>
      <w:bookmarkStart w:id="205" w:name="_Toc184308058"/>
      <w:bookmarkEnd w:id="205"/>
      <w:bookmarkStart w:id="206" w:name="_Toc184310335"/>
      <w:bookmarkEnd w:id="206"/>
      <w:bookmarkStart w:id="207" w:name="_Toc184308088"/>
      <w:bookmarkEnd w:id="207"/>
      <w:bookmarkStart w:id="208" w:name="_Toc184313308"/>
      <w:bookmarkEnd w:id="208"/>
      <w:bookmarkStart w:id="209" w:name="_Toc184310279"/>
      <w:bookmarkEnd w:id="209"/>
      <w:bookmarkStart w:id="210" w:name="_Toc184314410"/>
      <w:bookmarkEnd w:id="210"/>
      <w:bookmarkStart w:id="211" w:name="_Toc184312099"/>
      <w:bookmarkEnd w:id="211"/>
      <w:bookmarkStart w:id="212" w:name="_Toc184308103"/>
      <w:bookmarkEnd w:id="212"/>
      <w:bookmarkStart w:id="213" w:name="_Toc184313238"/>
      <w:bookmarkEnd w:id="213"/>
      <w:bookmarkStart w:id="214" w:name="_Toc184314459"/>
      <w:bookmarkEnd w:id="214"/>
      <w:bookmarkStart w:id="215" w:name="_Toc184312115"/>
      <w:bookmarkEnd w:id="215"/>
      <w:bookmarkStart w:id="216" w:name="_Toc184314437"/>
      <w:bookmarkEnd w:id="216"/>
      <w:bookmarkStart w:id="217" w:name="_Toc184310330"/>
      <w:bookmarkEnd w:id="217"/>
      <w:bookmarkStart w:id="218" w:name="_Toc184313250"/>
      <w:bookmarkEnd w:id="218"/>
      <w:bookmarkStart w:id="219" w:name="_Toc184314458"/>
      <w:bookmarkEnd w:id="219"/>
      <w:bookmarkStart w:id="220" w:name="_Toc184313286"/>
      <w:bookmarkEnd w:id="220"/>
      <w:bookmarkStart w:id="221" w:name="_Toc184314449"/>
      <w:bookmarkEnd w:id="221"/>
      <w:bookmarkStart w:id="222" w:name="_Toc184308100"/>
      <w:bookmarkEnd w:id="222"/>
      <w:bookmarkStart w:id="223" w:name="_Toc184314472"/>
      <w:bookmarkEnd w:id="223"/>
      <w:bookmarkStart w:id="224" w:name="_Toc184312128"/>
      <w:bookmarkEnd w:id="224"/>
      <w:bookmarkStart w:id="225" w:name="_Toc184308062"/>
      <w:bookmarkEnd w:id="225"/>
      <w:bookmarkStart w:id="226" w:name="_Toc184312139"/>
      <w:bookmarkEnd w:id="226"/>
      <w:bookmarkStart w:id="227" w:name="_Toc184308105"/>
      <w:bookmarkEnd w:id="227"/>
      <w:bookmarkStart w:id="228" w:name="_Toc184308066"/>
      <w:bookmarkEnd w:id="228"/>
      <w:bookmarkStart w:id="229" w:name="_Toc184312085"/>
      <w:bookmarkEnd w:id="229"/>
      <w:bookmarkStart w:id="230" w:name="_Toc184312071"/>
      <w:bookmarkEnd w:id="230"/>
      <w:bookmarkStart w:id="231" w:name="_Toc184310302"/>
      <w:bookmarkEnd w:id="231"/>
      <w:bookmarkStart w:id="232" w:name="_Toc184312092"/>
      <w:bookmarkEnd w:id="232"/>
      <w:bookmarkStart w:id="233" w:name="_Toc184313253"/>
      <w:bookmarkEnd w:id="233"/>
      <w:bookmarkStart w:id="234" w:name="_Toc184308052"/>
      <w:bookmarkEnd w:id="234"/>
      <w:bookmarkStart w:id="235" w:name="_Toc184310291"/>
      <w:bookmarkEnd w:id="235"/>
      <w:bookmarkStart w:id="236" w:name="_Toc184313283"/>
      <w:bookmarkEnd w:id="236"/>
      <w:bookmarkStart w:id="237" w:name="_Toc184312132"/>
      <w:bookmarkEnd w:id="237"/>
      <w:bookmarkStart w:id="238" w:name="_Toc184313255"/>
      <w:bookmarkEnd w:id="238"/>
      <w:bookmarkStart w:id="239" w:name="_Toc184314465"/>
      <w:bookmarkEnd w:id="239"/>
      <w:bookmarkStart w:id="240" w:name="_Toc184310333"/>
      <w:bookmarkEnd w:id="240"/>
      <w:bookmarkStart w:id="241" w:name="_Toc184310280"/>
      <w:bookmarkEnd w:id="241"/>
      <w:bookmarkStart w:id="242" w:name="_Toc184312080"/>
      <w:bookmarkEnd w:id="242"/>
      <w:bookmarkStart w:id="243" w:name="_Toc184313243"/>
      <w:bookmarkEnd w:id="243"/>
      <w:bookmarkStart w:id="244" w:name="_Toc184314432"/>
      <w:bookmarkEnd w:id="244"/>
      <w:bookmarkStart w:id="245" w:name="_Toc184308093"/>
      <w:bookmarkEnd w:id="245"/>
      <w:bookmarkStart w:id="246" w:name="_Toc184314413"/>
      <w:bookmarkEnd w:id="246"/>
      <w:bookmarkStart w:id="247" w:name="_Toc184314461"/>
      <w:bookmarkEnd w:id="247"/>
      <w:bookmarkStart w:id="248" w:name="_Toc184308037"/>
      <w:bookmarkEnd w:id="248"/>
      <w:bookmarkStart w:id="249" w:name="_Toc184308090"/>
      <w:bookmarkEnd w:id="249"/>
      <w:bookmarkStart w:id="250" w:name="_Toc184310305"/>
      <w:bookmarkEnd w:id="250"/>
      <w:bookmarkStart w:id="251" w:name="_Toc184310289"/>
      <w:bookmarkEnd w:id="251"/>
      <w:bookmarkStart w:id="252" w:name="_Toc184310336"/>
      <w:bookmarkEnd w:id="252"/>
      <w:bookmarkStart w:id="253" w:name="_Toc184313241"/>
      <w:bookmarkEnd w:id="253"/>
      <w:bookmarkStart w:id="254" w:name="_Toc184308063"/>
      <w:bookmarkEnd w:id="254"/>
      <w:bookmarkStart w:id="255" w:name="_Toc184312089"/>
      <w:bookmarkEnd w:id="255"/>
      <w:bookmarkStart w:id="256" w:name="_Toc184310298"/>
      <w:bookmarkEnd w:id="256"/>
      <w:bookmarkStart w:id="257" w:name="_Toc184314464"/>
      <w:bookmarkEnd w:id="257"/>
      <w:bookmarkStart w:id="258" w:name="_Toc184312116"/>
      <w:bookmarkEnd w:id="258"/>
      <w:bookmarkStart w:id="259" w:name="_Toc184314416"/>
      <w:bookmarkEnd w:id="259"/>
      <w:bookmarkStart w:id="260" w:name="_Toc184313240"/>
      <w:bookmarkEnd w:id="260"/>
      <w:bookmarkStart w:id="261" w:name="_Toc184310339"/>
      <w:bookmarkEnd w:id="261"/>
      <w:bookmarkStart w:id="262" w:name="_Toc184313304"/>
      <w:bookmarkEnd w:id="262"/>
      <w:bookmarkStart w:id="263" w:name="_Toc184310338"/>
      <w:bookmarkEnd w:id="263"/>
      <w:bookmarkStart w:id="264" w:name="_Toc184308043"/>
      <w:bookmarkEnd w:id="264"/>
      <w:bookmarkStart w:id="265" w:name="_Toc184314479"/>
      <w:bookmarkEnd w:id="265"/>
      <w:bookmarkStart w:id="266" w:name="_Toc184308083"/>
      <w:bookmarkEnd w:id="266"/>
      <w:bookmarkStart w:id="267" w:name="_Toc184310328"/>
      <w:bookmarkEnd w:id="267"/>
      <w:bookmarkStart w:id="268" w:name="_Toc184312135"/>
      <w:bookmarkEnd w:id="268"/>
      <w:bookmarkStart w:id="269" w:name="_Toc184312133"/>
      <w:bookmarkEnd w:id="269"/>
      <w:bookmarkStart w:id="270" w:name="_Toc184312073"/>
      <w:bookmarkEnd w:id="270"/>
      <w:bookmarkStart w:id="271" w:name="_Toc184310299"/>
      <w:bookmarkEnd w:id="271"/>
      <w:bookmarkStart w:id="272" w:name="_Toc184308038"/>
      <w:bookmarkEnd w:id="272"/>
      <w:bookmarkStart w:id="273" w:name="_Toc184314438"/>
      <w:bookmarkEnd w:id="273"/>
      <w:bookmarkStart w:id="274" w:name="_Toc184308051"/>
      <w:bookmarkEnd w:id="274"/>
      <w:bookmarkStart w:id="275" w:name="_Toc184308079"/>
      <w:bookmarkEnd w:id="275"/>
      <w:bookmarkStart w:id="276" w:name="_Toc184310297"/>
      <w:bookmarkEnd w:id="276"/>
      <w:bookmarkStart w:id="277" w:name="_Toc184308050"/>
      <w:bookmarkEnd w:id="277"/>
      <w:bookmarkStart w:id="278" w:name="_Toc184308047"/>
      <w:bookmarkEnd w:id="278"/>
      <w:bookmarkStart w:id="279" w:name="_Toc184310340"/>
      <w:bookmarkEnd w:id="279"/>
      <w:bookmarkStart w:id="280" w:name="_Toc184313289"/>
      <w:bookmarkEnd w:id="280"/>
      <w:bookmarkStart w:id="281" w:name="_Toc184314450"/>
      <w:bookmarkEnd w:id="281"/>
      <w:bookmarkStart w:id="282" w:name="_Toc184312102"/>
      <w:bookmarkEnd w:id="282"/>
      <w:bookmarkStart w:id="283" w:name="_Toc184314435"/>
      <w:bookmarkEnd w:id="283"/>
      <w:bookmarkStart w:id="284" w:name="_Toc184312124"/>
      <w:bookmarkEnd w:id="284"/>
      <w:bookmarkStart w:id="285" w:name="_Toc184310325"/>
      <w:bookmarkEnd w:id="285"/>
      <w:bookmarkStart w:id="286" w:name="_Toc184312068"/>
      <w:bookmarkEnd w:id="286"/>
      <w:bookmarkStart w:id="287" w:name="_Toc184314414"/>
      <w:bookmarkEnd w:id="287"/>
      <w:bookmarkStart w:id="288" w:name="_Toc184314418"/>
      <w:bookmarkEnd w:id="288"/>
      <w:bookmarkStart w:id="289" w:name="_Toc184313258"/>
      <w:bookmarkEnd w:id="289"/>
      <w:bookmarkStart w:id="290" w:name="_Toc184308091"/>
      <w:bookmarkEnd w:id="290"/>
      <w:bookmarkStart w:id="291" w:name="_Toc184310318"/>
      <w:bookmarkEnd w:id="291"/>
      <w:bookmarkStart w:id="292" w:name="_Toc184313298"/>
      <w:bookmarkEnd w:id="292"/>
      <w:bookmarkStart w:id="293" w:name="_Toc184313254"/>
      <w:bookmarkEnd w:id="293"/>
      <w:bookmarkStart w:id="294" w:name="_Toc184313249"/>
      <w:bookmarkEnd w:id="294"/>
      <w:bookmarkStart w:id="295" w:name="_Toc184312093"/>
      <w:bookmarkEnd w:id="295"/>
      <w:bookmarkStart w:id="296" w:name="_Toc184313296"/>
      <w:bookmarkEnd w:id="296"/>
      <w:bookmarkStart w:id="297" w:name="_Toc184310274"/>
      <w:bookmarkEnd w:id="297"/>
      <w:bookmarkStart w:id="298" w:name="_Toc184308084"/>
      <w:bookmarkEnd w:id="298"/>
      <w:bookmarkStart w:id="299" w:name="_Toc184312097"/>
      <w:bookmarkEnd w:id="299"/>
      <w:bookmarkStart w:id="300" w:name="_Toc184308081"/>
      <w:bookmarkEnd w:id="300"/>
      <w:bookmarkStart w:id="301" w:name="_Toc184308095"/>
      <w:bookmarkEnd w:id="301"/>
      <w:bookmarkStart w:id="302" w:name="_Toc184312091"/>
      <w:bookmarkEnd w:id="302"/>
      <w:bookmarkStart w:id="303" w:name="_Toc184313270"/>
      <w:bookmarkEnd w:id="303"/>
      <w:bookmarkStart w:id="304" w:name="_Toc184313305"/>
      <w:bookmarkEnd w:id="304"/>
      <w:bookmarkStart w:id="305" w:name="_Toc184308044"/>
      <w:bookmarkEnd w:id="305"/>
      <w:bookmarkStart w:id="306" w:name="_Toc184312095"/>
      <w:bookmarkEnd w:id="306"/>
      <w:bookmarkStart w:id="307" w:name="_Toc184313272"/>
      <w:bookmarkEnd w:id="307"/>
      <w:bookmarkStart w:id="308" w:name="_Toc184314447"/>
      <w:bookmarkEnd w:id="308"/>
      <w:bookmarkStart w:id="309" w:name="_Toc184314424"/>
      <w:bookmarkEnd w:id="309"/>
      <w:bookmarkStart w:id="310" w:name="_Toc184312081"/>
      <w:bookmarkEnd w:id="310"/>
      <w:bookmarkStart w:id="311" w:name="_Toc184310308"/>
      <w:bookmarkEnd w:id="311"/>
      <w:bookmarkStart w:id="312" w:name="_Toc184313256"/>
      <w:bookmarkEnd w:id="312"/>
      <w:bookmarkStart w:id="313" w:name="_Toc184313273"/>
      <w:bookmarkEnd w:id="313"/>
      <w:bookmarkStart w:id="314" w:name="_Toc184310334"/>
      <w:bookmarkEnd w:id="314"/>
      <w:bookmarkStart w:id="315" w:name="_Toc184313309"/>
      <w:bookmarkEnd w:id="315"/>
      <w:bookmarkStart w:id="316" w:name="_Toc184314422"/>
      <w:bookmarkEnd w:id="316"/>
      <w:bookmarkStart w:id="317" w:name="_Toc184308067"/>
      <w:bookmarkEnd w:id="317"/>
      <w:bookmarkStart w:id="318" w:name="_Toc184314481"/>
      <w:bookmarkEnd w:id="318"/>
      <w:bookmarkStart w:id="319" w:name="_Toc184313295"/>
      <w:bookmarkEnd w:id="319"/>
      <w:bookmarkStart w:id="320" w:name="_Toc184312086"/>
      <w:bookmarkEnd w:id="320"/>
      <w:bookmarkStart w:id="321" w:name="_Toc184314454"/>
      <w:bookmarkEnd w:id="321"/>
      <w:bookmarkStart w:id="322" w:name="_Toc184308071"/>
      <w:bookmarkEnd w:id="322"/>
      <w:bookmarkStart w:id="323" w:name="_Toc184312096"/>
      <w:bookmarkEnd w:id="323"/>
      <w:bookmarkStart w:id="324" w:name="_Toc184310300"/>
      <w:bookmarkEnd w:id="324"/>
      <w:bookmarkStart w:id="325" w:name="_Toc184312098"/>
      <w:bookmarkEnd w:id="325"/>
      <w:bookmarkStart w:id="326" w:name="_Toc184308085"/>
      <w:bookmarkEnd w:id="326"/>
      <w:bookmarkStart w:id="327" w:name="_Toc184312094"/>
      <w:bookmarkEnd w:id="327"/>
      <w:bookmarkStart w:id="328" w:name="_Toc184310309"/>
      <w:bookmarkEnd w:id="328"/>
      <w:bookmarkStart w:id="329" w:name="_Toc184314419"/>
      <w:bookmarkEnd w:id="329"/>
      <w:bookmarkStart w:id="330" w:name="_Toc184312108"/>
      <w:bookmarkEnd w:id="330"/>
      <w:bookmarkStart w:id="331" w:name="_Toc184308082"/>
      <w:bookmarkEnd w:id="331"/>
      <w:bookmarkStart w:id="332" w:name="_Toc184312070"/>
      <w:bookmarkEnd w:id="332"/>
      <w:bookmarkStart w:id="333" w:name="_Toc184312107"/>
      <w:bookmarkEnd w:id="333"/>
      <w:bookmarkStart w:id="334" w:name="_Toc184310288"/>
      <w:bookmarkEnd w:id="334"/>
      <w:bookmarkStart w:id="335" w:name="_Toc184312077"/>
      <w:bookmarkEnd w:id="335"/>
      <w:bookmarkStart w:id="336" w:name="_Toc184313302"/>
      <w:bookmarkEnd w:id="336"/>
      <w:bookmarkStart w:id="337" w:name="_Toc184314430"/>
      <w:bookmarkEnd w:id="337"/>
      <w:bookmarkStart w:id="338" w:name="_Toc184313257"/>
      <w:bookmarkEnd w:id="338"/>
      <w:bookmarkStart w:id="339" w:name="_Toc184308073"/>
      <w:bookmarkEnd w:id="339"/>
      <w:bookmarkStart w:id="340" w:name="_Toc184313261"/>
      <w:bookmarkEnd w:id="340"/>
      <w:bookmarkStart w:id="341" w:name="_Toc184313260"/>
      <w:bookmarkEnd w:id="341"/>
      <w:bookmarkStart w:id="342" w:name="_Toc184308096"/>
      <w:bookmarkEnd w:id="342"/>
      <w:bookmarkStart w:id="343" w:name="_Toc184313288"/>
      <w:bookmarkEnd w:id="343"/>
      <w:bookmarkStart w:id="344" w:name="_Toc184314439"/>
      <w:bookmarkEnd w:id="344"/>
      <w:bookmarkStart w:id="345" w:name="_Toc184310277"/>
      <w:bookmarkEnd w:id="345"/>
      <w:bookmarkStart w:id="346" w:name="_Toc184310285"/>
      <w:bookmarkEnd w:id="346"/>
      <w:bookmarkStart w:id="347" w:name="_Toc184310301"/>
      <w:bookmarkEnd w:id="347"/>
      <w:bookmarkStart w:id="348" w:name="_Toc184310321"/>
      <w:bookmarkEnd w:id="348"/>
      <w:bookmarkStart w:id="349" w:name="_Toc184314467"/>
      <w:bookmarkEnd w:id="349"/>
      <w:bookmarkStart w:id="350" w:name="_Toc184313306"/>
      <w:bookmarkEnd w:id="350"/>
      <w:bookmarkStart w:id="351" w:name="_Toc184314456"/>
      <w:bookmarkEnd w:id="351"/>
      <w:bookmarkStart w:id="352" w:name="_Toc184308106"/>
      <w:bookmarkEnd w:id="352"/>
      <w:bookmarkStart w:id="353" w:name="_Toc184308060"/>
      <w:bookmarkEnd w:id="353"/>
      <w:bookmarkStart w:id="354" w:name="_Toc184312125"/>
      <w:bookmarkEnd w:id="354"/>
      <w:bookmarkStart w:id="355" w:name="_Toc184313280"/>
      <w:bookmarkEnd w:id="355"/>
      <w:bookmarkStart w:id="356" w:name="_Toc184310322"/>
      <w:bookmarkEnd w:id="356"/>
      <w:bookmarkStart w:id="357" w:name="_Toc184310313"/>
      <w:bookmarkEnd w:id="357"/>
      <w:bookmarkStart w:id="358" w:name="_Toc184313297"/>
      <w:bookmarkEnd w:id="358"/>
      <w:bookmarkStart w:id="359" w:name="_Toc184312105"/>
      <w:bookmarkEnd w:id="359"/>
      <w:bookmarkStart w:id="360" w:name="_Toc184310306"/>
      <w:bookmarkEnd w:id="360"/>
      <w:bookmarkStart w:id="361" w:name="_Toc184310276"/>
      <w:bookmarkEnd w:id="361"/>
      <w:bookmarkStart w:id="362" w:name="_Toc184313268"/>
      <w:bookmarkEnd w:id="362"/>
      <w:bookmarkStart w:id="363" w:name="_Toc184308069"/>
      <w:bookmarkEnd w:id="363"/>
      <w:bookmarkStart w:id="364" w:name="_Toc184314451"/>
      <w:bookmarkEnd w:id="364"/>
      <w:bookmarkStart w:id="365" w:name="_Toc184312121"/>
      <w:bookmarkEnd w:id="365"/>
      <w:bookmarkStart w:id="366" w:name="_Toc184313264"/>
      <w:bookmarkEnd w:id="366"/>
      <w:bookmarkStart w:id="367" w:name="_Toc184313281"/>
      <w:bookmarkEnd w:id="367"/>
      <w:bookmarkStart w:id="368" w:name="_Toc184312090"/>
      <w:bookmarkEnd w:id="368"/>
      <w:bookmarkStart w:id="369" w:name="_Toc184313248"/>
      <w:bookmarkEnd w:id="369"/>
      <w:bookmarkStart w:id="370" w:name="_Toc184313292"/>
      <w:bookmarkEnd w:id="370"/>
      <w:bookmarkStart w:id="371" w:name="_Toc184313285"/>
      <w:bookmarkEnd w:id="371"/>
      <w:bookmarkStart w:id="372" w:name="_Toc184313267"/>
      <w:bookmarkEnd w:id="372"/>
      <w:bookmarkStart w:id="373" w:name="_Toc184312078"/>
      <w:bookmarkEnd w:id="373"/>
      <w:bookmarkStart w:id="374" w:name="_Toc184308057"/>
      <w:bookmarkEnd w:id="374"/>
      <w:bookmarkStart w:id="375" w:name="_Toc184308075"/>
      <w:bookmarkEnd w:id="375"/>
      <w:bookmarkStart w:id="376" w:name="_Toc184312082"/>
      <w:bookmarkEnd w:id="376"/>
      <w:bookmarkStart w:id="377" w:name="_Toc184312129"/>
      <w:bookmarkEnd w:id="377"/>
      <w:bookmarkStart w:id="378" w:name="_Toc184310317"/>
      <w:bookmarkEnd w:id="378"/>
      <w:bookmarkStart w:id="379" w:name="_Toc184314441"/>
      <w:bookmarkEnd w:id="379"/>
      <w:bookmarkStart w:id="380" w:name="_Toc184313307"/>
      <w:bookmarkEnd w:id="380"/>
      <w:bookmarkStart w:id="381" w:name="_Toc184308089"/>
      <w:bookmarkEnd w:id="381"/>
      <w:bookmarkStart w:id="382" w:name="_Toc184308056"/>
      <w:bookmarkEnd w:id="382"/>
      <w:bookmarkStart w:id="383" w:name="_Toc184314431"/>
      <w:bookmarkEnd w:id="383"/>
      <w:bookmarkStart w:id="384" w:name="_Toc184312111"/>
      <w:bookmarkEnd w:id="384"/>
      <w:bookmarkStart w:id="385" w:name="_Toc184310342"/>
      <w:bookmarkEnd w:id="385"/>
      <w:bookmarkStart w:id="386" w:name="_Toc184314421"/>
      <w:bookmarkEnd w:id="386"/>
      <w:bookmarkStart w:id="387" w:name="_Toc184314448"/>
      <w:bookmarkEnd w:id="387"/>
      <w:bookmarkStart w:id="388" w:name="_Toc184310314"/>
      <w:bookmarkEnd w:id="388"/>
      <w:bookmarkStart w:id="389" w:name="_Toc184313247"/>
      <w:bookmarkEnd w:id="389"/>
      <w:bookmarkStart w:id="390" w:name="_Toc184310316"/>
      <w:bookmarkEnd w:id="390"/>
      <w:bookmarkStart w:id="391" w:name="_Toc184312117"/>
      <w:bookmarkEnd w:id="391"/>
      <w:bookmarkStart w:id="392" w:name="_Toc184314466"/>
      <w:bookmarkEnd w:id="392"/>
      <w:bookmarkStart w:id="393" w:name="_Toc184312100"/>
      <w:bookmarkEnd w:id="393"/>
      <w:bookmarkStart w:id="394" w:name="_Toc184313277"/>
      <w:bookmarkEnd w:id="394"/>
      <w:bookmarkStart w:id="395" w:name="_Toc184314477"/>
      <w:bookmarkEnd w:id="395"/>
      <w:r>
        <w:rPr>
          <w:rFonts w:hint="eastAsia" w:ascii="宋体" w:hAnsi="宋体" w:cs="宋体"/>
          <w:b/>
          <w:color w:val="auto"/>
          <w:sz w:val="36"/>
          <w:szCs w:val="36"/>
          <w:highlight w:val="none"/>
        </w:rPr>
        <w:t>评标办法</w:t>
      </w:r>
    </w:p>
    <w:p w14:paraId="7CF2F39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8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3"/>
        <w:gridCol w:w="3160"/>
        <w:gridCol w:w="864"/>
        <w:gridCol w:w="3260"/>
        <w:gridCol w:w="834"/>
        <w:gridCol w:w="1115"/>
      </w:tblGrid>
      <w:tr w14:paraId="78B69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6866D05C">
            <w:pPr>
              <w:snapToGrid w:val="0"/>
              <w:jc w:val="center"/>
              <w:rPr>
                <w:rFonts w:ascii="宋体" w:hAnsi="宋体" w:cs="宋体"/>
                <w:b/>
                <w:bCs/>
                <w:color w:val="auto"/>
                <w:sz w:val="18"/>
                <w:szCs w:val="18"/>
              </w:rPr>
            </w:pPr>
            <w:r>
              <w:rPr>
                <w:rFonts w:hint="eastAsia" w:ascii="宋体" w:hAnsi="宋体" w:cs="宋体"/>
                <w:b/>
                <w:bCs/>
                <w:color w:val="auto"/>
                <w:sz w:val="18"/>
                <w:szCs w:val="18"/>
              </w:rPr>
              <w:t>评分细则</w:t>
            </w: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1DC536D2">
            <w:pPr>
              <w:snapToGrid w:val="0"/>
              <w:jc w:val="center"/>
              <w:rPr>
                <w:rFonts w:ascii="宋体" w:hAnsi="宋体" w:cs="宋体"/>
                <w:b/>
                <w:bCs/>
                <w:color w:val="auto"/>
                <w:sz w:val="18"/>
                <w:szCs w:val="18"/>
              </w:rPr>
            </w:pPr>
            <w:r>
              <w:rPr>
                <w:rFonts w:hint="eastAsia" w:ascii="宋体" w:hAnsi="宋体" w:cs="宋体"/>
                <w:b/>
                <w:bCs/>
                <w:color w:val="auto"/>
                <w:sz w:val="18"/>
                <w:szCs w:val="18"/>
              </w:rPr>
              <w:t>评分细则内容</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573D208">
            <w:pPr>
              <w:snapToGrid w:val="0"/>
              <w:jc w:val="center"/>
              <w:rPr>
                <w:rFonts w:ascii="宋体" w:hAnsi="宋体" w:cs="宋体"/>
                <w:b/>
                <w:bCs/>
                <w:color w:val="auto"/>
                <w:sz w:val="18"/>
                <w:szCs w:val="18"/>
              </w:rPr>
            </w:pPr>
            <w:r>
              <w:rPr>
                <w:rFonts w:hint="eastAsia" w:ascii="宋体" w:hAnsi="宋体" w:cs="宋体"/>
                <w:b/>
                <w:bCs/>
                <w:color w:val="auto"/>
                <w:sz w:val="18"/>
                <w:szCs w:val="18"/>
              </w:rPr>
              <w:t>分值</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600CB07D">
            <w:pPr>
              <w:snapToGrid w:val="0"/>
              <w:jc w:val="center"/>
              <w:rPr>
                <w:rFonts w:ascii="宋体" w:hAnsi="宋体" w:cs="宋体"/>
                <w:b/>
                <w:bCs/>
                <w:color w:val="auto"/>
                <w:sz w:val="18"/>
                <w:szCs w:val="18"/>
              </w:rPr>
            </w:pPr>
            <w:r>
              <w:rPr>
                <w:rFonts w:hint="eastAsia" w:ascii="宋体" w:hAnsi="宋体" w:cs="宋体"/>
                <w:b/>
                <w:bCs/>
                <w:color w:val="auto"/>
                <w:sz w:val="18"/>
                <w:szCs w:val="18"/>
              </w:rPr>
              <w:t>细则解释</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6BEEB180">
            <w:pPr>
              <w:snapToGrid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主观分/客观分属性</w:t>
            </w: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2ED9E9E5">
            <w:pPr>
              <w:snapToGrid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投标文件中评标标准相应的商务技术资料目录*</w:t>
            </w:r>
          </w:p>
        </w:tc>
      </w:tr>
      <w:tr w14:paraId="33CE9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0" w:type="pct"/>
            <w:gridSpan w:val="2"/>
            <w:tcBorders>
              <w:top w:val="single" w:color="000000" w:sz="4" w:space="0"/>
              <w:left w:val="single" w:color="000000" w:sz="4" w:space="0"/>
              <w:bottom w:val="single" w:color="000000" w:sz="4" w:space="0"/>
              <w:right w:val="single" w:color="000000" w:sz="4" w:space="0"/>
            </w:tcBorders>
            <w:noWrap w:val="0"/>
            <w:vAlign w:val="center"/>
          </w:tcPr>
          <w:p w14:paraId="16B352BF">
            <w:pPr>
              <w:snapToGrid w:val="0"/>
              <w:jc w:val="center"/>
              <w:rPr>
                <w:rFonts w:ascii="宋体" w:hAnsi="宋体" w:cs="宋体"/>
                <w:b/>
                <w:bCs/>
                <w:color w:val="auto"/>
                <w:sz w:val="18"/>
                <w:szCs w:val="18"/>
              </w:rPr>
            </w:pPr>
            <w:r>
              <w:rPr>
                <w:rFonts w:hint="eastAsia" w:ascii="宋体" w:hAnsi="宋体" w:cs="宋体"/>
                <w:b/>
                <w:bCs/>
                <w:color w:val="auto"/>
                <w:sz w:val="18"/>
                <w:szCs w:val="18"/>
              </w:rPr>
              <w:t>技术分</w:t>
            </w:r>
          </w:p>
        </w:tc>
        <w:tc>
          <w:tcPr>
            <w:tcW w:w="435" w:type="pct"/>
            <w:tcBorders>
              <w:top w:val="single" w:color="000000" w:sz="4" w:space="0"/>
              <w:left w:val="single" w:color="000000" w:sz="4" w:space="0"/>
              <w:bottom w:val="single" w:color="000000" w:sz="4" w:space="0"/>
              <w:right w:val="single" w:color="000000" w:sz="4" w:space="0"/>
            </w:tcBorders>
            <w:noWrap w:val="0"/>
            <w:vAlign w:val="top"/>
          </w:tcPr>
          <w:p w14:paraId="7EC2C8FB">
            <w:pPr>
              <w:snapToGrid w:val="0"/>
              <w:jc w:val="center"/>
              <w:rPr>
                <w:rFonts w:ascii="宋体" w:hAnsi="宋体" w:cs="宋体"/>
                <w:b/>
                <w:bCs/>
                <w:color w:val="auto"/>
                <w:sz w:val="18"/>
                <w:szCs w:val="18"/>
              </w:rPr>
            </w:pPr>
            <w:r>
              <w:rPr>
                <w:rFonts w:hint="eastAsia" w:ascii="宋体" w:hAnsi="宋体" w:cs="宋体"/>
                <w:b/>
                <w:bCs/>
                <w:color w:val="auto"/>
                <w:sz w:val="18"/>
                <w:szCs w:val="18"/>
                <w:lang w:val="en-US" w:eastAsia="zh-CN"/>
              </w:rPr>
              <w:t>78</w:t>
            </w:r>
            <w:r>
              <w:rPr>
                <w:rFonts w:hint="eastAsia" w:ascii="宋体" w:hAnsi="宋体" w:cs="宋体"/>
                <w:b/>
                <w:bCs/>
                <w:color w:val="auto"/>
                <w:sz w:val="18"/>
                <w:szCs w:val="18"/>
              </w:rPr>
              <w:t>分</w:t>
            </w:r>
          </w:p>
        </w:tc>
        <w:tc>
          <w:tcPr>
            <w:tcW w:w="1641" w:type="pct"/>
            <w:tcBorders>
              <w:top w:val="single" w:color="000000" w:sz="4" w:space="0"/>
              <w:left w:val="single" w:color="000000" w:sz="4" w:space="0"/>
              <w:bottom w:val="single" w:color="000000" w:sz="4" w:space="0"/>
              <w:right w:val="single" w:color="000000" w:sz="4" w:space="0"/>
            </w:tcBorders>
            <w:noWrap w:val="0"/>
            <w:vAlign w:val="top"/>
          </w:tcPr>
          <w:p w14:paraId="1D65B7FB">
            <w:pPr>
              <w:snapToGrid w:val="0"/>
              <w:jc w:val="center"/>
              <w:rPr>
                <w:rFonts w:ascii="宋体" w:hAnsi="宋体" w:cs="宋体"/>
                <w:b/>
                <w:bCs/>
                <w:color w:val="auto"/>
                <w:sz w:val="18"/>
                <w:szCs w:val="18"/>
              </w:rPr>
            </w:pP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046E0C65">
            <w:pPr>
              <w:snapToGrid w:val="0"/>
              <w:spacing w:line="360" w:lineRule="auto"/>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w:t>
            </w: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5086BEBB">
            <w:pPr>
              <w:snapToGrid w:val="0"/>
              <w:spacing w:line="360" w:lineRule="auto"/>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w:t>
            </w:r>
          </w:p>
        </w:tc>
      </w:tr>
      <w:tr w14:paraId="1243A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6B1C427B">
            <w:pPr>
              <w:snapToGrid w:val="0"/>
              <w:jc w:val="center"/>
              <w:rPr>
                <w:rFonts w:ascii="宋体" w:hAnsi="宋体"/>
                <w:color w:val="auto"/>
                <w:sz w:val="18"/>
                <w:szCs w:val="18"/>
              </w:rPr>
            </w:pPr>
            <w:r>
              <w:rPr>
                <w:rFonts w:hint="eastAsia" w:ascii="宋体" w:hAnsi="宋体"/>
                <w:color w:val="auto"/>
                <w:sz w:val="18"/>
                <w:szCs w:val="18"/>
              </w:rPr>
              <w:t>技术响应程度</w:t>
            </w: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5AFE87DE">
            <w:pPr>
              <w:snapToGrid w:val="0"/>
              <w:rPr>
                <w:rFonts w:ascii="宋体" w:hAnsi="宋体"/>
                <w:color w:val="auto"/>
                <w:sz w:val="18"/>
                <w:szCs w:val="18"/>
              </w:rPr>
            </w:pPr>
            <w:r>
              <w:rPr>
                <w:rFonts w:hint="eastAsia" w:ascii="宋体" w:hAnsi="宋体"/>
                <w:color w:val="auto"/>
                <w:sz w:val="18"/>
                <w:szCs w:val="18"/>
              </w:rPr>
              <w:t>在投标单位针对本项目的评估要求，提供的服务承诺和完整的技术解决方案中，其承诺和解决方案满足本项目采购文件要求</w:t>
            </w:r>
            <w:r>
              <w:rPr>
                <w:rFonts w:hint="eastAsia" w:ascii="宋体" w:hAnsi="宋体"/>
                <w:color w:val="auto"/>
                <w:sz w:val="18"/>
                <w:szCs w:val="18"/>
                <w:lang w:val="en-US" w:eastAsia="zh-CN"/>
              </w:rPr>
              <w:t>中“评估要求”和“总结报告”要求的</w:t>
            </w:r>
            <w:r>
              <w:rPr>
                <w:rFonts w:hint="eastAsia" w:ascii="宋体" w:hAnsi="宋体"/>
                <w:color w:val="auto"/>
                <w:sz w:val="18"/>
                <w:szCs w:val="18"/>
              </w:rPr>
              <w:t>得1</w:t>
            </w:r>
            <w:r>
              <w:rPr>
                <w:rFonts w:hint="eastAsia" w:ascii="宋体" w:hAnsi="宋体"/>
                <w:color w:val="auto"/>
                <w:sz w:val="18"/>
                <w:szCs w:val="18"/>
                <w:lang w:val="en-US" w:eastAsia="zh-CN"/>
              </w:rPr>
              <w:t>1</w:t>
            </w:r>
            <w:r>
              <w:rPr>
                <w:rFonts w:hint="eastAsia" w:ascii="宋体" w:hAnsi="宋体"/>
                <w:color w:val="auto"/>
                <w:sz w:val="18"/>
                <w:szCs w:val="18"/>
              </w:rPr>
              <w:t>分，低于招标需求（非实质性负偏离）的，经由专家组评议后，每一项减1分，扣完为止（</w:t>
            </w:r>
            <w:r>
              <w:rPr>
                <w:rFonts w:hint="eastAsia" w:ascii="宋体" w:hAnsi="宋体"/>
                <w:color w:val="auto"/>
                <w:sz w:val="18"/>
                <w:szCs w:val="18"/>
                <w:lang w:val="en-US" w:eastAsia="zh-CN"/>
              </w:rPr>
              <w:t>11</w:t>
            </w:r>
            <w:r>
              <w:rPr>
                <w:rFonts w:hint="eastAsia" w:ascii="宋体" w:hAnsi="宋体"/>
                <w:color w:val="auto"/>
                <w:sz w:val="18"/>
                <w:szCs w:val="18"/>
              </w:rPr>
              <w:t>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0E363F1">
            <w:pPr>
              <w:snapToGrid w:val="0"/>
              <w:jc w:val="center"/>
              <w:rPr>
                <w:rFonts w:ascii="宋体" w:hAnsi="宋体" w:cs="宋体"/>
                <w:color w:val="auto"/>
                <w:sz w:val="18"/>
                <w:szCs w:val="18"/>
              </w:rPr>
            </w:pPr>
            <w:r>
              <w:rPr>
                <w:rFonts w:hint="eastAsia" w:ascii="宋体" w:hAnsi="宋体" w:cs="宋体"/>
                <w:color w:val="auto"/>
                <w:sz w:val="18"/>
                <w:szCs w:val="18"/>
              </w:rPr>
              <w:t>0-</w:t>
            </w:r>
            <w:r>
              <w:rPr>
                <w:rFonts w:hint="eastAsia" w:ascii="宋体" w:hAnsi="宋体" w:cs="宋体"/>
                <w:color w:val="auto"/>
                <w:sz w:val="18"/>
                <w:szCs w:val="18"/>
                <w:lang w:val="en-US" w:eastAsia="zh-CN"/>
              </w:rPr>
              <w:t>11</w:t>
            </w:r>
            <w:r>
              <w:rPr>
                <w:rFonts w:hint="eastAsia" w:ascii="宋体" w:hAnsi="宋体" w:cs="宋体"/>
                <w:color w:val="auto"/>
                <w:sz w:val="18"/>
                <w:szCs w:val="18"/>
              </w:rPr>
              <w:t>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71D7452F">
            <w:pPr>
              <w:snapToGrid w:val="0"/>
              <w:rPr>
                <w:rFonts w:ascii="宋体" w:hAnsi="宋体" w:cs="宋体"/>
                <w:color w:val="auto"/>
                <w:sz w:val="18"/>
                <w:szCs w:val="18"/>
              </w:rPr>
            </w:pPr>
            <w:r>
              <w:rPr>
                <w:rFonts w:hint="eastAsia" w:ascii="宋体" w:hAnsi="宋体" w:cs="宋体"/>
                <w:color w:val="auto"/>
                <w:sz w:val="18"/>
                <w:szCs w:val="18"/>
              </w:rPr>
              <w:t>根据投标单位提出的具体实施方案及技术偏离说明表的偏离情况进行评分。技术偏离表中未表明负偏离，但具体实施方案中不能充分表达满足招标需求的，视作负偏离</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5CB95B7A">
            <w:pPr>
              <w:snapToGrid w:val="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客观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6C467E40">
            <w:pPr>
              <w:snapToGrid w:val="0"/>
              <w:rPr>
                <w:rFonts w:hint="eastAsia" w:ascii="宋体" w:hAnsi="宋体" w:cs="宋体"/>
                <w:color w:val="auto"/>
                <w:sz w:val="18"/>
                <w:szCs w:val="18"/>
              </w:rPr>
            </w:pPr>
          </w:p>
        </w:tc>
      </w:tr>
      <w:tr w14:paraId="7E772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11647574">
            <w:pPr>
              <w:snapToGrid w:val="0"/>
              <w:jc w:val="center"/>
              <w:rPr>
                <w:rFonts w:ascii="宋体" w:hAnsi="宋体"/>
                <w:color w:val="auto"/>
                <w:sz w:val="18"/>
                <w:szCs w:val="18"/>
              </w:rPr>
            </w:pPr>
            <w:r>
              <w:rPr>
                <w:rFonts w:hint="eastAsia" w:ascii="宋体" w:hAnsi="宋体"/>
                <w:color w:val="auto"/>
                <w:sz w:val="18"/>
                <w:szCs w:val="18"/>
              </w:rPr>
              <w:t>对项目的理解程度</w:t>
            </w: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15319FFF">
            <w:pPr>
              <w:snapToGrid w:val="0"/>
              <w:rPr>
                <w:rFonts w:ascii="宋体" w:hAnsi="宋体"/>
                <w:color w:val="auto"/>
                <w:sz w:val="18"/>
                <w:szCs w:val="18"/>
              </w:rPr>
            </w:pPr>
            <w:r>
              <w:rPr>
                <w:rFonts w:hint="eastAsia" w:ascii="宋体" w:hAnsi="宋体"/>
                <w:color w:val="auto"/>
                <w:sz w:val="18"/>
                <w:szCs w:val="18"/>
              </w:rPr>
              <w:t>在投标单位针对本项目完整的技术解决方案中，列明相关法律法规、技术标准等工作依据的完整程度。（</w:t>
            </w:r>
            <w:r>
              <w:rPr>
                <w:rFonts w:hint="eastAsia" w:ascii="宋体" w:hAnsi="宋体"/>
                <w:color w:val="auto"/>
                <w:sz w:val="18"/>
                <w:szCs w:val="18"/>
                <w:lang w:val="en-US" w:eastAsia="zh-CN"/>
              </w:rPr>
              <w:t>7</w:t>
            </w:r>
            <w:r>
              <w:rPr>
                <w:rFonts w:hint="eastAsia" w:ascii="宋体" w:hAnsi="宋体"/>
                <w:color w:val="auto"/>
                <w:sz w:val="18"/>
                <w:szCs w:val="18"/>
              </w:rPr>
              <w:t>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B264E5E">
            <w:pPr>
              <w:snapToGrid w:val="0"/>
              <w:jc w:val="center"/>
              <w:rPr>
                <w:rFonts w:ascii="宋体" w:hAnsi="宋体" w:cs="宋体"/>
                <w:color w:val="auto"/>
                <w:sz w:val="18"/>
                <w:szCs w:val="18"/>
              </w:rPr>
            </w:pPr>
            <w:r>
              <w:rPr>
                <w:rFonts w:hint="eastAsia" w:ascii="宋体" w:hAnsi="宋体" w:cs="宋体"/>
                <w:color w:val="auto"/>
                <w:sz w:val="18"/>
                <w:szCs w:val="18"/>
              </w:rPr>
              <w:t>0-</w:t>
            </w:r>
            <w:r>
              <w:rPr>
                <w:rFonts w:hint="eastAsia" w:ascii="宋体" w:hAnsi="宋体" w:cs="宋体"/>
                <w:color w:val="auto"/>
                <w:sz w:val="18"/>
                <w:szCs w:val="18"/>
                <w:lang w:val="en-US" w:eastAsia="zh-CN"/>
              </w:rPr>
              <w:t>7</w:t>
            </w:r>
            <w:r>
              <w:rPr>
                <w:rFonts w:hint="eastAsia" w:ascii="宋体" w:hAnsi="宋体" w:cs="宋体"/>
                <w:color w:val="auto"/>
                <w:sz w:val="18"/>
                <w:szCs w:val="18"/>
              </w:rPr>
              <w:t>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4715A665">
            <w:pPr>
              <w:snapToGrid w:val="0"/>
              <w:rPr>
                <w:rFonts w:ascii="宋体" w:hAnsi="宋体"/>
                <w:color w:val="auto"/>
                <w:sz w:val="18"/>
                <w:szCs w:val="18"/>
              </w:rPr>
            </w:pPr>
            <w:r>
              <w:rPr>
                <w:rFonts w:hint="eastAsia" w:ascii="宋体" w:hAnsi="宋体"/>
                <w:color w:val="auto"/>
                <w:sz w:val="18"/>
                <w:szCs w:val="18"/>
              </w:rPr>
              <w:t>根据投标单位列明的有效标列明</w:t>
            </w:r>
            <w:r>
              <w:rPr>
                <w:rFonts w:hint="eastAsia" w:ascii="宋体" w:hAnsi="宋体"/>
                <w:color w:val="auto"/>
                <w:sz w:val="18"/>
                <w:szCs w:val="18"/>
                <w:lang w:val="en-US" w:eastAsia="zh-CN"/>
              </w:rPr>
              <w:t>国家、省、市</w:t>
            </w:r>
            <w:r>
              <w:rPr>
                <w:rFonts w:hint="eastAsia" w:ascii="宋体" w:hAnsi="宋体"/>
                <w:color w:val="auto"/>
                <w:sz w:val="18"/>
                <w:szCs w:val="18"/>
              </w:rPr>
              <w:t>相关法律法规、技术标准（名称、版本）进行评分</w:t>
            </w:r>
          </w:p>
          <w:p w14:paraId="646C622E">
            <w:pPr>
              <w:snapToGrid w:val="0"/>
              <w:rPr>
                <w:rFonts w:hint="eastAsia" w:ascii="宋体" w:hAnsi="宋体" w:eastAsia="宋体" w:cs="宋体"/>
                <w:b/>
                <w:bCs/>
                <w:color w:val="auto"/>
                <w:sz w:val="18"/>
                <w:szCs w:val="18"/>
                <w:lang w:eastAsia="zh-CN"/>
              </w:rPr>
            </w:pPr>
            <w:r>
              <w:rPr>
                <w:rFonts w:hint="eastAsia" w:ascii="宋体" w:hAnsi="宋体"/>
                <w:b/>
                <w:bCs/>
                <w:color w:val="auto"/>
                <w:sz w:val="18"/>
                <w:szCs w:val="18"/>
                <w:lang w:val="en-US" w:eastAsia="zh-CN"/>
              </w:rPr>
              <w:t>提供</w:t>
            </w:r>
            <w:r>
              <w:rPr>
                <w:rFonts w:hint="eastAsia" w:ascii="宋体" w:hAnsi="宋体"/>
                <w:b/>
                <w:bCs/>
                <w:color w:val="auto"/>
                <w:sz w:val="18"/>
                <w:szCs w:val="18"/>
              </w:rPr>
              <w:t>相关法律法规、技术标准等工作依据准确</w:t>
            </w:r>
            <w:r>
              <w:rPr>
                <w:rFonts w:hint="eastAsia" w:ascii="宋体" w:hAnsi="宋体"/>
                <w:b/>
                <w:bCs/>
                <w:color w:val="auto"/>
                <w:sz w:val="18"/>
                <w:szCs w:val="18"/>
                <w:lang w:val="en-US" w:eastAsia="zh-CN"/>
              </w:rPr>
              <w:t>的，每项得0.15</w:t>
            </w:r>
            <w:r>
              <w:rPr>
                <w:rFonts w:hint="eastAsia" w:ascii="宋体" w:hAnsi="宋体"/>
                <w:b/>
                <w:bCs/>
                <w:color w:val="auto"/>
                <w:sz w:val="18"/>
                <w:szCs w:val="18"/>
              </w:rPr>
              <w:t>分，</w:t>
            </w:r>
            <w:r>
              <w:rPr>
                <w:rFonts w:hint="eastAsia" w:ascii="宋体" w:hAnsi="宋体"/>
                <w:b/>
                <w:bCs/>
                <w:color w:val="auto"/>
                <w:sz w:val="18"/>
                <w:szCs w:val="18"/>
                <w:lang w:val="en-US" w:eastAsia="zh-CN"/>
              </w:rPr>
              <w:t>最高得7分。表达不明确或引用</w:t>
            </w:r>
            <w:r>
              <w:rPr>
                <w:rFonts w:hint="eastAsia" w:ascii="宋体" w:hAnsi="宋体"/>
                <w:b/>
                <w:bCs/>
                <w:color w:val="auto"/>
                <w:sz w:val="18"/>
                <w:szCs w:val="18"/>
              </w:rPr>
              <w:t>错误</w:t>
            </w:r>
            <w:r>
              <w:rPr>
                <w:rFonts w:hint="eastAsia" w:ascii="宋体" w:hAnsi="宋体"/>
                <w:b/>
                <w:bCs/>
                <w:color w:val="auto"/>
                <w:sz w:val="18"/>
                <w:szCs w:val="18"/>
                <w:lang w:val="en-US" w:eastAsia="zh-CN"/>
              </w:rPr>
              <w:t>的不加分。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0A867">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客观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356AB55C">
            <w:pPr>
              <w:snapToGrid w:val="0"/>
              <w:rPr>
                <w:rFonts w:hint="eastAsia" w:ascii="宋体" w:hAnsi="宋体"/>
                <w:b/>
                <w:bCs/>
                <w:color w:val="auto"/>
                <w:sz w:val="18"/>
                <w:szCs w:val="18"/>
              </w:rPr>
            </w:pPr>
          </w:p>
        </w:tc>
      </w:tr>
      <w:tr w14:paraId="63992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right w:val="single" w:color="000000" w:sz="4" w:space="0"/>
            </w:tcBorders>
            <w:noWrap w:val="0"/>
            <w:vAlign w:val="center"/>
          </w:tcPr>
          <w:p w14:paraId="21CBBCD0">
            <w:pPr>
              <w:snapToGrid w:val="0"/>
              <w:jc w:val="center"/>
              <w:rPr>
                <w:rFonts w:ascii="宋体" w:hAnsi="宋体"/>
                <w:color w:val="auto"/>
                <w:sz w:val="18"/>
                <w:szCs w:val="18"/>
              </w:rPr>
            </w:pPr>
            <w:r>
              <w:rPr>
                <w:rFonts w:hint="eastAsia" w:ascii="宋体" w:hAnsi="宋体"/>
                <w:color w:val="auto"/>
                <w:sz w:val="18"/>
                <w:szCs w:val="18"/>
              </w:rPr>
              <w:t>项目实施方案</w:t>
            </w: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6E1B1B21">
            <w:pPr>
              <w:snapToGrid w:val="0"/>
              <w:rPr>
                <w:rFonts w:ascii="宋体" w:hAnsi="宋体" w:cs="宋体"/>
                <w:color w:val="auto"/>
                <w:sz w:val="18"/>
                <w:szCs w:val="18"/>
              </w:rPr>
            </w:pPr>
            <w:r>
              <w:rPr>
                <w:rFonts w:hint="eastAsia" w:ascii="宋体" w:hAnsi="宋体" w:cs="宋体"/>
                <w:color w:val="auto"/>
                <w:sz w:val="18"/>
                <w:szCs w:val="18"/>
              </w:rPr>
              <w:t>项目实施方案的科学性、严密性、合理性（15分），其中：</w:t>
            </w:r>
          </w:p>
          <w:p w14:paraId="0F31AF47">
            <w:pPr>
              <w:snapToGrid w:val="0"/>
              <w:rPr>
                <w:rFonts w:hint="eastAsia" w:ascii="宋体" w:hAnsi="宋体" w:cs="宋体"/>
                <w:color w:val="auto"/>
                <w:sz w:val="18"/>
                <w:szCs w:val="18"/>
              </w:rPr>
            </w:pPr>
          </w:p>
          <w:p w14:paraId="376514DC">
            <w:pPr>
              <w:snapToGrid w:val="0"/>
              <w:rPr>
                <w:rFonts w:ascii="宋体" w:hAnsi="宋体" w:cs="宋体"/>
                <w:color w:val="auto"/>
                <w:sz w:val="18"/>
                <w:szCs w:val="18"/>
              </w:rPr>
            </w:pPr>
            <w:r>
              <w:rPr>
                <w:rFonts w:hint="eastAsia" w:ascii="宋体" w:hAnsi="宋体" w:cs="宋体"/>
                <w:color w:val="auto"/>
                <w:sz w:val="18"/>
                <w:szCs w:val="18"/>
              </w:rPr>
              <w:t>检查策划文档（3分）</w:t>
            </w:r>
          </w:p>
          <w:p w14:paraId="3B11B7A5">
            <w:pPr>
              <w:snapToGrid w:val="0"/>
              <w:rPr>
                <w:rFonts w:ascii="宋体" w:hAnsi="宋体" w:cs="宋体"/>
                <w:color w:val="auto"/>
                <w:sz w:val="18"/>
                <w:szCs w:val="18"/>
              </w:rPr>
            </w:pPr>
            <w:r>
              <w:rPr>
                <w:rFonts w:hint="eastAsia" w:ascii="宋体" w:hAnsi="宋体" w:cs="宋体"/>
                <w:color w:val="auto"/>
                <w:sz w:val="18"/>
                <w:szCs w:val="18"/>
              </w:rPr>
              <w:t>检查实施记录文档（3分）</w:t>
            </w:r>
          </w:p>
          <w:p w14:paraId="23EC40AC">
            <w:pPr>
              <w:snapToGrid w:val="0"/>
              <w:rPr>
                <w:rFonts w:ascii="宋体" w:hAnsi="宋体" w:cs="宋体"/>
                <w:color w:val="auto"/>
                <w:sz w:val="18"/>
                <w:szCs w:val="18"/>
              </w:rPr>
            </w:pPr>
            <w:r>
              <w:rPr>
                <w:rFonts w:hint="eastAsia" w:cs="宋体"/>
                <w:color w:val="auto"/>
                <w:sz w:val="18"/>
                <w:szCs w:val="18"/>
              </w:rPr>
              <w:t>检查报</w:t>
            </w:r>
            <w:r>
              <w:rPr>
                <w:rFonts w:hint="eastAsia" w:ascii="宋体" w:hAnsi="宋体" w:cs="宋体"/>
                <w:color w:val="auto"/>
                <w:sz w:val="18"/>
                <w:szCs w:val="18"/>
              </w:rPr>
              <w:t>告文档（6分）</w:t>
            </w:r>
          </w:p>
          <w:p w14:paraId="444B31C1">
            <w:pPr>
              <w:snapToGrid w:val="0"/>
              <w:rPr>
                <w:color w:val="auto"/>
              </w:rPr>
            </w:pPr>
            <w:r>
              <w:rPr>
                <w:rFonts w:hint="eastAsia" w:ascii="宋体" w:hAnsi="宋体" w:cs="宋体"/>
                <w:color w:val="auto"/>
                <w:sz w:val="18"/>
                <w:szCs w:val="18"/>
              </w:rPr>
              <w:t>汇总分析总结报告</w:t>
            </w:r>
            <w:r>
              <w:rPr>
                <w:rFonts w:hint="eastAsia" w:cs="宋体"/>
                <w:color w:val="auto"/>
                <w:sz w:val="18"/>
                <w:szCs w:val="18"/>
              </w:rPr>
              <w:t>文档</w:t>
            </w:r>
            <w:r>
              <w:rPr>
                <w:rFonts w:hint="eastAsia" w:ascii="宋体" w:hAnsi="宋体" w:cs="宋体"/>
                <w:color w:val="auto"/>
                <w:sz w:val="18"/>
                <w:szCs w:val="18"/>
              </w:rPr>
              <w:t>（3分）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C21CFE7">
            <w:pPr>
              <w:snapToGrid w:val="0"/>
              <w:jc w:val="center"/>
              <w:rPr>
                <w:rFonts w:ascii="宋体" w:hAnsi="宋体" w:cs="宋体"/>
                <w:color w:val="auto"/>
                <w:sz w:val="18"/>
                <w:szCs w:val="18"/>
              </w:rPr>
            </w:pPr>
            <w:r>
              <w:rPr>
                <w:rFonts w:hint="eastAsia" w:ascii="宋体" w:hAnsi="宋体" w:cs="宋体"/>
                <w:color w:val="auto"/>
                <w:sz w:val="18"/>
                <w:szCs w:val="18"/>
              </w:rPr>
              <w:t>0-15分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55254B41">
            <w:pPr>
              <w:snapToGrid w:val="0"/>
              <w:rPr>
                <w:rFonts w:ascii="宋体" w:hAnsi="宋体" w:cs="宋体"/>
                <w:color w:val="auto"/>
                <w:sz w:val="18"/>
                <w:szCs w:val="18"/>
              </w:rPr>
            </w:pPr>
            <w:r>
              <w:rPr>
                <w:rFonts w:hint="eastAsia" w:ascii="宋体" w:hAnsi="宋体" w:cs="宋体"/>
                <w:color w:val="auto"/>
                <w:sz w:val="18"/>
                <w:szCs w:val="18"/>
              </w:rPr>
              <w:t>检查策划文档（3分）：</w:t>
            </w:r>
            <w:r>
              <w:rPr>
                <w:rFonts w:hint="eastAsia" w:ascii="宋体" w:hAnsi="宋体"/>
                <w:color w:val="auto"/>
                <w:sz w:val="18"/>
                <w:szCs w:val="18"/>
              </w:rPr>
              <w:t>是否具有针对每个领域、每类项目的检查作业指导文件，作业指导文件充分、准确、可操作，以保障服务质量。每提供一个满足要求的完整作业指导文件得1分，最高得3分。（3分）</w:t>
            </w:r>
          </w:p>
          <w:p w14:paraId="14889187">
            <w:pPr>
              <w:snapToGrid w:val="0"/>
              <w:rPr>
                <w:rFonts w:ascii="宋体" w:hAnsi="宋体" w:cs="宋体"/>
                <w:color w:val="auto"/>
                <w:sz w:val="18"/>
                <w:szCs w:val="18"/>
              </w:rPr>
            </w:pPr>
            <w:r>
              <w:rPr>
                <w:rFonts w:hint="eastAsia" w:ascii="宋体" w:hAnsi="宋体" w:cs="宋体"/>
                <w:color w:val="auto"/>
                <w:sz w:val="18"/>
                <w:szCs w:val="18"/>
              </w:rPr>
              <w:t>检查实施记录文档（3分）：</w:t>
            </w:r>
            <w:r>
              <w:rPr>
                <w:rFonts w:hint="eastAsia" w:ascii="宋体" w:hAnsi="宋体"/>
                <w:color w:val="auto"/>
                <w:sz w:val="18"/>
                <w:szCs w:val="18"/>
              </w:rPr>
              <w:t>是否具有针对每个领域、每类项目的</w:t>
            </w:r>
            <w:r>
              <w:rPr>
                <w:rFonts w:hint="eastAsia" w:ascii="宋体" w:hAnsi="宋体" w:cs="宋体"/>
                <w:color w:val="auto"/>
                <w:sz w:val="18"/>
                <w:szCs w:val="18"/>
              </w:rPr>
              <w:t>检查实施记录格式文档，内容涵盖适用法规与质量管理规范条款，并互为对应。</w:t>
            </w:r>
            <w:r>
              <w:rPr>
                <w:rFonts w:hint="eastAsia" w:ascii="宋体" w:hAnsi="宋体"/>
                <w:color w:val="auto"/>
                <w:sz w:val="18"/>
                <w:szCs w:val="18"/>
              </w:rPr>
              <w:t>每提供一个满足要求的完整</w:t>
            </w:r>
            <w:r>
              <w:rPr>
                <w:rFonts w:hint="eastAsia" w:ascii="宋体" w:hAnsi="宋体" w:cs="宋体"/>
                <w:color w:val="auto"/>
                <w:sz w:val="18"/>
                <w:szCs w:val="18"/>
              </w:rPr>
              <w:t>检查实施记录格式</w:t>
            </w:r>
            <w:r>
              <w:rPr>
                <w:rFonts w:hint="eastAsia" w:ascii="宋体" w:hAnsi="宋体"/>
                <w:color w:val="auto"/>
                <w:sz w:val="18"/>
                <w:szCs w:val="18"/>
              </w:rPr>
              <w:t>得1分，最高得3分。（3分）</w:t>
            </w:r>
          </w:p>
          <w:p w14:paraId="35C47BA2">
            <w:pPr>
              <w:snapToGrid w:val="0"/>
              <w:rPr>
                <w:rFonts w:ascii="宋体" w:hAnsi="宋体" w:cs="宋体"/>
                <w:color w:val="auto"/>
                <w:sz w:val="18"/>
                <w:szCs w:val="18"/>
              </w:rPr>
            </w:pPr>
            <w:r>
              <w:rPr>
                <w:rFonts w:hint="eastAsia" w:cs="宋体"/>
                <w:color w:val="auto"/>
                <w:sz w:val="18"/>
                <w:szCs w:val="18"/>
              </w:rPr>
              <w:t>检查报</w:t>
            </w:r>
            <w:r>
              <w:rPr>
                <w:rFonts w:hint="eastAsia" w:ascii="宋体" w:hAnsi="宋体" w:cs="宋体"/>
                <w:color w:val="auto"/>
                <w:sz w:val="18"/>
                <w:szCs w:val="18"/>
              </w:rPr>
              <w:t>告文档（6分）：</w:t>
            </w:r>
            <w:r>
              <w:rPr>
                <w:rFonts w:hint="eastAsia" w:ascii="宋体" w:hAnsi="宋体"/>
                <w:color w:val="auto"/>
                <w:sz w:val="18"/>
                <w:szCs w:val="18"/>
              </w:rPr>
              <w:t>是否具有针对每个领域、每类项目的</w:t>
            </w:r>
            <w:r>
              <w:rPr>
                <w:rFonts w:hint="eastAsia" w:ascii="宋体" w:hAnsi="宋体" w:cs="宋体"/>
                <w:color w:val="auto"/>
                <w:sz w:val="18"/>
                <w:szCs w:val="18"/>
              </w:rPr>
              <w:t>检查报告格式文档，对发现的问题分类/打分，并形成总体评价意见。并明确整改方式和要求。</w:t>
            </w:r>
            <w:r>
              <w:rPr>
                <w:rFonts w:hint="eastAsia" w:ascii="宋体" w:hAnsi="宋体"/>
                <w:color w:val="auto"/>
                <w:sz w:val="18"/>
                <w:szCs w:val="18"/>
              </w:rPr>
              <w:t>文档中包含企业基本情况、检查内容、发现问题、整改要求及期限、整改审核内容的每份完整文档得2分，最高得6分。（6分）</w:t>
            </w:r>
          </w:p>
          <w:p w14:paraId="04C33281">
            <w:pPr>
              <w:snapToGrid w:val="0"/>
              <w:rPr>
                <w:b/>
                <w:bCs/>
                <w:color w:val="auto"/>
              </w:rPr>
            </w:pPr>
            <w:r>
              <w:rPr>
                <w:rFonts w:hint="eastAsia" w:ascii="宋体" w:hAnsi="宋体" w:cs="宋体"/>
                <w:color w:val="auto"/>
                <w:sz w:val="18"/>
                <w:szCs w:val="18"/>
              </w:rPr>
              <w:t>汇总分析总结报告</w:t>
            </w:r>
            <w:r>
              <w:rPr>
                <w:rFonts w:hint="eastAsia" w:cs="宋体"/>
                <w:color w:val="auto"/>
                <w:sz w:val="18"/>
                <w:szCs w:val="18"/>
              </w:rPr>
              <w:t>文档</w:t>
            </w:r>
            <w:r>
              <w:rPr>
                <w:rFonts w:hint="eastAsia" w:ascii="宋体" w:hAnsi="宋体" w:cs="宋体"/>
                <w:color w:val="auto"/>
                <w:sz w:val="18"/>
                <w:szCs w:val="18"/>
              </w:rPr>
              <w:t>（3分）</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是</w:t>
            </w:r>
            <w:r>
              <w:rPr>
                <w:rFonts w:hint="eastAsia" w:ascii="宋体" w:hAnsi="宋体"/>
                <w:color w:val="auto"/>
                <w:sz w:val="18"/>
                <w:szCs w:val="18"/>
              </w:rPr>
              <w:t>否具有针对每个领域、每类项目的</w:t>
            </w:r>
            <w:r>
              <w:rPr>
                <w:rFonts w:hint="eastAsia" w:ascii="宋体" w:hAnsi="宋体" w:cs="宋体"/>
                <w:color w:val="auto"/>
                <w:sz w:val="18"/>
                <w:szCs w:val="18"/>
              </w:rPr>
              <w:t>汇总分析总结报告格式文档，提交检查结果数据、对发现的问题的总体分类，识别主要风险，进行原因分析和改进建议。每</w:t>
            </w:r>
            <w:r>
              <w:rPr>
                <w:rFonts w:hint="eastAsia" w:ascii="宋体" w:hAnsi="宋体"/>
                <w:color w:val="auto"/>
                <w:sz w:val="18"/>
                <w:szCs w:val="18"/>
              </w:rPr>
              <w:t>提供一个完整的</w:t>
            </w:r>
            <w:r>
              <w:rPr>
                <w:rFonts w:hint="eastAsia" w:ascii="宋体" w:hAnsi="宋体" w:cs="宋体"/>
                <w:color w:val="auto"/>
                <w:sz w:val="18"/>
                <w:szCs w:val="18"/>
              </w:rPr>
              <w:t>汇总分析总结报告格式文档</w:t>
            </w:r>
            <w:r>
              <w:rPr>
                <w:rFonts w:hint="eastAsia" w:ascii="宋体" w:hAnsi="宋体"/>
                <w:color w:val="auto"/>
                <w:sz w:val="18"/>
                <w:szCs w:val="18"/>
              </w:rPr>
              <w:t>得1分，最高得3分。（3分）</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238DE4D0">
            <w:pPr>
              <w:snapToGrid w:val="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主观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36F71B5F">
            <w:pPr>
              <w:snapToGrid w:val="0"/>
              <w:rPr>
                <w:rFonts w:hint="eastAsia" w:ascii="宋体" w:hAnsi="宋体" w:cs="宋体"/>
                <w:color w:val="auto"/>
                <w:sz w:val="18"/>
                <w:szCs w:val="18"/>
              </w:rPr>
            </w:pPr>
          </w:p>
        </w:tc>
      </w:tr>
      <w:tr w14:paraId="2E36F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restart"/>
            <w:tcBorders>
              <w:top w:val="single" w:color="000000" w:sz="4" w:space="0"/>
              <w:left w:val="single" w:color="000000" w:sz="4" w:space="0"/>
              <w:right w:val="single" w:color="000000" w:sz="4" w:space="0"/>
            </w:tcBorders>
            <w:noWrap w:val="0"/>
            <w:vAlign w:val="center"/>
          </w:tcPr>
          <w:p w14:paraId="6A777869">
            <w:pPr>
              <w:snapToGrid w:val="0"/>
              <w:jc w:val="center"/>
              <w:rPr>
                <w:rFonts w:ascii="宋体" w:hAnsi="宋体" w:cs="宋体"/>
                <w:color w:val="auto"/>
                <w:sz w:val="18"/>
                <w:szCs w:val="18"/>
              </w:rPr>
            </w:pPr>
            <w:r>
              <w:rPr>
                <w:rFonts w:hint="eastAsia" w:ascii="宋体" w:hAnsi="宋体"/>
                <w:color w:val="auto"/>
                <w:sz w:val="18"/>
                <w:szCs w:val="18"/>
              </w:rPr>
              <w:t>技术力量和人力资源安排</w:t>
            </w: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0D021324">
            <w:pPr>
              <w:snapToGrid w:val="0"/>
              <w:rPr>
                <w:rFonts w:ascii="宋体" w:hAnsi="宋体"/>
                <w:color w:val="auto"/>
                <w:sz w:val="18"/>
                <w:szCs w:val="18"/>
              </w:rPr>
            </w:pPr>
            <w:r>
              <w:rPr>
                <w:rFonts w:hint="eastAsia" w:ascii="宋体" w:hAnsi="宋体"/>
                <w:color w:val="auto"/>
                <w:sz w:val="18"/>
                <w:szCs w:val="18"/>
              </w:rPr>
              <w:t>项目负责人具有与本项目相同领域、政府委托评估项目负责经验的，三次及以上的得5分，一次及以上的得3分，其余不得分（5分）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9BBCD53">
            <w:pPr>
              <w:snapToGrid w:val="0"/>
              <w:jc w:val="center"/>
              <w:rPr>
                <w:rFonts w:ascii="宋体" w:hAnsi="宋体" w:cs="宋体"/>
                <w:color w:val="auto"/>
                <w:sz w:val="18"/>
                <w:szCs w:val="18"/>
              </w:rPr>
            </w:pPr>
            <w:r>
              <w:rPr>
                <w:rFonts w:hint="eastAsia" w:ascii="宋体" w:hAnsi="宋体" w:cs="宋体"/>
                <w:color w:val="auto"/>
                <w:sz w:val="18"/>
                <w:szCs w:val="18"/>
              </w:rPr>
              <w:t>0-5分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19D66977">
            <w:pPr>
              <w:snapToGrid w:val="0"/>
              <w:rPr>
                <w:rFonts w:hint="eastAsia" w:ascii="宋体" w:hAnsi="宋体" w:cs="宋体"/>
                <w:color w:val="auto"/>
                <w:sz w:val="18"/>
                <w:szCs w:val="18"/>
              </w:rPr>
            </w:pPr>
            <w:r>
              <w:rPr>
                <w:rFonts w:hint="eastAsia" w:ascii="宋体" w:hAnsi="宋体" w:cs="宋体"/>
                <w:color w:val="auto"/>
                <w:sz w:val="18"/>
                <w:szCs w:val="18"/>
              </w:rPr>
              <w:t>提供</w:t>
            </w:r>
            <w:r>
              <w:rPr>
                <w:rFonts w:hint="eastAsia" w:ascii="宋体" w:hAnsi="宋体"/>
                <w:color w:val="auto"/>
                <w:sz w:val="18"/>
                <w:szCs w:val="18"/>
              </w:rPr>
              <w:t>项目负责人相关工作经历及佐证材料，未提供相应佐证材料的予以相应扣分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229C0">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客观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18BEF531">
            <w:pPr>
              <w:snapToGrid w:val="0"/>
              <w:rPr>
                <w:rFonts w:hint="eastAsia" w:ascii="宋体" w:hAnsi="宋体" w:cs="宋体"/>
                <w:color w:val="auto"/>
                <w:sz w:val="18"/>
                <w:szCs w:val="18"/>
              </w:rPr>
            </w:pPr>
          </w:p>
        </w:tc>
      </w:tr>
      <w:tr w14:paraId="54627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left w:val="single" w:color="000000" w:sz="4" w:space="0"/>
              <w:bottom w:val="single" w:color="000000" w:sz="4" w:space="0"/>
              <w:right w:val="single" w:color="000000" w:sz="4" w:space="0"/>
            </w:tcBorders>
            <w:noWrap w:val="0"/>
            <w:vAlign w:val="center"/>
          </w:tcPr>
          <w:p w14:paraId="60490DE5">
            <w:pPr>
              <w:snapToGrid w:val="0"/>
              <w:jc w:val="center"/>
              <w:rPr>
                <w:rFonts w:ascii="宋体" w:hAnsi="宋体"/>
                <w:color w:val="auto"/>
                <w:sz w:val="18"/>
                <w:szCs w:val="18"/>
              </w:rPr>
            </w:pP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747A7502">
            <w:pPr>
              <w:snapToGrid w:val="0"/>
              <w:rPr>
                <w:rFonts w:hint="eastAsia" w:ascii="宋体" w:hAnsi="宋体" w:eastAsia="宋体" w:cs="宋体"/>
                <w:color w:val="auto"/>
                <w:sz w:val="18"/>
                <w:szCs w:val="18"/>
              </w:rPr>
            </w:pPr>
            <w:r>
              <w:rPr>
                <w:rFonts w:hint="eastAsia" w:ascii="宋体" w:hAnsi="宋体" w:eastAsia="宋体" w:cs="宋体"/>
                <w:color w:val="auto"/>
                <w:sz w:val="18"/>
                <w:szCs w:val="18"/>
              </w:rPr>
              <w:t>保证项目实施的技术力量和人力资源安排（0-12分）：</w:t>
            </w:r>
          </w:p>
          <w:p w14:paraId="6C76E252">
            <w:pPr>
              <w:snapToGrid w:val="0"/>
              <w:rPr>
                <w:rFonts w:hint="eastAsia" w:ascii="宋体" w:hAnsi="宋体" w:eastAsia="宋体" w:cs="宋体"/>
                <w:color w:val="auto"/>
                <w:sz w:val="18"/>
                <w:szCs w:val="18"/>
              </w:rPr>
            </w:pPr>
            <w:r>
              <w:rPr>
                <w:rFonts w:hint="eastAsia" w:ascii="宋体" w:hAnsi="宋体" w:eastAsia="宋体" w:cs="宋体"/>
                <w:color w:val="auto"/>
                <w:sz w:val="18"/>
                <w:szCs w:val="18"/>
              </w:rPr>
              <w:t>1、承诺调派的每名检查人员参与项目检查家次不少20家次得3分，</w:t>
            </w:r>
          </w:p>
          <w:p w14:paraId="4B8E9FD8">
            <w:pPr>
              <w:snapToGrid w:val="0"/>
              <w:rPr>
                <w:rFonts w:hint="eastAsia" w:ascii="宋体" w:hAnsi="宋体" w:eastAsia="宋体" w:cs="宋体"/>
                <w:color w:val="auto"/>
                <w:sz w:val="18"/>
                <w:szCs w:val="18"/>
              </w:rPr>
            </w:pPr>
            <w:r>
              <w:rPr>
                <w:rFonts w:hint="eastAsia" w:ascii="宋体" w:hAnsi="宋体" w:eastAsia="宋体" w:cs="宋体"/>
                <w:color w:val="auto"/>
                <w:sz w:val="18"/>
                <w:szCs w:val="18"/>
              </w:rPr>
              <w:t>2、均具有国家注册审核员资质得3分，少1人扣1分，扣完为止。</w:t>
            </w:r>
          </w:p>
          <w:p w14:paraId="721AEB0D">
            <w:pPr>
              <w:snapToGrid w:val="0"/>
              <w:rPr>
                <w:rFonts w:hint="eastAsia" w:ascii="宋体" w:hAnsi="宋体" w:eastAsia="宋体" w:cs="宋体"/>
                <w:color w:val="auto"/>
                <w:sz w:val="18"/>
                <w:szCs w:val="18"/>
              </w:rPr>
            </w:pPr>
            <w:r>
              <w:rPr>
                <w:rFonts w:hint="eastAsia" w:ascii="宋体" w:hAnsi="宋体" w:eastAsia="宋体" w:cs="宋体"/>
                <w:color w:val="auto"/>
                <w:sz w:val="18"/>
                <w:szCs w:val="18"/>
              </w:rPr>
              <w:t>3、实施检查的审核员具有药品、医疗器械、化妆品生产经营企业质量管理3年以上从业经历的，每1人加1分，最高得3分</w:t>
            </w:r>
          </w:p>
          <w:p w14:paraId="4CE6201A">
            <w:pPr>
              <w:snapToGrid w:val="0"/>
              <w:rPr>
                <w:color w:val="auto"/>
                <w:sz w:val="18"/>
                <w:szCs w:val="18"/>
              </w:rPr>
            </w:pPr>
            <w:r>
              <w:rPr>
                <w:rFonts w:hint="eastAsia" w:ascii="宋体" w:hAnsi="宋体" w:eastAsia="宋体" w:cs="宋体"/>
                <w:color w:val="auto"/>
                <w:sz w:val="18"/>
                <w:szCs w:val="18"/>
              </w:rPr>
              <w:t>4、实施检查的审核员从事过政府委托的药品、医疗器械、化妆品生产经营企业质量管理体系评估工作的每1人得1分，最高得3分。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BB5CF16">
            <w:pPr>
              <w:snapToGrid w:val="0"/>
              <w:jc w:val="center"/>
              <w:rPr>
                <w:rFonts w:ascii="宋体" w:hAnsi="宋体" w:cs="宋体"/>
                <w:color w:val="auto"/>
                <w:sz w:val="18"/>
                <w:szCs w:val="18"/>
              </w:rPr>
            </w:pPr>
            <w:r>
              <w:rPr>
                <w:rFonts w:hint="eastAsia" w:ascii="宋体" w:hAnsi="宋体" w:cs="宋体"/>
                <w:color w:val="auto"/>
                <w:sz w:val="18"/>
                <w:szCs w:val="18"/>
              </w:rPr>
              <w:t>0-12分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5405CC37">
            <w:pPr>
              <w:snapToGrid w:val="0"/>
              <w:rPr>
                <w:rFonts w:ascii="宋体" w:hAnsi="宋体" w:cs="宋体"/>
                <w:color w:val="auto"/>
                <w:sz w:val="18"/>
                <w:szCs w:val="18"/>
              </w:rPr>
            </w:pPr>
            <w:r>
              <w:rPr>
                <w:rFonts w:hint="eastAsia" w:ascii="宋体" w:hAnsi="宋体" w:cs="宋体"/>
                <w:color w:val="auto"/>
                <w:sz w:val="18"/>
                <w:szCs w:val="18"/>
              </w:rPr>
              <w:t>提供</w:t>
            </w:r>
            <w:r>
              <w:rPr>
                <w:rFonts w:hint="eastAsia"/>
                <w:color w:val="auto"/>
                <w:sz w:val="18"/>
                <w:szCs w:val="18"/>
              </w:rPr>
              <w:t>检查人员</w:t>
            </w:r>
            <w:r>
              <w:rPr>
                <w:rFonts w:hint="eastAsia" w:ascii="宋体" w:hAnsi="宋体"/>
                <w:color w:val="auto"/>
                <w:sz w:val="18"/>
                <w:szCs w:val="18"/>
              </w:rPr>
              <w:t>相关工作经历及佐证材料，未提供相应佐证材料的予以相应扣分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5E6D0">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客观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1CE23A4D">
            <w:pPr>
              <w:snapToGrid w:val="0"/>
              <w:rPr>
                <w:rFonts w:hint="eastAsia" w:ascii="宋体" w:hAnsi="宋体" w:cs="宋体"/>
                <w:color w:val="auto"/>
                <w:sz w:val="18"/>
                <w:szCs w:val="18"/>
              </w:rPr>
            </w:pPr>
          </w:p>
        </w:tc>
      </w:tr>
      <w:tr w14:paraId="594A6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restart"/>
            <w:tcBorders>
              <w:top w:val="single" w:color="000000" w:sz="4" w:space="0"/>
              <w:left w:val="single" w:color="000000" w:sz="4" w:space="0"/>
              <w:right w:val="single" w:color="000000" w:sz="4" w:space="0"/>
            </w:tcBorders>
            <w:noWrap w:val="0"/>
            <w:vAlign w:val="center"/>
          </w:tcPr>
          <w:p w14:paraId="1C6D4CFF">
            <w:pPr>
              <w:snapToGrid w:val="0"/>
              <w:jc w:val="center"/>
              <w:outlineLvl w:val="0"/>
              <w:rPr>
                <w:rFonts w:ascii="宋体" w:hAnsi="宋体"/>
                <w:color w:val="auto"/>
                <w:sz w:val="18"/>
                <w:szCs w:val="18"/>
              </w:rPr>
            </w:pPr>
            <w:r>
              <w:rPr>
                <w:rFonts w:hint="eastAsia" w:ascii="宋体" w:hAnsi="宋体" w:cs="宋体"/>
                <w:color w:val="auto"/>
                <w:sz w:val="18"/>
                <w:szCs w:val="18"/>
              </w:rPr>
              <w:t>项目实施进度计划、保障措施和承诺</w:t>
            </w: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3DF3CD83">
            <w:pPr>
              <w:snapToGrid w:val="0"/>
              <w:rPr>
                <w:rFonts w:ascii="宋体" w:hAnsi="宋体"/>
                <w:color w:val="auto"/>
                <w:sz w:val="18"/>
                <w:szCs w:val="18"/>
              </w:rPr>
            </w:pPr>
            <w:r>
              <w:rPr>
                <w:rFonts w:hint="eastAsia" w:ascii="宋体" w:hAnsi="宋体"/>
                <w:color w:val="auto"/>
                <w:sz w:val="18"/>
                <w:szCs w:val="18"/>
              </w:rPr>
              <w:t>项目具体实施流程，计划、进度、报告及与委托方衔接的安排的合理性（</w:t>
            </w:r>
            <w:r>
              <w:rPr>
                <w:rFonts w:hint="eastAsia" w:ascii="宋体" w:hAnsi="宋体"/>
                <w:color w:val="auto"/>
                <w:sz w:val="18"/>
                <w:szCs w:val="18"/>
                <w:lang w:val="en-US" w:eastAsia="zh-CN"/>
              </w:rPr>
              <w:t>6</w:t>
            </w:r>
            <w:r>
              <w:rPr>
                <w:rFonts w:hint="eastAsia" w:ascii="宋体" w:hAnsi="宋体"/>
                <w:color w:val="auto"/>
                <w:sz w:val="18"/>
                <w:szCs w:val="18"/>
              </w:rPr>
              <w:t>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F8E41E6">
            <w:pPr>
              <w:snapToGrid w:val="0"/>
              <w:jc w:val="center"/>
              <w:rPr>
                <w:rFonts w:ascii="宋体" w:hAnsi="宋体" w:cs="宋体"/>
                <w:color w:val="auto"/>
                <w:sz w:val="18"/>
                <w:szCs w:val="18"/>
              </w:rPr>
            </w:pPr>
            <w:r>
              <w:rPr>
                <w:rFonts w:hint="eastAsia" w:ascii="宋体" w:hAnsi="宋体" w:cs="宋体"/>
                <w:color w:val="auto"/>
                <w:sz w:val="18"/>
                <w:szCs w:val="18"/>
              </w:rPr>
              <w:t>0-</w:t>
            </w:r>
            <w:r>
              <w:rPr>
                <w:rFonts w:hint="eastAsia" w:ascii="宋体" w:hAnsi="宋体" w:cs="宋体"/>
                <w:color w:val="auto"/>
                <w:sz w:val="18"/>
                <w:szCs w:val="18"/>
                <w:lang w:val="en-US" w:eastAsia="zh-CN"/>
              </w:rPr>
              <w:t>6</w:t>
            </w:r>
            <w:r>
              <w:rPr>
                <w:rFonts w:hint="eastAsia" w:ascii="宋体" w:hAnsi="宋体" w:cs="宋体"/>
                <w:color w:val="auto"/>
                <w:sz w:val="18"/>
                <w:szCs w:val="18"/>
              </w:rPr>
              <w:t>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0E76A7D7">
            <w:pPr>
              <w:snapToGrid w:val="0"/>
              <w:rPr>
                <w:rFonts w:ascii="宋体" w:hAnsi="宋体" w:cs="宋体"/>
                <w:color w:val="auto"/>
                <w:sz w:val="18"/>
                <w:szCs w:val="18"/>
              </w:rPr>
            </w:pPr>
            <w:r>
              <w:rPr>
                <w:rFonts w:hint="eastAsia" w:ascii="宋体" w:hAnsi="宋体" w:cs="宋体"/>
                <w:color w:val="auto"/>
                <w:sz w:val="18"/>
                <w:szCs w:val="18"/>
              </w:rPr>
              <w:t>提供实施流程图及各阶段说明</w:t>
            </w:r>
            <w:r>
              <w:rPr>
                <w:rFonts w:hint="eastAsia" w:ascii="宋体" w:hAnsi="宋体"/>
                <w:color w:val="auto"/>
                <w:sz w:val="18"/>
                <w:szCs w:val="18"/>
                <w:lang w:eastAsia="zh-CN"/>
              </w:rPr>
              <w:t>（</w:t>
            </w:r>
            <w:r>
              <w:rPr>
                <w:rFonts w:hint="eastAsia" w:ascii="宋体" w:hAnsi="宋体"/>
                <w:color w:val="auto"/>
                <w:sz w:val="18"/>
                <w:szCs w:val="18"/>
                <w:lang w:val="en-US" w:eastAsia="zh-CN"/>
              </w:rPr>
              <w:t>3分）</w:t>
            </w:r>
            <w:r>
              <w:rPr>
                <w:rFonts w:hint="eastAsia" w:ascii="宋体" w:hAnsi="宋体" w:cs="宋体"/>
                <w:color w:val="auto"/>
                <w:sz w:val="18"/>
                <w:szCs w:val="18"/>
              </w:rPr>
              <w:t>，明确输入、输出、过程结果和适用的成文标准</w:t>
            </w:r>
            <w:r>
              <w:rPr>
                <w:rFonts w:hint="eastAsia" w:ascii="宋体" w:hAnsi="宋体"/>
                <w:color w:val="auto"/>
                <w:sz w:val="18"/>
                <w:szCs w:val="18"/>
                <w:lang w:eastAsia="zh-CN"/>
              </w:rPr>
              <w:t>（</w:t>
            </w:r>
            <w:r>
              <w:rPr>
                <w:rFonts w:hint="eastAsia" w:ascii="宋体" w:hAnsi="宋体"/>
                <w:color w:val="auto"/>
                <w:sz w:val="18"/>
                <w:szCs w:val="18"/>
                <w:lang w:val="en-US" w:eastAsia="zh-CN"/>
              </w:rPr>
              <w:t>3分）</w:t>
            </w:r>
            <w:r>
              <w:rPr>
                <w:rFonts w:hint="eastAsia" w:ascii="宋体" w:hAnsi="宋体" w:cs="宋体"/>
                <w:color w:val="auto"/>
                <w:sz w:val="18"/>
                <w:szCs w:val="18"/>
              </w:rPr>
              <w:t>。满足上述要求得</w:t>
            </w:r>
            <w:r>
              <w:rPr>
                <w:rFonts w:hint="eastAsia" w:ascii="宋体" w:hAnsi="宋体" w:cs="宋体"/>
                <w:color w:val="auto"/>
                <w:sz w:val="18"/>
                <w:szCs w:val="18"/>
                <w:lang w:val="en-US" w:eastAsia="zh-CN"/>
              </w:rPr>
              <w:t>6</w:t>
            </w:r>
            <w:r>
              <w:rPr>
                <w:rFonts w:hint="eastAsia" w:ascii="宋体" w:hAnsi="宋体" w:cs="宋体"/>
                <w:color w:val="auto"/>
                <w:sz w:val="18"/>
                <w:szCs w:val="18"/>
              </w:rPr>
              <w:t>分，不满足酌情扣分。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FEFA3">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主观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3F629502">
            <w:pPr>
              <w:snapToGrid w:val="0"/>
              <w:rPr>
                <w:rFonts w:hint="eastAsia" w:ascii="宋体" w:hAnsi="宋体" w:cs="宋体"/>
                <w:color w:val="auto"/>
                <w:sz w:val="18"/>
                <w:szCs w:val="18"/>
              </w:rPr>
            </w:pPr>
          </w:p>
        </w:tc>
      </w:tr>
      <w:tr w14:paraId="6516C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left w:val="single" w:color="000000" w:sz="4" w:space="0"/>
              <w:right w:val="single" w:color="000000" w:sz="4" w:space="0"/>
            </w:tcBorders>
            <w:noWrap w:val="0"/>
            <w:vAlign w:val="center"/>
          </w:tcPr>
          <w:p w14:paraId="7AA3E0C8">
            <w:pPr>
              <w:snapToGrid w:val="0"/>
              <w:jc w:val="left"/>
              <w:outlineLvl w:val="0"/>
              <w:rPr>
                <w:rFonts w:ascii="宋体" w:hAnsi="宋体" w:cs="宋体"/>
                <w:color w:val="auto"/>
                <w:sz w:val="18"/>
                <w:szCs w:val="18"/>
              </w:rPr>
            </w:pP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73761CDF">
            <w:pPr>
              <w:snapToGrid w:val="0"/>
              <w:rPr>
                <w:rFonts w:ascii="宋体" w:hAnsi="宋体"/>
                <w:color w:val="auto"/>
                <w:sz w:val="18"/>
                <w:szCs w:val="18"/>
              </w:rPr>
            </w:pPr>
            <w:r>
              <w:rPr>
                <w:rFonts w:hint="eastAsia" w:ascii="宋体" w:hAnsi="宋体"/>
                <w:color w:val="auto"/>
                <w:sz w:val="18"/>
                <w:szCs w:val="18"/>
              </w:rPr>
              <w:t>保证检查纪律有效执行的方案/措施的有效性（</w:t>
            </w:r>
            <w:r>
              <w:rPr>
                <w:rFonts w:hint="eastAsia" w:ascii="宋体" w:hAnsi="宋体"/>
                <w:color w:val="auto"/>
                <w:sz w:val="18"/>
                <w:szCs w:val="18"/>
                <w:lang w:val="en-US" w:eastAsia="zh-CN"/>
              </w:rPr>
              <w:t>6</w:t>
            </w:r>
            <w:r>
              <w:rPr>
                <w:rFonts w:hint="eastAsia" w:ascii="宋体" w:hAnsi="宋体"/>
                <w:color w:val="auto"/>
                <w:sz w:val="18"/>
                <w:szCs w:val="18"/>
              </w:rPr>
              <w:t>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6AF820D">
            <w:pPr>
              <w:snapToGrid w:val="0"/>
              <w:jc w:val="center"/>
              <w:rPr>
                <w:rFonts w:ascii="宋体" w:hAnsi="宋体" w:cs="宋体"/>
                <w:color w:val="auto"/>
                <w:sz w:val="18"/>
                <w:szCs w:val="18"/>
              </w:rPr>
            </w:pPr>
            <w:r>
              <w:rPr>
                <w:rFonts w:hint="eastAsia" w:ascii="宋体" w:hAnsi="宋体" w:cs="宋体"/>
                <w:color w:val="auto"/>
                <w:sz w:val="18"/>
                <w:szCs w:val="18"/>
              </w:rPr>
              <w:t>0-</w:t>
            </w:r>
            <w:r>
              <w:rPr>
                <w:rFonts w:hint="eastAsia" w:ascii="宋体" w:hAnsi="宋体" w:cs="宋体"/>
                <w:color w:val="auto"/>
                <w:sz w:val="18"/>
                <w:szCs w:val="18"/>
                <w:lang w:val="en-US" w:eastAsia="zh-CN"/>
              </w:rPr>
              <w:t>6</w:t>
            </w:r>
            <w:r>
              <w:rPr>
                <w:rFonts w:hint="eastAsia" w:ascii="宋体" w:hAnsi="宋体" w:cs="宋体"/>
                <w:color w:val="auto"/>
                <w:sz w:val="18"/>
                <w:szCs w:val="18"/>
              </w:rPr>
              <w:t>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1AF15275">
            <w:pPr>
              <w:snapToGrid w:val="0"/>
              <w:rPr>
                <w:color w:val="auto"/>
              </w:rPr>
            </w:pPr>
            <w:r>
              <w:rPr>
                <w:rFonts w:hint="eastAsia" w:ascii="宋体" w:hAnsi="宋体" w:cs="宋体"/>
                <w:color w:val="auto"/>
                <w:sz w:val="18"/>
                <w:szCs w:val="18"/>
              </w:rPr>
              <w:t>提供纪律要求文本，识别</w:t>
            </w:r>
            <w:r>
              <w:rPr>
                <w:rFonts w:hint="eastAsia" w:ascii="宋体" w:hAnsi="宋体"/>
                <w:color w:val="auto"/>
                <w:sz w:val="18"/>
                <w:szCs w:val="18"/>
              </w:rPr>
              <w:t>有效执行检查纪律的</w:t>
            </w:r>
            <w:r>
              <w:rPr>
                <w:rFonts w:hint="eastAsia" w:ascii="宋体" w:hAnsi="宋体" w:cs="宋体"/>
                <w:color w:val="auto"/>
                <w:sz w:val="18"/>
                <w:szCs w:val="18"/>
              </w:rPr>
              <w:t>主要风险和制定对应的应对</w:t>
            </w:r>
            <w:r>
              <w:rPr>
                <w:rFonts w:hint="eastAsia" w:ascii="宋体" w:hAnsi="宋体"/>
                <w:color w:val="auto"/>
                <w:sz w:val="18"/>
                <w:szCs w:val="18"/>
              </w:rPr>
              <w:t>方案/措施</w:t>
            </w:r>
            <w:r>
              <w:rPr>
                <w:rFonts w:hint="eastAsia" w:ascii="宋体" w:hAnsi="宋体"/>
                <w:color w:val="auto"/>
                <w:sz w:val="18"/>
                <w:szCs w:val="18"/>
                <w:lang w:eastAsia="zh-CN"/>
              </w:rPr>
              <w:t>（</w:t>
            </w:r>
            <w:r>
              <w:rPr>
                <w:rFonts w:hint="eastAsia" w:ascii="宋体" w:hAnsi="宋体"/>
                <w:color w:val="auto"/>
                <w:sz w:val="18"/>
                <w:szCs w:val="18"/>
                <w:lang w:val="en-US" w:eastAsia="zh-CN"/>
              </w:rPr>
              <w:t>3分）</w:t>
            </w:r>
            <w:r>
              <w:rPr>
                <w:rFonts w:hint="eastAsia" w:ascii="宋体" w:hAnsi="宋体" w:cs="宋体"/>
                <w:color w:val="auto"/>
                <w:sz w:val="18"/>
                <w:szCs w:val="18"/>
                <w:lang w:eastAsia="zh-CN"/>
              </w:rPr>
              <w:t>，</w:t>
            </w:r>
            <w:r>
              <w:rPr>
                <w:rFonts w:hint="eastAsia" w:ascii="宋体" w:hAnsi="宋体" w:cs="宋体"/>
                <w:color w:val="auto"/>
                <w:sz w:val="18"/>
                <w:szCs w:val="18"/>
              </w:rPr>
              <w:t>并能将这些</w:t>
            </w:r>
            <w:r>
              <w:rPr>
                <w:rFonts w:hint="eastAsia" w:ascii="宋体" w:hAnsi="宋体"/>
                <w:color w:val="auto"/>
                <w:sz w:val="18"/>
                <w:szCs w:val="18"/>
              </w:rPr>
              <w:t>方案/措施</w:t>
            </w:r>
            <w:r>
              <w:rPr>
                <w:rFonts w:hint="eastAsia" w:ascii="宋体" w:hAnsi="宋体" w:cs="宋体"/>
                <w:color w:val="auto"/>
                <w:sz w:val="18"/>
                <w:szCs w:val="18"/>
              </w:rPr>
              <w:t>应用于</w:t>
            </w:r>
            <w:r>
              <w:rPr>
                <w:rFonts w:hint="eastAsia" w:ascii="宋体" w:hAnsi="宋体" w:cs="宋体"/>
                <w:color w:val="auto"/>
                <w:sz w:val="18"/>
                <w:szCs w:val="18"/>
                <w:lang w:val="en-US" w:eastAsia="zh-CN"/>
              </w:rPr>
              <w:t>本项目相关的</w:t>
            </w:r>
            <w:r>
              <w:rPr>
                <w:rFonts w:hint="eastAsia" w:ascii="宋体" w:hAnsi="宋体" w:cs="宋体"/>
                <w:color w:val="auto"/>
                <w:sz w:val="18"/>
                <w:szCs w:val="18"/>
              </w:rPr>
              <w:t>实施流程中</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3分）</w:t>
            </w:r>
            <w:r>
              <w:rPr>
                <w:rFonts w:hint="eastAsia" w:ascii="宋体" w:hAnsi="宋体" w:cs="宋体"/>
                <w:color w:val="auto"/>
                <w:sz w:val="18"/>
                <w:szCs w:val="18"/>
              </w:rPr>
              <w:t>。满足上述要求得</w:t>
            </w:r>
            <w:r>
              <w:rPr>
                <w:rFonts w:hint="eastAsia" w:ascii="宋体" w:hAnsi="宋体" w:cs="宋体"/>
                <w:color w:val="auto"/>
                <w:sz w:val="18"/>
                <w:szCs w:val="18"/>
                <w:lang w:val="en-US" w:eastAsia="zh-CN"/>
              </w:rPr>
              <w:t>6</w:t>
            </w:r>
            <w:r>
              <w:rPr>
                <w:rFonts w:hint="eastAsia" w:ascii="宋体" w:hAnsi="宋体" w:cs="宋体"/>
                <w:color w:val="auto"/>
                <w:sz w:val="18"/>
                <w:szCs w:val="18"/>
              </w:rPr>
              <w:t>分，不满足酌情扣分。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6E286">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主观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06220E2F">
            <w:pPr>
              <w:snapToGrid w:val="0"/>
              <w:rPr>
                <w:rFonts w:hint="eastAsia" w:ascii="宋体" w:hAnsi="宋体" w:cs="宋体"/>
                <w:color w:val="auto"/>
                <w:sz w:val="18"/>
                <w:szCs w:val="18"/>
              </w:rPr>
            </w:pPr>
          </w:p>
        </w:tc>
      </w:tr>
      <w:tr w14:paraId="0EC7A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left w:val="single" w:color="000000" w:sz="4" w:space="0"/>
              <w:bottom w:val="single" w:color="000000" w:sz="4" w:space="0"/>
              <w:right w:val="single" w:color="000000" w:sz="4" w:space="0"/>
            </w:tcBorders>
            <w:noWrap w:val="0"/>
            <w:vAlign w:val="center"/>
          </w:tcPr>
          <w:p w14:paraId="47DDD99C">
            <w:pPr>
              <w:snapToGrid w:val="0"/>
              <w:jc w:val="left"/>
              <w:outlineLvl w:val="0"/>
              <w:rPr>
                <w:rFonts w:ascii="宋体" w:hAnsi="宋体" w:cs="宋体"/>
                <w:color w:val="auto"/>
                <w:sz w:val="18"/>
                <w:szCs w:val="18"/>
              </w:rPr>
            </w:pP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35F247E3">
            <w:pPr>
              <w:snapToGrid w:val="0"/>
              <w:rPr>
                <w:rFonts w:ascii="宋体" w:hAnsi="宋体"/>
                <w:color w:val="auto"/>
                <w:sz w:val="18"/>
                <w:szCs w:val="18"/>
              </w:rPr>
            </w:pPr>
            <w:r>
              <w:rPr>
                <w:rFonts w:hint="eastAsia" w:ascii="宋体" w:hAnsi="宋体"/>
                <w:color w:val="auto"/>
                <w:sz w:val="18"/>
                <w:szCs w:val="18"/>
              </w:rPr>
              <w:t>是否具有针对检查实施情况进行有效监控的方案/措施（</w:t>
            </w:r>
            <w:r>
              <w:rPr>
                <w:rFonts w:hint="eastAsia" w:ascii="宋体" w:hAnsi="宋体"/>
                <w:color w:val="auto"/>
                <w:sz w:val="18"/>
                <w:szCs w:val="18"/>
                <w:lang w:val="en-US" w:eastAsia="zh-CN"/>
              </w:rPr>
              <w:t>6</w:t>
            </w:r>
            <w:r>
              <w:rPr>
                <w:rFonts w:hint="eastAsia" w:ascii="宋体" w:hAnsi="宋体"/>
                <w:color w:val="auto"/>
                <w:sz w:val="18"/>
                <w:szCs w:val="18"/>
              </w:rPr>
              <w:t>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23AE12A">
            <w:pPr>
              <w:snapToGrid w:val="0"/>
              <w:jc w:val="center"/>
              <w:rPr>
                <w:rFonts w:ascii="宋体" w:hAnsi="宋体" w:cs="宋体"/>
                <w:color w:val="auto"/>
                <w:sz w:val="18"/>
                <w:szCs w:val="18"/>
              </w:rPr>
            </w:pPr>
            <w:r>
              <w:rPr>
                <w:rFonts w:hint="eastAsia" w:ascii="宋体" w:hAnsi="宋体" w:cs="宋体"/>
                <w:color w:val="auto"/>
                <w:sz w:val="18"/>
                <w:szCs w:val="18"/>
              </w:rPr>
              <w:t>0-</w:t>
            </w:r>
            <w:r>
              <w:rPr>
                <w:rFonts w:hint="eastAsia" w:ascii="宋体" w:hAnsi="宋体" w:cs="宋体"/>
                <w:color w:val="auto"/>
                <w:sz w:val="18"/>
                <w:szCs w:val="18"/>
                <w:lang w:val="en-US" w:eastAsia="zh-CN"/>
              </w:rPr>
              <w:t>6</w:t>
            </w:r>
            <w:r>
              <w:rPr>
                <w:rFonts w:hint="eastAsia" w:ascii="宋体" w:hAnsi="宋体" w:cs="宋体"/>
                <w:color w:val="auto"/>
                <w:sz w:val="18"/>
                <w:szCs w:val="18"/>
              </w:rPr>
              <w:t>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175840BE">
            <w:pPr>
              <w:snapToGrid w:val="0"/>
              <w:rPr>
                <w:rFonts w:ascii="宋体" w:hAnsi="宋体" w:cs="宋体"/>
                <w:color w:val="auto"/>
                <w:sz w:val="18"/>
                <w:szCs w:val="18"/>
              </w:rPr>
            </w:pPr>
            <w:r>
              <w:rPr>
                <w:rFonts w:hint="eastAsia" w:ascii="宋体" w:hAnsi="宋体" w:cs="宋体"/>
                <w:color w:val="auto"/>
                <w:sz w:val="18"/>
                <w:szCs w:val="18"/>
              </w:rPr>
              <w:t>提供质量控制</w:t>
            </w:r>
            <w:r>
              <w:rPr>
                <w:rFonts w:hint="eastAsia" w:ascii="宋体" w:hAnsi="宋体"/>
                <w:color w:val="auto"/>
                <w:sz w:val="18"/>
                <w:szCs w:val="18"/>
              </w:rPr>
              <w:t>方案/措施</w:t>
            </w:r>
            <w:r>
              <w:rPr>
                <w:rFonts w:hint="eastAsia" w:ascii="宋体" w:hAnsi="宋体" w:cs="宋体"/>
                <w:color w:val="auto"/>
                <w:sz w:val="18"/>
                <w:szCs w:val="18"/>
              </w:rPr>
              <w:t>文本</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3分）</w:t>
            </w:r>
            <w:r>
              <w:rPr>
                <w:rFonts w:hint="eastAsia" w:ascii="宋体" w:hAnsi="宋体" w:cs="宋体"/>
                <w:color w:val="auto"/>
                <w:sz w:val="18"/>
                <w:szCs w:val="18"/>
              </w:rPr>
              <w:t>，明确监控对象、监控实施时间、人员、标准、记录及不符合的分级与整改要求</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3分）</w:t>
            </w:r>
            <w:r>
              <w:rPr>
                <w:rFonts w:hint="eastAsia" w:ascii="宋体" w:hAnsi="宋体" w:cs="宋体"/>
                <w:color w:val="auto"/>
                <w:sz w:val="18"/>
                <w:szCs w:val="18"/>
              </w:rPr>
              <w:t>。满足上述要求得</w:t>
            </w:r>
            <w:r>
              <w:rPr>
                <w:rFonts w:hint="eastAsia" w:ascii="宋体" w:hAnsi="宋体" w:cs="宋体"/>
                <w:color w:val="auto"/>
                <w:sz w:val="18"/>
                <w:szCs w:val="18"/>
                <w:lang w:val="en-US" w:eastAsia="zh-CN"/>
              </w:rPr>
              <w:t>6</w:t>
            </w:r>
            <w:r>
              <w:rPr>
                <w:rFonts w:hint="eastAsia" w:ascii="宋体" w:hAnsi="宋体" w:cs="宋体"/>
                <w:color w:val="auto"/>
                <w:sz w:val="18"/>
                <w:szCs w:val="18"/>
              </w:rPr>
              <w:t>分，</w:t>
            </w:r>
            <w:r>
              <w:rPr>
                <w:rFonts w:hint="eastAsia" w:ascii="宋体" w:hAnsi="宋体" w:cs="宋体"/>
                <w:color w:val="auto"/>
                <w:sz w:val="18"/>
                <w:szCs w:val="18"/>
                <w:lang w:val="en-US" w:eastAsia="zh-CN"/>
              </w:rPr>
              <w:t>各项</w:t>
            </w:r>
            <w:r>
              <w:rPr>
                <w:rFonts w:hint="eastAsia" w:ascii="宋体" w:hAnsi="宋体" w:cs="宋体"/>
                <w:color w:val="auto"/>
                <w:sz w:val="18"/>
                <w:szCs w:val="18"/>
              </w:rPr>
              <w:t>不满足酌情扣分。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4572C">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主观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59D2E384">
            <w:pPr>
              <w:snapToGrid w:val="0"/>
              <w:rPr>
                <w:rFonts w:hint="eastAsia" w:ascii="宋体" w:hAnsi="宋体" w:cs="宋体"/>
                <w:color w:val="auto"/>
                <w:sz w:val="18"/>
                <w:szCs w:val="18"/>
              </w:rPr>
            </w:pPr>
          </w:p>
        </w:tc>
      </w:tr>
      <w:tr w14:paraId="657C3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41F4BF11">
            <w:pPr>
              <w:snapToGrid w:val="0"/>
              <w:jc w:val="center"/>
              <w:rPr>
                <w:rFonts w:cs="宋体"/>
                <w:color w:val="auto"/>
                <w:sz w:val="18"/>
                <w:szCs w:val="18"/>
              </w:rPr>
            </w:pPr>
            <w:r>
              <w:rPr>
                <w:rFonts w:hint="eastAsia" w:ascii="宋体" w:hAnsi="宋体" w:cs="宋体"/>
                <w:bCs/>
                <w:color w:val="auto"/>
                <w:sz w:val="18"/>
                <w:szCs w:val="18"/>
              </w:rPr>
              <w:t>应急评估方案</w:t>
            </w: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600CB9AF">
            <w:pPr>
              <w:snapToGrid w:val="0"/>
              <w:rPr>
                <w:rFonts w:ascii="宋体" w:hAnsi="宋体"/>
                <w:color w:val="auto"/>
                <w:sz w:val="18"/>
                <w:szCs w:val="18"/>
              </w:rPr>
            </w:pPr>
            <w:r>
              <w:rPr>
                <w:rFonts w:hint="eastAsia" w:ascii="宋体" w:hAnsi="宋体" w:cs="宋体"/>
                <w:bCs/>
                <w:color w:val="auto"/>
                <w:sz w:val="18"/>
                <w:szCs w:val="18"/>
              </w:rPr>
              <w:t>根据委托人应急评估的需要，投标人应急方案的完整性、可行性等情况，根据应急响应执行时间得分。2小时内</w:t>
            </w:r>
            <w:r>
              <w:rPr>
                <w:rFonts w:hint="eastAsia" w:ascii="宋体" w:hAnsi="宋体" w:cs="宋体"/>
                <w:bCs/>
                <w:color w:val="auto"/>
                <w:sz w:val="18"/>
                <w:szCs w:val="18"/>
                <w:lang w:val="en-US" w:eastAsia="zh-CN"/>
              </w:rPr>
              <w:t>在采购人地点现场</w:t>
            </w:r>
            <w:r>
              <w:rPr>
                <w:rFonts w:hint="eastAsia" w:ascii="宋体" w:hAnsi="宋体" w:cs="宋体"/>
                <w:bCs/>
                <w:color w:val="auto"/>
                <w:sz w:val="18"/>
                <w:szCs w:val="18"/>
              </w:rPr>
              <w:t>响应并具有可实施性的得10分，半天内得5分，一天内得3分，两天以内得1分。两天以上不得分。</w:t>
            </w:r>
            <w:r>
              <w:rPr>
                <w:rFonts w:hint="eastAsia" w:ascii="宋体" w:hAnsi="宋体"/>
                <w:color w:val="auto"/>
                <w:sz w:val="18"/>
                <w:szCs w:val="18"/>
              </w:rPr>
              <w:t>（10分）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4BE34E0">
            <w:pPr>
              <w:snapToGrid w:val="0"/>
              <w:jc w:val="center"/>
              <w:rPr>
                <w:rFonts w:ascii="宋体" w:hAnsi="宋体" w:cs="宋体"/>
                <w:color w:val="auto"/>
                <w:sz w:val="18"/>
                <w:szCs w:val="18"/>
              </w:rPr>
            </w:pPr>
            <w:r>
              <w:rPr>
                <w:rFonts w:hint="eastAsia" w:ascii="宋体" w:hAnsi="宋体" w:cs="宋体"/>
                <w:color w:val="auto"/>
                <w:sz w:val="18"/>
                <w:szCs w:val="18"/>
              </w:rPr>
              <w:t>0-10分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274C7F8F">
            <w:pPr>
              <w:snapToGrid w:val="0"/>
              <w:rPr>
                <w:rFonts w:ascii="宋体" w:hAnsi="宋体" w:cs="宋体"/>
                <w:color w:val="auto"/>
                <w:sz w:val="18"/>
                <w:szCs w:val="18"/>
              </w:rPr>
            </w:pPr>
            <w:r>
              <w:rPr>
                <w:rFonts w:hint="eastAsia" w:ascii="宋体" w:hAnsi="宋体" w:cs="宋体"/>
                <w:bCs/>
                <w:color w:val="auto"/>
                <w:sz w:val="18"/>
                <w:szCs w:val="18"/>
              </w:rPr>
              <w:t>提出具体、完整且具有明确的应急响应方案的，根据具体响应执行时间进行得分。应急响应方案经审查不具有可实施性的，本项得0分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B957C">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客</w:t>
            </w:r>
            <w:bookmarkStart w:id="408" w:name="_GoBack"/>
            <w:bookmarkEnd w:id="408"/>
            <w:r>
              <w:rPr>
                <w:rFonts w:hint="eastAsia" w:ascii="宋体" w:hAnsi="宋体" w:cs="宋体"/>
                <w:color w:val="auto"/>
                <w:sz w:val="18"/>
                <w:szCs w:val="18"/>
                <w:lang w:val="en-US" w:eastAsia="zh-CN"/>
              </w:rPr>
              <w:t>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03DDA3A6">
            <w:pPr>
              <w:snapToGrid w:val="0"/>
              <w:rPr>
                <w:rFonts w:hint="eastAsia" w:ascii="宋体" w:hAnsi="宋体" w:cs="宋体"/>
                <w:bCs/>
                <w:color w:val="auto"/>
                <w:sz w:val="18"/>
                <w:szCs w:val="18"/>
              </w:rPr>
            </w:pPr>
          </w:p>
        </w:tc>
      </w:tr>
      <w:tr w14:paraId="036BC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0" w:type="pct"/>
            <w:gridSpan w:val="2"/>
            <w:tcBorders>
              <w:top w:val="single" w:color="000000" w:sz="4" w:space="0"/>
              <w:left w:val="single" w:color="000000" w:sz="4" w:space="0"/>
              <w:bottom w:val="single" w:color="000000" w:sz="4" w:space="0"/>
              <w:right w:val="single" w:color="000000" w:sz="4" w:space="0"/>
            </w:tcBorders>
            <w:noWrap w:val="0"/>
            <w:vAlign w:val="center"/>
          </w:tcPr>
          <w:p w14:paraId="32DC5972">
            <w:pPr>
              <w:snapToGrid w:val="0"/>
              <w:jc w:val="center"/>
              <w:rPr>
                <w:rFonts w:ascii="宋体" w:hAnsi="宋体" w:cs="宋体"/>
                <w:b/>
                <w:color w:val="auto"/>
                <w:sz w:val="18"/>
                <w:szCs w:val="18"/>
              </w:rPr>
            </w:pPr>
            <w:r>
              <w:rPr>
                <w:rFonts w:hint="eastAsia" w:ascii="宋体" w:hAnsi="宋体" w:cs="宋体"/>
                <w:b/>
                <w:color w:val="auto"/>
                <w:sz w:val="18"/>
                <w:szCs w:val="18"/>
              </w:rPr>
              <w:t>业绩经验分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D7DD5CC">
            <w:pPr>
              <w:snapToGrid w:val="0"/>
              <w:jc w:val="center"/>
              <w:rPr>
                <w:rFonts w:ascii="宋体" w:hAnsi="宋体" w:cs="宋体"/>
                <w:b/>
                <w:color w:val="auto"/>
                <w:sz w:val="18"/>
                <w:szCs w:val="18"/>
              </w:rPr>
            </w:pPr>
            <w:r>
              <w:rPr>
                <w:rFonts w:hint="eastAsia" w:ascii="宋体" w:hAnsi="宋体" w:cs="宋体"/>
                <w:b/>
                <w:color w:val="auto"/>
                <w:sz w:val="18"/>
                <w:szCs w:val="18"/>
                <w:lang w:val="en-US" w:eastAsia="zh-CN"/>
              </w:rPr>
              <w:t>2</w:t>
            </w:r>
            <w:r>
              <w:rPr>
                <w:rFonts w:hint="eastAsia" w:ascii="宋体" w:hAnsi="宋体" w:cs="宋体"/>
                <w:b/>
                <w:color w:val="auto"/>
                <w:sz w:val="18"/>
                <w:szCs w:val="18"/>
              </w:rPr>
              <w:t>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4BDEF081">
            <w:pPr>
              <w:snapToGrid w:val="0"/>
              <w:rPr>
                <w:rFonts w:ascii="宋体" w:hAnsi="宋体" w:cs="宋体"/>
                <w:b/>
                <w:color w:val="auto"/>
                <w:sz w:val="18"/>
                <w:szCs w:val="18"/>
              </w:rPr>
            </w:pP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73EA050B">
            <w:pPr>
              <w:snapToGrid w:val="0"/>
              <w:jc w:val="center"/>
              <w:rPr>
                <w:rFonts w:hint="eastAsia"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1E496734">
            <w:pPr>
              <w:snapToGrid w:val="0"/>
              <w:jc w:val="center"/>
              <w:rPr>
                <w:rFonts w:hint="eastAsia"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w:t>
            </w:r>
          </w:p>
        </w:tc>
      </w:tr>
      <w:tr w14:paraId="4E038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184C42EA">
            <w:pPr>
              <w:snapToGrid w:val="0"/>
              <w:jc w:val="center"/>
              <w:rPr>
                <w:rFonts w:ascii="宋体" w:hAnsi="宋体" w:cs="宋体"/>
                <w:color w:val="auto"/>
                <w:sz w:val="18"/>
                <w:szCs w:val="18"/>
              </w:rPr>
            </w:pPr>
            <w:r>
              <w:rPr>
                <w:rFonts w:hint="eastAsia" w:ascii="宋体" w:hAnsi="宋体" w:cs="宋体"/>
                <w:color w:val="auto"/>
                <w:sz w:val="18"/>
                <w:szCs w:val="18"/>
              </w:rPr>
              <w:t>业绩经验</w:t>
            </w: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21749E49">
            <w:pPr>
              <w:snapToGrid w:val="0"/>
              <w:rPr>
                <w:rFonts w:ascii="宋体" w:hAnsi="宋体"/>
                <w:color w:val="auto"/>
                <w:sz w:val="18"/>
                <w:szCs w:val="18"/>
              </w:rPr>
            </w:pPr>
            <w:r>
              <w:rPr>
                <w:rFonts w:hint="eastAsia" w:ascii="宋体" w:hAnsi="宋体"/>
                <w:color w:val="auto"/>
                <w:sz w:val="18"/>
                <w:szCs w:val="18"/>
              </w:rPr>
              <w:t>投标人提供2018年至今相同领域、政府委托核查评估项目得</w:t>
            </w:r>
            <w:r>
              <w:rPr>
                <w:rFonts w:hint="eastAsia" w:ascii="宋体" w:hAnsi="宋体"/>
                <w:color w:val="auto"/>
                <w:sz w:val="18"/>
                <w:szCs w:val="18"/>
                <w:lang w:val="en-US" w:eastAsia="zh-CN"/>
              </w:rPr>
              <w:t>2</w:t>
            </w:r>
            <w:r>
              <w:rPr>
                <w:rFonts w:hint="eastAsia" w:ascii="宋体" w:hAnsi="宋体"/>
                <w:color w:val="auto"/>
                <w:sz w:val="18"/>
                <w:szCs w:val="18"/>
              </w:rPr>
              <w:t>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A968AB1">
            <w:pPr>
              <w:snapToGrid w:val="0"/>
              <w:jc w:val="center"/>
              <w:rPr>
                <w:rFonts w:ascii="宋体" w:hAnsi="宋体" w:cs="宋体"/>
                <w:color w:val="auto"/>
                <w:sz w:val="18"/>
                <w:szCs w:val="18"/>
              </w:rPr>
            </w:pPr>
            <w:r>
              <w:rPr>
                <w:rFonts w:hint="eastAsia" w:ascii="宋体" w:hAnsi="宋体" w:cs="宋体"/>
                <w:color w:val="auto"/>
                <w:sz w:val="18"/>
                <w:szCs w:val="18"/>
              </w:rPr>
              <w:t>0-</w:t>
            </w:r>
            <w:r>
              <w:rPr>
                <w:rFonts w:hint="eastAsia" w:ascii="宋体" w:hAnsi="宋体" w:cs="宋体"/>
                <w:color w:val="auto"/>
                <w:sz w:val="18"/>
                <w:szCs w:val="18"/>
                <w:lang w:val="en-US" w:eastAsia="zh-CN"/>
              </w:rPr>
              <w:t>2</w:t>
            </w:r>
            <w:r>
              <w:rPr>
                <w:rFonts w:hint="eastAsia" w:ascii="宋体" w:hAnsi="宋体" w:cs="宋体"/>
                <w:color w:val="auto"/>
                <w:sz w:val="18"/>
                <w:szCs w:val="18"/>
              </w:rPr>
              <w:t>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07AD7C7F">
            <w:pPr>
              <w:snapToGrid w:val="0"/>
              <w:rPr>
                <w:rFonts w:ascii="宋体" w:hAnsi="宋体" w:cs="宋体"/>
                <w:color w:val="auto"/>
                <w:sz w:val="18"/>
                <w:szCs w:val="18"/>
              </w:rPr>
            </w:pPr>
            <w:r>
              <w:rPr>
                <w:rFonts w:hint="eastAsia" w:ascii="宋体" w:hAnsi="宋体" w:cs="宋体"/>
                <w:color w:val="auto"/>
                <w:sz w:val="18"/>
                <w:szCs w:val="18"/>
              </w:rPr>
              <w:t>提供2018年1月1日以后的</w:t>
            </w:r>
            <w:r>
              <w:rPr>
                <w:rFonts w:hint="eastAsia" w:ascii="宋体" w:hAnsi="宋体"/>
                <w:color w:val="auto"/>
                <w:sz w:val="18"/>
                <w:szCs w:val="18"/>
              </w:rPr>
              <w:t>委托核查评估项目相关合同、委托书或其他证明材料的得</w:t>
            </w:r>
            <w:r>
              <w:rPr>
                <w:rFonts w:hint="eastAsia" w:ascii="宋体" w:hAnsi="宋体"/>
                <w:color w:val="auto"/>
                <w:sz w:val="18"/>
                <w:szCs w:val="18"/>
                <w:lang w:val="en-US" w:eastAsia="zh-CN"/>
              </w:rPr>
              <w:t>2</w:t>
            </w:r>
            <w:r>
              <w:rPr>
                <w:rFonts w:hint="eastAsia" w:ascii="宋体" w:hAnsi="宋体"/>
                <w:color w:val="auto"/>
                <w:sz w:val="18"/>
                <w:szCs w:val="18"/>
              </w:rPr>
              <w:t>分，未提供得0分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294E6">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客观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5D783EB9">
            <w:pPr>
              <w:snapToGrid w:val="0"/>
              <w:rPr>
                <w:rFonts w:hint="eastAsia" w:ascii="宋体" w:hAnsi="宋体" w:cs="宋体"/>
                <w:color w:val="auto"/>
                <w:sz w:val="18"/>
                <w:szCs w:val="18"/>
              </w:rPr>
            </w:pPr>
          </w:p>
        </w:tc>
      </w:tr>
      <w:tr w14:paraId="0DE55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0" w:type="pct"/>
            <w:gridSpan w:val="2"/>
            <w:tcBorders>
              <w:top w:val="single" w:color="000000" w:sz="4" w:space="0"/>
              <w:left w:val="single" w:color="000000" w:sz="4" w:space="0"/>
              <w:bottom w:val="single" w:color="000000" w:sz="4" w:space="0"/>
              <w:right w:val="single" w:color="000000" w:sz="4" w:space="0"/>
            </w:tcBorders>
            <w:noWrap w:val="0"/>
            <w:vAlign w:val="center"/>
          </w:tcPr>
          <w:p w14:paraId="6BAA22F3">
            <w:pPr>
              <w:snapToGrid w:val="0"/>
              <w:jc w:val="center"/>
              <w:rPr>
                <w:rFonts w:hint="eastAsia" w:ascii="宋体" w:hAnsi="宋体" w:eastAsia="宋体"/>
                <w:color w:val="auto"/>
                <w:sz w:val="18"/>
                <w:szCs w:val="18"/>
                <w:lang w:val="en-US" w:eastAsia="zh-CN"/>
              </w:rPr>
            </w:pPr>
            <w:r>
              <w:rPr>
                <w:rFonts w:hint="eastAsia" w:ascii="宋体" w:hAnsi="宋体"/>
                <w:b/>
                <w:bCs/>
                <w:color w:val="auto"/>
                <w:sz w:val="18"/>
                <w:szCs w:val="18"/>
                <w:lang w:val="en-US" w:eastAsia="zh-CN"/>
              </w:rPr>
              <w:t>价格得分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9D4153A">
            <w:pPr>
              <w:snapToGrid w:val="0"/>
              <w:jc w:val="center"/>
              <w:rPr>
                <w:rFonts w:hint="default" w:ascii="宋体" w:hAnsi="宋体" w:eastAsia="宋体" w:cs="宋体"/>
                <w:color w:val="auto"/>
                <w:sz w:val="18"/>
                <w:szCs w:val="18"/>
                <w:lang w:val="en-US" w:eastAsia="zh-CN"/>
              </w:rPr>
            </w:pPr>
            <w:r>
              <w:rPr>
                <w:rFonts w:hint="eastAsia" w:ascii="宋体" w:hAnsi="宋体" w:cs="宋体"/>
                <w:b/>
                <w:bCs/>
                <w:color w:val="auto"/>
                <w:sz w:val="18"/>
                <w:szCs w:val="18"/>
                <w:lang w:val="en-US" w:eastAsia="zh-CN"/>
              </w:rPr>
              <w:t>20分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76BD0AFF">
            <w:pPr>
              <w:snapToGrid w:val="0"/>
              <w:rPr>
                <w:rFonts w:hint="eastAsia" w:ascii="宋体" w:hAnsi="宋体" w:cs="宋体"/>
                <w:color w:val="auto"/>
                <w:sz w:val="18"/>
                <w:szCs w:val="18"/>
              </w:rPr>
            </w:pP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5D0E7624">
            <w:pPr>
              <w:snapToGrid w:val="0"/>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2E9BF53E">
            <w:pPr>
              <w:snapToGrid w:val="0"/>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w:t>
            </w:r>
          </w:p>
        </w:tc>
      </w:tr>
      <w:tr w14:paraId="16B92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7737EBB9">
            <w:pPr>
              <w:adjustRightInd w:val="0"/>
              <w:snapToGrid w:val="0"/>
              <w:jc w:val="center"/>
              <w:rPr>
                <w:rFonts w:hint="eastAsia" w:ascii="宋体" w:hAnsi="宋体" w:eastAsia="宋体" w:cs="宋体"/>
                <w:color w:val="auto"/>
                <w:sz w:val="18"/>
                <w:szCs w:val="18"/>
                <w:lang w:val="en-US" w:eastAsia="zh-CN"/>
              </w:rPr>
            </w:pPr>
            <w:r>
              <w:rPr>
                <w:rFonts w:ascii="宋体" w:hAnsi="宋体"/>
                <w:color w:val="auto"/>
                <w:sz w:val="18"/>
                <w:szCs w:val="18"/>
              </w:rPr>
              <w:t>价格</w:t>
            </w:r>
            <w:r>
              <w:rPr>
                <w:rFonts w:hint="eastAsia" w:ascii="宋体" w:hAnsi="宋体"/>
                <w:color w:val="auto"/>
                <w:sz w:val="18"/>
                <w:szCs w:val="18"/>
              </w:rPr>
              <w:t>部分（药品、医疗器械、化妆品的经营使用类企业，（不含药品批发类企业及医院类医疗机构）（16分）</w:t>
            </w: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277578B8">
            <w:pPr>
              <w:snapToGrid w:val="0"/>
              <w:rPr>
                <w:rFonts w:ascii="宋体" w:hAnsi="宋体"/>
                <w:color w:val="auto"/>
                <w:sz w:val="18"/>
                <w:szCs w:val="18"/>
              </w:rPr>
            </w:pPr>
            <w:r>
              <w:rPr>
                <w:rFonts w:hint="eastAsia" w:ascii="宋体" w:hAnsi="宋体"/>
                <w:color w:val="auto"/>
                <w:sz w:val="18"/>
                <w:szCs w:val="18"/>
              </w:rPr>
              <w:t>（1）投标价格的合理性：分析总报价及各个分项报价是否合理，报价范围是否完整，有否重大错漏项，评审小组认为投标报价出现异常时，有权要求投标人在评标期间对投标报价的详细组成和投标设备的供应渠道等事项作出解释和澄清，并确认其投标报价是否有效。</w:t>
            </w:r>
          </w:p>
          <w:p w14:paraId="5EB0C106">
            <w:pPr>
              <w:snapToGrid w:val="0"/>
              <w:rPr>
                <w:rFonts w:hint="eastAsia" w:ascii="宋体" w:hAnsi="宋体"/>
                <w:color w:val="auto"/>
                <w:sz w:val="18"/>
                <w:szCs w:val="18"/>
              </w:rPr>
            </w:pPr>
            <w:r>
              <w:rPr>
                <w:rFonts w:hint="eastAsia" w:ascii="宋体" w:hAnsi="宋体"/>
                <w:color w:val="auto"/>
                <w:sz w:val="18"/>
                <w:szCs w:val="18"/>
              </w:rPr>
              <w:t>（2）报价分计算方法：根据各投标人的有效投标报价，以满足采购文件要求且有效投标价格的最低的投标报价为评标基准价，其价格分为</w:t>
            </w:r>
            <w:r>
              <w:rPr>
                <w:rFonts w:hint="eastAsia" w:ascii="宋体" w:hAnsi="宋体"/>
                <w:color w:val="auto"/>
                <w:sz w:val="18"/>
                <w:szCs w:val="18"/>
                <w:lang w:val="en-US" w:eastAsia="zh-CN"/>
              </w:rPr>
              <w:t>16</w:t>
            </w:r>
            <w:r>
              <w:rPr>
                <w:rFonts w:hint="eastAsia" w:ascii="宋体" w:hAnsi="宋体"/>
                <w:color w:val="auto"/>
                <w:sz w:val="18"/>
                <w:szCs w:val="18"/>
              </w:rPr>
              <w:t>分。其他投标人的价格分统一按照下列公式计算：投标报价得分＝</w:t>
            </w:r>
            <w:r>
              <w:rPr>
                <w:rFonts w:ascii="宋体" w:hAnsi="宋体"/>
                <w:color w:val="auto"/>
                <w:sz w:val="18"/>
                <w:szCs w:val="18"/>
              </w:rPr>
              <w:t>(</w:t>
            </w:r>
            <w:r>
              <w:rPr>
                <w:rFonts w:hint="eastAsia" w:ascii="宋体" w:hAnsi="宋体"/>
                <w:color w:val="auto"/>
                <w:sz w:val="18"/>
                <w:szCs w:val="18"/>
              </w:rPr>
              <w:t>评标基准价</w:t>
            </w:r>
            <w:r>
              <w:rPr>
                <w:rFonts w:ascii="宋体" w:hAnsi="宋体"/>
                <w:color w:val="auto"/>
                <w:sz w:val="18"/>
                <w:szCs w:val="18"/>
              </w:rPr>
              <w:t>/</w:t>
            </w:r>
            <w:r>
              <w:rPr>
                <w:rFonts w:hint="eastAsia" w:ascii="宋体" w:hAnsi="宋体"/>
                <w:color w:val="auto"/>
                <w:sz w:val="18"/>
                <w:szCs w:val="18"/>
              </w:rPr>
              <w:t>有效投标报价</w:t>
            </w:r>
            <w:r>
              <w:rPr>
                <w:rFonts w:ascii="宋体" w:hAnsi="宋体"/>
                <w:color w:val="auto"/>
                <w:sz w:val="18"/>
                <w:szCs w:val="18"/>
              </w:rPr>
              <w:t>)</w:t>
            </w:r>
            <w:r>
              <w:rPr>
                <w:rFonts w:hint="eastAsia" w:ascii="宋体" w:hAnsi="宋体"/>
                <w:color w:val="auto"/>
                <w:sz w:val="18"/>
                <w:szCs w:val="18"/>
              </w:rPr>
              <w:t>×1</w:t>
            </w:r>
            <w:r>
              <w:rPr>
                <w:rFonts w:hint="eastAsia" w:ascii="宋体" w:hAnsi="宋体"/>
                <w:color w:val="auto"/>
                <w:sz w:val="18"/>
                <w:szCs w:val="18"/>
                <w:lang w:val="en-US" w:eastAsia="zh-CN"/>
              </w:rPr>
              <w:t>6</w:t>
            </w:r>
            <w:r>
              <w:rPr>
                <w:rFonts w:hint="eastAsia" w:ascii="宋体" w:hAnsi="宋体"/>
                <w:color w:val="auto"/>
                <w:sz w:val="18"/>
                <w:szCs w:val="18"/>
              </w:rPr>
              <w:t>精确到小数点后二位</w:t>
            </w:r>
            <w:r>
              <w:rPr>
                <w:rFonts w:ascii="宋体" w:hAnsi="宋体"/>
                <w:color w:val="auto"/>
                <w:sz w:val="18"/>
                <w:szCs w:val="18"/>
              </w:rPr>
              <w:t>)</w:t>
            </w:r>
            <w:r>
              <w:rPr>
                <w:rFonts w:hint="eastAsia" w:ascii="宋体" w:hAnsi="宋体"/>
                <w:color w:val="auto"/>
                <w:sz w:val="18"/>
                <w:szCs w:val="18"/>
              </w:rPr>
              <w:t>。</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298CE1C">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0-16分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4DD681AC">
            <w:pPr>
              <w:snapToGrid w:val="0"/>
              <w:rPr>
                <w:rFonts w:hint="eastAsia" w:ascii="宋体" w:hAnsi="宋体" w:eastAsia="宋体" w:cs="宋体"/>
                <w:color w:val="auto"/>
                <w:sz w:val="18"/>
                <w:szCs w:val="18"/>
              </w:rPr>
            </w:pPr>
            <w:r>
              <w:rPr>
                <w:rFonts w:hint="eastAsia" w:ascii="宋体" w:hAnsi="宋体" w:eastAsia="宋体" w:cs="宋体"/>
                <w:color w:val="auto"/>
                <w:sz w:val="18"/>
                <w:szCs w:val="18"/>
              </w:rPr>
              <w:t>评标过程中，不得去掉报价中的最高报价和最低报价。</w:t>
            </w:r>
          </w:p>
          <w:p w14:paraId="0F1D0357">
            <w:pPr>
              <w:snapToGrid w:val="0"/>
              <w:rPr>
                <w:rFonts w:hint="eastAsia" w:ascii="宋体" w:hAnsi="宋体" w:eastAsia="宋体" w:cs="宋体"/>
                <w:color w:val="auto"/>
                <w:sz w:val="18"/>
                <w:szCs w:val="18"/>
              </w:rPr>
            </w:pPr>
            <w:r>
              <w:rPr>
                <w:rFonts w:hint="eastAsia" w:ascii="宋体" w:hAnsi="宋体" w:eastAsia="宋体" w:cs="宋体"/>
                <w:color w:val="auto"/>
                <w:sz w:val="18"/>
                <w:szCs w:val="18"/>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%的扣除，用扣除后的价格参加评审。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D6FCD">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客观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080E085C">
            <w:pPr>
              <w:snapToGrid w:val="0"/>
              <w:rPr>
                <w:rFonts w:hint="eastAsia" w:ascii="宋体" w:hAnsi="宋体" w:eastAsia="宋体" w:cs="宋体"/>
                <w:color w:val="auto"/>
                <w:sz w:val="18"/>
                <w:szCs w:val="18"/>
              </w:rPr>
            </w:pPr>
          </w:p>
        </w:tc>
      </w:tr>
      <w:tr w14:paraId="48FBE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19A0DDC0">
            <w:pPr>
              <w:adjustRightInd w:val="0"/>
              <w:snapToGrid w:val="0"/>
              <w:jc w:val="center"/>
              <w:rPr>
                <w:rFonts w:hint="eastAsia" w:ascii="宋体" w:hAnsi="宋体" w:eastAsia="宋体" w:cs="宋体"/>
                <w:color w:val="auto"/>
                <w:sz w:val="18"/>
                <w:szCs w:val="18"/>
                <w:lang w:val="en-US" w:eastAsia="zh-CN"/>
              </w:rPr>
            </w:pPr>
            <w:r>
              <w:rPr>
                <w:rFonts w:ascii="宋体" w:hAnsi="宋体"/>
                <w:color w:val="auto"/>
                <w:sz w:val="18"/>
                <w:szCs w:val="18"/>
              </w:rPr>
              <w:t>价格</w:t>
            </w:r>
            <w:r>
              <w:rPr>
                <w:rFonts w:hint="eastAsia" w:ascii="宋体" w:hAnsi="宋体"/>
                <w:color w:val="auto"/>
                <w:sz w:val="18"/>
                <w:szCs w:val="18"/>
              </w:rPr>
              <w:t>部分（生产制造、药品批发类企业及医院类医疗机构）</w:t>
            </w:r>
            <w:r>
              <w:rPr>
                <w:rFonts w:ascii="宋体" w:hAnsi="宋体"/>
                <w:color w:val="auto"/>
                <w:sz w:val="18"/>
                <w:szCs w:val="18"/>
              </w:rPr>
              <w:t>（</w:t>
            </w:r>
            <w:r>
              <w:rPr>
                <w:rFonts w:hint="eastAsia" w:ascii="宋体" w:hAnsi="宋体"/>
                <w:color w:val="auto"/>
                <w:sz w:val="18"/>
                <w:szCs w:val="18"/>
              </w:rPr>
              <w:t>4</w:t>
            </w:r>
            <w:r>
              <w:rPr>
                <w:rFonts w:ascii="宋体" w:hAnsi="宋体"/>
                <w:color w:val="auto"/>
                <w:sz w:val="18"/>
                <w:szCs w:val="18"/>
              </w:rPr>
              <w:t>分）</w:t>
            </w:r>
          </w:p>
        </w:tc>
        <w:tc>
          <w:tcPr>
            <w:tcW w:w="1591" w:type="pct"/>
            <w:tcBorders>
              <w:top w:val="single" w:color="000000" w:sz="4" w:space="0"/>
              <w:left w:val="single" w:color="000000" w:sz="4" w:space="0"/>
              <w:bottom w:val="single" w:color="000000" w:sz="4" w:space="0"/>
              <w:right w:val="single" w:color="000000" w:sz="4" w:space="0"/>
            </w:tcBorders>
            <w:noWrap w:val="0"/>
            <w:vAlign w:val="center"/>
          </w:tcPr>
          <w:p w14:paraId="37965E7D">
            <w:pPr>
              <w:snapToGrid w:val="0"/>
              <w:rPr>
                <w:rFonts w:ascii="宋体" w:hAnsi="宋体"/>
                <w:color w:val="auto"/>
                <w:sz w:val="18"/>
                <w:szCs w:val="18"/>
              </w:rPr>
            </w:pPr>
            <w:r>
              <w:rPr>
                <w:rFonts w:hint="eastAsia" w:ascii="宋体" w:hAnsi="宋体"/>
                <w:color w:val="auto"/>
                <w:sz w:val="18"/>
                <w:szCs w:val="18"/>
              </w:rPr>
              <w:t>（1）投标价格的合理性：分析总报价及各个分项报价是否合理，报价范围是否完整，有否重大错漏项，评审小组认为投标报价出现异常时，有权要求投标人在评标期间对投标报价的详细组成和投标设备的供应渠道等事项作出解释和澄清，并确认其投标报价是否有效。</w:t>
            </w:r>
          </w:p>
          <w:p w14:paraId="266FD627">
            <w:pPr>
              <w:snapToGrid w:val="0"/>
              <w:rPr>
                <w:rFonts w:hint="eastAsia" w:ascii="宋体" w:hAnsi="宋体"/>
                <w:color w:val="auto"/>
                <w:sz w:val="18"/>
                <w:szCs w:val="18"/>
              </w:rPr>
            </w:pPr>
            <w:r>
              <w:rPr>
                <w:rFonts w:hint="eastAsia" w:ascii="宋体" w:hAnsi="宋体"/>
                <w:color w:val="auto"/>
                <w:sz w:val="18"/>
                <w:szCs w:val="18"/>
              </w:rPr>
              <w:t>（2）报价分计算方法：根据各投标人的有效投标报价，以满足采购文件要求且有效投标价格的最低的投标报价为评标基准价，其价格分为</w:t>
            </w:r>
            <w:r>
              <w:rPr>
                <w:rFonts w:hint="eastAsia" w:ascii="宋体" w:hAnsi="宋体"/>
                <w:color w:val="auto"/>
                <w:sz w:val="18"/>
                <w:szCs w:val="18"/>
                <w:lang w:val="en-US" w:eastAsia="zh-CN"/>
              </w:rPr>
              <w:t>4</w:t>
            </w:r>
            <w:r>
              <w:rPr>
                <w:rFonts w:hint="eastAsia" w:ascii="宋体" w:hAnsi="宋体"/>
                <w:color w:val="auto"/>
                <w:sz w:val="18"/>
                <w:szCs w:val="18"/>
              </w:rPr>
              <w:t>分。其他投标人的价格分统一按照下列公式计算：投标报价得分＝</w:t>
            </w:r>
            <w:r>
              <w:rPr>
                <w:rFonts w:ascii="宋体" w:hAnsi="宋体"/>
                <w:color w:val="auto"/>
                <w:sz w:val="18"/>
                <w:szCs w:val="18"/>
              </w:rPr>
              <w:t>(</w:t>
            </w:r>
            <w:r>
              <w:rPr>
                <w:rFonts w:hint="eastAsia" w:ascii="宋体" w:hAnsi="宋体"/>
                <w:color w:val="auto"/>
                <w:sz w:val="18"/>
                <w:szCs w:val="18"/>
              </w:rPr>
              <w:t>评标基准价</w:t>
            </w:r>
            <w:r>
              <w:rPr>
                <w:rFonts w:ascii="宋体" w:hAnsi="宋体"/>
                <w:color w:val="auto"/>
                <w:sz w:val="18"/>
                <w:szCs w:val="18"/>
              </w:rPr>
              <w:t>/</w:t>
            </w:r>
            <w:r>
              <w:rPr>
                <w:rFonts w:hint="eastAsia" w:ascii="宋体" w:hAnsi="宋体"/>
                <w:color w:val="auto"/>
                <w:sz w:val="18"/>
                <w:szCs w:val="18"/>
              </w:rPr>
              <w:t>有效投标报价</w:t>
            </w:r>
            <w:r>
              <w:rPr>
                <w:rFonts w:ascii="宋体" w:hAnsi="宋体"/>
                <w:color w:val="auto"/>
                <w:sz w:val="18"/>
                <w:szCs w:val="18"/>
              </w:rPr>
              <w:t>)</w:t>
            </w:r>
            <w:r>
              <w:rPr>
                <w:rFonts w:hint="eastAsia" w:ascii="宋体" w:hAnsi="宋体"/>
                <w:color w:val="auto"/>
                <w:sz w:val="18"/>
                <w:szCs w:val="18"/>
              </w:rPr>
              <w:t>×</w:t>
            </w:r>
            <w:r>
              <w:rPr>
                <w:rFonts w:hint="eastAsia" w:ascii="宋体" w:hAnsi="宋体"/>
                <w:color w:val="auto"/>
                <w:sz w:val="18"/>
                <w:szCs w:val="18"/>
                <w:lang w:val="en-US" w:eastAsia="zh-CN"/>
              </w:rPr>
              <w:t>4</w:t>
            </w:r>
            <w:r>
              <w:rPr>
                <w:rFonts w:hint="eastAsia" w:ascii="宋体" w:hAnsi="宋体"/>
                <w:color w:val="auto"/>
                <w:sz w:val="18"/>
                <w:szCs w:val="18"/>
              </w:rPr>
              <w:t>精确到小数点后二位</w:t>
            </w:r>
            <w:r>
              <w:rPr>
                <w:rFonts w:ascii="宋体" w:hAnsi="宋体"/>
                <w:color w:val="auto"/>
                <w:sz w:val="18"/>
                <w:szCs w:val="18"/>
              </w:rPr>
              <w:t>)</w:t>
            </w:r>
            <w:r>
              <w:rPr>
                <w:rFonts w:hint="eastAsia" w:ascii="宋体" w:hAnsi="宋体"/>
                <w:color w:val="auto"/>
                <w:sz w:val="18"/>
                <w:szCs w:val="18"/>
              </w:rPr>
              <w:t>。</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B75144D">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0-4分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14:paraId="1D229F8F">
            <w:pPr>
              <w:snapToGrid w:val="0"/>
              <w:rPr>
                <w:rFonts w:hint="eastAsia" w:ascii="宋体" w:hAnsi="宋体" w:eastAsia="宋体" w:cs="宋体"/>
                <w:color w:val="auto"/>
                <w:sz w:val="18"/>
                <w:szCs w:val="18"/>
              </w:rPr>
            </w:pPr>
            <w:r>
              <w:rPr>
                <w:rFonts w:hint="eastAsia" w:ascii="宋体" w:hAnsi="宋体" w:eastAsia="宋体" w:cs="宋体"/>
                <w:color w:val="auto"/>
                <w:sz w:val="18"/>
                <w:szCs w:val="18"/>
              </w:rPr>
              <w:t>评标过程中，不得去掉报价中的最高报价和最低报价。</w:t>
            </w:r>
          </w:p>
          <w:p w14:paraId="087AF56B">
            <w:pPr>
              <w:snapToGrid w:val="0"/>
              <w:rPr>
                <w:rFonts w:hint="eastAsia" w:ascii="宋体" w:hAnsi="宋体" w:eastAsia="宋体" w:cs="宋体"/>
                <w:color w:val="auto"/>
                <w:sz w:val="18"/>
                <w:szCs w:val="18"/>
              </w:rPr>
            </w:pPr>
            <w:r>
              <w:rPr>
                <w:rFonts w:hint="eastAsia" w:ascii="宋体" w:hAnsi="宋体" w:eastAsia="宋体" w:cs="宋体"/>
                <w:color w:val="auto"/>
                <w:sz w:val="18"/>
                <w:szCs w:val="18"/>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%的扣除，用扣除后的价格参加评审。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F0BE7">
            <w:pPr>
              <w:snapToGrid w:val="0"/>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客观</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5B95EC72">
            <w:pPr>
              <w:snapToGrid w:val="0"/>
              <w:rPr>
                <w:rFonts w:hint="eastAsia" w:ascii="宋体" w:hAnsi="宋体" w:eastAsia="宋体" w:cs="宋体"/>
                <w:color w:val="auto"/>
                <w:sz w:val="18"/>
                <w:szCs w:val="18"/>
              </w:rPr>
            </w:pPr>
          </w:p>
        </w:tc>
      </w:tr>
    </w:tbl>
    <w:p w14:paraId="17079EA1">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3"/>
        <w:snapToGrid w:val="0"/>
        <w:spacing w:line="360" w:lineRule="auto"/>
        <w:ind w:firstLine="0" w:firstLineChars="0"/>
        <w:rPr>
          <w:rFonts w:cs="宋体"/>
          <w:color w:val="auto"/>
          <w:highlight w:val="none"/>
        </w:rPr>
      </w:pPr>
    </w:p>
    <w:bookmarkEnd w:id="27"/>
    <w:p w14:paraId="6D191506">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0" w:leftChars="0" w:firstLine="0" w:firstLineChars="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9407AC9">
      <w:pPr>
        <w:autoSpaceDE w:val="0"/>
        <w:autoSpaceDN w:val="0"/>
        <w:adjustRightInd w:val="0"/>
        <w:snapToGrid w:val="0"/>
        <w:spacing w:line="360" w:lineRule="auto"/>
        <w:ind w:firstLine="646"/>
        <w:rPr>
          <w:rFonts w:ascii="宋体" w:hAnsi="宋体" w:cs="宋体"/>
          <w:b/>
          <w:bCs/>
          <w:color w:val="auto"/>
          <w:sz w:val="24"/>
        </w:rPr>
      </w:pPr>
      <w:r>
        <w:rPr>
          <w:rFonts w:hint="eastAsia" w:ascii="宋体" w:hAnsi="宋体" w:cs="宋体"/>
          <w:b/>
          <w:bCs/>
          <w:color w:val="auto"/>
          <w:sz w:val="24"/>
          <w:lang w:val="zh-CN"/>
        </w:rPr>
        <w:t>特别提示：以下为</w:t>
      </w:r>
      <w:r>
        <w:rPr>
          <w:rFonts w:hint="eastAsia" w:ascii="宋体" w:hAnsi="宋体" w:cs="宋体"/>
          <w:b/>
          <w:bCs/>
          <w:color w:val="auto"/>
          <w:sz w:val="24"/>
        </w:rPr>
        <w:t>本项目</w:t>
      </w:r>
      <w:r>
        <w:rPr>
          <w:rFonts w:hint="eastAsia" w:ascii="宋体" w:hAnsi="宋体" w:cs="宋体"/>
          <w:b/>
          <w:bCs/>
          <w:color w:val="auto"/>
          <w:sz w:val="24"/>
          <w:lang w:val="zh-CN"/>
        </w:rPr>
        <w:t>的合同范本，仅供参考，不可照搬。合同条款的具体内容应严格按照招标文件、投标文件、招标结果及中标的承诺来拟订。</w:t>
      </w:r>
    </w:p>
    <w:p w14:paraId="342B48B5">
      <w:pPr>
        <w:adjustRightInd w:val="0"/>
        <w:snapToGrid w:val="0"/>
        <w:spacing w:line="360" w:lineRule="auto"/>
        <w:ind w:firstLine="420" w:firstLineChars="200"/>
        <w:rPr>
          <w:rFonts w:ascii="宋体" w:hAnsi="宋体" w:cs="宋体"/>
          <w:color w:val="auto"/>
          <w:szCs w:val="21"/>
        </w:rPr>
      </w:pPr>
    </w:p>
    <w:p w14:paraId="31DB6805">
      <w:pPr>
        <w:pStyle w:val="3"/>
        <w:ind w:firstLine="0" w:firstLineChars="0"/>
        <w:jc w:val="center"/>
        <w:rPr>
          <w:rFonts w:cs="宋体"/>
          <w:b/>
          <w:bCs/>
          <w:color w:val="auto"/>
          <w:sz w:val="32"/>
          <w:szCs w:val="22"/>
        </w:rPr>
      </w:pPr>
      <w:r>
        <w:rPr>
          <w:rFonts w:hint="eastAsia" w:cs="宋体"/>
          <w:b/>
          <w:bCs/>
          <w:color w:val="auto"/>
          <w:sz w:val="32"/>
          <w:szCs w:val="22"/>
        </w:rPr>
        <w:t>杭州市西湖区市场监督管理局XXX委托合同</w:t>
      </w:r>
    </w:p>
    <w:p w14:paraId="1543141E">
      <w:pPr>
        <w:spacing w:line="360" w:lineRule="auto"/>
        <w:rPr>
          <w:rFonts w:hint="eastAsia" w:ascii="宋体" w:hAnsi="宋体"/>
          <w:color w:val="auto"/>
          <w:sz w:val="24"/>
        </w:rPr>
      </w:pPr>
      <w:r>
        <w:rPr>
          <w:rFonts w:hint="eastAsia" w:ascii="宋体" w:hAnsi="宋体"/>
          <w:color w:val="auto"/>
          <w:sz w:val="24"/>
        </w:rPr>
        <w:t>甲方：杭州市西湖区市场监督管理局</w:t>
      </w:r>
    </w:p>
    <w:p w14:paraId="0336374A">
      <w:pPr>
        <w:spacing w:line="360" w:lineRule="auto"/>
        <w:rPr>
          <w:rFonts w:ascii="宋体" w:hAnsi="宋体"/>
          <w:color w:val="auto"/>
          <w:sz w:val="24"/>
        </w:rPr>
      </w:pPr>
      <w:r>
        <w:rPr>
          <w:rFonts w:hint="eastAsia" w:ascii="宋体" w:hAnsi="宋体"/>
          <w:color w:val="auto"/>
          <w:sz w:val="24"/>
        </w:rPr>
        <w:t xml:space="preserve">乙方： </w:t>
      </w:r>
    </w:p>
    <w:p w14:paraId="31A42E9C">
      <w:pPr>
        <w:adjustRightInd w:val="0"/>
        <w:snapToGrid w:val="0"/>
        <w:spacing w:line="360" w:lineRule="auto"/>
        <w:ind w:firstLine="480" w:firstLineChars="200"/>
        <w:rPr>
          <w:rFonts w:ascii="宋体" w:hAnsi="宋体"/>
          <w:color w:val="auto"/>
          <w:sz w:val="24"/>
        </w:rPr>
      </w:pPr>
    </w:p>
    <w:p w14:paraId="0D0DC51E">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依照《中华人民共和国民法典》及其他法律、法规的规定，根据公开招标的采购结果，遵循平等、自愿和诚实信用的原则，甲、乙双方就甲方向乙方委托</w:t>
      </w:r>
      <w:r>
        <w:rPr>
          <w:rFonts w:hint="eastAsia" w:ascii="宋体" w:hAnsi="宋体" w:cs="宋体"/>
          <w:color w:val="auto"/>
          <w:sz w:val="24"/>
          <w:szCs w:val="22"/>
        </w:rPr>
        <w:t>质量管理体系执行能力评估</w:t>
      </w:r>
      <w:r>
        <w:rPr>
          <w:rFonts w:hint="eastAsia" w:ascii="宋体" w:hAnsi="宋体"/>
          <w:color w:val="auto"/>
          <w:sz w:val="24"/>
        </w:rPr>
        <w:t>事项，订立如下条款：</w:t>
      </w:r>
    </w:p>
    <w:p w14:paraId="7213C484">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一、委托内容</w:t>
      </w:r>
    </w:p>
    <w:p w14:paraId="7188D7DE">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乙方根据甲方的要求，按照乙方投标方案中确定的的内容向甲方提供</w:t>
      </w:r>
      <w:r>
        <w:rPr>
          <w:rFonts w:hint="eastAsia" w:ascii="宋体" w:hAnsi="宋体" w:cs="宋体"/>
          <w:color w:val="auto"/>
          <w:sz w:val="24"/>
          <w:szCs w:val="22"/>
        </w:rPr>
        <w:t>质量管理体系执行能力评估的</w:t>
      </w:r>
      <w:r>
        <w:rPr>
          <w:rFonts w:hint="eastAsia" w:ascii="宋体" w:hAnsi="宋体"/>
          <w:color w:val="auto"/>
          <w:sz w:val="24"/>
        </w:rPr>
        <w:t>技术服务工作。</w:t>
      </w:r>
    </w:p>
    <w:p w14:paraId="50238D57">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二、具体的工作实施计划：</w:t>
      </w:r>
    </w:p>
    <w:p w14:paraId="0964DD2C">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（一）计划由乙方承担</w:t>
      </w:r>
      <w:r>
        <w:rPr>
          <w:rFonts w:hint="eastAsia" w:ascii="宋体" w:hAnsi="宋体"/>
          <w:color w:val="auto"/>
          <w:sz w:val="24"/>
          <w:u w:val="single"/>
        </w:rPr>
        <w:t xml:space="preserve">   </w:t>
      </w:r>
      <w:r>
        <w:rPr>
          <w:rFonts w:hint="eastAsia" w:ascii="宋体" w:hAnsi="宋体"/>
          <w:color w:val="auto"/>
          <w:sz w:val="24"/>
        </w:rPr>
        <w:t>家次以上的</w:t>
      </w:r>
      <w:r>
        <w:rPr>
          <w:rFonts w:hint="eastAsia" w:ascii="宋体" w:hAnsi="宋体" w:cs="宋体"/>
          <w:color w:val="auto"/>
          <w:sz w:val="24"/>
          <w:szCs w:val="22"/>
        </w:rPr>
        <w:t>质量管理体系执行能力评估的</w:t>
      </w:r>
      <w:r>
        <w:rPr>
          <w:rFonts w:hint="eastAsia" w:ascii="宋体" w:hAnsi="宋体"/>
          <w:color w:val="auto"/>
          <w:sz w:val="24"/>
        </w:rPr>
        <w:t>技术服务任务，具体以实际数量为准。</w:t>
      </w:r>
    </w:p>
    <w:p w14:paraId="343CD579">
      <w:pPr>
        <w:pStyle w:val="3"/>
        <w:snapToGrid w:val="0"/>
        <w:spacing w:line="360" w:lineRule="auto"/>
        <w:rPr>
          <w:color w:val="auto"/>
        </w:rPr>
      </w:pPr>
      <w:r>
        <w:rPr>
          <w:rFonts w:hint="eastAsia"/>
          <w:color w:val="auto"/>
        </w:rPr>
        <w:t>（二）完成时限：</w:t>
      </w:r>
    </w:p>
    <w:p w14:paraId="249074DE">
      <w:pPr>
        <w:pStyle w:val="3"/>
        <w:snapToGrid w:val="0"/>
        <w:spacing w:line="360" w:lineRule="auto"/>
        <w:rPr>
          <w:color w:val="auto"/>
        </w:rPr>
      </w:pPr>
      <w:r>
        <w:rPr>
          <w:rFonts w:hint="eastAsia"/>
          <w:color w:val="auto"/>
        </w:rPr>
        <w:t>在2025年</w:t>
      </w:r>
      <w:r>
        <w:rPr>
          <w:rFonts w:hint="eastAsia"/>
          <w:color w:val="auto"/>
          <w:lang w:val="en-US" w:eastAsia="zh-CN"/>
        </w:rPr>
        <w:t>11</w:t>
      </w:r>
      <w:r>
        <w:rPr>
          <w:rFonts w:hint="eastAsia"/>
          <w:color w:val="auto"/>
        </w:rPr>
        <w:t>月</w:t>
      </w:r>
      <w:r>
        <w:rPr>
          <w:rFonts w:hint="eastAsia"/>
          <w:color w:val="auto"/>
          <w:lang w:val="en-US" w:eastAsia="zh-CN"/>
        </w:rPr>
        <w:t>15</w:t>
      </w:r>
      <w:r>
        <w:rPr>
          <w:rFonts w:hint="eastAsia"/>
          <w:color w:val="auto"/>
        </w:rPr>
        <w:t>日前全面完成</w:t>
      </w:r>
      <w:r>
        <w:rPr>
          <w:color w:val="auto"/>
        </w:rPr>
        <w:t>。</w:t>
      </w:r>
    </w:p>
    <w:p w14:paraId="79499DE7">
      <w:pPr>
        <w:pStyle w:val="3"/>
        <w:numPr>
          <w:ilvl w:val="0"/>
          <w:numId w:val="1"/>
        </w:numPr>
        <w:snapToGrid w:val="0"/>
        <w:spacing w:line="360" w:lineRule="auto"/>
        <w:jc w:val="left"/>
        <w:rPr>
          <w:rFonts w:hint="eastAsia"/>
          <w:color w:val="auto"/>
        </w:rPr>
      </w:pPr>
      <w:r>
        <w:rPr>
          <w:rFonts w:hint="eastAsia"/>
          <w:color w:val="auto"/>
        </w:rPr>
        <w:t>具体工作内容：</w:t>
      </w:r>
    </w:p>
    <w:p w14:paraId="335C1952">
      <w:pPr>
        <w:adjustRightInd w:val="0"/>
        <w:snapToGrid w:val="0"/>
        <w:spacing w:line="360" w:lineRule="auto"/>
        <w:ind w:firstLine="720" w:firstLineChars="300"/>
        <w:rPr>
          <w:rFonts w:hint="eastAsia" w:ascii="宋体" w:hAnsi="宋体"/>
          <w:color w:val="auto"/>
          <w:sz w:val="24"/>
        </w:rPr>
      </w:pPr>
      <w:r>
        <w:rPr>
          <w:rFonts w:hint="eastAsia" w:ascii="宋体" w:hAnsi="宋体"/>
          <w:color w:val="auto"/>
          <w:sz w:val="24"/>
        </w:rPr>
        <w:t>招标文件第三部分</w:t>
      </w:r>
    </w:p>
    <w:p w14:paraId="7BF08AEE">
      <w:pPr>
        <w:pStyle w:val="3"/>
        <w:snapToGrid w:val="0"/>
        <w:spacing w:line="360" w:lineRule="auto"/>
        <w:jc w:val="left"/>
        <w:rPr>
          <w:color w:val="auto"/>
        </w:rPr>
      </w:pPr>
      <w:r>
        <w:rPr>
          <w:rFonts w:hint="eastAsia"/>
          <w:color w:val="auto"/>
        </w:rPr>
        <w:t>（四）乙方须与管理该项目工作的相关上级部门作好沟通事宜。</w:t>
      </w:r>
    </w:p>
    <w:p w14:paraId="2A6653DC">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三、判定原则：</w:t>
      </w:r>
    </w:p>
    <w:p w14:paraId="121FBA2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根据相关按照</w:t>
      </w:r>
      <w:r>
        <w:rPr>
          <w:rFonts w:hint="eastAsia" w:ascii="宋体" w:hAnsi="宋体" w:cs="宋体"/>
          <w:color w:val="auto"/>
          <w:sz w:val="24"/>
          <w:szCs w:val="22"/>
        </w:rPr>
        <w:t>根据相关法律法规规定及相关技术性要求进行判定</w:t>
      </w:r>
      <w:r>
        <w:rPr>
          <w:rFonts w:hint="eastAsia" w:ascii="宋体" w:hAnsi="宋体"/>
          <w:color w:val="auto"/>
          <w:sz w:val="24"/>
        </w:rPr>
        <w:t>。</w:t>
      </w:r>
    </w:p>
    <w:p w14:paraId="2EB0AD7B">
      <w:pPr>
        <w:widowControl/>
        <w:adjustRightInd w:val="0"/>
        <w:snapToGrid w:val="0"/>
        <w:spacing w:line="360" w:lineRule="auto"/>
        <w:ind w:firstLine="482" w:firstLineChars="200"/>
        <w:jc w:val="left"/>
        <w:rPr>
          <w:rFonts w:ascii="宋体" w:hAnsi="宋体" w:cs="宋体"/>
          <w:b/>
          <w:color w:val="auto"/>
          <w:sz w:val="24"/>
        </w:rPr>
      </w:pPr>
      <w:r>
        <w:rPr>
          <w:rFonts w:hint="eastAsia" w:ascii="宋体" w:hAnsi="宋体" w:cs="宋体"/>
          <w:b/>
          <w:color w:val="auto"/>
          <w:sz w:val="24"/>
        </w:rPr>
        <w:t>四、付款方式</w:t>
      </w:r>
    </w:p>
    <w:p w14:paraId="496B98F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（1）本合同签订后</w:t>
      </w:r>
      <w:r>
        <w:rPr>
          <w:rFonts w:hint="eastAsia" w:ascii="宋体" w:hAnsi="宋体"/>
          <w:color w:val="auto"/>
          <w:sz w:val="24"/>
          <w:lang w:val="en-US" w:eastAsia="zh-CN"/>
        </w:rPr>
        <w:t>7个工作日</w:t>
      </w:r>
      <w:r>
        <w:rPr>
          <w:rFonts w:hint="eastAsia" w:ascii="宋体" w:hAnsi="宋体"/>
          <w:color w:val="auto"/>
          <w:sz w:val="24"/>
        </w:rPr>
        <w:t>内由甲方支付</w:t>
      </w:r>
      <w:r>
        <w:rPr>
          <w:rFonts w:hint="eastAsia" w:ascii="宋体" w:hAnsi="宋体"/>
          <w:color w:val="auto"/>
          <w:sz w:val="24"/>
          <w:u w:val="single"/>
          <w:lang w:val="en-US" w:eastAsia="zh-CN"/>
        </w:rPr>
        <w:t>7</w:t>
      </w:r>
      <w:r>
        <w:rPr>
          <w:rFonts w:hint="eastAsia" w:ascii="宋体" w:hAnsi="宋体"/>
          <w:color w:val="auto"/>
          <w:sz w:val="24"/>
          <w:u w:val="single"/>
        </w:rPr>
        <w:t>0%</w:t>
      </w:r>
      <w:r>
        <w:rPr>
          <w:rFonts w:hint="eastAsia" w:ascii="宋体" w:hAnsi="宋体"/>
          <w:color w:val="auto"/>
          <w:sz w:val="24"/>
        </w:rPr>
        <w:t>合同款项共计人民币   元整（¥    万元 ）给乙方。</w:t>
      </w:r>
    </w:p>
    <w:p w14:paraId="75CEC63E">
      <w:pPr>
        <w:pStyle w:val="3"/>
        <w:snapToGrid w:val="0"/>
        <w:spacing w:line="360" w:lineRule="auto"/>
        <w:rPr>
          <w:color w:val="auto"/>
        </w:rPr>
      </w:pPr>
      <w:r>
        <w:rPr>
          <w:rFonts w:hint="eastAsia"/>
          <w:color w:val="auto"/>
        </w:rPr>
        <w:t>（2）合同完成并验收通过后</w:t>
      </w:r>
      <w:r>
        <w:rPr>
          <w:rFonts w:hint="eastAsia" w:ascii="宋体" w:hAnsi="宋体"/>
          <w:color w:val="auto"/>
          <w:sz w:val="24"/>
          <w:lang w:val="en-US" w:eastAsia="zh-CN"/>
        </w:rPr>
        <w:t>7个工作</w:t>
      </w:r>
      <w:r>
        <w:rPr>
          <w:rFonts w:hint="eastAsia"/>
          <w:color w:val="auto"/>
        </w:rPr>
        <w:t>日内甲方一次性付清合同的剩余款项。</w:t>
      </w:r>
    </w:p>
    <w:p w14:paraId="5C4B4090">
      <w:pPr>
        <w:adjustRightInd w:val="0"/>
        <w:snapToGrid w:val="0"/>
        <w:spacing w:line="360" w:lineRule="auto"/>
        <w:ind w:firstLine="480" w:firstLineChars="200"/>
        <w:rPr>
          <w:rFonts w:ascii="宋体" w:hAnsi="宋体"/>
          <w:color w:val="auto"/>
          <w:sz w:val="24"/>
          <w:u w:val="single"/>
        </w:rPr>
      </w:pPr>
      <w:r>
        <w:rPr>
          <w:rFonts w:hint="eastAsia" w:ascii="宋体" w:hAnsi="宋体"/>
          <w:color w:val="auto"/>
          <w:sz w:val="24"/>
        </w:rPr>
        <w:t>账户名称：</w:t>
      </w:r>
    </w:p>
    <w:p w14:paraId="59B07452">
      <w:pPr>
        <w:adjustRightInd w:val="0"/>
        <w:snapToGrid w:val="0"/>
        <w:spacing w:line="360" w:lineRule="auto"/>
        <w:ind w:firstLine="480" w:firstLineChars="200"/>
        <w:rPr>
          <w:rFonts w:ascii="宋体" w:hAnsi="宋体"/>
          <w:color w:val="auto"/>
          <w:sz w:val="24"/>
          <w:u w:val="single"/>
        </w:rPr>
      </w:pPr>
      <w:r>
        <w:rPr>
          <w:rFonts w:hint="eastAsia" w:ascii="宋体" w:hAnsi="宋体"/>
          <w:color w:val="auto"/>
          <w:sz w:val="24"/>
        </w:rPr>
        <w:t>开户银行：</w:t>
      </w:r>
    </w:p>
    <w:p w14:paraId="301EAFAD">
      <w:pPr>
        <w:adjustRightInd w:val="0"/>
        <w:snapToGrid w:val="0"/>
        <w:spacing w:line="360" w:lineRule="auto"/>
        <w:ind w:firstLine="480" w:firstLineChars="200"/>
        <w:rPr>
          <w:rFonts w:ascii="宋体" w:hAnsi="宋体"/>
          <w:color w:val="auto"/>
          <w:sz w:val="24"/>
        </w:rPr>
      </w:pPr>
      <w:r>
        <w:rPr>
          <w:rFonts w:hint="eastAsia" w:ascii="宋体" w:hAnsi="宋体"/>
          <w:color w:val="auto"/>
          <w:sz w:val="24"/>
          <w:lang w:eastAsia="zh-CN"/>
        </w:rPr>
        <w:t>账</w:t>
      </w:r>
      <w:r>
        <w:rPr>
          <w:rFonts w:hint="eastAsia" w:ascii="宋体" w:hAnsi="宋体"/>
          <w:color w:val="auto"/>
          <w:sz w:val="24"/>
        </w:rPr>
        <w:t xml:space="preserve">    号：</w:t>
      </w:r>
    </w:p>
    <w:p w14:paraId="3E6133E7">
      <w:pPr>
        <w:pStyle w:val="3"/>
        <w:snapToGrid w:val="0"/>
        <w:spacing w:line="360" w:lineRule="auto"/>
        <w:rPr>
          <w:rFonts w:hint="eastAsia"/>
          <w:color w:val="auto"/>
          <w:szCs w:val="22"/>
        </w:rPr>
      </w:pPr>
      <w:r>
        <w:rPr>
          <w:rFonts w:hint="eastAsia"/>
          <w:color w:val="auto"/>
          <w:szCs w:val="22"/>
        </w:rPr>
        <w:t>（3）乙方应根据甲方财务要求提供相应发票和相关资料，甲方付款起算日为甲方收到乙方提供的符合甲方要求的发票和相关资料日。</w:t>
      </w:r>
    </w:p>
    <w:p w14:paraId="70CC8B61">
      <w:pPr>
        <w:widowControl/>
        <w:adjustRightInd w:val="0"/>
        <w:snapToGrid w:val="0"/>
        <w:spacing w:line="360" w:lineRule="auto"/>
        <w:ind w:firstLine="482" w:firstLineChars="200"/>
        <w:jc w:val="left"/>
        <w:rPr>
          <w:rFonts w:ascii="宋体" w:hAnsi="宋体" w:cs="宋体"/>
          <w:b/>
          <w:color w:val="auto"/>
          <w:sz w:val="24"/>
        </w:rPr>
      </w:pPr>
      <w:r>
        <w:rPr>
          <w:rFonts w:hint="eastAsia" w:ascii="宋体" w:hAnsi="宋体" w:cs="宋体"/>
          <w:b/>
          <w:color w:val="auto"/>
          <w:sz w:val="24"/>
        </w:rPr>
        <w:t>五、履约保证金：</w:t>
      </w:r>
    </w:p>
    <w:p w14:paraId="6EC7EF7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无</w:t>
      </w:r>
    </w:p>
    <w:p w14:paraId="6EB48A43">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六、违约责任：</w:t>
      </w:r>
    </w:p>
    <w:p w14:paraId="6DF50721">
      <w:pPr>
        <w:snapToGrid w:val="0"/>
        <w:spacing w:line="360" w:lineRule="auto"/>
        <w:ind w:firstLine="453" w:firstLineChars="189"/>
        <w:rPr>
          <w:rFonts w:ascii="宋体" w:hAnsi="宋体" w:cs="宋体"/>
          <w:color w:val="auto"/>
          <w:sz w:val="24"/>
        </w:rPr>
      </w:pPr>
      <w:r>
        <w:rPr>
          <w:rFonts w:hint="eastAsia" w:ascii="宋体" w:hAnsi="宋体" w:cs="宋体"/>
          <w:color w:val="auto"/>
          <w:sz w:val="24"/>
        </w:rPr>
        <w:t>在本合同履行过程中，双方因违约或造成对方损失的应当赔偿。</w:t>
      </w:r>
    </w:p>
    <w:p w14:paraId="78480E8C">
      <w:pPr>
        <w:snapToGrid w:val="0"/>
        <w:spacing w:line="360" w:lineRule="auto"/>
        <w:ind w:firstLine="453" w:firstLineChars="189"/>
        <w:rPr>
          <w:rFonts w:ascii="宋体" w:hAnsi="宋体" w:cs="宋体"/>
          <w:color w:val="auto"/>
          <w:sz w:val="24"/>
        </w:rPr>
      </w:pPr>
      <w:r>
        <w:rPr>
          <w:rFonts w:hint="eastAsia" w:ascii="宋体" w:hAnsi="宋体" w:cs="宋体"/>
          <w:color w:val="auto"/>
          <w:sz w:val="24"/>
        </w:rPr>
        <w:t>（一）甲方逾期付款超过15日的，每超过一日按逾期金额的</w:t>
      </w:r>
      <w:r>
        <w:rPr>
          <w:rFonts w:hint="eastAsia" w:ascii="宋体" w:hAnsi="宋体" w:cs="宋体"/>
          <w:color w:val="auto"/>
          <w:sz w:val="24"/>
          <w:u w:val="single"/>
        </w:rPr>
        <w:t>0.02%</w:t>
      </w:r>
      <w:r>
        <w:rPr>
          <w:rFonts w:hint="eastAsia" w:ascii="宋体" w:hAnsi="宋体" w:cs="宋体"/>
          <w:color w:val="auto"/>
          <w:sz w:val="24"/>
        </w:rPr>
        <w:t>向乙方偿付违约金。</w:t>
      </w:r>
    </w:p>
    <w:p w14:paraId="0BF0E55C">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（二）乙方必须在甲方规定的期限内完成委托业务，并保证工作质量符合甲方的质量要求。乙方未在规定期限内完成任务的，向甲方支付违约所涉业务费用的20%违约金。 </w:t>
      </w:r>
    </w:p>
    <w:p w14:paraId="5430EA09">
      <w:pPr>
        <w:snapToGrid w:val="0"/>
        <w:spacing w:line="360" w:lineRule="auto"/>
        <w:ind w:firstLine="453" w:firstLineChars="189"/>
        <w:rPr>
          <w:rFonts w:ascii="宋体" w:hAnsi="宋体" w:cs="宋体"/>
          <w:color w:val="auto"/>
          <w:sz w:val="24"/>
        </w:rPr>
      </w:pPr>
      <w:r>
        <w:rPr>
          <w:rFonts w:hint="eastAsia" w:ascii="宋体" w:hAnsi="宋体" w:cs="宋体"/>
          <w:color w:val="auto"/>
          <w:kern w:val="0"/>
          <w:sz w:val="24"/>
        </w:rPr>
        <w:t>（三）乙方</w:t>
      </w:r>
      <w:r>
        <w:rPr>
          <w:rFonts w:hint="eastAsia" w:ascii="宋体" w:hAnsi="宋体" w:cs="宋体"/>
          <w:color w:val="auto"/>
          <w:sz w:val="24"/>
        </w:rPr>
        <w:t>在合同规定期限内，经甲方考核核实发生具体服务内容问题的，每次（个）扣除合同款项的2%作为违约金，视情节轻重，可暂停合同实施，乙方应对问题进行整改，经甲方同意后恢复合同实施；服务期内经甲方考核核实累计发生具体服务内容问题3次（个）以上或违约情节严重/影响恶劣的，甲方有权立即解除合同，同时，乙方退还未履约及质量不符合要求部分的业务费用，并向甲方支付合同总额30%的违约金。</w:t>
      </w:r>
    </w:p>
    <w:p w14:paraId="03D87496">
      <w:pPr>
        <w:snapToGrid w:val="0"/>
        <w:spacing w:line="360" w:lineRule="auto"/>
        <w:ind w:firstLine="453" w:firstLineChars="189"/>
        <w:rPr>
          <w:rFonts w:ascii="宋体" w:hAnsi="宋体" w:cs="宋体"/>
          <w:color w:val="auto"/>
          <w:sz w:val="24"/>
        </w:rPr>
      </w:pPr>
      <w:r>
        <w:rPr>
          <w:rFonts w:hint="eastAsia" w:ascii="宋体" w:hAnsi="宋体" w:cs="宋体"/>
          <w:color w:val="auto"/>
          <w:sz w:val="24"/>
        </w:rPr>
        <w:t>（四）未经甲方同意，乙方不得擅自将本合同服务转包第三方承担。如擅自转包，则乙方应支付给甲方业务费用总额</w:t>
      </w:r>
      <w:r>
        <w:rPr>
          <w:rFonts w:hint="eastAsia" w:ascii="宋体" w:hAnsi="宋体" w:cs="宋体"/>
          <w:color w:val="auto"/>
          <w:sz w:val="24"/>
          <w:u w:val="single"/>
        </w:rPr>
        <w:t>30%</w:t>
      </w:r>
      <w:r>
        <w:rPr>
          <w:rFonts w:hint="eastAsia" w:ascii="宋体" w:hAnsi="宋体" w:cs="宋体"/>
          <w:color w:val="auto"/>
          <w:sz w:val="24"/>
        </w:rPr>
        <w:t>的违约金，甲方有权解除合同。乙方还需承担退还所收取的全部合同款项和其他相应法律责任。</w:t>
      </w:r>
    </w:p>
    <w:p w14:paraId="048A031A">
      <w:pPr>
        <w:snapToGrid w:val="0"/>
        <w:spacing w:line="360" w:lineRule="auto"/>
        <w:ind w:firstLine="453" w:firstLineChars="189"/>
        <w:rPr>
          <w:rFonts w:ascii="宋体" w:hAnsi="宋体" w:cs="宋体"/>
          <w:color w:val="auto"/>
          <w:sz w:val="24"/>
        </w:rPr>
      </w:pPr>
      <w:r>
        <w:rPr>
          <w:rFonts w:hint="eastAsia" w:ascii="宋体" w:hAnsi="宋体" w:cs="宋体"/>
          <w:color w:val="auto"/>
          <w:sz w:val="24"/>
        </w:rPr>
        <w:t>（五）其他违约责任按《中华人民共和国民法典》处理。</w:t>
      </w:r>
    </w:p>
    <w:p w14:paraId="7A32E8E3">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七、其他约定：</w:t>
      </w:r>
    </w:p>
    <w:p w14:paraId="47C731D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（一）乙方应按甲方的要求保质保量按时完成评估任务，并以书面形式及时向甲方报送评估结果。</w:t>
      </w:r>
    </w:p>
    <w:p w14:paraId="4CB8331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（二）双方如遇不可抗因素而需变更合同或终止合同，均需提前一个月书面告知对方。其他如有临时变更，需经双方协商一致而定。</w:t>
      </w:r>
    </w:p>
    <w:p w14:paraId="09C5BF3A">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（三）遇突发事件需要乙方启动应急措施，优先满足甲方加急检验的需求。</w:t>
      </w:r>
    </w:p>
    <w:p w14:paraId="2683928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（四）双方不得将此项合同的内容泄露给其他方，但以下情况除外：</w:t>
      </w:r>
    </w:p>
    <w:p w14:paraId="45CC157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1、此合同签订前已公开的信息；</w:t>
      </w:r>
    </w:p>
    <w:p w14:paraId="197C5BE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2、国家法律、法规有要求时。</w:t>
      </w:r>
    </w:p>
    <w:p w14:paraId="2FBA9FB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（六）</w:t>
      </w:r>
      <w:r>
        <w:rPr>
          <w:rFonts w:hint="eastAsia" w:ascii="宋体" w:hAnsi="宋体"/>
          <w:color w:val="auto"/>
          <w:spacing w:val="-6"/>
          <w:sz w:val="24"/>
        </w:rPr>
        <w:t>本合同未尽事宜由双方协商解决，并签署补充协议。履行合同中发生争议的，先行协商，如协商不成，双方同意向杭州仲裁委员会申请仲裁。</w:t>
      </w:r>
    </w:p>
    <w:p w14:paraId="527F8107">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八、合同文件组成及解释顺序：</w:t>
      </w:r>
    </w:p>
    <w:p w14:paraId="18CDB5D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1、本合同条款；2、中标通知书；3、询标纪要及承诺书；4、投标文件及其附件；5、采购文件（包括补充文件及答疑）；</w:t>
      </w:r>
    </w:p>
    <w:p w14:paraId="586E339E">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九、合同生效</w:t>
      </w:r>
    </w:p>
    <w:p w14:paraId="116F8845">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本合同一式肆份，双方各执贰份。合同自签字盖章之日起生效。</w:t>
      </w:r>
    </w:p>
    <w:p w14:paraId="7E6D5628">
      <w:pPr>
        <w:spacing w:line="360" w:lineRule="auto"/>
        <w:rPr>
          <w:rFonts w:ascii="宋体" w:hAnsi="宋体"/>
          <w:color w:val="auto"/>
          <w:sz w:val="24"/>
        </w:rPr>
      </w:pPr>
    </w:p>
    <w:p w14:paraId="67D66E78">
      <w:pPr>
        <w:spacing w:line="360" w:lineRule="auto"/>
        <w:rPr>
          <w:rFonts w:ascii="宋体" w:hAnsi="宋体"/>
          <w:color w:val="auto"/>
          <w:sz w:val="24"/>
        </w:rPr>
      </w:pPr>
      <w:r>
        <w:rPr>
          <w:rFonts w:hint="eastAsia" w:ascii="宋体" w:hAnsi="宋体"/>
          <w:color w:val="auto"/>
          <w:sz w:val="24"/>
        </w:rPr>
        <w:t xml:space="preserve">甲方（盖章）：                             乙方（盖章）：        </w:t>
      </w:r>
    </w:p>
    <w:p w14:paraId="3D0CA076">
      <w:pPr>
        <w:spacing w:line="360" w:lineRule="auto"/>
        <w:rPr>
          <w:rFonts w:ascii="宋体" w:hAnsi="宋体"/>
          <w:color w:val="auto"/>
          <w:sz w:val="24"/>
        </w:rPr>
      </w:pPr>
      <w:r>
        <w:rPr>
          <w:rFonts w:hint="eastAsia" w:ascii="宋体" w:hAnsi="宋体"/>
          <w:color w:val="auto"/>
          <w:sz w:val="24"/>
        </w:rPr>
        <w:t xml:space="preserve">法定代表人：                              法定代表人：                   </w:t>
      </w:r>
    </w:p>
    <w:p w14:paraId="5042CBC4">
      <w:pPr>
        <w:spacing w:line="360" w:lineRule="auto"/>
        <w:rPr>
          <w:rFonts w:ascii="宋体" w:hAnsi="宋体"/>
          <w:color w:val="auto"/>
          <w:sz w:val="24"/>
        </w:rPr>
      </w:pPr>
      <w:r>
        <w:rPr>
          <w:rFonts w:hint="eastAsia" w:ascii="宋体" w:hAnsi="宋体"/>
          <w:color w:val="auto"/>
          <w:sz w:val="24"/>
        </w:rPr>
        <w:t xml:space="preserve">或受委托人（签字）：                       或受委托人（签字）：                  </w:t>
      </w:r>
    </w:p>
    <w:p w14:paraId="0A732182">
      <w:pPr>
        <w:spacing w:line="360" w:lineRule="auto"/>
        <w:rPr>
          <w:rFonts w:ascii="宋体" w:hAnsi="宋体"/>
          <w:color w:val="auto"/>
          <w:sz w:val="24"/>
        </w:rPr>
      </w:pPr>
      <w:r>
        <w:rPr>
          <w:rFonts w:hint="eastAsia" w:ascii="宋体" w:hAnsi="宋体"/>
          <w:color w:val="auto"/>
          <w:sz w:val="24"/>
        </w:rPr>
        <w:t>联系人：                                  联系人：</w:t>
      </w:r>
    </w:p>
    <w:p w14:paraId="6974BC37">
      <w:pPr>
        <w:spacing w:line="360" w:lineRule="auto"/>
        <w:rPr>
          <w:rFonts w:ascii="宋体" w:hAnsi="宋体"/>
          <w:color w:val="auto"/>
          <w:sz w:val="24"/>
        </w:rPr>
      </w:pPr>
      <w:r>
        <w:rPr>
          <w:rFonts w:hint="eastAsia" w:ascii="宋体" w:hAnsi="宋体"/>
          <w:color w:val="auto"/>
          <w:sz w:val="24"/>
        </w:rPr>
        <w:t xml:space="preserve">地址：                                    地址： </w:t>
      </w:r>
    </w:p>
    <w:p w14:paraId="255E03EE">
      <w:pPr>
        <w:spacing w:line="360" w:lineRule="auto"/>
        <w:rPr>
          <w:rFonts w:ascii="宋体" w:hAnsi="宋体"/>
          <w:color w:val="auto"/>
          <w:sz w:val="24"/>
        </w:rPr>
      </w:pPr>
      <w:r>
        <w:rPr>
          <w:rFonts w:hint="eastAsia" w:ascii="宋体" w:hAnsi="宋体"/>
          <w:color w:val="auto"/>
          <w:sz w:val="24"/>
        </w:rPr>
        <w:t>电话：                                    电话：</w:t>
      </w:r>
    </w:p>
    <w:p w14:paraId="2EDB882A">
      <w:pPr>
        <w:spacing w:line="360" w:lineRule="auto"/>
        <w:rPr>
          <w:rFonts w:ascii="宋体" w:hAnsi="宋体"/>
          <w:color w:val="auto"/>
          <w:sz w:val="24"/>
        </w:rPr>
      </w:pPr>
      <w:r>
        <w:rPr>
          <w:rFonts w:hint="eastAsia" w:ascii="宋体" w:hAnsi="宋体"/>
          <w:color w:val="auto"/>
          <w:sz w:val="24"/>
        </w:rPr>
        <w:t>传真：                                    传真：</w:t>
      </w:r>
    </w:p>
    <w:p w14:paraId="55FCF285">
      <w:pPr>
        <w:pStyle w:val="3"/>
        <w:rPr>
          <w:color w:val="auto"/>
        </w:rPr>
      </w:pPr>
    </w:p>
    <w:p w14:paraId="4D56EB54">
      <w:pPr>
        <w:spacing w:line="360" w:lineRule="auto"/>
        <w:ind w:firstLine="5040" w:firstLineChars="2100"/>
        <w:jc w:val="left"/>
        <w:rPr>
          <w:rFonts w:ascii="宋体" w:hAnsi="宋体"/>
          <w:color w:val="auto"/>
          <w:sz w:val="24"/>
        </w:rPr>
      </w:pPr>
      <w:r>
        <w:rPr>
          <w:rFonts w:hint="eastAsia" w:ascii="宋体" w:hAnsi="宋体"/>
          <w:color w:val="auto"/>
          <w:sz w:val="24"/>
        </w:rPr>
        <w:t>签 约 地：</w:t>
      </w:r>
    </w:p>
    <w:p w14:paraId="7CCC45E0">
      <w:pPr>
        <w:spacing w:line="360" w:lineRule="auto"/>
        <w:rPr>
          <w:rFonts w:ascii="宋体" w:hAnsi="宋体"/>
          <w:b/>
          <w:color w:val="auto"/>
          <w:sz w:val="24"/>
        </w:rPr>
      </w:pPr>
      <w:r>
        <w:rPr>
          <w:rFonts w:hint="eastAsia" w:ascii="宋体" w:hAnsi="宋体"/>
          <w:color w:val="auto"/>
          <w:sz w:val="24"/>
        </w:rPr>
        <w:t xml:space="preserve">                                         签约日期：    年   月    日</w:t>
      </w:r>
    </w:p>
    <w:p w14:paraId="0CA0A62D">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1C9D7740">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药品、医疗器械、化妆品生产经营使用质量管理体系执行情况评估项目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ZJZN-25823-XHSJ02-01</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DE3307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D00AE4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3F85F6E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药品、医疗器械、化妆品生产经营使用质量管理体系执行情况评估项目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ZJZN-25823-XHSJ02-01</w:t>
      </w:r>
      <w:r>
        <w:rPr>
          <w:rFonts w:hint="eastAsia" w:ascii="宋体" w:hAnsi="宋体" w:cs="宋体"/>
          <w:color w:val="auto"/>
          <w:sz w:val="24"/>
          <w:highlight w:val="none"/>
        </w:rPr>
        <w:t>】招标的有关活动，并对此项目进行投标。为此：</w:t>
      </w:r>
    </w:p>
    <w:p w14:paraId="468B70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734B9DC9">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48B56DA1">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8" w:name="_Hlk101257010"/>
      <w:r>
        <w:rPr>
          <w:rFonts w:hint="eastAsia" w:ascii="宋体" w:hAnsi="宋体" w:cs="宋体"/>
          <w:color w:val="auto"/>
          <w:sz w:val="24"/>
          <w:highlight w:val="none"/>
        </w:rPr>
        <w:t>（如果有)</w:t>
      </w:r>
      <w:bookmarkEnd w:id="398"/>
      <w:r>
        <w:rPr>
          <w:rFonts w:hint="eastAsia" w:ascii="宋体" w:hAnsi="宋体" w:cs="宋体"/>
          <w:snapToGrid w:val="0"/>
          <w:color w:val="auto"/>
          <w:kern w:val="28"/>
          <w:sz w:val="24"/>
          <w:szCs w:val="20"/>
          <w:highlight w:val="none"/>
        </w:rPr>
        <w:t>；</w:t>
      </w:r>
    </w:p>
    <w:p w14:paraId="2B4EC0C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keepNext w:val="0"/>
        <w:keepLines w:val="0"/>
        <w:pageBreakBefore w:val="0"/>
        <w:widowControl w:val="0"/>
        <w:kinsoku/>
        <w:wordWrap/>
        <w:overflowPunct/>
        <w:topLinePunct w:val="0"/>
        <w:autoSpaceDE/>
        <w:autoSpaceDN/>
        <w:bidi w:val="0"/>
        <w:adjustRightInd w:val="0"/>
        <w:snapToGrid w:val="0"/>
        <w:spacing w:line="36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200" w:firstLineChars="1750"/>
        <w:textAlignment w:val="auto"/>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药品、医疗器械、化妆品生产经营使用质量管理体系执行情况评估项目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ZJZN-25823-XHSJ02-01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药品、医疗器械、化妆品生产经营使用质量管理体系执行情况评估项目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ZJZN-25823-XHSJ02-01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sectPr>
          <w:pgSz w:w="11906" w:h="16838"/>
          <w:pgMar w:top="1440" w:right="1080" w:bottom="1440" w:left="1080" w:header="851" w:footer="992" w:gutter="0"/>
          <w:cols w:space="720" w:num="1"/>
          <w:titlePg/>
          <w:docGrid w:linePitch="312" w:charSpace="0"/>
        </w:sect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5000" w:type="pct"/>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BEE4E76">
      <w:pPr>
        <w:snapToGrid w:val="0"/>
        <w:spacing w:line="360" w:lineRule="auto"/>
        <w:ind w:left="0" w:leftChars="0"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5166"/>
        <w:gridCol w:w="2495"/>
        <w:gridCol w:w="159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49" w:type="pct"/>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94" w:type="pct"/>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1253" w:type="pct"/>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802" w:type="pct"/>
            <w:vAlign w:val="center"/>
          </w:tcPr>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9" w:type="pct"/>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2594" w:type="pct"/>
            <w:vAlign w:val="center"/>
          </w:tcPr>
          <w:p w14:paraId="0F934229">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1253" w:type="pct"/>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802" w:type="pct"/>
            <w:vAlign w:val="center"/>
          </w:tcPr>
          <w:p w14:paraId="2EFD984F">
            <w:pPr>
              <w:jc w:val="both"/>
              <w:rPr>
                <w:rFonts w:ascii="宋体" w:hAnsi="宋体" w:cs="宋体"/>
                <w:color w:val="auto"/>
                <w:sz w:val="24"/>
                <w:highlight w:val="none"/>
              </w:rPr>
            </w:pPr>
            <w:r>
              <w:rPr>
                <w:rFonts w:hint="eastAsia" w:ascii="宋体" w:hAnsi="宋体" w:cs="宋体"/>
                <w:color w:val="auto"/>
                <w:sz w:val="24"/>
                <w:highlight w:val="none"/>
              </w:rPr>
              <w:t>见投标文件</w:t>
            </w:r>
          </w:p>
          <w:p w14:paraId="4D40010C">
            <w:pPr>
              <w:jc w:val="both"/>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9" w:type="pct"/>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2594" w:type="pct"/>
            <w:vAlign w:val="center"/>
          </w:tcPr>
          <w:p w14:paraId="69497FC0">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1253" w:type="pct"/>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802" w:type="pct"/>
            <w:vAlign w:val="center"/>
          </w:tcPr>
          <w:p w14:paraId="418A3ED7">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9" w:type="pct"/>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2594" w:type="pct"/>
            <w:vAlign w:val="center"/>
          </w:tcPr>
          <w:p w14:paraId="0816E62A">
            <w:pPr>
              <w:spacing w:line="360" w:lineRule="auto"/>
              <w:jc w:val="both"/>
              <w:rPr>
                <w:rFonts w:hint="default" w:ascii="宋体" w:hAnsi="宋体" w:cs="宋体"/>
                <w:color w:val="auto"/>
                <w:sz w:val="24"/>
                <w:highlight w:val="none"/>
                <w:lang w:val="en-US"/>
              </w:rPr>
            </w:pPr>
            <w:r>
              <w:rPr>
                <w:rFonts w:hint="eastAsia" w:ascii="宋体" w:hAnsi="宋体" w:cs="宋体"/>
                <w:b w:val="0"/>
                <w:bCs w:val="0"/>
                <w:snapToGrid w:val="0"/>
                <w:color w:val="auto"/>
                <w:sz w:val="24"/>
                <w:highlight w:val="none"/>
                <w:lang w:val="en-US" w:eastAsia="zh-CN"/>
              </w:rPr>
              <w:t>其他实质性要求（如有）：</w:t>
            </w:r>
          </w:p>
        </w:tc>
        <w:tc>
          <w:tcPr>
            <w:tcW w:w="1253" w:type="pc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802" w:type="pct"/>
            <w:vAlign w:val="center"/>
          </w:tcPr>
          <w:p w14:paraId="3FECB870">
            <w:pPr>
              <w:jc w:val="both"/>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5863"/>
        <w:gridCol w:w="3268"/>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6" w:type="pct"/>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2942" w:type="pct"/>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1640" w:type="pct"/>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2942" w:type="pct"/>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color w:val="auto"/>
              </w:rPr>
              <w:t>技术响应程度</w:t>
            </w:r>
          </w:p>
        </w:tc>
        <w:tc>
          <w:tcPr>
            <w:tcW w:w="1640" w:type="pct"/>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2942" w:type="pct"/>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color w:val="auto"/>
              </w:rPr>
              <w:t>对项目的理解程度</w:t>
            </w:r>
          </w:p>
        </w:tc>
        <w:tc>
          <w:tcPr>
            <w:tcW w:w="1640" w:type="pct"/>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70869D8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color w:val="auto"/>
                <w:kern w:val="0"/>
                <w:sz w:val="24"/>
                <w:highlight w:val="none"/>
                <w:lang w:val="en-US" w:eastAsia="zh-CN"/>
              </w:rPr>
              <w:t>3</w:t>
            </w:r>
          </w:p>
        </w:tc>
        <w:tc>
          <w:tcPr>
            <w:tcW w:w="2942" w:type="pct"/>
          </w:tcPr>
          <w:p w14:paraId="0E1A2FB7">
            <w:pPr>
              <w:snapToGrid w:val="0"/>
              <w:spacing w:line="360" w:lineRule="auto"/>
              <w:jc w:val="center"/>
              <w:rPr>
                <w:rFonts w:hint="eastAsia" w:ascii="宋体" w:hAnsi="宋体" w:cs="宋体"/>
                <w:b w:val="0"/>
                <w:bCs/>
                <w:color w:val="auto"/>
                <w:sz w:val="24"/>
                <w:highlight w:val="none"/>
                <w:vertAlign w:val="baseline"/>
              </w:rPr>
            </w:pPr>
            <w:r>
              <w:rPr>
                <w:rFonts w:hint="eastAsia"/>
                <w:color w:val="auto"/>
              </w:rPr>
              <w:t>项目实施方案</w:t>
            </w:r>
          </w:p>
        </w:tc>
        <w:tc>
          <w:tcPr>
            <w:tcW w:w="1640" w:type="pct"/>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9A9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1383D141">
            <w:pPr>
              <w:snapToGrid w:val="0"/>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2942" w:type="pct"/>
          </w:tcPr>
          <w:p w14:paraId="414A6EE6">
            <w:pPr>
              <w:snapToGrid w:val="0"/>
              <w:spacing w:line="360" w:lineRule="auto"/>
              <w:jc w:val="center"/>
              <w:rPr>
                <w:rFonts w:hint="eastAsia" w:ascii="宋体" w:hAnsi="宋体" w:cs="宋体"/>
                <w:b w:val="0"/>
                <w:bCs/>
                <w:color w:val="auto"/>
                <w:sz w:val="24"/>
                <w:highlight w:val="none"/>
                <w:vertAlign w:val="baseline"/>
              </w:rPr>
            </w:pPr>
            <w:r>
              <w:rPr>
                <w:rFonts w:hint="eastAsia"/>
                <w:color w:val="auto"/>
              </w:rPr>
              <w:t>技术力量和人力资源安排</w:t>
            </w:r>
          </w:p>
        </w:tc>
        <w:tc>
          <w:tcPr>
            <w:tcW w:w="3268" w:type="dxa"/>
            <w:vAlign w:val="top"/>
          </w:tcPr>
          <w:p w14:paraId="44897C56">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951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4A8A0393">
            <w:pPr>
              <w:snapToGrid w:val="0"/>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2942" w:type="pct"/>
          </w:tcPr>
          <w:p w14:paraId="6D0D5816">
            <w:pPr>
              <w:snapToGrid w:val="0"/>
              <w:spacing w:line="360" w:lineRule="auto"/>
              <w:jc w:val="center"/>
              <w:rPr>
                <w:rFonts w:hint="eastAsia" w:ascii="宋体" w:hAnsi="宋体" w:cs="宋体"/>
                <w:b w:val="0"/>
                <w:bCs/>
                <w:color w:val="auto"/>
                <w:sz w:val="24"/>
                <w:highlight w:val="none"/>
                <w:vertAlign w:val="baseline"/>
              </w:rPr>
            </w:pPr>
            <w:r>
              <w:rPr>
                <w:rFonts w:hint="eastAsia"/>
                <w:color w:val="auto"/>
              </w:rPr>
              <w:t>项目实施进度计划、保障措施和承诺</w:t>
            </w:r>
          </w:p>
        </w:tc>
        <w:tc>
          <w:tcPr>
            <w:tcW w:w="3268" w:type="dxa"/>
            <w:vAlign w:val="top"/>
          </w:tcPr>
          <w:p w14:paraId="24883FA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8F7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2892C26A">
            <w:pPr>
              <w:snapToGrid w:val="0"/>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942" w:type="pct"/>
          </w:tcPr>
          <w:p w14:paraId="59F8C12F">
            <w:pPr>
              <w:snapToGrid w:val="0"/>
              <w:spacing w:line="360" w:lineRule="auto"/>
              <w:jc w:val="center"/>
              <w:rPr>
                <w:rFonts w:hint="eastAsia" w:ascii="宋体" w:hAnsi="宋体" w:cs="宋体"/>
                <w:b w:val="0"/>
                <w:bCs/>
                <w:color w:val="auto"/>
                <w:sz w:val="24"/>
                <w:highlight w:val="none"/>
                <w:vertAlign w:val="baseline"/>
              </w:rPr>
            </w:pPr>
            <w:r>
              <w:rPr>
                <w:rFonts w:hint="eastAsia"/>
                <w:color w:val="auto"/>
              </w:rPr>
              <w:t>应急评估方案</w:t>
            </w:r>
          </w:p>
        </w:tc>
        <w:tc>
          <w:tcPr>
            <w:tcW w:w="3268" w:type="dxa"/>
            <w:vAlign w:val="top"/>
          </w:tcPr>
          <w:p w14:paraId="7C18021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266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tcPr>
          <w:p w14:paraId="4B8BE53D">
            <w:pPr>
              <w:snapToGrid w:val="0"/>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2942" w:type="pct"/>
          </w:tcPr>
          <w:p w14:paraId="053121AB">
            <w:pPr>
              <w:snapToGrid w:val="0"/>
              <w:spacing w:line="360" w:lineRule="auto"/>
              <w:jc w:val="center"/>
              <w:rPr>
                <w:rFonts w:hint="eastAsia" w:ascii="宋体" w:hAnsi="宋体" w:cs="宋体"/>
                <w:b w:val="0"/>
                <w:bCs/>
                <w:color w:val="auto"/>
                <w:sz w:val="24"/>
                <w:highlight w:val="none"/>
                <w:vertAlign w:val="baseline"/>
              </w:rPr>
            </w:pPr>
            <w:r>
              <w:rPr>
                <w:rFonts w:hint="eastAsia"/>
                <w:color w:val="auto"/>
              </w:rPr>
              <w:t>业绩经验</w:t>
            </w:r>
          </w:p>
        </w:tc>
        <w:tc>
          <w:tcPr>
            <w:tcW w:w="3268" w:type="dxa"/>
            <w:vAlign w:val="top"/>
          </w:tcPr>
          <w:p w14:paraId="473AE3A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61BD0D1">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left="0" w:leftChars="0"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628"/>
        <w:gridCol w:w="1678"/>
        <w:gridCol w:w="1376"/>
        <w:gridCol w:w="1583"/>
        <w:gridCol w:w="1865"/>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20" w:type="pct"/>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843" w:type="pct"/>
            <w:tcBorders>
              <w:top w:val="single" w:color="auto" w:sz="4" w:space="0"/>
              <w:left w:val="single" w:color="auto" w:sz="4" w:space="0"/>
              <w:bottom w:val="single" w:color="auto" w:sz="4" w:space="0"/>
              <w:right w:val="single" w:color="auto" w:sz="4" w:space="0"/>
            </w:tcBorders>
            <w:vAlign w:val="center"/>
          </w:tcPr>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691" w:type="pct"/>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795" w:type="pct"/>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20" w:type="pct"/>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Cs w:val="21"/>
              </w:rPr>
              <w:t>药品、医疗器械、化妆品生产经营使用质量管理体系执行情况评估</w:t>
            </w:r>
            <w:r>
              <w:rPr>
                <w:rFonts w:hint="eastAsia" w:ascii="宋体" w:hAnsi="宋体" w:cs="宋体"/>
                <w:color w:val="auto"/>
                <w:szCs w:val="21"/>
                <w:lang w:eastAsia="zh-CN"/>
              </w:rPr>
              <w:t>（</w:t>
            </w:r>
            <w:r>
              <w:rPr>
                <w:rFonts w:hint="eastAsia" w:ascii="宋体" w:hAnsi="宋体" w:cs="宋体"/>
                <w:color w:val="auto"/>
                <w:szCs w:val="21"/>
              </w:rPr>
              <w:t>经营使用类</w:t>
            </w:r>
            <w:r>
              <w:rPr>
                <w:rFonts w:hint="eastAsia" w:ascii="宋体" w:hAnsi="宋体" w:cs="宋体"/>
                <w:color w:val="auto"/>
                <w:szCs w:val="21"/>
                <w:lang w:eastAsia="zh-CN"/>
              </w:rPr>
              <w:t>，</w:t>
            </w:r>
            <w:r>
              <w:rPr>
                <w:rFonts w:hint="eastAsia" w:ascii="宋体" w:hAnsi="宋体" w:cs="宋体"/>
                <w:color w:val="auto"/>
                <w:szCs w:val="21"/>
              </w:rPr>
              <w:t>不含药品批发类及医院类医疗机构</w:t>
            </w:r>
            <w:r>
              <w:rPr>
                <w:rFonts w:hint="eastAsia" w:ascii="宋体" w:hAnsi="宋体" w:cs="宋体"/>
                <w:color w:val="auto"/>
                <w:szCs w:val="21"/>
                <w:lang w:eastAsia="zh-CN"/>
              </w:rPr>
              <w:t>）</w:t>
            </w:r>
          </w:p>
        </w:tc>
        <w:tc>
          <w:tcPr>
            <w:tcW w:w="843" w:type="pct"/>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20" w:type="pct"/>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Cs w:val="21"/>
              </w:rPr>
              <w:t>药品、医疗器械、化妆品生产经营使用质量管理体系执行情况评估</w:t>
            </w:r>
            <w:r>
              <w:rPr>
                <w:rFonts w:hint="eastAsia" w:ascii="宋体" w:hAnsi="宋体" w:cs="宋体"/>
                <w:color w:val="auto"/>
                <w:szCs w:val="21"/>
                <w:lang w:eastAsia="zh-CN"/>
              </w:rPr>
              <w:t>（</w:t>
            </w:r>
            <w:r>
              <w:rPr>
                <w:rFonts w:hint="eastAsia" w:ascii="宋体" w:hAnsi="宋体" w:cs="宋体"/>
                <w:color w:val="auto"/>
                <w:szCs w:val="21"/>
              </w:rPr>
              <w:t>产品持有人、生产制造及药品批发、医院类医疗机构等</w:t>
            </w:r>
            <w:r>
              <w:rPr>
                <w:rFonts w:hint="eastAsia" w:ascii="宋体" w:hAnsi="宋体" w:cs="宋体"/>
                <w:color w:val="auto"/>
                <w:szCs w:val="21"/>
                <w:lang w:eastAsia="zh-CN"/>
              </w:rPr>
              <w:t>）</w:t>
            </w:r>
          </w:p>
        </w:tc>
        <w:tc>
          <w:tcPr>
            <w:tcW w:w="843" w:type="pct"/>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795" w:type="pct"/>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75"/>
        <w:gridCol w:w="3732"/>
        <w:gridCol w:w="1343"/>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6B6935F5">
            <w:pPr>
              <w:jc w:val="center"/>
              <w:rPr>
                <w:rFonts w:ascii="宋体" w:hAnsi="宋体" w:cs="宋体"/>
                <w:b/>
                <w:color w:val="auto"/>
                <w:kern w:val="0"/>
                <w:sz w:val="32"/>
                <w:szCs w:val="32"/>
                <w:highlight w:val="none"/>
              </w:rPr>
            </w:pPr>
          </w:p>
        </w:tc>
        <w:tc>
          <w:tcPr>
            <w:tcW w:w="1873" w:type="pct"/>
          </w:tcPr>
          <w:p w14:paraId="5FF76456">
            <w:pPr>
              <w:jc w:val="center"/>
              <w:rPr>
                <w:rFonts w:ascii="宋体" w:hAnsi="宋体" w:cs="宋体"/>
                <w:b/>
                <w:color w:val="auto"/>
                <w:kern w:val="0"/>
                <w:sz w:val="32"/>
                <w:szCs w:val="32"/>
                <w:highlight w:val="none"/>
              </w:rPr>
            </w:pPr>
          </w:p>
        </w:tc>
        <w:tc>
          <w:tcPr>
            <w:tcW w:w="674" w:type="pct"/>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3D96D204">
            <w:pPr>
              <w:jc w:val="center"/>
              <w:rPr>
                <w:rFonts w:ascii="宋体" w:hAnsi="宋体" w:cs="宋体"/>
                <w:b/>
                <w:color w:val="auto"/>
                <w:kern w:val="0"/>
                <w:sz w:val="32"/>
                <w:szCs w:val="32"/>
                <w:highlight w:val="none"/>
              </w:rPr>
            </w:pPr>
          </w:p>
        </w:tc>
        <w:tc>
          <w:tcPr>
            <w:tcW w:w="1873" w:type="pct"/>
          </w:tcPr>
          <w:p w14:paraId="0A81AFEB">
            <w:pPr>
              <w:jc w:val="center"/>
              <w:rPr>
                <w:rFonts w:ascii="宋体" w:hAnsi="宋体" w:cs="宋体"/>
                <w:b/>
                <w:color w:val="auto"/>
                <w:kern w:val="0"/>
                <w:sz w:val="32"/>
                <w:szCs w:val="32"/>
                <w:highlight w:val="none"/>
              </w:rPr>
            </w:pPr>
          </w:p>
        </w:tc>
        <w:tc>
          <w:tcPr>
            <w:tcW w:w="674" w:type="pct"/>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0A4801BD">
            <w:pPr>
              <w:jc w:val="center"/>
              <w:rPr>
                <w:rFonts w:ascii="宋体" w:hAnsi="宋体" w:cs="宋体"/>
                <w:b/>
                <w:color w:val="auto"/>
                <w:kern w:val="0"/>
                <w:sz w:val="32"/>
                <w:szCs w:val="32"/>
                <w:highlight w:val="none"/>
              </w:rPr>
            </w:pPr>
          </w:p>
        </w:tc>
        <w:tc>
          <w:tcPr>
            <w:tcW w:w="1873" w:type="pct"/>
          </w:tcPr>
          <w:p w14:paraId="25AE5A44">
            <w:pPr>
              <w:jc w:val="center"/>
              <w:rPr>
                <w:rFonts w:ascii="宋体" w:hAnsi="宋体" w:cs="宋体"/>
                <w:b/>
                <w:color w:val="auto"/>
                <w:kern w:val="0"/>
                <w:sz w:val="32"/>
                <w:szCs w:val="32"/>
                <w:highlight w:val="none"/>
              </w:rPr>
            </w:pPr>
          </w:p>
        </w:tc>
        <w:tc>
          <w:tcPr>
            <w:tcW w:w="674" w:type="pct"/>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left="0" w:leftChars="0" w:firstLine="0" w:firstLineChars="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药品、医疗器械、化妆品生产经营使用质量管理体系执行情况评估项目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ZJZN-25823-XHSJ02-01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1"/>
        <w:gridCol w:w="10953"/>
      </w:tblGrid>
      <w:tr w14:paraId="5485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000" w:type="pct"/>
            <w:gridSpan w:val="2"/>
            <w:noWrap w:val="0"/>
            <w:vAlign w:val="center"/>
          </w:tcPr>
          <w:p w14:paraId="081DE0EF">
            <w:pPr>
              <w:adjustRightInd w:val="0"/>
              <w:snapToGrid w:val="0"/>
              <w:spacing w:line="360" w:lineRule="auto"/>
              <w:ind w:firstLine="105" w:firstLineChars="50"/>
              <w:rPr>
                <w:rFonts w:ascii="宋体" w:hAnsi="宋体"/>
                <w:snapToGrid w:val="0"/>
                <w:color w:val="auto"/>
                <w:kern w:val="0"/>
              </w:rPr>
            </w:pPr>
            <w:r>
              <w:rPr>
                <w:rFonts w:hint="eastAsia" w:ascii="宋体" w:hAnsi="宋体"/>
                <w:snapToGrid w:val="0"/>
                <w:color w:val="auto"/>
                <w:kern w:val="0"/>
              </w:rPr>
              <w:t>投标单价（</w:t>
            </w:r>
            <w:r>
              <w:rPr>
                <w:rFonts w:hint="eastAsia" w:ascii="宋体" w:hAnsi="宋体" w:cs="宋体"/>
                <w:color w:val="auto"/>
                <w:szCs w:val="21"/>
              </w:rPr>
              <w:t>经营使用类企业，不含药品批发类及医院类医疗机构）</w:t>
            </w:r>
            <w:r>
              <w:rPr>
                <w:rFonts w:hint="eastAsia" w:ascii="宋体" w:hAnsi="宋体"/>
                <w:snapToGrid w:val="0"/>
                <w:color w:val="auto"/>
                <w:kern w:val="0"/>
              </w:rPr>
              <w:t>：</w:t>
            </w:r>
            <w:r>
              <w:rPr>
                <w:rFonts w:hint="eastAsia" w:ascii="宋体" w:hAnsi="宋体"/>
                <w:color w:val="auto"/>
                <w:kern w:val="0"/>
                <w:lang w:val="zh-CN"/>
              </w:rPr>
              <w:t>￥</w:t>
            </w:r>
            <w:r>
              <w:rPr>
                <w:rFonts w:ascii="宋体" w:hAnsi="宋体"/>
                <w:color w:val="auto"/>
                <w:kern w:val="0"/>
                <w:lang w:val="zh-CN"/>
              </w:rPr>
              <w:t>____</w:t>
            </w:r>
            <w:r>
              <w:rPr>
                <w:rFonts w:hint="eastAsia" w:ascii="宋体" w:hAnsi="宋体"/>
                <w:snapToGrid w:val="0"/>
                <w:color w:val="auto"/>
                <w:kern w:val="0"/>
              </w:rPr>
              <w:t>元/家，大写人民币</w:t>
            </w:r>
            <w:r>
              <w:rPr>
                <w:rFonts w:ascii="宋体" w:hAnsi="宋体"/>
                <w:color w:val="auto"/>
                <w:kern w:val="0"/>
                <w:lang w:val="zh-CN"/>
              </w:rPr>
              <w:t>____</w:t>
            </w:r>
            <w:r>
              <w:rPr>
                <w:rFonts w:hint="eastAsia" w:ascii="宋体" w:hAnsi="宋体"/>
                <w:color w:val="auto"/>
                <w:kern w:val="0"/>
              </w:rPr>
              <w:t>圆每家</w:t>
            </w:r>
          </w:p>
        </w:tc>
      </w:tr>
      <w:tr w14:paraId="4283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000" w:type="pct"/>
            <w:gridSpan w:val="2"/>
            <w:noWrap w:val="0"/>
            <w:vAlign w:val="center"/>
          </w:tcPr>
          <w:p w14:paraId="71505D9B">
            <w:pPr>
              <w:adjustRightInd w:val="0"/>
              <w:snapToGrid w:val="0"/>
              <w:spacing w:line="360" w:lineRule="auto"/>
              <w:ind w:firstLine="105" w:firstLineChars="50"/>
              <w:rPr>
                <w:rFonts w:hint="eastAsia" w:ascii="宋体" w:hAnsi="宋体"/>
                <w:snapToGrid w:val="0"/>
                <w:color w:val="auto"/>
                <w:kern w:val="0"/>
              </w:rPr>
            </w:pPr>
            <w:r>
              <w:rPr>
                <w:rFonts w:hint="eastAsia" w:ascii="宋体" w:hAnsi="宋体"/>
                <w:snapToGrid w:val="0"/>
                <w:color w:val="auto"/>
                <w:kern w:val="0"/>
              </w:rPr>
              <w:t>投标单价（</w:t>
            </w:r>
            <w:r>
              <w:rPr>
                <w:rFonts w:hint="eastAsia" w:ascii="宋体" w:hAnsi="宋体" w:cs="宋体"/>
                <w:color w:val="auto"/>
                <w:szCs w:val="21"/>
              </w:rPr>
              <w:t>产品持有人、生产制造及药品批发、医院类医疗机构等企业）</w:t>
            </w:r>
            <w:r>
              <w:rPr>
                <w:rFonts w:hint="eastAsia" w:ascii="宋体" w:hAnsi="宋体"/>
                <w:snapToGrid w:val="0"/>
                <w:color w:val="auto"/>
                <w:kern w:val="0"/>
              </w:rPr>
              <w:t>：</w:t>
            </w:r>
            <w:r>
              <w:rPr>
                <w:rFonts w:hint="eastAsia" w:ascii="宋体" w:hAnsi="宋体"/>
                <w:color w:val="auto"/>
                <w:kern w:val="0"/>
                <w:lang w:val="zh-CN"/>
              </w:rPr>
              <w:t>￥</w:t>
            </w:r>
            <w:r>
              <w:rPr>
                <w:rFonts w:ascii="宋体" w:hAnsi="宋体"/>
                <w:color w:val="auto"/>
                <w:kern w:val="0"/>
                <w:lang w:val="zh-CN"/>
              </w:rPr>
              <w:t>____</w:t>
            </w:r>
            <w:r>
              <w:rPr>
                <w:rFonts w:hint="eastAsia" w:ascii="宋体" w:hAnsi="宋体"/>
                <w:snapToGrid w:val="0"/>
                <w:color w:val="auto"/>
                <w:kern w:val="0"/>
              </w:rPr>
              <w:t>元/家，大写人民币</w:t>
            </w:r>
            <w:r>
              <w:rPr>
                <w:rFonts w:ascii="宋体" w:hAnsi="宋体"/>
                <w:color w:val="auto"/>
                <w:kern w:val="0"/>
                <w:lang w:val="zh-CN"/>
              </w:rPr>
              <w:t>____</w:t>
            </w:r>
            <w:r>
              <w:rPr>
                <w:rFonts w:hint="eastAsia" w:ascii="宋体" w:hAnsi="宋体"/>
                <w:color w:val="auto"/>
                <w:kern w:val="0"/>
              </w:rPr>
              <w:t>圆每家</w:t>
            </w:r>
          </w:p>
        </w:tc>
      </w:tr>
      <w:tr w14:paraId="29DF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23" w:type="pct"/>
            <w:noWrap w:val="0"/>
            <w:vAlign w:val="center"/>
          </w:tcPr>
          <w:p w14:paraId="7D2CC073">
            <w:pPr>
              <w:adjustRightInd w:val="0"/>
              <w:snapToGrid w:val="0"/>
              <w:spacing w:line="360" w:lineRule="auto"/>
              <w:jc w:val="center"/>
              <w:rPr>
                <w:rFonts w:hint="eastAsia" w:ascii="宋体" w:hAnsi="宋体"/>
                <w:snapToGrid w:val="0"/>
                <w:color w:val="auto"/>
                <w:kern w:val="0"/>
              </w:rPr>
            </w:pPr>
            <w:r>
              <w:rPr>
                <w:rFonts w:hint="eastAsia" w:ascii="宋体" w:hAnsi="宋体"/>
                <w:snapToGrid w:val="0"/>
                <w:color w:val="auto"/>
                <w:kern w:val="0"/>
              </w:rPr>
              <w:t>项目负责人</w:t>
            </w:r>
          </w:p>
        </w:tc>
        <w:tc>
          <w:tcPr>
            <w:tcW w:w="3676" w:type="pct"/>
            <w:noWrap w:val="0"/>
            <w:vAlign w:val="center"/>
          </w:tcPr>
          <w:p w14:paraId="02A9A8B1">
            <w:pPr>
              <w:adjustRightInd w:val="0"/>
              <w:snapToGrid w:val="0"/>
              <w:spacing w:line="360" w:lineRule="auto"/>
              <w:rPr>
                <w:rFonts w:ascii="宋体" w:hAnsi="宋体"/>
                <w:snapToGrid w:val="0"/>
                <w:color w:val="auto"/>
                <w:kern w:val="0"/>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65346D3">
      <w:pPr>
        <w:snapToGrid w:val="0"/>
        <w:spacing w:line="360" w:lineRule="auto"/>
        <w:ind w:left="0" w:leftChars="0" w:firstLine="0" w:firstLineChars="0"/>
        <w:jc w:val="center"/>
        <w:rPr>
          <w:rFonts w:ascii="宋体" w:hAnsi="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399" w:name="OLE_LINK13"/>
      <w:bookmarkStart w:id="400" w:name="OLE_LINK14"/>
      <w:r>
        <w:rPr>
          <w:rFonts w:hint="eastAsia" w:ascii="宋体" w:hAnsi="宋体" w:cs="宋体"/>
          <w:b/>
          <w:color w:val="auto"/>
          <w:spacing w:val="6"/>
          <w:sz w:val="32"/>
          <w:szCs w:val="32"/>
          <w:highlight w:val="none"/>
        </w:rPr>
        <w:t>残疾人福利性单位声明函</w:t>
      </w:r>
    </w:p>
    <w:bookmarkEnd w:id="399"/>
    <w:bookmarkEnd w:id="400"/>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药品、医疗器械、化妆品生产经营使用质量管理体系执行情况评估项目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sectPr>
          <w:footerReference r:id="rId23" w:type="first"/>
          <w:headerReference r:id="rId20" w:type="default"/>
          <w:footerReference r:id="rId21" w:type="default"/>
          <w:footerReference r:id="rId22" w:type="even"/>
          <w:pgSz w:w="11906" w:h="16838"/>
          <w:pgMar w:top="1440" w:right="1080" w:bottom="1440" w:left="1080" w:header="851" w:footer="992" w:gutter="0"/>
          <w:cols w:space="720" w:num="1"/>
          <w:titlePg/>
          <w:docGrid w:linePitch="312" w:charSpace="0"/>
        </w:sectPr>
      </w:pPr>
    </w:p>
    <w:p w14:paraId="2F37603A">
      <w:pPr>
        <w:snapToGrid w:val="0"/>
        <w:spacing w:line="360" w:lineRule="auto"/>
        <w:ind w:left="0" w:leftChars="0" w:firstLine="0" w:firstLine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sectPr>
          <w:pgSz w:w="11906" w:h="16838"/>
          <w:pgMar w:top="1440" w:right="1080" w:bottom="1440" w:left="1080" w:header="851" w:footer="992" w:gutter="0"/>
          <w:cols w:space="720" w:num="1"/>
          <w:titlePg/>
          <w:docGrid w:linePitch="312" w:charSpace="0"/>
        </w:sectPr>
      </w:pPr>
    </w:p>
    <w:p w14:paraId="4D8C628D">
      <w:pPr>
        <w:snapToGrid w:val="0"/>
        <w:spacing w:line="360" w:lineRule="auto"/>
        <w:ind w:left="0" w:leftChars="0" w:firstLine="0" w:firstLine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C65DFE0">
      <w:pPr>
        <w:snapToGrid w:val="0"/>
        <w:spacing w:line="360" w:lineRule="auto"/>
        <w:ind w:left="0" w:leftChars="0" w:firstLine="0" w:firstLine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杭州市西湖区市场监督管理局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浙江中诺招标代理有限公司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药品、医疗器械、化妆品生产经营使用质量管理体系执行情况评估项目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ZJZN-25823-XHSJ02-01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53887FC">
      <w:pPr>
        <w:snapToGrid w:val="0"/>
        <w:spacing w:line="360" w:lineRule="auto"/>
        <w:ind w:left="0" w:leftChars="0" w:firstLine="0" w:firstLineChars="0"/>
        <w:jc w:val="center"/>
        <w:rPr>
          <w:rFonts w:hint="eastAsia" w:ascii="宋体" w:hAnsi="宋体" w:eastAsia="宋体" w:cs="宋体"/>
          <w:b/>
          <w:color w:val="auto"/>
          <w:spacing w:val="6"/>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pacing w:val="6"/>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药品、医疗器械、化妆品生产经营使用质量管理体系执行情况评估项目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ZJZN-25823-XHSJ02-01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2"/>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3"/>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1EA60D8D">
      <w:pPr>
        <w:snapToGrid w:val="0"/>
        <w:spacing w:line="360" w:lineRule="auto"/>
        <w:ind w:left="0" w:leftChars="0" w:firstLine="0" w:firstLineChars="0"/>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药品、医疗器械、化妆品生产经营使用质量管理体系执行情况评估项目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ZJZN-25823-XHSJ02-01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CC22D28">
      <w:pPr>
        <w:snapToGrid w:val="0"/>
        <w:spacing w:line="360" w:lineRule="auto"/>
        <w:ind w:left="0" w:leftChars="0" w:firstLine="0" w:firstLine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附件7：中小企业声明函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杭州市西湖区市场监督管理局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药品、医疗器械、化妆品生产经营使用质量管理体系执行情况评估项目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9267A7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131845147"/>
    <w:bookmarkStart w:id="405" w:name="_Toc36110187"/>
    <w:bookmarkStart w:id="406" w:name="_Toc164085800"/>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jc w:val="right"/>
      <w:rPr>
        <w:rFonts w:ascii="仿宋_GB2312" w:eastAsia="仿宋_GB2312"/>
        <w:b/>
        <w:i/>
        <w:u w:val="single"/>
      </w:rPr>
    </w:pPr>
    <w:r>
      <w:t>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7612A">
    <w:pPr>
      <w:pStyle w:val="41"/>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jc w:val="right"/>
      <w:rPr>
        <w:rFonts w:ascii="仿宋_GB2312" w:eastAsia="仿宋_GB2312"/>
        <w:b/>
        <w:i/>
        <w:u w:val="single"/>
      </w:rPr>
    </w:pP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9C018"/>
    <w:multiLevelType w:val="singleLevel"/>
    <w:tmpl w:val="17C9C01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1761D1"/>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71EA1"/>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C6A9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2554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2A0B1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D408E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41498A"/>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965CB"/>
    <w:rsid w:val="64F74FEA"/>
    <w:rsid w:val="653C3090"/>
    <w:rsid w:val="65854376"/>
    <w:rsid w:val="658767BE"/>
    <w:rsid w:val="65892531"/>
    <w:rsid w:val="66195831"/>
    <w:rsid w:val="662E75B1"/>
    <w:rsid w:val="66342C2E"/>
    <w:rsid w:val="663E784C"/>
    <w:rsid w:val="668B6A45"/>
    <w:rsid w:val="67000CC4"/>
    <w:rsid w:val="67011F07"/>
    <w:rsid w:val="672F3F24"/>
    <w:rsid w:val="673E055F"/>
    <w:rsid w:val="67551CE3"/>
    <w:rsid w:val="67A22552"/>
    <w:rsid w:val="67B22DCC"/>
    <w:rsid w:val="67BE71AA"/>
    <w:rsid w:val="67D90273"/>
    <w:rsid w:val="67DE5875"/>
    <w:rsid w:val="67E55852"/>
    <w:rsid w:val="67EA5675"/>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27A5A"/>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A2FFA"/>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10122"/>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1"/>
    <w:qFormat/>
    <w:uiPriority w:val="0"/>
    <w:pPr>
      <w:adjustRightInd/>
      <w:spacing w:after="120" w:line="240" w:lineRule="auto"/>
      <w:ind w:left="420" w:leftChars="200" w:firstLine="210"/>
    </w:pPr>
    <w:rPr>
      <w:sz w:val="21"/>
    </w:rPr>
  </w:style>
  <w:style w:type="paragraph" w:styleId="3">
    <w:name w:val="Body Text Indent"/>
    <w:basedOn w:val="1"/>
    <w:next w:val="1"/>
    <w:link w:val="265"/>
    <w:qFormat/>
    <w:uiPriority w:val="0"/>
    <w:pPr>
      <w:spacing w:line="480" w:lineRule="exact"/>
      <w:ind w:firstLine="480" w:firstLineChars="200"/>
    </w:pPr>
    <w:rPr>
      <w:rFonts w:ascii="宋体" w:hAnsi="宋体"/>
      <w:sz w:val="24"/>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59</Pages>
  <Words>91</Words>
  <Characters>111</Characters>
  <Lines>281</Lines>
  <Paragraphs>79</Paragraphs>
  <TotalTime>32</TotalTime>
  <ScaleCrop>false</ScaleCrop>
  <LinksUpToDate>false</LinksUpToDate>
  <CharactersWithSpaces>119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刘宋斌</cp:lastModifiedBy>
  <cp:lastPrinted>2021-12-28T03:06:00Z</cp:lastPrinted>
  <dcterms:modified xsi:type="dcterms:W3CDTF">2025-06-27T04:14:06Z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74955F370D4E40B099D15BA030CA4930_13</vt:lpwstr>
  </property>
  <property fmtid="{D5CDD505-2E9C-101B-9397-08002B2CF9AE}" pid="5" name="KSOTemplateDocerSaveRecord">
    <vt:lpwstr>eyJoZGlkIjoiODdlYjBjNjYwZjlkMmE3MDE0YTZiNDk4NTI1OGM1MDMiLCJ1c2VySWQiOiIzOTEzNzY2NjEifQ==</vt:lpwstr>
  </property>
</Properties>
</file>