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9306B0">
      <w:pPr>
        <w:pageBreakBefore w:val="0"/>
        <w:shd w:val="clear"/>
        <w:kinsoku/>
        <w:overflowPunct/>
        <w:topLinePunct w:val="0"/>
        <w:bidi w:val="0"/>
        <w:adjustRightInd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w w:val="80"/>
          <w:sz w:val="28"/>
          <w:szCs w:val="28"/>
          <w:highlight w:val="none"/>
          <w:lang w:bidi="th-TH"/>
        </w:rPr>
        <w:t xml:space="preserve"> </w:t>
      </w:r>
      <w:r>
        <w:rPr>
          <w:rFonts w:hint="eastAsia" w:ascii="宋体" w:hAnsi="宋体" w:eastAsia="宋体" w:cs="宋体"/>
          <w:color w:val="auto"/>
          <w:highlight w:val="none"/>
        </w:rPr>
        <w:tab/>
      </w:r>
    </w:p>
    <w:p w14:paraId="6C9F32FF">
      <w:pPr>
        <w:pageBreakBefore w:val="0"/>
        <w:shd w:val="clear"/>
        <w:kinsoku/>
        <w:overflowPunct/>
        <w:topLinePunct w:val="0"/>
        <w:bidi w:val="0"/>
        <w:adjustRightInd w:val="0"/>
        <w:snapToGrid w:val="0"/>
        <w:spacing w:line="360" w:lineRule="auto"/>
        <w:jc w:val="center"/>
        <w:rPr>
          <w:rFonts w:hint="eastAsia" w:ascii="宋体" w:hAnsi="宋体" w:eastAsia="宋体" w:cs="宋体"/>
          <w:b/>
          <w:bCs/>
          <w:color w:val="auto"/>
          <w:sz w:val="48"/>
          <w:szCs w:val="48"/>
          <w:highlight w:val="none"/>
        </w:rPr>
      </w:pPr>
    </w:p>
    <w:p w14:paraId="01D7A6C3">
      <w:pPr>
        <w:pageBreakBefore w:val="0"/>
        <w:shd w:val="clear"/>
        <w:kinsoku/>
        <w:overflowPunct/>
        <w:topLinePunct w:val="0"/>
        <w:bidi w:val="0"/>
        <w:adjustRightInd w:val="0"/>
        <w:snapToGrid w:val="0"/>
        <w:spacing w:line="360" w:lineRule="auto"/>
        <w:jc w:val="center"/>
        <w:rPr>
          <w:rFonts w:hint="eastAsia" w:ascii="宋体" w:hAnsi="宋体" w:eastAsia="宋体" w:cs="宋体"/>
          <w:b/>
          <w:bCs/>
          <w:color w:val="auto"/>
          <w:sz w:val="48"/>
          <w:szCs w:val="48"/>
          <w:highlight w:val="none"/>
        </w:rPr>
      </w:pPr>
      <w:r>
        <w:rPr>
          <w:rFonts w:hint="eastAsia" w:ascii="宋体" w:hAnsi="宋体" w:eastAsia="宋体" w:cs="宋体"/>
          <w:b/>
          <w:bCs/>
          <w:color w:val="auto"/>
          <w:sz w:val="48"/>
          <w:szCs w:val="48"/>
          <w:highlight w:val="none"/>
        </w:rPr>
        <w:t>浙江理工大学</w:t>
      </w:r>
    </w:p>
    <w:p w14:paraId="1C52BE8D">
      <w:pPr>
        <w:pageBreakBefore w:val="0"/>
        <w:shd w:val="clear"/>
        <w:kinsoku/>
        <w:overflowPunct/>
        <w:topLinePunct w:val="0"/>
        <w:bidi w:val="0"/>
        <w:adjustRightInd w:val="0"/>
        <w:snapToGrid w:val="0"/>
        <w:spacing w:line="360" w:lineRule="auto"/>
        <w:jc w:val="center"/>
        <w:rPr>
          <w:rFonts w:hint="eastAsia" w:ascii="宋体" w:hAnsi="宋体" w:eastAsia="宋体" w:cs="宋体"/>
          <w:b/>
          <w:bCs/>
          <w:color w:val="auto"/>
          <w:sz w:val="48"/>
          <w:szCs w:val="48"/>
          <w:highlight w:val="none"/>
          <w:lang w:eastAsia="zh-CN"/>
        </w:rPr>
      </w:pPr>
      <w:r>
        <w:rPr>
          <w:rFonts w:hint="eastAsia" w:ascii="宋体" w:hAnsi="宋体" w:eastAsia="宋体" w:cs="宋体"/>
          <w:b/>
          <w:bCs/>
          <w:color w:val="auto"/>
          <w:sz w:val="48"/>
          <w:szCs w:val="48"/>
          <w:highlight w:val="none"/>
          <w:lang w:eastAsia="zh-CN"/>
        </w:rPr>
        <w:t>钱塘校区教育教学用房及设施提升改造工程结算审核造价咨询服务项目</w:t>
      </w:r>
    </w:p>
    <w:p w14:paraId="610960F7">
      <w:pPr>
        <w:pStyle w:val="21"/>
        <w:pageBreakBefore w:val="0"/>
        <w:shd w:val="clear"/>
        <w:kinsoku/>
        <w:overflowPunct/>
        <w:topLinePunct w:val="0"/>
        <w:bidi w:val="0"/>
        <w:adjustRightInd w:val="0"/>
        <w:snapToGrid w:val="0"/>
        <w:spacing w:line="360" w:lineRule="auto"/>
        <w:jc w:val="center"/>
        <w:rPr>
          <w:rFonts w:hint="eastAsia" w:ascii="宋体" w:hAnsi="宋体" w:eastAsia="宋体" w:cs="宋体"/>
          <w:color w:val="auto"/>
          <w:highlight w:val="none"/>
          <w:lang w:eastAsia="zh-CN"/>
        </w:rPr>
      </w:pPr>
    </w:p>
    <w:p w14:paraId="72062451">
      <w:pPr>
        <w:pageBreakBefore w:val="0"/>
        <w:shd w:val="clear"/>
        <w:kinsoku/>
        <w:overflowPunct/>
        <w:topLinePunct w:val="0"/>
        <w:bidi w:val="0"/>
        <w:adjustRightInd w:val="0"/>
        <w:snapToGrid w:val="0"/>
        <w:spacing w:line="360" w:lineRule="auto"/>
        <w:jc w:val="center"/>
        <w:rPr>
          <w:rFonts w:hint="eastAsia" w:ascii="宋体" w:hAnsi="宋体" w:eastAsia="宋体" w:cs="宋体"/>
          <w:b/>
          <w:color w:val="auto"/>
          <w:sz w:val="52"/>
          <w:szCs w:val="52"/>
          <w:highlight w:val="none"/>
        </w:rPr>
      </w:pPr>
    </w:p>
    <w:p w14:paraId="2721321D">
      <w:pPr>
        <w:pageBreakBefore w:val="0"/>
        <w:shd w:val="clear"/>
        <w:tabs>
          <w:tab w:val="center" w:pos="4424"/>
          <w:tab w:val="left" w:pos="6669"/>
        </w:tabs>
        <w:kinsoku/>
        <w:overflowPunct/>
        <w:topLinePunct w:val="0"/>
        <w:bidi w:val="0"/>
        <w:adjustRightInd w:val="0"/>
        <w:snapToGrid w:val="0"/>
        <w:spacing w:line="360" w:lineRule="auto"/>
        <w:jc w:val="left"/>
        <w:rPr>
          <w:rFonts w:hint="eastAsia" w:ascii="宋体" w:hAnsi="宋体" w:eastAsia="宋体" w:cs="宋体"/>
          <w:b/>
          <w:color w:val="auto"/>
          <w:sz w:val="52"/>
          <w:szCs w:val="52"/>
          <w:highlight w:val="none"/>
        </w:rPr>
      </w:pPr>
      <w:r>
        <w:rPr>
          <w:rFonts w:hint="eastAsia" w:ascii="宋体" w:hAnsi="宋体" w:eastAsia="宋体" w:cs="宋体"/>
          <w:b/>
          <w:bCs/>
          <w:color w:val="auto"/>
          <w:sz w:val="52"/>
          <w:szCs w:val="52"/>
          <w:highlight w:val="none"/>
        </w:rPr>
        <w:tab/>
      </w:r>
      <w:r>
        <w:rPr>
          <w:rFonts w:hint="eastAsia" w:ascii="宋体" w:hAnsi="宋体" w:eastAsia="宋体" w:cs="宋体"/>
          <w:b/>
          <w:bCs/>
          <w:color w:val="auto"/>
          <w:sz w:val="52"/>
          <w:szCs w:val="52"/>
          <w:highlight w:val="none"/>
        </w:rPr>
        <w:t>采 购 文 件</w:t>
      </w:r>
      <w:r>
        <w:rPr>
          <w:rFonts w:hint="eastAsia" w:ascii="宋体" w:hAnsi="宋体" w:eastAsia="宋体" w:cs="宋体"/>
          <w:b/>
          <w:bCs/>
          <w:color w:val="auto"/>
          <w:sz w:val="52"/>
          <w:szCs w:val="52"/>
          <w:highlight w:val="none"/>
        </w:rPr>
        <w:tab/>
      </w:r>
    </w:p>
    <w:p w14:paraId="45C8DFD1">
      <w:pPr>
        <w:pageBreakBefore w:val="0"/>
        <w:shd w:val="clear"/>
        <w:kinsoku/>
        <w:overflowPunct/>
        <w:topLinePunct w:val="0"/>
        <w:bidi w:val="0"/>
        <w:adjustRightInd w:val="0"/>
        <w:snapToGrid w:val="0"/>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（电子招投标方式）</w:t>
      </w:r>
    </w:p>
    <w:p w14:paraId="317B9775">
      <w:pPr>
        <w:pageBreakBefore w:val="0"/>
        <w:shd w:val="clear"/>
        <w:kinsoku/>
        <w:overflowPunct/>
        <w:topLinePunct w:val="0"/>
        <w:bidi w:val="0"/>
        <w:adjustRightInd w:val="0"/>
        <w:snapToGrid w:val="0"/>
        <w:spacing w:line="360" w:lineRule="auto"/>
        <w:jc w:val="center"/>
        <w:rPr>
          <w:rFonts w:hint="eastAsia" w:ascii="宋体" w:hAnsi="宋体" w:eastAsia="宋体" w:cs="宋体"/>
          <w:b/>
          <w:color w:val="auto"/>
          <w:szCs w:val="84"/>
          <w:highlight w:val="none"/>
        </w:rPr>
      </w:pPr>
    </w:p>
    <w:p w14:paraId="41202066">
      <w:pPr>
        <w:pStyle w:val="28"/>
        <w:pageBreakBefore w:val="0"/>
        <w:shd w:val="clear"/>
        <w:kinsoku/>
        <w:overflowPunct/>
        <w:topLinePunct w:val="0"/>
        <w:bidi w:val="0"/>
        <w:adjustRightInd w:val="0"/>
        <w:snapToGrid w:val="0"/>
        <w:spacing w:line="360" w:lineRule="auto"/>
        <w:rPr>
          <w:rFonts w:hint="eastAsia" w:ascii="宋体" w:hAnsi="宋体" w:eastAsia="宋体" w:cs="宋体"/>
          <w:color w:val="auto"/>
          <w:highlight w:val="none"/>
        </w:rPr>
      </w:pPr>
    </w:p>
    <w:p w14:paraId="7D66A6A3">
      <w:pPr>
        <w:pStyle w:val="28"/>
        <w:pageBreakBefore w:val="0"/>
        <w:shd w:val="clear"/>
        <w:kinsoku/>
        <w:overflowPunct/>
        <w:topLinePunct w:val="0"/>
        <w:bidi w:val="0"/>
        <w:adjustRightInd w:val="0"/>
        <w:snapToGrid w:val="0"/>
        <w:spacing w:line="360" w:lineRule="auto"/>
        <w:ind w:left="5250"/>
        <w:rPr>
          <w:rFonts w:hint="eastAsia" w:ascii="宋体" w:hAnsi="宋体" w:eastAsia="宋体" w:cs="宋体"/>
          <w:color w:val="auto"/>
          <w:szCs w:val="28"/>
          <w:highlight w:val="none"/>
        </w:rPr>
      </w:pPr>
      <w:r>
        <w:rPr>
          <w:rFonts w:hint="eastAsia" w:ascii="宋体" w:hAnsi="宋体" w:eastAsia="宋体" w:cs="宋体"/>
          <w:color w:val="auto"/>
          <w:highlight w:val="none"/>
        </w:rPr>
        <w:t xml:space="preserve">      </w:t>
      </w:r>
    </w:p>
    <w:p w14:paraId="1EF42C1C">
      <w:pPr>
        <w:pageBreakBefore w:val="0"/>
        <w:shd w:val="clear"/>
        <w:kinsoku/>
        <w:overflowPunct/>
        <w:topLinePunct w:val="0"/>
        <w:bidi w:val="0"/>
        <w:adjustRightInd w:val="0"/>
        <w:snapToGrid w:val="0"/>
        <w:spacing w:line="360" w:lineRule="auto"/>
        <w:rPr>
          <w:rFonts w:hint="eastAsia" w:ascii="宋体" w:hAnsi="宋体" w:eastAsia="宋体" w:cs="宋体"/>
          <w:b/>
          <w:color w:val="auto"/>
          <w:highlight w:val="none"/>
        </w:rPr>
      </w:pPr>
    </w:p>
    <w:p w14:paraId="70D70EB1">
      <w:pPr>
        <w:pageBreakBefore w:val="0"/>
        <w:shd w:val="clear"/>
        <w:kinsoku/>
        <w:overflowPunct/>
        <w:topLinePunct w:val="0"/>
        <w:bidi w:val="0"/>
        <w:adjustRightInd w:val="0"/>
        <w:snapToGrid w:val="0"/>
        <w:spacing w:line="360" w:lineRule="auto"/>
        <w:ind w:firstLine="578" w:firstLineChars="200"/>
        <w:rPr>
          <w:rFonts w:hint="eastAsia" w:ascii="宋体" w:hAnsi="宋体" w:eastAsia="宋体" w:cs="宋体"/>
          <w:b/>
          <w:color w:val="auto"/>
          <w:spacing w:val="-6"/>
          <w:sz w:val="30"/>
          <w:szCs w:val="30"/>
          <w:highlight w:val="none"/>
          <w:lang w:eastAsia="zh-CN"/>
        </w:rPr>
      </w:pPr>
      <w:r>
        <w:rPr>
          <w:rFonts w:hint="eastAsia" w:ascii="宋体" w:hAnsi="宋体" w:eastAsia="宋体" w:cs="宋体"/>
          <w:b/>
          <w:color w:val="auto"/>
          <w:spacing w:val="-6"/>
          <w:sz w:val="30"/>
          <w:szCs w:val="30"/>
          <w:highlight w:val="none"/>
        </w:rPr>
        <w:t>采购计划文号：</w:t>
      </w:r>
      <w:r>
        <w:rPr>
          <w:rFonts w:hint="eastAsia" w:ascii="宋体" w:hAnsi="宋体" w:cs="宋体"/>
          <w:b/>
          <w:color w:val="auto"/>
          <w:spacing w:val="-6"/>
          <w:sz w:val="30"/>
          <w:szCs w:val="30"/>
          <w:highlight w:val="none"/>
          <w:lang w:eastAsia="zh-CN"/>
        </w:rPr>
        <w:t>[2025]37549号</w:t>
      </w:r>
    </w:p>
    <w:p w14:paraId="6F4BB47C">
      <w:pPr>
        <w:pageBreakBefore w:val="0"/>
        <w:shd w:val="clear"/>
        <w:kinsoku/>
        <w:overflowPunct/>
        <w:topLinePunct w:val="0"/>
        <w:bidi w:val="0"/>
        <w:adjustRightInd w:val="0"/>
        <w:snapToGrid w:val="0"/>
        <w:spacing w:line="360" w:lineRule="auto"/>
        <w:ind w:firstLine="578" w:firstLineChars="200"/>
        <w:rPr>
          <w:rFonts w:hint="eastAsia" w:ascii="宋体" w:hAnsi="宋体" w:eastAsia="宋体" w:cs="宋体"/>
          <w:b/>
          <w:color w:val="auto"/>
          <w:spacing w:val="-6"/>
          <w:sz w:val="30"/>
          <w:szCs w:val="30"/>
          <w:highlight w:val="none"/>
          <w:lang w:eastAsia="zh-CN"/>
        </w:rPr>
      </w:pPr>
      <w:r>
        <w:rPr>
          <w:rFonts w:hint="eastAsia" w:ascii="宋体" w:hAnsi="宋体" w:eastAsia="宋体" w:cs="宋体"/>
          <w:b/>
          <w:color w:val="auto"/>
          <w:spacing w:val="-6"/>
          <w:sz w:val="30"/>
          <w:szCs w:val="30"/>
          <w:highlight w:val="none"/>
        </w:rPr>
        <w:t>项目编号：</w:t>
      </w:r>
      <w:r>
        <w:rPr>
          <w:rFonts w:hint="eastAsia" w:ascii="宋体" w:hAnsi="宋体" w:eastAsia="宋体" w:cs="宋体"/>
          <w:b/>
          <w:i w:val="0"/>
          <w:iCs w:val="0"/>
          <w:caps w:val="0"/>
          <w:color w:val="auto"/>
          <w:spacing w:val="-6"/>
          <w:sz w:val="30"/>
          <w:szCs w:val="30"/>
          <w:highlight w:val="none"/>
          <w:u w:val="none"/>
          <w:shd w:val="clear"/>
          <w:lang w:eastAsia="zh-CN"/>
        </w:rPr>
        <w:t>ZJ-2521594</w:t>
      </w:r>
    </w:p>
    <w:p w14:paraId="11D0C198">
      <w:pPr>
        <w:pageBreakBefore w:val="0"/>
        <w:shd w:val="clear"/>
        <w:kinsoku/>
        <w:overflowPunct/>
        <w:topLinePunct w:val="0"/>
        <w:bidi w:val="0"/>
        <w:adjustRightInd w:val="0"/>
        <w:snapToGrid w:val="0"/>
        <w:spacing w:line="360" w:lineRule="auto"/>
        <w:ind w:left="2042" w:leftChars="284" w:hanging="1446" w:hangingChars="500"/>
        <w:rPr>
          <w:rFonts w:hint="eastAsia" w:ascii="宋体" w:hAnsi="宋体" w:eastAsia="宋体" w:cs="宋体"/>
          <w:b/>
          <w:color w:val="auto"/>
          <w:spacing w:val="-6"/>
          <w:sz w:val="30"/>
          <w:szCs w:val="30"/>
          <w:highlight w:val="none"/>
          <w:lang w:eastAsia="zh-CN"/>
        </w:rPr>
      </w:pPr>
      <w:r>
        <w:rPr>
          <w:rFonts w:hint="eastAsia" w:ascii="宋体" w:hAnsi="宋体" w:eastAsia="宋体" w:cs="宋体"/>
          <w:b/>
          <w:color w:val="auto"/>
          <w:spacing w:val="-6"/>
          <w:sz w:val="30"/>
          <w:szCs w:val="30"/>
          <w:highlight w:val="none"/>
        </w:rPr>
        <w:t>项目名称：浙江理工大学</w:t>
      </w:r>
      <w:r>
        <w:rPr>
          <w:rFonts w:hint="eastAsia" w:ascii="宋体" w:hAnsi="宋体" w:eastAsia="宋体" w:cs="宋体"/>
          <w:b/>
          <w:color w:val="auto"/>
          <w:spacing w:val="-6"/>
          <w:sz w:val="30"/>
          <w:szCs w:val="30"/>
          <w:highlight w:val="none"/>
          <w:lang w:eastAsia="zh-CN"/>
        </w:rPr>
        <w:t>钱塘校区教育教学用房及设施提升改造工程结算审核造价咨询服务项目</w:t>
      </w:r>
    </w:p>
    <w:p w14:paraId="298CC62F">
      <w:pPr>
        <w:pageBreakBefore w:val="0"/>
        <w:shd w:val="clear"/>
        <w:kinsoku/>
        <w:overflowPunct/>
        <w:topLinePunct w:val="0"/>
        <w:bidi w:val="0"/>
        <w:adjustRightInd w:val="0"/>
        <w:snapToGrid w:val="0"/>
        <w:spacing w:line="360" w:lineRule="auto"/>
        <w:ind w:firstLine="578" w:firstLineChars="200"/>
        <w:rPr>
          <w:rFonts w:hint="eastAsia" w:ascii="宋体" w:hAnsi="宋体" w:eastAsia="宋体" w:cs="宋体"/>
          <w:b/>
          <w:color w:val="auto"/>
          <w:spacing w:val="-6"/>
          <w:sz w:val="30"/>
          <w:szCs w:val="30"/>
          <w:highlight w:val="none"/>
        </w:rPr>
      </w:pPr>
      <w:r>
        <w:rPr>
          <w:rFonts w:hint="eastAsia" w:ascii="宋体" w:hAnsi="宋体" w:eastAsia="宋体" w:cs="宋体"/>
          <w:b/>
          <w:color w:val="auto"/>
          <w:spacing w:val="-6"/>
          <w:sz w:val="30"/>
          <w:szCs w:val="30"/>
          <w:highlight w:val="none"/>
        </w:rPr>
        <w:t>采 购 人：浙江理工大学</w:t>
      </w:r>
    </w:p>
    <w:p w14:paraId="5E4B763B">
      <w:pPr>
        <w:pageBreakBefore w:val="0"/>
        <w:shd w:val="clear"/>
        <w:kinsoku/>
        <w:overflowPunct/>
        <w:topLinePunct w:val="0"/>
        <w:bidi w:val="0"/>
        <w:adjustRightInd w:val="0"/>
        <w:snapToGrid w:val="0"/>
        <w:spacing w:line="360" w:lineRule="auto"/>
        <w:ind w:firstLine="578" w:firstLineChars="200"/>
        <w:rPr>
          <w:rFonts w:hint="eastAsia" w:ascii="宋体" w:hAnsi="宋体" w:eastAsia="宋体" w:cs="宋体"/>
          <w:b/>
          <w:color w:val="auto"/>
          <w:highlight w:val="none"/>
        </w:rPr>
      </w:pPr>
      <w:r>
        <w:rPr>
          <w:rFonts w:hint="eastAsia" w:ascii="宋体" w:hAnsi="宋体" w:eastAsia="宋体" w:cs="宋体"/>
          <w:b/>
          <w:color w:val="auto"/>
          <w:spacing w:val="-6"/>
          <w:sz w:val="30"/>
          <w:szCs w:val="30"/>
          <w:highlight w:val="none"/>
        </w:rPr>
        <w:t>采购代理机构：浙江国际招投标有限公司</w:t>
      </w:r>
    </w:p>
    <w:p w14:paraId="2FBE5B63">
      <w:pPr>
        <w:pageBreakBefore w:val="0"/>
        <w:shd w:val="clear"/>
        <w:kinsoku/>
        <w:overflowPunct/>
        <w:topLinePunct w:val="0"/>
        <w:bidi w:val="0"/>
        <w:adjustRightInd w:val="0"/>
        <w:snapToGrid w:val="0"/>
        <w:spacing w:line="360" w:lineRule="auto"/>
        <w:rPr>
          <w:rFonts w:hint="eastAsia" w:ascii="宋体" w:hAnsi="宋体" w:eastAsia="宋体" w:cs="宋体"/>
          <w:b/>
          <w:color w:val="auto"/>
          <w:highlight w:val="none"/>
        </w:rPr>
      </w:pPr>
    </w:p>
    <w:p w14:paraId="79ABBEA4">
      <w:pPr>
        <w:pStyle w:val="26"/>
        <w:pageBreakBefore w:val="0"/>
        <w:shd w:val="clear"/>
        <w:kinsoku/>
        <w:overflowPunct/>
        <w:topLinePunct w:val="0"/>
        <w:bidi w:val="0"/>
        <w:adjustRightInd w:val="0"/>
        <w:snapToGrid w:val="0"/>
        <w:spacing w:before="120" w:after="120" w:line="360" w:lineRule="auto"/>
        <w:jc w:val="center"/>
        <w:rPr>
          <w:rFonts w:hint="eastAsia" w:ascii="宋体" w:hAnsi="宋体" w:eastAsia="宋体" w:cs="宋体"/>
          <w:b/>
          <w:color w:val="auto"/>
          <w:spacing w:val="-6"/>
          <w:sz w:val="30"/>
          <w:szCs w:val="30"/>
          <w:highlight w:val="none"/>
        </w:rPr>
      </w:pPr>
      <w:r>
        <w:rPr>
          <w:rFonts w:hint="eastAsia" w:ascii="宋体" w:hAnsi="宋体" w:eastAsia="宋体" w:cs="宋体"/>
          <w:b/>
          <w:color w:val="auto"/>
          <w:spacing w:val="-6"/>
          <w:sz w:val="30"/>
          <w:szCs w:val="30"/>
          <w:highlight w:val="none"/>
        </w:rPr>
        <w:t>202</w:t>
      </w:r>
      <w:r>
        <w:rPr>
          <w:rFonts w:hint="eastAsia" w:ascii="宋体" w:hAnsi="宋体" w:eastAsia="宋体" w:cs="宋体"/>
          <w:b/>
          <w:color w:val="auto"/>
          <w:spacing w:val="-6"/>
          <w:sz w:val="30"/>
          <w:szCs w:val="30"/>
          <w:highlight w:val="none"/>
          <w:lang w:val="en-US" w:eastAsia="zh-CN"/>
        </w:rPr>
        <w:t>5</w:t>
      </w:r>
      <w:r>
        <w:rPr>
          <w:rFonts w:hint="eastAsia" w:ascii="宋体" w:hAnsi="宋体" w:eastAsia="宋体" w:cs="宋体"/>
          <w:b/>
          <w:color w:val="auto"/>
          <w:spacing w:val="-6"/>
          <w:sz w:val="30"/>
          <w:szCs w:val="30"/>
          <w:highlight w:val="none"/>
        </w:rPr>
        <w:t>年</w:t>
      </w:r>
      <w:r>
        <w:rPr>
          <w:rFonts w:hint="eastAsia" w:ascii="宋体" w:hAnsi="宋体" w:eastAsia="宋体" w:cs="宋体"/>
          <w:b/>
          <w:color w:val="auto"/>
          <w:spacing w:val="-6"/>
          <w:sz w:val="30"/>
          <w:szCs w:val="30"/>
          <w:highlight w:val="none"/>
          <w:lang w:val="en-US" w:eastAsia="zh-CN"/>
        </w:rPr>
        <w:t>06</w:t>
      </w:r>
      <w:r>
        <w:rPr>
          <w:rFonts w:hint="eastAsia" w:ascii="宋体" w:hAnsi="宋体" w:eastAsia="宋体" w:cs="宋体"/>
          <w:b/>
          <w:color w:val="auto"/>
          <w:spacing w:val="-6"/>
          <w:sz w:val="30"/>
          <w:szCs w:val="30"/>
          <w:highlight w:val="none"/>
        </w:rPr>
        <w:t>月</w:t>
      </w:r>
    </w:p>
    <w:p w14:paraId="29F0F87E">
      <w:pPr>
        <w:pStyle w:val="26"/>
        <w:pageBreakBefore w:val="0"/>
        <w:shd w:val="clear"/>
        <w:kinsoku/>
        <w:overflowPunct/>
        <w:topLinePunct w:val="0"/>
        <w:bidi w:val="0"/>
        <w:adjustRightInd w:val="0"/>
        <w:snapToGrid w:val="0"/>
        <w:spacing w:line="360" w:lineRule="auto"/>
        <w:jc w:val="center"/>
        <w:rPr>
          <w:rFonts w:hint="eastAsia" w:ascii="宋体" w:hAnsi="宋体" w:eastAsia="宋体" w:cs="宋体"/>
          <w:b/>
          <w:color w:val="auto"/>
          <w:sz w:val="28"/>
          <w:szCs w:val="28"/>
          <w:highlight w:val="none"/>
        </w:rPr>
        <w:sectPr>
          <w:headerReference r:id="rId5" w:type="first"/>
          <w:headerReference r:id="rId3" w:type="default"/>
          <w:footerReference r:id="rId6" w:type="default"/>
          <w:headerReference r:id="rId4" w:type="even"/>
          <w:footerReference r:id="rId7" w:type="even"/>
          <w:pgSz w:w="11906" w:h="16838"/>
          <w:pgMar w:top="1418" w:right="1588" w:bottom="1418" w:left="1588" w:header="851" w:footer="992" w:gutter="0"/>
          <w:pgBorders>
            <w:top w:val="none" w:sz="0" w:space="0"/>
            <w:left w:val="none" w:sz="0" w:space="0"/>
            <w:bottom w:val="none" w:sz="0" w:space="0"/>
            <w:right w:val="none" w:sz="0" w:space="0"/>
          </w:pgBorders>
          <w:pgNumType w:fmt="decimal" w:start="0"/>
          <w:cols w:space="720" w:num="1"/>
          <w:titlePg/>
          <w:docGrid w:type="lines" w:linePitch="312" w:charSpace="0"/>
        </w:sectPr>
      </w:pPr>
    </w:p>
    <w:p w14:paraId="1871EFAA">
      <w:pPr>
        <w:pStyle w:val="26"/>
        <w:pageBreakBefore w:val="0"/>
        <w:shd w:val="clear"/>
        <w:kinsoku/>
        <w:overflowPunct/>
        <w:topLinePunct w:val="0"/>
        <w:bidi w:val="0"/>
        <w:adjustRightInd w:val="0"/>
        <w:snapToGrid w:val="0"/>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目    录</w:t>
      </w:r>
    </w:p>
    <w:p w14:paraId="6415BF0E">
      <w:pPr>
        <w:pStyle w:val="33"/>
        <w:shd w:val="clear"/>
        <w:tabs>
          <w:tab w:val="right" w:leader="dot" w:pos="8788"/>
          <w:tab w:val="clear" w:pos="8720"/>
        </w:tabs>
        <w:spacing w:line="360" w:lineRule="auto"/>
        <w:rPr>
          <w:rFonts w:hint="eastAsia" w:ascii="宋体" w:hAnsi="宋体" w:eastAsia="宋体" w:cs="宋体"/>
          <w:color w:val="auto"/>
          <w:sz w:val="24"/>
          <w:szCs w:val="24"/>
          <w:highlight w:val="none"/>
        </w:rPr>
      </w:pPr>
      <w:r>
        <w:rPr>
          <w:rFonts w:hint="eastAsia" w:ascii="宋体" w:hAnsi="宋体" w:eastAsia="宋体" w:cs="宋体"/>
          <w:b/>
          <w:caps w:val="0"/>
          <w:color w:val="auto"/>
          <w:sz w:val="24"/>
          <w:szCs w:val="24"/>
          <w:highlight w:val="none"/>
        </w:rPr>
        <w:fldChar w:fldCharType="begin"/>
      </w:r>
      <w:r>
        <w:rPr>
          <w:rFonts w:hint="eastAsia" w:ascii="宋体" w:hAnsi="宋体" w:eastAsia="宋体" w:cs="宋体"/>
          <w:b/>
          <w:caps w:val="0"/>
          <w:color w:val="auto"/>
          <w:sz w:val="24"/>
          <w:szCs w:val="24"/>
          <w:highlight w:val="none"/>
        </w:rPr>
        <w:instrText xml:space="preserve"> TOC \o "1-2" \u </w:instrText>
      </w:r>
      <w:r>
        <w:rPr>
          <w:rFonts w:hint="eastAsia" w:ascii="宋体" w:hAnsi="宋体" w:eastAsia="宋体" w:cs="宋体"/>
          <w:b/>
          <w:caps w:val="0"/>
          <w:color w:val="auto"/>
          <w:sz w:val="24"/>
          <w:szCs w:val="24"/>
          <w:highlight w:val="none"/>
        </w:rPr>
        <w:fldChar w:fldCharType="separate"/>
      </w:r>
      <w:r>
        <w:rPr>
          <w:rFonts w:hint="eastAsia" w:ascii="宋体" w:hAnsi="宋体" w:eastAsia="宋体" w:cs="宋体"/>
          <w:color w:val="auto"/>
          <w:sz w:val="24"/>
          <w:szCs w:val="24"/>
          <w:highlight w:val="none"/>
        </w:rPr>
        <w:t>第一部分  采购公告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_Toc11612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fldChar w:fldCharType="end"/>
      </w:r>
    </w:p>
    <w:p w14:paraId="0F753A1D">
      <w:pPr>
        <w:pStyle w:val="33"/>
        <w:shd w:val="clear"/>
        <w:tabs>
          <w:tab w:val="right" w:leader="dot" w:pos="8788"/>
          <w:tab w:val="clear" w:pos="8720"/>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第二部分</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投标人须知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_Toc7172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rPr>
        <w:fldChar w:fldCharType="end"/>
      </w:r>
    </w:p>
    <w:p w14:paraId="1BA93FFD">
      <w:pPr>
        <w:pStyle w:val="38"/>
        <w:shd w:val="clear"/>
        <w:tabs>
          <w:tab w:val="right" w:leader="dot" w:pos="8788"/>
          <w:tab w:val="clear" w:pos="8720"/>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前 附 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_Toc27962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rPr>
        <w:fldChar w:fldCharType="end"/>
      </w:r>
    </w:p>
    <w:p w14:paraId="5C53A078">
      <w:pPr>
        <w:pStyle w:val="33"/>
        <w:shd w:val="clear"/>
        <w:tabs>
          <w:tab w:val="right" w:leader="dot" w:pos="8788"/>
          <w:tab w:val="clear" w:pos="8720"/>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第三部分</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采购需求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_Toc20990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19</w:t>
      </w:r>
      <w:r>
        <w:rPr>
          <w:rFonts w:hint="eastAsia" w:ascii="宋体" w:hAnsi="宋体" w:eastAsia="宋体" w:cs="宋体"/>
          <w:color w:val="auto"/>
          <w:sz w:val="24"/>
          <w:szCs w:val="24"/>
          <w:highlight w:val="none"/>
        </w:rPr>
        <w:fldChar w:fldCharType="end"/>
      </w:r>
    </w:p>
    <w:p w14:paraId="59C9367C">
      <w:pPr>
        <w:pStyle w:val="38"/>
        <w:shd w:val="clear"/>
        <w:tabs>
          <w:tab w:val="right" w:leader="dot" w:pos="8788"/>
          <w:tab w:val="clear" w:pos="8720"/>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一、商务条款</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_Toc4128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19</w:t>
      </w:r>
      <w:r>
        <w:rPr>
          <w:rFonts w:hint="eastAsia" w:ascii="宋体" w:hAnsi="宋体" w:eastAsia="宋体" w:cs="宋体"/>
          <w:color w:val="auto"/>
          <w:sz w:val="24"/>
          <w:szCs w:val="24"/>
          <w:highlight w:val="none"/>
        </w:rPr>
        <w:fldChar w:fldCharType="end"/>
      </w:r>
    </w:p>
    <w:p w14:paraId="58CF8EB3">
      <w:pPr>
        <w:pStyle w:val="38"/>
        <w:shd w:val="clear"/>
        <w:tabs>
          <w:tab w:val="right" w:leader="dot" w:pos="8788"/>
          <w:tab w:val="clear" w:pos="8720"/>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二、服务内容</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_Toc21723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rPr>
        <w:fldChar w:fldCharType="end"/>
      </w:r>
    </w:p>
    <w:p w14:paraId="30DFCC47">
      <w:pPr>
        <w:pStyle w:val="38"/>
        <w:shd w:val="clear"/>
        <w:tabs>
          <w:tab w:val="right" w:leader="dot" w:pos="8788"/>
          <w:tab w:val="clear" w:pos="8720"/>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、其他</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_Toc20111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rPr>
        <w:fldChar w:fldCharType="end"/>
      </w:r>
    </w:p>
    <w:p w14:paraId="4D9B61A0">
      <w:pPr>
        <w:pStyle w:val="33"/>
        <w:shd w:val="clear"/>
        <w:tabs>
          <w:tab w:val="right" w:leader="dot" w:pos="8788"/>
          <w:tab w:val="clear" w:pos="8720"/>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第四部分  合同条款</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_Toc1937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23</w:t>
      </w:r>
      <w:r>
        <w:rPr>
          <w:rFonts w:hint="eastAsia" w:ascii="宋体" w:hAnsi="宋体" w:eastAsia="宋体" w:cs="宋体"/>
          <w:color w:val="auto"/>
          <w:sz w:val="24"/>
          <w:szCs w:val="24"/>
          <w:highlight w:val="none"/>
        </w:rPr>
        <w:fldChar w:fldCharType="end"/>
      </w:r>
    </w:p>
    <w:p w14:paraId="76DF6AAF">
      <w:pPr>
        <w:pStyle w:val="33"/>
        <w:shd w:val="clear"/>
        <w:tabs>
          <w:tab w:val="right" w:leader="dot" w:pos="8788"/>
          <w:tab w:val="clear" w:pos="8720"/>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第五部分</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评标标准</w:t>
      </w:r>
      <w:r>
        <w:rPr>
          <w:rFonts w:hint="eastAsia" w:ascii="宋体" w:hAnsi="宋体" w:eastAsia="宋体" w:cs="宋体"/>
          <w:color w:val="auto"/>
          <w:sz w:val="24"/>
          <w:szCs w:val="24"/>
          <w:highlight w:val="none"/>
        </w:rPr>
        <w:t>（综合评分法）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_Toc9760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29</w:t>
      </w:r>
      <w:r>
        <w:rPr>
          <w:rFonts w:hint="eastAsia" w:ascii="宋体" w:hAnsi="宋体" w:eastAsia="宋体" w:cs="宋体"/>
          <w:color w:val="auto"/>
          <w:sz w:val="24"/>
          <w:szCs w:val="24"/>
          <w:highlight w:val="none"/>
        </w:rPr>
        <w:fldChar w:fldCharType="end"/>
      </w:r>
    </w:p>
    <w:p w14:paraId="1B3FB0F2">
      <w:pPr>
        <w:pStyle w:val="38"/>
        <w:shd w:val="clear"/>
        <w:tabs>
          <w:tab w:val="right" w:leader="dot" w:pos="8788"/>
          <w:tab w:val="clear" w:pos="8720"/>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评标标准</w:t>
      </w:r>
      <w:r>
        <w:rPr>
          <w:rFonts w:hint="eastAsia" w:ascii="宋体" w:hAnsi="宋体" w:eastAsia="宋体" w:cs="宋体"/>
          <w:color w:val="auto"/>
          <w:sz w:val="24"/>
          <w:szCs w:val="24"/>
          <w:highlight w:val="none"/>
        </w:rPr>
        <w:t>前附表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_Toc31202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29</w:t>
      </w:r>
      <w:r>
        <w:rPr>
          <w:rFonts w:hint="eastAsia" w:ascii="宋体" w:hAnsi="宋体" w:eastAsia="宋体" w:cs="宋体"/>
          <w:color w:val="auto"/>
          <w:sz w:val="24"/>
          <w:szCs w:val="24"/>
          <w:highlight w:val="none"/>
        </w:rPr>
        <w:fldChar w:fldCharType="end"/>
      </w:r>
    </w:p>
    <w:p w14:paraId="5F9A14F3">
      <w:pPr>
        <w:pStyle w:val="33"/>
        <w:shd w:val="clear"/>
        <w:tabs>
          <w:tab w:val="right" w:leader="dot" w:pos="8788"/>
          <w:tab w:val="clear" w:pos="8720"/>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第六部分  应提交的有关格式范例</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_Toc3005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35</w:t>
      </w:r>
      <w:r>
        <w:rPr>
          <w:rFonts w:hint="eastAsia" w:ascii="宋体" w:hAnsi="宋体" w:eastAsia="宋体" w:cs="宋体"/>
          <w:color w:val="auto"/>
          <w:sz w:val="24"/>
          <w:szCs w:val="24"/>
          <w:highlight w:val="none"/>
        </w:rPr>
        <w:fldChar w:fldCharType="end"/>
      </w:r>
    </w:p>
    <w:p w14:paraId="214EF805">
      <w:pPr>
        <w:pStyle w:val="38"/>
        <w:shd w:val="clear"/>
        <w:tabs>
          <w:tab w:val="right" w:leader="dot" w:pos="8788"/>
          <w:tab w:val="clear" w:pos="8720"/>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资格文件部分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_Toc7293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35</w:t>
      </w:r>
      <w:r>
        <w:rPr>
          <w:rFonts w:hint="eastAsia" w:ascii="宋体" w:hAnsi="宋体" w:eastAsia="宋体" w:cs="宋体"/>
          <w:color w:val="auto"/>
          <w:sz w:val="24"/>
          <w:szCs w:val="24"/>
          <w:highlight w:val="none"/>
        </w:rPr>
        <w:fldChar w:fldCharType="end"/>
      </w:r>
    </w:p>
    <w:p w14:paraId="3EC80D69">
      <w:pPr>
        <w:pStyle w:val="38"/>
        <w:shd w:val="clear"/>
        <w:tabs>
          <w:tab w:val="right" w:leader="dot" w:pos="8788"/>
          <w:tab w:val="clear" w:pos="8720"/>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商务技术文件部分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_Toc29091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40</w:t>
      </w:r>
      <w:r>
        <w:rPr>
          <w:rFonts w:hint="eastAsia" w:ascii="宋体" w:hAnsi="宋体" w:eastAsia="宋体" w:cs="宋体"/>
          <w:color w:val="auto"/>
          <w:sz w:val="24"/>
          <w:szCs w:val="24"/>
          <w:highlight w:val="none"/>
        </w:rPr>
        <w:fldChar w:fldCharType="end"/>
      </w:r>
    </w:p>
    <w:p w14:paraId="75A1F785">
      <w:pPr>
        <w:pStyle w:val="38"/>
        <w:shd w:val="clear"/>
        <w:tabs>
          <w:tab w:val="right" w:leader="dot" w:pos="8788"/>
          <w:tab w:val="clear" w:pos="8720"/>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报价文件部分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_Toc4862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53</w:t>
      </w:r>
      <w:r>
        <w:rPr>
          <w:rFonts w:hint="eastAsia" w:ascii="宋体" w:hAnsi="宋体" w:eastAsia="宋体" w:cs="宋体"/>
          <w:color w:val="auto"/>
          <w:sz w:val="24"/>
          <w:szCs w:val="24"/>
          <w:highlight w:val="none"/>
        </w:rPr>
        <w:fldChar w:fldCharType="end"/>
      </w:r>
    </w:p>
    <w:p w14:paraId="4C9B506A">
      <w:pPr>
        <w:pStyle w:val="33"/>
        <w:shd w:val="clear"/>
        <w:tabs>
          <w:tab w:val="right" w:leader="dot" w:pos="8788"/>
          <w:tab w:val="clear" w:pos="8720"/>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_Toc4668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57</w:t>
      </w:r>
      <w:r>
        <w:rPr>
          <w:rFonts w:hint="eastAsia" w:ascii="宋体" w:hAnsi="宋体" w:eastAsia="宋体" w:cs="宋体"/>
          <w:color w:val="auto"/>
          <w:sz w:val="24"/>
          <w:szCs w:val="24"/>
          <w:highlight w:val="none"/>
        </w:rPr>
        <w:fldChar w:fldCharType="end"/>
      </w:r>
    </w:p>
    <w:p w14:paraId="5E61D3CA">
      <w:pPr>
        <w:pStyle w:val="33"/>
        <w:pageBreakBefore w:val="0"/>
        <w:shd w:val="clear"/>
        <w:tabs>
          <w:tab w:val="right" w:leader="dot" w:pos="8788"/>
          <w:tab w:val="clear" w:pos="8720"/>
        </w:tabs>
        <w:kinsoku/>
        <w:overflowPunct/>
        <w:topLinePunct w:val="0"/>
        <w:bidi w:val="0"/>
        <w:spacing w:line="360" w:lineRule="auto"/>
        <w:rPr>
          <w:rFonts w:hint="eastAsia" w:ascii="宋体" w:hAnsi="宋体" w:eastAsia="宋体" w:cs="宋体"/>
          <w:color w:val="auto"/>
          <w:sz w:val="24"/>
          <w:szCs w:val="24"/>
          <w:highlight w:val="none"/>
        </w:rPr>
        <w:sectPr>
          <w:footerReference r:id="rId9" w:type="first"/>
          <w:footerReference r:id="rId8" w:type="default"/>
          <w:pgSz w:w="11906" w:h="16838"/>
          <w:pgMar w:top="1418" w:right="1417" w:bottom="1134" w:left="1701" w:header="850" w:footer="850" w:gutter="0"/>
          <w:pgBorders>
            <w:top w:val="none" w:sz="0" w:space="0"/>
            <w:left w:val="none" w:sz="0" w:space="0"/>
            <w:bottom w:val="none" w:sz="0" w:space="0"/>
            <w:right w:val="none" w:sz="0" w:space="0"/>
          </w:pgBorders>
          <w:pgNumType w:fmt="decimal" w:start="1"/>
          <w:cols w:space="720" w:num="1"/>
          <w:docGrid w:type="lines" w:linePitch="312" w:charSpace="0"/>
        </w:sectPr>
      </w:pPr>
      <w:r>
        <w:rPr>
          <w:rFonts w:hint="eastAsia" w:ascii="宋体" w:hAnsi="宋体" w:eastAsia="宋体" w:cs="宋体"/>
          <w:color w:val="auto"/>
          <w:sz w:val="24"/>
          <w:szCs w:val="24"/>
          <w:highlight w:val="none"/>
        </w:rPr>
        <w:fldChar w:fldCharType="end"/>
      </w:r>
      <w:bookmarkStart w:id="0" w:name="_Toc21665"/>
      <w:bookmarkStart w:id="1" w:name="_Toc11612"/>
    </w:p>
    <w:p w14:paraId="21FB97C3">
      <w:pPr>
        <w:pStyle w:val="4"/>
        <w:pageBreakBefore w:val="0"/>
        <w:shd w:val="clear"/>
        <w:kinsoku/>
        <w:overflowPunct/>
        <w:topLinePunct w:val="0"/>
        <w:bidi w:val="0"/>
        <w:spacing w:line="360" w:lineRule="auto"/>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第一部分  采购公告</w:t>
      </w:r>
      <w:bookmarkEnd w:id="0"/>
      <w:bookmarkEnd w:id="1"/>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2"/>
      </w:tblGrid>
      <w:tr w14:paraId="2346D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trPr>
        <w:tc>
          <w:tcPr>
            <w:tcW w:w="8942" w:type="dxa"/>
            <w:noWrap w:val="0"/>
            <w:vAlign w:val="center"/>
          </w:tcPr>
          <w:p w14:paraId="6D6A236B">
            <w:pPr>
              <w:pageBreakBefore w:val="0"/>
              <w:widowControl/>
              <w:shd w:val="clear"/>
              <w:kinsoku/>
              <w:overflowPunct/>
              <w:topLinePunct w:val="0"/>
              <w:bidi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项目概况</w:t>
            </w:r>
          </w:p>
          <w:p w14:paraId="1E8220FC">
            <w:pPr>
              <w:pageBreakBefore w:val="0"/>
              <w:widowControl/>
              <w:shd w:val="clear"/>
              <w:kinsoku/>
              <w:overflowPunct/>
              <w:topLinePunct w:val="0"/>
              <w:bidi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浙江理工大学</w:t>
            </w:r>
            <w:r>
              <w:rPr>
                <w:rFonts w:hint="eastAsia" w:ascii="宋体" w:hAnsi="宋体" w:eastAsia="宋体" w:cs="宋体"/>
                <w:color w:val="auto"/>
                <w:szCs w:val="21"/>
                <w:highlight w:val="none"/>
                <w:u w:val="single"/>
                <w:lang w:eastAsia="zh-CN"/>
              </w:rPr>
              <w:t>钱塘校区教育教学用房及设施提升改造工程结算审核造价咨询服务项目</w:t>
            </w:r>
            <w:r>
              <w:rPr>
                <w:rFonts w:hint="eastAsia" w:ascii="宋体" w:hAnsi="宋体" w:eastAsia="宋体" w:cs="宋体"/>
                <w:color w:val="auto"/>
                <w:szCs w:val="21"/>
                <w:highlight w:val="none"/>
              </w:rPr>
              <w:t>的潜在投标人应在</w:t>
            </w:r>
            <w:r>
              <w:rPr>
                <w:rFonts w:hint="eastAsia" w:ascii="宋体" w:hAnsi="宋体" w:eastAsia="宋体" w:cs="宋体"/>
                <w:color w:val="auto"/>
                <w:szCs w:val="21"/>
                <w:highlight w:val="none"/>
                <w:u w:val="single"/>
              </w:rPr>
              <w:t>政采云平台（https://www.zcygov.cn）</w:t>
            </w:r>
            <w:r>
              <w:rPr>
                <w:rFonts w:hint="eastAsia" w:ascii="宋体" w:hAnsi="宋体" w:eastAsia="宋体" w:cs="宋体"/>
                <w:color w:val="auto"/>
                <w:szCs w:val="21"/>
                <w:highlight w:val="none"/>
              </w:rPr>
              <w:t>获取（下载）招标文件，并于</w:t>
            </w:r>
            <w:r>
              <w:rPr>
                <w:rFonts w:hint="eastAsia" w:ascii="宋体" w:hAnsi="宋体" w:eastAsia="宋体" w:cs="宋体"/>
                <w:color w:val="auto"/>
                <w:szCs w:val="21"/>
                <w:highlight w:val="none"/>
                <w:u w:val="single"/>
              </w:rPr>
              <w:t>202</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u w:val="single"/>
              </w:rPr>
              <w:t>年</w:t>
            </w:r>
            <w:r>
              <w:rPr>
                <w:rFonts w:hint="eastAsia" w:ascii="宋体" w:hAnsi="宋体" w:cs="宋体"/>
                <w:color w:val="auto"/>
                <w:szCs w:val="21"/>
                <w:highlight w:val="none"/>
                <w:u w:val="single"/>
                <w:lang w:val="en-US" w:eastAsia="zh-CN"/>
              </w:rPr>
              <w:t>07</w:t>
            </w:r>
            <w:r>
              <w:rPr>
                <w:rFonts w:hint="eastAsia" w:ascii="宋体" w:hAnsi="宋体" w:eastAsia="宋体" w:cs="宋体"/>
                <w:color w:val="auto"/>
                <w:szCs w:val="21"/>
                <w:highlight w:val="none"/>
                <w:u w:val="single"/>
              </w:rPr>
              <w:t>月</w:t>
            </w:r>
            <w:r>
              <w:rPr>
                <w:rFonts w:hint="eastAsia" w:ascii="宋体" w:hAnsi="宋体" w:cs="宋体"/>
                <w:color w:val="auto"/>
                <w:szCs w:val="21"/>
                <w:highlight w:val="none"/>
                <w:u w:val="single"/>
                <w:lang w:val="en-US" w:eastAsia="zh-CN"/>
              </w:rPr>
              <w:t>15</w:t>
            </w:r>
            <w:r>
              <w:rPr>
                <w:rFonts w:hint="eastAsia" w:ascii="宋体" w:hAnsi="宋体" w:eastAsia="宋体" w:cs="宋体"/>
                <w:color w:val="auto"/>
                <w:szCs w:val="21"/>
                <w:highlight w:val="none"/>
                <w:u w:val="single"/>
              </w:rPr>
              <w:t>日</w:t>
            </w:r>
            <w:r>
              <w:rPr>
                <w:rFonts w:hint="eastAsia" w:ascii="宋体" w:hAnsi="宋体" w:cs="宋体"/>
                <w:color w:val="auto"/>
                <w:szCs w:val="21"/>
                <w:highlight w:val="none"/>
                <w:u w:val="single"/>
                <w:lang w:val="en-US" w:eastAsia="zh-CN"/>
              </w:rPr>
              <w:t>13</w:t>
            </w:r>
            <w:r>
              <w:rPr>
                <w:rFonts w:hint="eastAsia" w:ascii="宋体" w:hAnsi="宋体" w:eastAsia="宋体" w:cs="宋体"/>
                <w:color w:val="auto"/>
                <w:szCs w:val="21"/>
                <w:highlight w:val="none"/>
                <w:u w:val="single"/>
              </w:rPr>
              <w:t>:</w:t>
            </w:r>
            <w:r>
              <w:rPr>
                <w:rFonts w:hint="eastAsia" w:ascii="宋体" w:hAnsi="宋体" w:cs="宋体"/>
                <w:color w:val="auto"/>
                <w:szCs w:val="21"/>
                <w:highlight w:val="none"/>
                <w:u w:val="single"/>
                <w:lang w:val="en-US" w:eastAsia="zh-CN"/>
              </w:rPr>
              <w:t>30</w:t>
            </w:r>
            <w:r>
              <w:rPr>
                <w:rFonts w:hint="eastAsia" w:ascii="宋体" w:hAnsi="宋体" w:eastAsia="宋体" w:cs="宋体"/>
                <w:color w:val="auto"/>
                <w:szCs w:val="21"/>
                <w:highlight w:val="none"/>
                <w:u w:val="single"/>
              </w:rPr>
              <w:t>:00（北京时间）</w:t>
            </w:r>
            <w:r>
              <w:rPr>
                <w:rFonts w:hint="eastAsia" w:ascii="宋体" w:hAnsi="宋体" w:eastAsia="宋体" w:cs="宋体"/>
                <w:color w:val="auto"/>
                <w:szCs w:val="21"/>
                <w:highlight w:val="none"/>
              </w:rPr>
              <w:t>前提交（上传）投标文件。</w:t>
            </w:r>
          </w:p>
        </w:tc>
      </w:tr>
    </w:tbl>
    <w:p w14:paraId="34EFF16D">
      <w:pPr>
        <w:pageBreakBefore w:val="0"/>
        <w:widowControl/>
        <w:shd w:val="clear"/>
        <w:kinsoku/>
        <w:overflowPunct/>
        <w:topLinePunct w:val="0"/>
        <w:bidi w:val="0"/>
        <w:adjustRightInd w:val="0"/>
        <w:snapToGrid w:val="0"/>
        <w:spacing w:line="360" w:lineRule="auto"/>
        <w:jc w:val="left"/>
        <w:rPr>
          <w:rFonts w:hint="eastAsia" w:ascii="宋体" w:hAnsi="宋体" w:eastAsia="宋体" w:cs="宋体"/>
          <w:color w:val="auto"/>
          <w:kern w:val="0"/>
          <w:szCs w:val="21"/>
          <w:highlight w:val="none"/>
        </w:rPr>
      </w:pPr>
    </w:p>
    <w:p w14:paraId="406FE85F">
      <w:pPr>
        <w:pageBreakBefore w:val="0"/>
        <w:widowControl/>
        <w:shd w:val="clear"/>
        <w:kinsoku/>
        <w:overflowPunct/>
        <w:topLinePunct w:val="0"/>
        <w:bidi w:val="0"/>
        <w:adjustRightInd w:val="0"/>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一、项目基本情况</w:t>
      </w:r>
    </w:p>
    <w:p w14:paraId="280DE63A">
      <w:pPr>
        <w:pageBreakBefore w:val="0"/>
        <w:widowControl/>
        <w:shd w:val="clear"/>
        <w:kinsoku/>
        <w:overflowPunct/>
        <w:topLinePunct w:val="0"/>
        <w:bidi w:val="0"/>
        <w:adjustRightInd w:val="0"/>
        <w:snapToGrid w:val="0"/>
        <w:spacing w:line="360" w:lineRule="auto"/>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项目编号：</w:t>
      </w:r>
      <w:r>
        <w:rPr>
          <w:rFonts w:hint="eastAsia" w:ascii="宋体" w:hAnsi="宋体" w:eastAsia="宋体" w:cs="宋体"/>
          <w:color w:val="auto"/>
          <w:kern w:val="0"/>
          <w:szCs w:val="21"/>
          <w:highlight w:val="none"/>
          <w:lang w:eastAsia="zh-CN"/>
        </w:rPr>
        <w:t>ZJ-2521594</w:t>
      </w:r>
      <w:r>
        <w:rPr>
          <w:rFonts w:hint="eastAsia" w:ascii="宋体" w:hAnsi="宋体" w:eastAsia="宋体" w:cs="宋体"/>
          <w:color w:val="auto"/>
          <w:kern w:val="0"/>
          <w:szCs w:val="21"/>
          <w:highlight w:val="none"/>
          <w:lang w:val="en-US" w:eastAsia="zh-CN"/>
        </w:rPr>
        <w:t xml:space="preserve"> </w:t>
      </w:r>
    </w:p>
    <w:p w14:paraId="26DF45A9">
      <w:pPr>
        <w:pageBreakBefore w:val="0"/>
        <w:widowControl/>
        <w:shd w:val="clear"/>
        <w:kinsoku/>
        <w:overflowPunct/>
        <w:topLinePunct w:val="0"/>
        <w:bidi w:val="0"/>
        <w:adjustRightInd w:val="0"/>
        <w:snapToGrid w:val="0"/>
        <w:spacing w:line="360" w:lineRule="auto"/>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项目名称：浙江理工大学</w:t>
      </w:r>
      <w:r>
        <w:rPr>
          <w:rFonts w:hint="eastAsia" w:ascii="宋体" w:hAnsi="宋体" w:eastAsia="宋体" w:cs="宋体"/>
          <w:color w:val="auto"/>
          <w:kern w:val="0"/>
          <w:szCs w:val="21"/>
          <w:highlight w:val="none"/>
          <w:lang w:eastAsia="zh-CN"/>
        </w:rPr>
        <w:t>钱塘校区教育教学用房及设施提升改造工程结算审核造价咨询服务项目</w:t>
      </w:r>
    </w:p>
    <w:p w14:paraId="253E8391">
      <w:pPr>
        <w:pageBreakBefore w:val="0"/>
        <w:widowControl/>
        <w:shd w:val="clear"/>
        <w:kinsoku/>
        <w:overflowPunct/>
        <w:topLinePunct w:val="0"/>
        <w:bidi w:val="0"/>
        <w:adjustRightInd w:val="0"/>
        <w:snapToGrid w:val="0"/>
        <w:spacing w:line="360" w:lineRule="auto"/>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预算金额（元）：</w:t>
      </w:r>
      <w:r>
        <w:rPr>
          <w:rFonts w:hint="eastAsia" w:ascii="宋体" w:hAnsi="宋体" w:eastAsia="宋体" w:cs="宋体"/>
          <w:color w:val="auto"/>
          <w:kern w:val="0"/>
          <w:szCs w:val="21"/>
          <w:highlight w:val="none"/>
          <w:lang w:val="en-US" w:eastAsia="zh-CN"/>
        </w:rPr>
        <w:t>1200</w:t>
      </w:r>
      <w:r>
        <w:rPr>
          <w:rFonts w:hint="eastAsia" w:ascii="宋体" w:hAnsi="宋体" w:eastAsia="宋体" w:cs="宋体"/>
          <w:color w:val="auto"/>
          <w:kern w:val="0"/>
          <w:szCs w:val="21"/>
          <w:highlight w:val="none"/>
        </w:rPr>
        <w:t>00</w:t>
      </w:r>
      <w:r>
        <w:rPr>
          <w:rFonts w:hint="eastAsia" w:ascii="宋体" w:hAnsi="宋体" w:eastAsia="宋体" w:cs="宋体"/>
          <w:color w:val="auto"/>
          <w:kern w:val="0"/>
          <w:szCs w:val="21"/>
          <w:highlight w:val="none"/>
          <w:lang w:val="en-US" w:eastAsia="zh-CN"/>
        </w:rPr>
        <w:t>.00</w:t>
      </w:r>
    </w:p>
    <w:p w14:paraId="232A5744">
      <w:pPr>
        <w:pageBreakBefore w:val="0"/>
        <w:widowControl/>
        <w:shd w:val="clear"/>
        <w:kinsoku/>
        <w:overflowPunct/>
        <w:topLinePunct w:val="0"/>
        <w:bidi w:val="0"/>
        <w:adjustRightInd w:val="0"/>
        <w:snapToGrid w:val="0"/>
        <w:spacing w:line="360" w:lineRule="auto"/>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最高限价（元）：</w:t>
      </w:r>
      <w:r>
        <w:rPr>
          <w:rFonts w:hint="eastAsia" w:ascii="宋体" w:hAnsi="宋体" w:eastAsia="宋体" w:cs="宋体"/>
          <w:color w:val="auto"/>
          <w:kern w:val="0"/>
          <w:szCs w:val="21"/>
          <w:highlight w:val="none"/>
          <w:lang w:val="en-US" w:eastAsia="zh-CN"/>
        </w:rPr>
        <w:t>1200</w:t>
      </w:r>
      <w:r>
        <w:rPr>
          <w:rFonts w:hint="eastAsia" w:ascii="宋体" w:hAnsi="宋体" w:eastAsia="宋体" w:cs="宋体"/>
          <w:color w:val="auto"/>
          <w:kern w:val="0"/>
          <w:szCs w:val="21"/>
          <w:highlight w:val="none"/>
        </w:rPr>
        <w:t>00</w:t>
      </w:r>
      <w:r>
        <w:rPr>
          <w:rFonts w:hint="eastAsia" w:ascii="宋体" w:hAnsi="宋体" w:eastAsia="宋体" w:cs="宋体"/>
          <w:color w:val="auto"/>
          <w:kern w:val="0"/>
          <w:szCs w:val="21"/>
          <w:highlight w:val="none"/>
          <w:lang w:val="en-US" w:eastAsia="zh-CN"/>
        </w:rPr>
        <w:t>.00</w:t>
      </w:r>
    </w:p>
    <w:p w14:paraId="015DEC13">
      <w:pPr>
        <w:pageBreakBefore w:val="0"/>
        <w:shd w:val="clear"/>
        <w:kinsoku/>
        <w:overflowPunct/>
        <w:topLinePunct w:val="0"/>
        <w:bidi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采购需求：</w:t>
      </w:r>
    </w:p>
    <w:p w14:paraId="1989627C">
      <w:pPr>
        <w:pageBreakBefore w:val="0"/>
        <w:shd w:val="clear"/>
        <w:kinsoku/>
        <w:overflowPunct/>
        <w:topLinePunct w:val="0"/>
        <w:bidi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r>
        <w:rPr>
          <w:rFonts w:hint="eastAsia" w:ascii="宋体" w:hAnsi="宋体" w:eastAsia="宋体" w:cs="宋体"/>
          <w:color w:val="auto"/>
          <w:szCs w:val="21"/>
          <w:highlight w:val="none"/>
          <w:lang w:val="en-US" w:eastAsia="zh-CN"/>
        </w:rPr>
        <w:t>1项</w:t>
      </w:r>
      <w:r>
        <w:rPr>
          <w:rFonts w:hint="eastAsia" w:ascii="宋体" w:hAnsi="宋体" w:eastAsia="宋体" w:cs="宋体"/>
          <w:color w:val="auto"/>
          <w:szCs w:val="21"/>
          <w:highlight w:val="none"/>
        </w:rPr>
        <w:t> </w:t>
      </w:r>
    </w:p>
    <w:p w14:paraId="06440628">
      <w:pPr>
        <w:pageBreakBefore w:val="0"/>
        <w:shd w:val="clear"/>
        <w:kinsoku/>
        <w:overflowPunct/>
        <w:topLinePunct w:val="0"/>
        <w:bidi w:val="0"/>
        <w:adjustRightInd w:val="0"/>
        <w:snapToGrid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预算金额（元）：</w:t>
      </w:r>
      <w:r>
        <w:rPr>
          <w:rFonts w:hint="eastAsia" w:ascii="宋体" w:hAnsi="宋体" w:eastAsia="宋体" w:cs="宋体"/>
          <w:color w:val="auto"/>
          <w:kern w:val="0"/>
          <w:szCs w:val="21"/>
          <w:highlight w:val="none"/>
          <w:lang w:val="en-US" w:eastAsia="zh-CN"/>
        </w:rPr>
        <w:t>1200</w:t>
      </w:r>
      <w:r>
        <w:rPr>
          <w:rFonts w:hint="eastAsia" w:ascii="宋体" w:hAnsi="宋体" w:eastAsia="宋体" w:cs="宋体"/>
          <w:color w:val="auto"/>
          <w:kern w:val="0"/>
          <w:szCs w:val="21"/>
          <w:highlight w:val="none"/>
        </w:rPr>
        <w:t>00</w:t>
      </w:r>
      <w:r>
        <w:rPr>
          <w:rFonts w:hint="eastAsia" w:ascii="宋体" w:hAnsi="宋体" w:eastAsia="宋体" w:cs="宋体"/>
          <w:color w:val="auto"/>
          <w:kern w:val="0"/>
          <w:szCs w:val="21"/>
          <w:highlight w:val="none"/>
          <w:lang w:val="en-US" w:eastAsia="zh-CN"/>
        </w:rPr>
        <w:t>.00</w:t>
      </w:r>
    </w:p>
    <w:p w14:paraId="1A3943CF">
      <w:pPr>
        <w:shd w:val="clea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简要规格描述或项目基本概况介绍、用途：</w:t>
      </w:r>
      <w:r>
        <w:rPr>
          <w:rFonts w:hint="eastAsia" w:ascii="宋体" w:hAnsi="宋体" w:eastAsia="宋体" w:cs="宋体"/>
          <w:color w:val="auto"/>
          <w:sz w:val="21"/>
          <w:szCs w:val="21"/>
          <w:highlight w:val="none"/>
          <w:lang w:eastAsia="zh-CN"/>
        </w:rPr>
        <w:t>钱塘校区</w:t>
      </w:r>
      <w:r>
        <w:rPr>
          <w:rFonts w:hint="eastAsia" w:ascii="宋体" w:hAnsi="宋体" w:eastAsia="宋体" w:cs="宋体"/>
          <w:color w:val="auto"/>
          <w:sz w:val="21"/>
          <w:szCs w:val="21"/>
          <w:highlight w:val="none"/>
        </w:rPr>
        <w:t>教育教学用房及设施提升改造工程</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装饰装修工程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安装工程</w:t>
      </w:r>
      <w:r>
        <w:rPr>
          <w:rFonts w:hint="eastAsia" w:ascii="宋体" w:hAnsi="宋体" w:eastAsia="宋体" w:cs="宋体"/>
          <w:color w:val="auto"/>
          <w:sz w:val="21"/>
          <w:szCs w:val="21"/>
          <w:highlight w:val="none"/>
        </w:rPr>
        <w:t>等竣工结算</w:t>
      </w:r>
      <w:r>
        <w:rPr>
          <w:rFonts w:hint="eastAsia" w:ascii="宋体" w:hAnsi="宋体" w:eastAsia="宋体" w:cs="宋体"/>
          <w:color w:val="auto"/>
          <w:sz w:val="21"/>
          <w:szCs w:val="21"/>
          <w:highlight w:val="none"/>
          <w:lang w:val="en-US" w:eastAsia="zh-CN"/>
        </w:rPr>
        <w:t>审核等</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具体内容详见采购文件。 </w:t>
      </w:r>
    </w:p>
    <w:p w14:paraId="2BAC3A7B">
      <w:pPr>
        <w:pageBreakBefore w:val="0"/>
        <w:shd w:val="clear"/>
        <w:kinsoku/>
        <w:overflowPunct/>
        <w:topLinePunct w:val="0"/>
        <w:bidi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 </w:t>
      </w:r>
    </w:p>
    <w:p w14:paraId="17EE878A">
      <w:pPr>
        <w:pageBreakBefore w:val="0"/>
        <w:widowControl/>
        <w:shd w:val="clear"/>
        <w:kinsoku/>
        <w:overflowPunct/>
        <w:topLinePunct w:val="0"/>
        <w:bidi w:val="0"/>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合同履行期限：详见采购文件。</w:t>
      </w:r>
    </w:p>
    <w:p w14:paraId="0D53F490">
      <w:pPr>
        <w:pageBreakBefore w:val="0"/>
        <w:widowControl/>
        <w:shd w:val="clear"/>
        <w:kinsoku/>
        <w:overflowPunct/>
        <w:topLinePunct w:val="0"/>
        <w:bidi w:val="0"/>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本项目（是）接受联合体投标。</w:t>
      </w:r>
    </w:p>
    <w:p w14:paraId="4E203C72">
      <w:pPr>
        <w:pageBreakBefore w:val="0"/>
        <w:widowControl/>
        <w:shd w:val="clear"/>
        <w:kinsoku/>
        <w:overflowPunct/>
        <w:topLinePunct w:val="0"/>
        <w:bidi w:val="0"/>
        <w:adjustRightInd w:val="0"/>
        <w:snapToGrid w:val="0"/>
        <w:spacing w:line="360" w:lineRule="auto"/>
        <w:rPr>
          <w:rFonts w:hint="eastAsia" w:ascii="宋体" w:hAnsi="宋体" w:eastAsia="宋体" w:cs="宋体"/>
          <w:b/>
          <w:bCs/>
          <w:color w:val="auto"/>
          <w:kern w:val="0"/>
          <w:szCs w:val="21"/>
          <w:highlight w:val="none"/>
        </w:rPr>
      </w:pPr>
    </w:p>
    <w:p w14:paraId="2C6D53DB">
      <w:pPr>
        <w:pageBreakBefore w:val="0"/>
        <w:widowControl/>
        <w:shd w:val="clear"/>
        <w:kinsoku/>
        <w:overflowPunct/>
        <w:topLinePunct w:val="0"/>
        <w:bidi w:val="0"/>
        <w:adjustRightInd w:val="0"/>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二、申请人的资格要求：</w:t>
      </w:r>
    </w:p>
    <w:p w14:paraId="39792529">
      <w:pPr>
        <w:pageBreakBefore w:val="0"/>
        <w:widowControl/>
        <w:shd w:val="clear"/>
        <w:kinsoku/>
        <w:overflowPunct/>
        <w:topLinePunct w:val="0"/>
        <w:bidi w:val="0"/>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1.满足《中华人民共和国政府采购法》第二十二条规定</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未被“信用中国”（www.creditchina.gov.cn)、中国政府采购网（www.ccgp.gov.cn）列入失信被执行人、重大税收违法案件当事人名单、政府采购严重违法失信行为记录名单。</w:t>
      </w:r>
    </w:p>
    <w:p w14:paraId="4796EA42">
      <w:pPr>
        <w:pageBreakBefore w:val="0"/>
        <w:widowControl/>
        <w:shd w:val="clear"/>
        <w:kinsoku/>
        <w:overflowPunct/>
        <w:topLinePunct w:val="0"/>
        <w:bidi w:val="0"/>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2.落实政府采购政策需满足的资格要求：</w:t>
      </w:r>
      <w:r>
        <w:rPr>
          <w:rFonts w:hint="eastAsia" w:ascii="宋体" w:hAnsi="宋体" w:eastAsia="宋体" w:cs="宋体"/>
          <w:b w:val="0"/>
          <w:bCs w:val="0"/>
          <w:color w:val="auto"/>
          <w:sz w:val="21"/>
          <w:szCs w:val="21"/>
          <w:highlight w:val="none"/>
        </w:rPr>
        <w:t>服务全部由符合政策要求的中小企业承接。</w:t>
      </w:r>
    </w:p>
    <w:p w14:paraId="268946F5">
      <w:pPr>
        <w:pageBreakBefore w:val="0"/>
        <w:widowControl/>
        <w:shd w:val="clear"/>
        <w:kinsoku/>
        <w:overflowPunct/>
        <w:topLinePunct w:val="0"/>
        <w:bidi w:val="0"/>
        <w:adjustRightInd w:val="0"/>
        <w:snapToGri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3.本项目的特定资格要求：</w:t>
      </w:r>
      <w:r>
        <w:rPr>
          <w:rFonts w:hint="eastAsia" w:ascii="宋体" w:hAnsi="宋体" w:eastAsia="宋体" w:cs="宋体"/>
          <w:color w:val="auto"/>
          <w:highlight w:val="none"/>
          <w:lang w:val="en-US" w:eastAsia="zh-CN"/>
        </w:rPr>
        <w:t>无。</w:t>
      </w:r>
      <w:r>
        <w:rPr>
          <w:rFonts w:hint="eastAsia" w:ascii="宋体" w:hAnsi="宋体" w:eastAsia="宋体" w:cs="宋体"/>
          <w:color w:val="auto"/>
          <w:highlight w:val="none"/>
        </w:rPr>
        <w:t xml:space="preserve">  </w:t>
      </w:r>
    </w:p>
    <w:p w14:paraId="5D1BBAD9">
      <w:pPr>
        <w:pageBreakBefore w:val="0"/>
        <w:widowControl/>
        <w:shd w:val="clear"/>
        <w:kinsoku/>
        <w:overflowPunct/>
        <w:topLinePunct w:val="0"/>
        <w:bidi w:val="0"/>
        <w:adjustRightInd w:val="0"/>
        <w:snapToGrid w:val="0"/>
        <w:spacing w:line="360" w:lineRule="auto"/>
        <w:ind w:firstLine="420" w:firstLineChars="200"/>
        <w:jc w:val="left"/>
        <w:rPr>
          <w:rFonts w:hint="eastAsia" w:ascii="宋体" w:hAnsi="宋体" w:eastAsia="宋体" w:cs="宋体"/>
          <w:i/>
          <w:iCs/>
          <w:color w:val="auto"/>
          <w:kern w:val="0"/>
          <w:szCs w:val="21"/>
          <w:highlight w:val="none"/>
        </w:rPr>
      </w:pPr>
      <w:r>
        <w:rPr>
          <w:rFonts w:hint="eastAsia" w:ascii="宋体" w:hAnsi="宋体" w:eastAsia="宋体" w:cs="宋体"/>
          <w:i/>
          <w:iCs/>
          <w:color w:val="auto"/>
          <w:kern w:val="0"/>
          <w:szCs w:val="21"/>
          <w:highlight w:val="none"/>
        </w:rPr>
        <w:t xml:space="preserve">   </w:t>
      </w:r>
    </w:p>
    <w:p w14:paraId="619C9F57">
      <w:pPr>
        <w:pageBreakBefore w:val="0"/>
        <w:widowControl/>
        <w:shd w:val="clear"/>
        <w:kinsoku/>
        <w:overflowPunct/>
        <w:topLinePunct w:val="0"/>
        <w:bidi w:val="0"/>
        <w:adjustRightInd w:val="0"/>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三、获取招标文件</w:t>
      </w:r>
    </w:p>
    <w:p w14:paraId="3C28CCB1">
      <w:pPr>
        <w:pageBreakBefore w:val="0"/>
        <w:widowControl/>
        <w:shd w:val="clear"/>
        <w:kinsoku/>
        <w:overflowPunct/>
        <w:topLinePunct w:val="0"/>
        <w:bidi w:val="0"/>
        <w:adjustRightInd w:val="0"/>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时间：</w:t>
      </w:r>
      <w:r>
        <w:rPr>
          <w:rFonts w:hint="eastAsia" w:ascii="宋体" w:hAnsi="宋体" w:eastAsia="宋体" w:cs="宋体"/>
          <w:color w:val="auto"/>
          <w:kern w:val="0"/>
          <w:szCs w:val="21"/>
          <w:highlight w:val="none"/>
          <w:u w:val="single"/>
        </w:rPr>
        <w:t> </w:t>
      </w:r>
      <w:r>
        <w:rPr>
          <w:rFonts w:hint="eastAsia" w:ascii="宋体" w:hAnsi="宋体" w:eastAsia="宋体" w:cs="宋体"/>
          <w:i/>
          <w:iCs/>
          <w:color w:val="auto"/>
          <w:szCs w:val="21"/>
          <w:highlight w:val="none"/>
          <w:u w:val="single"/>
        </w:rPr>
        <w:t>/</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至</w:t>
      </w:r>
      <w:r>
        <w:rPr>
          <w:rFonts w:hint="eastAsia" w:ascii="宋体" w:hAnsi="宋体" w:eastAsia="宋体" w:cs="宋体"/>
          <w:color w:val="auto"/>
          <w:szCs w:val="21"/>
          <w:highlight w:val="none"/>
          <w:u w:val="single"/>
        </w:rPr>
        <w:t>202</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u w:val="single"/>
        </w:rPr>
        <w:t>年</w:t>
      </w:r>
      <w:r>
        <w:rPr>
          <w:rFonts w:hint="eastAsia" w:ascii="宋体" w:hAnsi="宋体" w:cs="宋体"/>
          <w:color w:val="auto"/>
          <w:szCs w:val="21"/>
          <w:highlight w:val="none"/>
          <w:u w:val="single"/>
          <w:lang w:val="en-US" w:eastAsia="zh-CN"/>
        </w:rPr>
        <w:t>07</w:t>
      </w:r>
      <w:r>
        <w:rPr>
          <w:rFonts w:hint="eastAsia" w:ascii="宋体" w:hAnsi="宋体" w:eastAsia="宋体" w:cs="宋体"/>
          <w:color w:val="auto"/>
          <w:szCs w:val="21"/>
          <w:highlight w:val="none"/>
          <w:u w:val="single"/>
        </w:rPr>
        <w:t>月</w:t>
      </w:r>
      <w:r>
        <w:rPr>
          <w:rFonts w:hint="eastAsia" w:ascii="宋体" w:hAnsi="宋体" w:cs="宋体"/>
          <w:color w:val="auto"/>
          <w:szCs w:val="21"/>
          <w:highlight w:val="none"/>
          <w:u w:val="single"/>
          <w:lang w:val="en-US" w:eastAsia="zh-CN"/>
        </w:rPr>
        <w:t>15</w:t>
      </w:r>
      <w:r>
        <w:rPr>
          <w:rFonts w:hint="eastAsia" w:ascii="宋体" w:hAnsi="宋体" w:eastAsia="宋体" w:cs="宋体"/>
          <w:color w:val="auto"/>
          <w:szCs w:val="21"/>
          <w:highlight w:val="none"/>
          <w:u w:val="single"/>
        </w:rPr>
        <w:t>日</w:t>
      </w:r>
      <w:r>
        <w:rPr>
          <w:rFonts w:hint="eastAsia" w:ascii="宋体" w:hAnsi="宋体" w:cs="宋体"/>
          <w:color w:val="auto"/>
          <w:szCs w:val="21"/>
          <w:highlight w:val="none"/>
          <w:u w:val="single"/>
          <w:lang w:val="en-US" w:eastAsia="zh-CN"/>
        </w:rPr>
        <w:t>13</w:t>
      </w:r>
      <w:r>
        <w:rPr>
          <w:rFonts w:hint="eastAsia" w:ascii="宋体" w:hAnsi="宋体" w:eastAsia="宋体" w:cs="宋体"/>
          <w:color w:val="auto"/>
          <w:szCs w:val="21"/>
          <w:highlight w:val="none"/>
          <w:u w:val="single"/>
        </w:rPr>
        <w:t>:</w:t>
      </w:r>
      <w:r>
        <w:rPr>
          <w:rFonts w:hint="eastAsia" w:ascii="宋体" w:hAnsi="宋体" w:cs="宋体"/>
          <w:color w:val="auto"/>
          <w:szCs w:val="21"/>
          <w:highlight w:val="none"/>
          <w:u w:val="single"/>
          <w:lang w:val="en-US" w:eastAsia="zh-CN"/>
        </w:rPr>
        <w:t>30</w:t>
      </w:r>
      <w:r>
        <w:rPr>
          <w:rFonts w:hint="eastAsia" w:ascii="宋体" w:hAnsi="宋体" w:eastAsia="宋体" w:cs="宋体"/>
          <w:color w:val="auto"/>
          <w:szCs w:val="21"/>
          <w:highlight w:val="none"/>
          <w:u w:val="single"/>
        </w:rPr>
        <w:t>:00（北京时间）</w:t>
      </w:r>
      <w:r>
        <w:rPr>
          <w:rFonts w:hint="eastAsia" w:ascii="宋体" w:hAnsi="宋体" w:eastAsia="宋体" w:cs="宋体"/>
          <w:color w:val="auto"/>
          <w:kern w:val="0"/>
          <w:szCs w:val="21"/>
          <w:highlight w:val="none"/>
        </w:rPr>
        <w:t>，每天上午</w:t>
      </w:r>
      <w:r>
        <w:rPr>
          <w:rFonts w:hint="eastAsia" w:ascii="宋体" w:hAnsi="宋体" w:eastAsia="宋体" w:cs="宋体"/>
          <w:color w:val="auto"/>
          <w:kern w:val="0"/>
          <w:szCs w:val="21"/>
          <w:highlight w:val="none"/>
          <w:u w:val="single"/>
        </w:rPr>
        <w:t>00:00至12:00</w:t>
      </w:r>
      <w:r>
        <w:rPr>
          <w:rFonts w:hint="eastAsia" w:ascii="宋体" w:hAnsi="宋体" w:eastAsia="宋体" w:cs="宋体"/>
          <w:color w:val="auto"/>
          <w:kern w:val="0"/>
          <w:szCs w:val="21"/>
          <w:highlight w:val="none"/>
        </w:rPr>
        <w:t>，下午</w:t>
      </w:r>
      <w:r>
        <w:rPr>
          <w:rFonts w:hint="eastAsia" w:ascii="宋体" w:hAnsi="宋体" w:eastAsia="宋体" w:cs="宋体"/>
          <w:color w:val="auto"/>
          <w:kern w:val="0"/>
          <w:szCs w:val="21"/>
          <w:highlight w:val="none"/>
          <w:u w:val="single"/>
        </w:rPr>
        <w:t>12:00至23:59</w:t>
      </w:r>
      <w:r>
        <w:rPr>
          <w:rFonts w:hint="eastAsia" w:ascii="宋体" w:hAnsi="宋体" w:eastAsia="宋体" w:cs="宋体"/>
          <w:color w:val="auto"/>
          <w:kern w:val="0"/>
          <w:szCs w:val="21"/>
          <w:highlight w:val="none"/>
        </w:rPr>
        <w:t>（北京时间，线上获取法定节假日均可，线下获取文件法定节假日除外）</w:t>
      </w:r>
    </w:p>
    <w:p w14:paraId="48447553">
      <w:pPr>
        <w:pageBreakBefore w:val="0"/>
        <w:widowControl/>
        <w:shd w:val="clear"/>
        <w:kinsoku/>
        <w:overflowPunct/>
        <w:topLinePunct w:val="0"/>
        <w:bidi w:val="0"/>
        <w:adjustRightInd w:val="0"/>
        <w:snapToGrid w:val="0"/>
        <w:spacing w:line="360" w:lineRule="auto"/>
        <w:ind w:firstLine="63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地点（网址）：浙江政府采购网（https://zfcg.czt.zj.gov.cn） </w:t>
      </w:r>
    </w:p>
    <w:p w14:paraId="26420F48">
      <w:pPr>
        <w:pageBreakBefore w:val="0"/>
        <w:widowControl/>
        <w:shd w:val="clear"/>
        <w:kinsoku/>
        <w:overflowPunct/>
        <w:topLinePunct w:val="0"/>
        <w:bidi w:val="0"/>
        <w:adjustRightInd w:val="0"/>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方式：投标人登录政采云平台（https://www.zcygov.cn/）在线申请获取采购文件</w:t>
      </w:r>
    </w:p>
    <w:p w14:paraId="7D4CEE38">
      <w:pPr>
        <w:pageBreakBefore w:val="0"/>
        <w:widowControl/>
        <w:shd w:val="clear"/>
        <w:kinsoku/>
        <w:overflowPunct/>
        <w:topLinePunct w:val="0"/>
        <w:bidi w:val="0"/>
        <w:adjustRightInd w:val="0"/>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售价（元）：0 </w:t>
      </w:r>
    </w:p>
    <w:p w14:paraId="5F42D03D">
      <w:pPr>
        <w:pageBreakBefore w:val="0"/>
        <w:widowControl/>
        <w:shd w:val="clear"/>
        <w:kinsoku/>
        <w:overflowPunct/>
        <w:topLinePunct w:val="0"/>
        <w:bidi w:val="0"/>
        <w:adjustRightInd w:val="0"/>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四、提交投标文件截止时间、开标时间和地点</w:t>
      </w:r>
    </w:p>
    <w:p w14:paraId="293DA9C5">
      <w:pPr>
        <w:pageBreakBefore w:val="0"/>
        <w:widowControl/>
        <w:shd w:val="clear"/>
        <w:kinsoku/>
        <w:overflowPunct/>
        <w:topLinePunct w:val="0"/>
        <w:bidi w:val="0"/>
        <w:adjustRightInd w:val="0"/>
        <w:snapToGrid w:val="0"/>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kern w:val="0"/>
          <w:szCs w:val="21"/>
          <w:highlight w:val="none"/>
        </w:rPr>
        <w:t>提交投标文件截止时间：</w:t>
      </w:r>
      <w:r>
        <w:rPr>
          <w:rFonts w:hint="eastAsia" w:ascii="宋体" w:hAnsi="宋体" w:eastAsia="宋体" w:cs="宋体"/>
          <w:color w:val="auto"/>
          <w:szCs w:val="21"/>
          <w:highlight w:val="none"/>
          <w:u w:val="single"/>
        </w:rPr>
        <w:t>202</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u w:val="single"/>
        </w:rPr>
        <w:t>年</w:t>
      </w:r>
      <w:r>
        <w:rPr>
          <w:rFonts w:hint="eastAsia" w:ascii="宋体" w:hAnsi="宋体" w:cs="宋体"/>
          <w:color w:val="auto"/>
          <w:szCs w:val="21"/>
          <w:highlight w:val="none"/>
          <w:u w:val="single"/>
          <w:lang w:val="en-US" w:eastAsia="zh-CN"/>
        </w:rPr>
        <w:t>07</w:t>
      </w:r>
      <w:r>
        <w:rPr>
          <w:rFonts w:hint="eastAsia" w:ascii="宋体" w:hAnsi="宋体" w:eastAsia="宋体" w:cs="宋体"/>
          <w:color w:val="auto"/>
          <w:szCs w:val="21"/>
          <w:highlight w:val="none"/>
          <w:u w:val="single"/>
        </w:rPr>
        <w:t>月</w:t>
      </w:r>
      <w:r>
        <w:rPr>
          <w:rFonts w:hint="eastAsia" w:ascii="宋体" w:hAnsi="宋体" w:cs="宋体"/>
          <w:color w:val="auto"/>
          <w:szCs w:val="21"/>
          <w:highlight w:val="none"/>
          <w:u w:val="single"/>
          <w:lang w:val="en-US" w:eastAsia="zh-CN"/>
        </w:rPr>
        <w:t>15</w:t>
      </w:r>
      <w:r>
        <w:rPr>
          <w:rFonts w:hint="eastAsia" w:ascii="宋体" w:hAnsi="宋体" w:eastAsia="宋体" w:cs="宋体"/>
          <w:color w:val="auto"/>
          <w:szCs w:val="21"/>
          <w:highlight w:val="none"/>
          <w:u w:val="single"/>
        </w:rPr>
        <w:t>日</w:t>
      </w:r>
      <w:r>
        <w:rPr>
          <w:rFonts w:hint="eastAsia" w:ascii="宋体" w:hAnsi="宋体" w:cs="宋体"/>
          <w:color w:val="auto"/>
          <w:szCs w:val="21"/>
          <w:highlight w:val="none"/>
          <w:u w:val="single"/>
          <w:lang w:val="en-US" w:eastAsia="zh-CN"/>
        </w:rPr>
        <w:t>13</w:t>
      </w:r>
      <w:r>
        <w:rPr>
          <w:rFonts w:hint="eastAsia" w:ascii="宋体" w:hAnsi="宋体" w:eastAsia="宋体" w:cs="宋体"/>
          <w:color w:val="auto"/>
          <w:szCs w:val="21"/>
          <w:highlight w:val="none"/>
          <w:u w:val="single"/>
        </w:rPr>
        <w:t>:</w:t>
      </w:r>
      <w:r>
        <w:rPr>
          <w:rFonts w:hint="eastAsia" w:ascii="宋体" w:hAnsi="宋体" w:cs="宋体"/>
          <w:color w:val="auto"/>
          <w:szCs w:val="21"/>
          <w:highlight w:val="none"/>
          <w:u w:val="single"/>
          <w:lang w:val="en-US" w:eastAsia="zh-CN"/>
        </w:rPr>
        <w:t>30</w:t>
      </w:r>
      <w:r>
        <w:rPr>
          <w:rFonts w:hint="eastAsia" w:ascii="宋体" w:hAnsi="宋体" w:eastAsia="宋体" w:cs="宋体"/>
          <w:color w:val="auto"/>
          <w:szCs w:val="21"/>
          <w:highlight w:val="none"/>
          <w:u w:val="single"/>
        </w:rPr>
        <w:t>:00（北京时间）</w:t>
      </w:r>
    </w:p>
    <w:p w14:paraId="5E18CBC1">
      <w:pPr>
        <w:pageBreakBefore w:val="0"/>
        <w:widowControl/>
        <w:shd w:val="clear"/>
        <w:kinsoku/>
        <w:overflowPunct/>
        <w:topLinePunct w:val="0"/>
        <w:bidi w:val="0"/>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投标地点（网址）：</w:t>
      </w:r>
      <w:r>
        <w:rPr>
          <w:rFonts w:hint="eastAsia" w:ascii="宋体" w:hAnsi="宋体" w:eastAsia="宋体" w:cs="宋体"/>
          <w:color w:val="auto"/>
          <w:kern w:val="0"/>
          <w:szCs w:val="21"/>
          <w:highlight w:val="none"/>
          <w:u w:val="single"/>
        </w:rPr>
        <w:t>线上（请登录政采云平台上传投标文件） </w:t>
      </w:r>
    </w:p>
    <w:p w14:paraId="115D688B">
      <w:pPr>
        <w:pageBreakBefore w:val="0"/>
        <w:widowControl/>
        <w:shd w:val="clear"/>
        <w:kinsoku/>
        <w:overflowPunct/>
        <w:topLinePunct w:val="0"/>
        <w:bidi w:val="0"/>
        <w:adjustRightInd w:val="0"/>
        <w:snapToGrid w:val="0"/>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kern w:val="0"/>
          <w:szCs w:val="21"/>
          <w:highlight w:val="none"/>
        </w:rPr>
        <w:t>开标时间：</w:t>
      </w:r>
      <w:r>
        <w:rPr>
          <w:rFonts w:hint="eastAsia" w:ascii="宋体" w:hAnsi="宋体" w:eastAsia="宋体" w:cs="宋体"/>
          <w:color w:val="auto"/>
          <w:szCs w:val="21"/>
          <w:highlight w:val="none"/>
          <w:u w:val="single"/>
        </w:rPr>
        <w:t>2025年07月15日13:30:00（北京时间）</w:t>
      </w:r>
    </w:p>
    <w:p w14:paraId="3D26947B">
      <w:pPr>
        <w:pageBreakBefore w:val="0"/>
        <w:widowControl/>
        <w:shd w:val="clear"/>
        <w:kinsoku/>
        <w:overflowPunct/>
        <w:topLinePunct w:val="0"/>
        <w:bidi w:val="0"/>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开标地点（网址）：</w:t>
      </w:r>
      <w:r>
        <w:rPr>
          <w:rFonts w:hint="eastAsia" w:ascii="宋体" w:hAnsi="宋体" w:eastAsia="宋体" w:cs="宋体"/>
          <w:color w:val="auto"/>
          <w:kern w:val="0"/>
          <w:szCs w:val="21"/>
          <w:highlight w:val="none"/>
          <w:u w:val="single"/>
        </w:rPr>
        <w:t>线上（请登录政采云投标客户端开标大厅） </w:t>
      </w:r>
    </w:p>
    <w:p w14:paraId="3ED799FA">
      <w:pPr>
        <w:pageBreakBefore w:val="0"/>
        <w:widowControl/>
        <w:shd w:val="clear"/>
        <w:kinsoku/>
        <w:overflowPunct/>
        <w:topLinePunct w:val="0"/>
        <w:bidi w:val="0"/>
        <w:adjustRightInd w:val="0"/>
        <w:snapToGrid w:val="0"/>
        <w:spacing w:line="360" w:lineRule="auto"/>
        <w:rPr>
          <w:rFonts w:hint="eastAsia" w:ascii="宋体" w:hAnsi="宋体" w:eastAsia="宋体" w:cs="宋体"/>
          <w:b/>
          <w:bCs/>
          <w:color w:val="auto"/>
          <w:kern w:val="0"/>
          <w:szCs w:val="21"/>
          <w:highlight w:val="none"/>
        </w:rPr>
      </w:pPr>
    </w:p>
    <w:p w14:paraId="65624596">
      <w:pPr>
        <w:pageBreakBefore w:val="0"/>
        <w:widowControl/>
        <w:shd w:val="clear"/>
        <w:kinsoku/>
        <w:overflowPunct/>
        <w:topLinePunct w:val="0"/>
        <w:bidi w:val="0"/>
        <w:adjustRightInd w:val="0"/>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五、公告期限</w:t>
      </w:r>
    </w:p>
    <w:p w14:paraId="080306A0">
      <w:pPr>
        <w:pageBreakBefore w:val="0"/>
        <w:widowControl/>
        <w:shd w:val="clear"/>
        <w:kinsoku/>
        <w:overflowPunct/>
        <w:topLinePunct w:val="0"/>
        <w:bidi w:val="0"/>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14:paraId="1D983A42">
      <w:pPr>
        <w:pageBreakBefore w:val="0"/>
        <w:widowControl/>
        <w:shd w:val="clear"/>
        <w:kinsoku/>
        <w:overflowPunct/>
        <w:topLinePunct w:val="0"/>
        <w:bidi w:val="0"/>
        <w:adjustRightInd w:val="0"/>
        <w:snapToGrid w:val="0"/>
        <w:spacing w:line="360" w:lineRule="auto"/>
        <w:rPr>
          <w:rFonts w:hint="eastAsia" w:ascii="宋体" w:hAnsi="宋体" w:eastAsia="宋体" w:cs="宋体"/>
          <w:b/>
          <w:bCs/>
          <w:color w:val="auto"/>
          <w:kern w:val="0"/>
          <w:szCs w:val="21"/>
          <w:highlight w:val="none"/>
        </w:rPr>
      </w:pPr>
    </w:p>
    <w:p w14:paraId="384D96E3">
      <w:pPr>
        <w:pageBreakBefore w:val="0"/>
        <w:widowControl/>
        <w:shd w:val="clear"/>
        <w:kinsoku/>
        <w:overflowPunct/>
        <w:topLinePunct w:val="0"/>
        <w:bidi w:val="0"/>
        <w:adjustRightInd w:val="0"/>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六、其他补充事宜</w:t>
      </w:r>
    </w:p>
    <w:p w14:paraId="15980F51">
      <w:pPr>
        <w:pageBreakBefore w:val="0"/>
        <w:shd w:val="clear"/>
        <w:kinsoku/>
        <w:overflowPunct/>
        <w:topLinePunct w:val="0"/>
        <w:bidi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CAA7B95">
      <w:pPr>
        <w:pageBreakBefore w:val="0"/>
        <w:shd w:val="clear"/>
        <w:kinsoku/>
        <w:overflowPunct/>
        <w:topLinePunct w:val="0"/>
        <w:bidi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根据《浙江省财政厅关于进一步促进政府采购公平竞争打造最优营商环境的通知》（浙财采监（2021）22号）文件关于“健全行政裁决机制”要求，鼓励投标人在线提起询问，路径为：政采云-项目采购-询问质疑投诉-询问列表:鼓励投标人在线提起质疑，路径为：政采云-项目采购-询问质疑投诉-质疑列表。质疑投标人对在线质疑答复不满意的，可在线提起投诉，路径为：浙江政府服务网-政府采购投诉处理-在线办理。</w:t>
      </w:r>
    </w:p>
    <w:p w14:paraId="05DE60D0">
      <w:pPr>
        <w:shd w:val="clea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投标人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8F3A912">
      <w:pPr>
        <w:pageBreakBefore w:val="0"/>
        <w:shd w:val="clear"/>
        <w:kinsoku/>
        <w:overflowPunct/>
        <w:topLinePunct w:val="0"/>
        <w:bidi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4.其他事项：</w:t>
      </w:r>
    </w:p>
    <w:p w14:paraId="34805BF7">
      <w:pPr>
        <w:pageBreakBefore w:val="0"/>
        <w:shd w:val="clear"/>
        <w:kinsoku/>
        <w:overflowPunct/>
        <w:topLinePunct w:val="0"/>
        <w:bidi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（1）需要落实的政府采购政策：包括保护环境、节约能源、促进中小企业发展等，详见采购文件第三部分。</w:t>
      </w:r>
    </w:p>
    <w:p w14:paraId="0D3461F3">
      <w:pPr>
        <w:pageBreakBefore w:val="0"/>
        <w:shd w:val="clear"/>
        <w:kinsoku/>
        <w:overflowPunct/>
        <w:topLinePunct w:val="0"/>
        <w:bidi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（2）电子交易的说明:</w:t>
      </w:r>
      <w:r>
        <w:rPr>
          <w:rFonts w:hint="eastAsia" w:ascii="宋体" w:hAnsi="宋体" w:eastAsia="宋体" w:cs="宋体"/>
          <w:b/>
          <w:bCs/>
          <w:color w:val="auto"/>
          <w:szCs w:val="21"/>
          <w:highlight w:val="none"/>
        </w:rPr>
        <w:t xml:space="preserve"> 1）</w:t>
      </w:r>
      <w:r>
        <w:rPr>
          <w:rFonts w:hint="eastAsia" w:ascii="宋体" w:hAnsi="宋体" w:eastAsia="宋体" w:cs="宋体"/>
          <w:color w:val="auto"/>
          <w:szCs w:val="21"/>
          <w:highlight w:val="none"/>
        </w:rPr>
        <w:t>电子交易：本项目以数据电文形式，依托“政府采购云平台（www.zcygov.cn）”进行采购活动，不接受纸质响应文件。</w:t>
      </w:r>
      <w:r>
        <w:rPr>
          <w:rFonts w:hint="eastAsia" w:ascii="宋体" w:hAnsi="宋体" w:eastAsia="宋体" w:cs="宋体"/>
          <w:b/>
          <w:bCs/>
          <w:color w:val="auto"/>
          <w:szCs w:val="21"/>
          <w:highlight w:val="none"/>
        </w:rPr>
        <w:t>2）</w:t>
      </w:r>
      <w:r>
        <w:rPr>
          <w:rFonts w:hint="eastAsia" w:ascii="宋体" w:hAnsi="宋体" w:eastAsia="宋体" w:cs="宋体"/>
          <w:color w:val="auto"/>
          <w:szCs w:val="21"/>
          <w:highlight w:val="none"/>
        </w:rPr>
        <w:t>响应准备：注册账号--点击“商家入驻”，进行政府采购投标人资料填写</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申领CA数字证书---申领流程详见“浙江政府采购网-下载专区-电子交易客户端-CA驱动和申领流程”</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安装“政采云电子交易客户端”----前往“浙江政府采购网-下载专区-电子交易客户端”进行下载并安装。</w:t>
      </w:r>
      <w:r>
        <w:rPr>
          <w:rFonts w:hint="eastAsia" w:ascii="宋体" w:hAnsi="宋体" w:eastAsia="宋体" w:cs="宋体"/>
          <w:b/>
          <w:bCs/>
          <w:color w:val="auto"/>
          <w:szCs w:val="21"/>
          <w:highlight w:val="none"/>
        </w:rPr>
        <w:t>3）</w:t>
      </w:r>
      <w:r>
        <w:rPr>
          <w:rFonts w:hint="eastAsia" w:ascii="宋体" w:hAnsi="宋体" w:eastAsia="宋体" w:cs="宋体"/>
          <w:color w:val="auto"/>
          <w:szCs w:val="21"/>
          <w:highlight w:val="none"/>
        </w:rPr>
        <w:t>采购文件的获取：使用账号登录或者使用CA登录政采云平台</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进入“项目采购”应用，在获取采购文件菜单中选择项目，获取采购文件。</w:t>
      </w:r>
      <w:r>
        <w:rPr>
          <w:rFonts w:hint="eastAsia" w:ascii="宋体" w:hAnsi="宋体" w:eastAsia="宋体" w:cs="宋体"/>
          <w:b/>
          <w:bCs/>
          <w:color w:val="auto"/>
          <w:szCs w:val="21"/>
          <w:highlight w:val="none"/>
        </w:rPr>
        <w:t>4）</w:t>
      </w:r>
      <w:r>
        <w:rPr>
          <w:rFonts w:hint="eastAsia" w:ascii="宋体" w:hAnsi="宋体" w:eastAsia="宋体" w:cs="宋体"/>
          <w:color w:val="auto"/>
          <w:szCs w:val="21"/>
          <w:highlight w:val="none"/>
        </w:rPr>
        <w:t>响应文件的制作：在“政采云电子交易客户端”中完成“填写基本信息”、“导入响应文件”、“标书关联”、“标书检查”、“电子签名”、“生成电子标书”等操作。</w:t>
      </w:r>
      <w:r>
        <w:rPr>
          <w:rFonts w:hint="eastAsia" w:ascii="宋体" w:hAnsi="宋体" w:eastAsia="宋体" w:cs="宋体"/>
          <w:b/>
          <w:bCs/>
          <w:color w:val="auto"/>
          <w:szCs w:val="21"/>
          <w:highlight w:val="none"/>
        </w:rPr>
        <w:t>5）</w:t>
      </w:r>
      <w:r>
        <w:rPr>
          <w:rFonts w:hint="eastAsia" w:ascii="宋体" w:hAnsi="宋体" w:eastAsia="宋体" w:cs="宋体"/>
          <w:color w:val="auto"/>
          <w:szCs w:val="21"/>
          <w:highlight w:val="none"/>
        </w:rPr>
        <w:t>采购人、采购代理机构将依托政采云平台完成本项目的电子交易活动，平台不接受未按本公告约定方式获取采购文件的投标人进行响应活动</w:t>
      </w:r>
      <w:r>
        <w:rPr>
          <w:rFonts w:hint="eastAsia" w:ascii="宋体" w:hAnsi="宋体" w:eastAsia="宋体" w:cs="宋体"/>
          <w:color w:val="auto"/>
          <w:szCs w:val="21"/>
          <w:highlight w:val="none"/>
          <w:lang w:eastAsia="zh-CN"/>
        </w:rPr>
        <w:t>；</w:t>
      </w:r>
      <w:r>
        <w:rPr>
          <w:rFonts w:hint="eastAsia" w:ascii="宋体" w:hAnsi="宋体" w:eastAsia="宋体" w:cs="宋体"/>
          <w:b/>
          <w:bCs/>
          <w:color w:val="auto"/>
          <w:szCs w:val="21"/>
          <w:highlight w:val="none"/>
        </w:rPr>
        <w:t>6）</w:t>
      </w:r>
      <w:r>
        <w:rPr>
          <w:rFonts w:hint="eastAsia" w:ascii="宋体" w:hAnsi="宋体" w:eastAsia="宋体" w:cs="宋体"/>
          <w:color w:val="auto"/>
          <w:szCs w:val="21"/>
          <w:highlight w:val="none"/>
        </w:rPr>
        <w:t>对未按上述方式获取采购文件的投标人对该文件提出的质疑，采购人或采购代理机构将不予处理</w:t>
      </w:r>
      <w:r>
        <w:rPr>
          <w:rFonts w:hint="eastAsia" w:ascii="宋体" w:hAnsi="宋体" w:eastAsia="宋体" w:cs="宋体"/>
          <w:color w:val="auto"/>
          <w:szCs w:val="21"/>
          <w:highlight w:val="none"/>
          <w:lang w:eastAsia="zh-CN"/>
        </w:rPr>
        <w:t>；</w:t>
      </w:r>
      <w:r>
        <w:rPr>
          <w:rFonts w:hint="eastAsia" w:ascii="宋体" w:hAnsi="宋体" w:eastAsia="宋体" w:cs="宋体"/>
          <w:b/>
          <w:bCs/>
          <w:color w:val="auto"/>
          <w:szCs w:val="21"/>
          <w:highlight w:val="none"/>
        </w:rPr>
        <w:t>7）</w:t>
      </w:r>
      <w:r>
        <w:rPr>
          <w:rFonts w:hint="eastAsia" w:ascii="宋体" w:hAnsi="宋体" w:eastAsia="宋体" w:cs="宋体"/>
          <w:color w:val="auto"/>
          <w:szCs w:val="21"/>
          <w:highlight w:val="none"/>
        </w:rPr>
        <w:t>不提供采购文件纸质版</w:t>
      </w:r>
      <w:r>
        <w:rPr>
          <w:rFonts w:hint="eastAsia" w:ascii="宋体" w:hAnsi="宋体" w:eastAsia="宋体" w:cs="宋体"/>
          <w:color w:val="auto"/>
          <w:szCs w:val="21"/>
          <w:highlight w:val="none"/>
          <w:lang w:eastAsia="zh-CN"/>
        </w:rPr>
        <w:t>；</w:t>
      </w:r>
      <w:r>
        <w:rPr>
          <w:rFonts w:hint="eastAsia" w:ascii="宋体" w:hAnsi="宋体" w:eastAsia="宋体" w:cs="宋体"/>
          <w:b/>
          <w:bCs/>
          <w:color w:val="auto"/>
          <w:szCs w:val="21"/>
          <w:highlight w:val="none"/>
        </w:rPr>
        <w:t>8）</w:t>
      </w:r>
      <w:r>
        <w:rPr>
          <w:rFonts w:hint="eastAsia" w:ascii="宋体" w:hAnsi="宋体" w:eastAsia="宋体" w:cs="宋体"/>
          <w:color w:val="auto"/>
          <w:szCs w:val="21"/>
          <w:highlight w:val="none"/>
        </w:rPr>
        <w:t>响应文件的传输提交：投标人在提交响应文件的截止时间前将加密的响应文件上传至政府采购云平台，还可以在提交响应文件的截止时间前直接提交或者以邮政快递方式提交备份响应文件1份。备份响应文件的制作、存储、密封详见采购文件第三部分 “备份响应文件”</w:t>
      </w:r>
      <w:r>
        <w:rPr>
          <w:rFonts w:hint="eastAsia" w:ascii="宋体" w:hAnsi="宋体" w:eastAsia="宋体" w:cs="宋体"/>
          <w:color w:val="auto"/>
          <w:szCs w:val="21"/>
          <w:highlight w:val="none"/>
          <w:lang w:eastAsia="zh-CN"/>
        </w:rPr>
        <w:t>；</w:t>
      </w:r>
      <w:r>
        <w:rPr>
          <w:rFonts w:hint="eastAsia" w:ascii="宋体" w:hAnsi="宋体" w:eastAsia="宋体" w:cs="宋体"/>
          <w:b/>
          <w:bCs/>
          <w:color w:val="auto"/>
          <w:szCs w:val="21"/>
          <w:highlight w:val="none"/>
        </w:rPr>
        <w:t>9）</w:t>
      </w:r>
      <w:r>
        <w:rPr>
          <w:rFonts w:hint="eastAsia" w:ascii="宋体" w:hAnsi="宋体" w:eastAsia="宋体" w:cs="宋体"/>
          <w:color w:val="auto"/>
          <w:szCs w:val="21"/>
          <w:highlight w:val="none"/>
        </w:rPr>
        <w:t>响应文件的解密：投标人按照平台提示和采购文件的规定在半小时内完成在线解密。通过“政府采购云平台”上传提交的响应文件无法按时解密，投标人递交了备份响应文件的，以备份响应文件为依据，否则视为响应文件撤回。通过“政府采购云平台”上传提交的响应文件已按时解密的，备份响应文件自动失效。投标人仅提交备份响应文件，没有在电子交易平台传输提交响应文件的，响应无效</w:t>
      </w:r>
      <w:r>
        <w:rPr>
          <w:rFonts w:hint="eastAsia" w:ascii="宋体" w:hAnsi="宋体" w:eastAsia="宋体" w:cs="宋体"/>
          <w:color w:val="auto"/>
          <w:szCs w:val="21"/>
          <w:highlight w:val="none"/>
          <w:lang w:eastAsia="zh-CN"/>
        </w:rPr>
        <w:t>；</w:t>
      </w:r>
      <w:r>
        <w:rPr>
          <w:rFonts w:hint="eastAsia" w:ascii="宋体" w:hAnsi="宋体" w:eastAsia="宋体" w:cs="宋体"/>
          <w:b/>
          <w:bCs/>
          <w:color w:val="auto"/>
          <w:szCs w:val="21"/>
          <w:highlight w:val="none"/>
        </w:rPr>
        <w:t>10）</w:t>
      </w:r>
      <w:r>
        <w:rPr>
          <w:rFonts w:hint="eastAsia" w:ascii="宋体" w:hAnsi="宋体" w:eastAsia="宋体" w:cs="宋体"/>
          <w:color w:val="auto"/>
          <w:szCs w:val="21"/>
          <w:highlight w:val="none"/>
        </w:rPr>
        <w:t>具体操作指南：详见政采云平台“服务中心-帮助文档-项目采购-操作流程-电子招投标-政府采购项目电子交易管理操作指南-投标人”。</w:t>
      </w:r>
    </w:p>
    <w:p w14:paraId="68A00F6E">
      <w:pPr>
        <w:pageBreakBefore w:val="0"/>
        <w:shd w:val="clear"/>
        <w:kinsoku/>
        <w:overflowPunct/>
        <w:topLinePunct w:val="0"/>
        <w:bidi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（3）单位负责人为同一人或者存在直接控股、管理关系的不同投标人，不得参加同一合同项下的政府采购活动。</w:t>
      </w:r>
    </w:p>
    <w:p w14:paraId="1C59E2C0">
      <w:pPr>
        <w:pageBreakBefore w:val="0"/>
        <w:shd w:val="clear"/>
        <w:kinsoku/>
        <w:overflowPunct/>
        <w:topLinePunct w:val="0"/>
        <w:bidi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（4）本项目采购文件公告期限为本公告发布之日起5个工作日。 </w:t>
      </w:r>
    </w:p>
    <w:p w14:paraId="73CF5154">
      <w:pPr>
        <w:pageBreakBefore w:val="0"/>
        <w:widowControl/>
        <w:shd w:val="clear"/>
        <w:kinsoku/>
        <w:overflowPunct/>
        <w:topLinePunct w:val="0"/>
        <w:bidi w:val="0"/>
        <w:adjustRightInd w:val="0"/>
        <w:snapToGrid w:val="0"/>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▲5.</w:t>
      </w:r>
      <w:r>
        <w:rPr>
          <w:rFonts w:hint="eastAsia" w:ascii="宋体" w:hAnsi="宋体" w:eastAsia="宋体" w:cs="宋体"/>
          <w:color w:val="auto"/>
          <w:kern w:val="0"/>
          <w:sz w:val="21"/>
          <w:szCs w:val="21"/>
          <w:highlight w:val="none"/>
          <w:lang w:val="en-US" w:eastAsia="zh-CN"/>
        </w:rPr>
        <w:t>为浙</w:t>
      </w:r>
      <w:r>
        <w:rPr>
          <w:rFonts w:hint="eastAsia" w:ascii="宋体" w:hAnsi="宋体" w:eastAsia="宋体" w:cs="宋体"/>
          <w:color w:val="auto"/>
          <w:kern w:val="0"/>
          <w:sz w:val="21"/>
          <w:szCs w:val="21"/>
          <w:highlight w:val="none"/>
          <w:u w:val="none"/>
          <w:lang w:val="en-US" w:eastAsia="zh-CN"/>
        </w:rPr>
        <w:t>江理工大学</w:t>
      </w:r>
      <w:r>
        <w:rPr>
          <w:rFonts w:hint="eastAsia" w:ascii="宋体" w:hAnsi="宋体" w:eastAsia="宋体" w:cs="宋体"/>
          <w:color w:val="auto"/>
          <w:szCs w:val="21"/>
          <w:highlight w:val="none"/>
          <w:u w:val="none"/>
          <w:lang w:eastAsia="zh-CN"/>
        </w:rPr>
        <w:t>钱塘校区教育教学用房及设施提升改造工程</w:t>
      </w:r>
      <w:r>
        <w:rPr>
          <w:rFonts w:hint="eastAsia" w:ascii="宋体" w:hAnsi="宋体" w:eastAsia="宋体" w:cs="宋体"/>
          <w:color w:val="auto"/>
          <w:kern w:val="0"/>
          <w:sz w:val="21"/>
          <w:szCs w:val="21"/>
          <w:highlight w:val="none"/>
          <w:u w:val="none"/>
          <w:lang w:val="en-US" w:eastAsia="zh-CN"/>
        </w:rPr>
        <w:t>提</w:t>
      </w:r>
      <w:r>
        <w:rPr>
          <w:rFonts w:hint="eastAsia" w:ascii="宋体" w:hAnsi="宋体" w:eastAsia="宋体" w:cs="宋体"/>
          <w:color w:val="auto"/>
          <w:kern w:val="0"/>
          <w:sz w:val="21"/>
          <w:szCs w:val="21"/>
          <w:highlight w:val="none"/>
          <w:lang w:val="en-US" w:eastAsia="zh-CN"/>
        </w:rPr>
        <w:t>供全过程跟踪审计、整体设计、规范编制或者项目管理、监理、施工、检测等服务的供应商，不得再参加本次采购活动</w:t>
      </w:r>
      <w:r>
        <w:rPr>
          <w:rFonts w:hint="eastAsia" w:ascii="宋体" w:hAnsi="宋体" w:eastAsia="宋体" w:cs="宋体"/>
          <w:color w:val="auto"/>
          <w:highlight w:val="none"/>
          <w:lang w:val="en-US" w:eastAsia="zh-CN"/>
        </w:rPr>
        <w:t>。</w:t>
      </w:r>
    </w:p>
    <w:p w14:paraId="7387B1C6">
      <w:pPr>
        <w:pageBreakBefore w:val="0"/>
        <w:widowControl/>
        <w:shd w:val="clear"/>
        <w:kinsoku/>
        <w:overflowPunct/>
        <w:topLinePunct w:val="0"/>
        <w:bidi w:val="0"/>
        <w:adjustRightInd w:val="0"/>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七、对本次采购提出询问、质疑、投诉，请按以下方式联系</w:t>
      </w:r>
      <w:r>
        <w:rPr>
          <w:rFonts w:hint="eastAsia" w:ascii="宋体" w:hAnsi="宋体" w:eastAsia="宋体" w:cs="宋体"/>
          <w:color w:val="auto"/>
          <w:kern w:val="0"/>
          <w:szCs w:val="21"/>
          <w:highlight w:val="none"/>
        </w:rPr>
        <w:t>　　　　　　　　　　　　</w:t>
      </w:r>
    </w:p>
    <w:p w14:paraId="02B3C8AE">
      <w:pPr>
        <w:pageBreakBefore w:val="0"/>
        <w:widowControl/>
        <w:shd w:val="clear"/>
        <w:kinsoku/>
        <w:overflowPunct/>
        <w:topLinePunct w:val="0"/>
        <w:bidi w:val="0"/>
        <w:adjustRightInd w:val="0"/>
        <w:snapToGrid w:val="0"/>
        <w:spacing w:line="360" w:lineRule="auto"/>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1.采购人信息</w:t>
      </w:r>
    </w:p>
    <w:p w14:paraId="1184F3E8">
      <w:pPr>
        <w:pageBreakBefore w:val="0"/>
        <w:shd w:val="clear"/>
        <w:kinsoku/>
        <w:overflowPunct/>
        <w:topLinePunct w:val="0"/>
        <w:bidi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名称：浙江理工大学 </w:t>
      </w:r>
    </w:p>
    <w:p w14:paraId="49BA00A3">
      <w:pPr>
        <w:pageBreakBefore w:val="0"/>
        <w:shd w:val="clear"/>
        <w:kinsoku/>
        <w:overflowPunct/>
        <w:topLinePunct w:val="0"/>
        <w:bidi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地址：杭州</w:t>
      </w:r>
      <w:r>
        <w:rPr>
          <w:rFonts w:hint="eastAsia" w:ascii="宋体" w:hAnsi="宋体" w:eastAsia="宋体" w:cs="宋体"/>
          <w:color w:val="auto"/>
          <w:szCs w:val="21"/>
          <w:highlight w:val="none"/>
          <w:lang w:eastAsia="zh-CN"/>
        </w:rPr>
        <w:t>市钱塘区</w:t>
      </w:r>
      <w:r>
        <w:rPr>
          <w:rFonts w:hint="eastAsia" w:ascii="宋体" w:hAnsi="宋体" w:eastAsia="宋体" w:cs="宋体"/>
          <w:color w:val="auto"/>
          <w:szCs w:val="21"/>
          <w:highlight w:val="none"/>
        </w:rPr>
        <w:t>2号大街928号 </w:t>
      </w:r>
    </w:p>
    <w:p w14:paraId="57FABD6A">
      <w:pPr>
        <w:pageBreakBefore w:val="0"/>
        <w:shd w:val="clear"/>
        <w:kinsoku/>
        <w:overflowPunct/>
        <w:topLinePunct w:val="0"/>
        <w:bidi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w:t>
      </w:r>
    </w:p>
    <w:p w14:paraId="036B4D4B">
      <w:pPr>
        <w:pageBreakBefore w:val="0"/>
        <w:shd w:val="clear"/>
        <w:kinsoku/>
        <w:overflowPunct/>
        <w:topLinePunct w:val="0"/>
        <w:bidi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项目联系人（询问）：</w:t>
      </w:r>
      <w:r>
        <w:rPr>
          <w:rFonts w:hint="eastAsia" w:ascii="宋体" w:hAnsi="宋体" w:eastAsia="宋体" w:cs="宋体"/>
          <w:color w:val="auto"/>
          <w:szCs w:val="21"/>
          <w:highlight w:val="none"/>
          <w:lang w:val="en-US" w:eastAsia="zh-CN"/>
        </w:rPr>
        <w:t>蒋</w:t>
      </w:r>
      <w:r>
        <w:rPr>
          <w:rFonts w:hint="eastAsia" w:ascii="宋体" w:hAnsi="宋体" w:eastAsia="宋体" w:cs="宋体"/>
          <w:color w:val="auto"/>
          <w:szCs w:val="21"/>
          <w:highlight w:val="none"/>
        </w:rPr>
        <w:t>老师</w:t>
      </w:r>
    </w:p>
    <w:p w14:paraId="4065D9A9">
      <w:pPr>
        <w:pageBreakBefore w:val="0"/>
        <w:shd w:val="clear"/>
        <w:kinsoku/>
        <w:overflowPunct/>
        <w:topLinePunct w:val="0"/>
        <w:bidi w:val="0"/>
        <w:adjustRightInd w:val="0"/>
        <w:snapToGrid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项目联系方式（询问）：0571-</w:t>
      </w:r>
      <w:r>
        <w:rPr>
          <w:rFonts w:hint="eastAsia" w:ascii="宋体" w:hAnsi="宋体" w:eastAsia="宋体" w:cs="宋体"/>
          <w:color w:val="auto"/>
          <w:szCs w:val="21"/>
          <w:highlight w:val="none"/>
          <w:lang w:val="en-US" w:eastAsia="zh-CN"/>
        </w:rPr>
        <w:t>86843273</w:t>
      </w:r>
    </w:p>
    <w:p w14:paraId="7C226175">
      <w:pPr>
        <w:pageBreakBefore w:val="0"/>
        <w:shd w:val="clear"/>
        <w:kinsoku/>
        <w:overflowPunct/>
        <w:topLinePunct w:val="0"/>
        <w:bidi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质疑联系人：肖老师</w:t>
      </w:r>
    </w:p>
    <w:p w14:paraId="07C5B4F6">
      <w:pPr>
        <w:pageBreakBefore w:val="0"/>
        <w:shd w:val="clear"/>
        <w:kinsoku/>
        <w:overflowPunct/>
        <w:topLinePunct w:val="0"/>
        <w:bidi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质疑联系方式：0571-86843950</w:t>
      </w:r>
    </w:p>
    <w:p w14:paraId="457FF9D0">
      <w:pPr>
        <w:pageBreakBefore w:val="0"/>
        <w:widowControl/>
        <w:shd w:val="clear"/>
        <w:kinsoku/>
        <w:overflowPunct/>
        <w:topLinePunct w:val="0"/>
        <w:bidi w:val="0"/>
        <w:adjustRightInd w:val="0"/>
        <w:snapToGrid w:val="0"/>
        <w:spacing w:line="360" w:lineRule="auto"/>
        <w:ind w:left="420" w:leftChars="100" w:hanging="210" w:hangingChars="100"/>
        <w:jc w:val="lef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 </w:t>
      </w:r>
      <w:r>
        <w:rPr>
          <w:rFonts w:hint="eastAsia" w:ascii="宋体" w:hAnsi="宋体" w:eastAsia="宋体" w:cs="宋体"/>
          <w:b/>
          <w:bCs/>
          <w:color w:val="auto"/>
          <w:szCs w:val="21"/>
          <w:highlight w:val="none"/>
        </w:rPr>
        <w:t>2.采购代理机构信息</w:t>
      </w:r>
    </w:p>
    <w:p w14:paraId="22098351">
      <w:pPr>
        <w:pageBreakBefore w:val="0"/>
        <w:shd w:val="clear"/>
        <w:kinsoku/>
        <w:overflowPunct/>
        <w:topLinePunct w:val="0"/>
        <w:bidi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名称：浙江国际招投标有限公司 　　　　　　　　　　　</w:t>
      </w:r>
    </w:p>
    <w:p w14:paraId="4B125C06">
      <w:pPr>
        <w:pageBreakBefore w:val="0"/>
        <w:shd w:val="clear"/>
        <w:kinsoku/>
        <w:overflowPunct/>
        <w:topLinePunct w:val="0"/>
        <w:bidi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地址：杭州市文三路90号东部软件园1号楼3楼</w:t>
      </w:r>
    </w:p>
    <w:p w14:paraId="072EB43E">
      <w:pPr>
        <w:pageBreakBefore w:val="0"/>
        <w:shd w:val="clear"/>
        <w:kinsoku/>
        <w:overflowPunct/>
        <w:topLinePunct w:val="0"/>
        <w:bidi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传真：0571-88473430</w:t>
      </w:r>
    </w:p>
    <w:p w14:paraId="3836CD61">
      <w:pPr>
        <w:shd w:val="clea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项目联系人（询问）：刘磊、钱妍  　　　　　　　　　　　</w:t>
      </w:r>
    </w:p>
    <w:p w14:paraId="59570F56">
      <w:pPr>
        <w:shd w:val="clea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项目联系方式（询问）：0571-81061810、0571-81061809</w:t>
      </w:r>
    </w:p>
    <w:p w14:paraId="73B0DC63">
      <w:pPr>
        <w:shd w:val="clea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质疑联系人：王远南</w:t>
      </w:r>
    </w:p>
    <w:p w14:paraId="7B696C59">
      <w:pPr>
        <w:pageBreakBefore w:val="0"/>
        <w:widowControl/>
        <w:shd w:val="clear"/>
        <w:kinsoku/>
        <w:overflowPunct/>
        <w:topLinePunct w:val="0"/>
        <w:bidi w:val="0"/>
        <w:adjustRightInd w:val="0"/>
        <w:snapToGrid w:val="0"/>
        <w:spacing w:line="360" w:lineRule="auto"/>
        <w:ind w:left="420" w:leftChars="200"/>
        <w:jc w:val="lef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质疑联系方式：0571-81061811　</w:t>
      </w:r>
      <w:r>
        <w:rPr>
          <w:rFonts w:hint="eastAsia" w:ascii="宋体" w:hAnsi="宋体" w:eastAsia="宋体" w:cs="宋体"/>
          <w:b/>
          <w:bCs/>
          <w:color w:val="auto"/>
          <w:szCs w:val="21"/>
          <w:highlight w:val="none"/>
        </w:rPr>
        <w:t xml:space="preserve">　　　　　　　　　　　　　　　　　　　　　 </w:t>
      </w:r>
    </w:p>
    <w:p w14:paraId="26066E64">
      <w:pPr>
        <w:pageBreakBefore w:val="0"/>
        <w:shd w:val="clear"/>
        <w:kinsoku/>
        <w:overflowPunct/>
        <w:topLinePunct w:val="0"/>
        <w:bidi w:val="0"/>
        <w:adjustRightInd w:val="0"/>
        <w:snapToGrid w:val="0"/>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3.本项目预算金额未达100万元，由采购人处理采购争议。质疑环节，采购人委托采购代理机构处理的，可由采购代理机构答复。对质疑答复不满意的，向采购人内部设置的采购监督机构反映。</w:t>
      </w:r>
      <w:r>
        <w:rPr>
          <w:rFonts w:hint="eastAsia" w:ascii="宋体" w:hAnsi="宋体" w:eastAsia="宋体" w:cs="宋体"/>
          <w:color w:val="auto"/>
          <w:szCs w:val="21"/>
          <w:highlight w:val="none"/>
        </w:rPr>
        <w:t xml:space="preserve"> </w:t>
      </w:r>
    </w:p>
    <w:p w14:paraId="22FB3FFB">
      <w:pPr>
        <w:widowControl/>
        <w:shd w:val="clear"/>
        <w:adjustRightInd w:val="0"/>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若对项目采购电子交易系统操作有疑问，可登录政采云（https：//www.zcygov.cn/），点击右侧咨询小采，获取采小蜜智能服务管家帮助，或拨打政采云服务热线95763获取热线服务帮助。</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 xml:space="preserve">    CA问题联系电话（人工）：汇信CA 400-888-4636；天谷CA 400-087-8198。</w:t>
      </w:r>
    </w:p>
    <w:p w14:paraId="314E45EA">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br w:type="page"/>
      </w:r>
    </w:p>
    <w:p w14:paraId="3F777123">
      <w:pPr>
        <w:pStyle w:val="4"/>
        <w:pageBreakBefore w:val="0"/>
        <w:shd w:val="clear"/>
        <w:kinsoku/>
        <w:overflowPunct/>
        <w:topLinePunct w:val="0"/>
        <w:bidi w:val="0"/>
        <w:spacing w:line="360" w:lineRule="auto"/>
        <w:jc w:val="center"/>
        <w:rPr>
          <w:rFonts w:hint="eastAsia" w:ascii="宋体" w:hAnsi="宋体" w:eastAsia="宋体" w:cs="宋体"/>
          <w:color w:val="auto"/>
          <w:highlight w:val="none"/>
        </w:rPr>
      </w:pPr>
      <w:bookmarkStart w:id="2" w:name="_Toc11261"/>
      <w:bookmarkStart w:id="3" w:name="_Toc48"/>
      <w:bookmarkStart w:id="4" w:name="_Toc7172"/>
      <w:r>
        <w:rPr>
          <w:rFonts w:hint="eastAsia" w:ascii="宋体" w:hAnsi="宋体" w:eastAsia="宋体" w:cs="宋体"/>
          <w:color w:val="auto"/>
          <w:highlight w:val="none"/>
          <w:lang w:eastAsia="zh-CN"/>
        </w:rPr>
        <w:t>第二部分</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投标人须知</w:t>
      </w:r>
      <w:bookmarkEnd w:id="2"/>
      <w:bookmarkEnd w:id="3"/>
      <w:bookmarkEnd w:id="4"/>
    </w:p>
    <w:p w14:paraId="6DFA8A9B">
      <w:pPr>
        <w:pStyle w:val="5"/>
        <w:pageBreakBefore w:val="0"/>
        <w:shd w:val="clear"/>
        <w:kinsoku/>
        <w:overflowPunct/>
        <w:topLinePunct w:val="0"/>
        <w:bidi w:val="0"/>
        <w:spacing w:line="360" w:lineRule="auto"/>
        <w:jc w:val="center"/>
        <w:rPr>
          <w:rFonts w:hint="eastAsia" w:ascii="宋体" w:hAnsi="宋体" w:eastAsia="宋体" w:cs="宋体"/>
          <w:color w:val="auto"/>
          <w:highlight w:val="none"/>
        </w:rPr>
      </w:pPr>
      <w:bookmarkStart w:id="5" w:name="_Toc27962"/>
      <w:r>
        <w:rPr>
          <w:rFonts w:hint="eastAsia" w:ascii="宋体" w:hAnsi="宋体" w:eastAsia="宋体" w:cs="宋体"/>
          <w:color w:val="auto"/>
          <w:highlight w:val="none"/>
        </w:rPr>
        <w:t>前 附 表</w:t>
      </w:r>
      <w:bookmarkEnd w:id="5"/>
    </w:p>
    <w:tbl>
      <w:tblPr>
        <w:tblStyle w:val="46"/>
        <w:tblW w:w="9340" w:type="dxa"/>
        <w:tblInd w:w="-7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53"/>
        <w:gridCol w:w="2187"/>
        <w:gridCol w:w="6400"/>
      </w:tblGrid>
      <w:tr w14:paraId="736F7A3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272" w:hRule="atLeast"/>
          <w:tblHeader/>
        </w:trPr>
        <w:tc>
          <w:tcPr>
            <w:tcW w:w="753" w:type="dxa"/>
            <w:tcBorders>
              <w:tl2br w:val="nil"/>
              <w:tr2bl w:val="nil"/>
            </w:tcBorders>
            <w:vAlign w:val="center"/>
          </w:tcPr>
          <w:p w14:paraId="70913B78">
            <w:pPr>
              <w:pageBreakBefore w:val="0"/>
              <w:shd w:val="clear"/>
              <w:kinsoku/>
              <w:overflowPunct/>
              <w:topLinePunct w:val="0"/>
              <w:bidi w:val="0"/>
              <w:spacing w:before="48" w:beforeLines="20" w:after="48" w:afterLines="20" w:line="360" w:lineRule="auto"/>
              <w:ind w:left="42" w:leftChars="20" w:right="42" w:rightChars="2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187" w:type="dxa"/>
            <w:tcBorders>
              <w:tl2br w:val="nil"/>
              <w:tr2bl w:val="nil"/>
            </w:tcBorders>
            <w:vAlign w:val="center"/>
          </w:tcPr>
          <w:p w14:paraId="0EA35811">
            <w:pPr>
              <w:pageBreakBefore w:val="0"/>
              <w:shd w:val="clear"/>
              <w:kinsoku/>
              <w:overflowPunct/>
              <w:topLinePunct w:val="0"/>
              <w:bidi w:val="0"/>
              <w:spacing w:before="48" w:beforeLines="20" w:after="48" w:afterLines="20" w:line="360" w:lineRule="auto"/>
              <w:ind w:left="42" w:leftChars="20" w:right="42" w:rightChars="2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事项</w:t>
            </w:r>
          </w:p>
        </w:tc>
        <w:tc>
          <w:tcPr>
            <w:tcW w:w="6400" w:type="dxa"/>
            <w:tcBorders>
              <w:tl2br w:val="nil"/>
              <w:tr2bl w:val="nil"/>
            </w:tcBorders>
            <w:vAlign w:val="center"/>
          </w:tcPr>
          <w:p w14:paraId="2B764630">
            <w:pPr>
              <w:pageBreakBefore w:val="0"/>
              <w:shd w:val="clear"/>
              <w:kinsoku/>
              <w:overflowPunct/>
              <w:topLinePunct w:val="0"/>
              <w:bidi w:val="0"/>
              <w:spacing w:before="48" w:beforeLines="20" w:after="48" w:afterLines="20" w:line="360" w:lineRule="auto"/>
              <w:ind w:left="42" w:leftChars="20" w:right="42" w:rightChars="2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本项目的特别规定</w:t>
            </w:r>
          </w:p>
        </w:tc>
      </w:tr>
      <w:tr w14:paraId="70F33C5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363" w:hRule="atLeast"/>
        </w:trPr>
        <w:tc>
          <w:tcPr>
            <w:tcW w:w="753" w:type="dxa"/>
            <w:tcBorders>
              <w:tl2br w:val="nil"/>
              <w:tr2bl w:val="nil"/>
            </w:tcBorders>
            <w:vAlign w:val="center"/>
          </w:tcPr>
          <w:p w14:paraId="16B1C8C9">
            <w:pPr>
              <w:pageBreakBefore w:val="0"/>
              <w:shd w:val="clear"/>
              <w:kinsoku/>
              <w:overflowPunct/>
              <w:topLinePunct w:val="0"/>
              <w:bidi w:val="0"/>
              <w:spacing w:before="48" w:beforeLines="20" w:after="48" w:afterLines="20" w:line="360" w:lineRule="auto"/>
              <w:ind w:left="42" w:leftChars="20" w:right="42" w:righ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87" w:type="dxa"/>
            <w:tcBorders>
              <w:tl2br w:val="nil"/>
              <w:tr2bl w:val="nil"/>
            </w:tcBorders>
            <w:vAlign w:val="center"/>
          </w:tcPr>
          <w:p w14:paraId="3D709146">
            <w:pPr>
              <w:pageBreakBefore w:val="0"/>
              <w:shd w:val="clear"/>
              <w:kinsoku/>
              <w:overflowPunct/>
              <w:topLinePunct w:val="0"/>
              <w:bidi w:val="0"/>
              <w:spacing w:before="48" w:beforeLines="20" w:after="48" w:afterLines="20" w:line="360" w:lineRule="auto"/>
              <w:ind w:left="42" w:leftChars="20" w:right="42" w:rightChars="2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项目属性与核心产品</w:t>
            </w:r>
          </w:p>
        </w:tc>
        <w:tc>
          <w:tcPr>
            <w:tcW w:w="6400" w:type="dxa"/>
            <w:tcBorders>
              <w:tl2br w:val="nil"/>
              <w:tr2bl w:val="nil"/>
            </w:tcBorders>
            <w:vAlign w:val="center"/>
          </w:tcPr>
          <w:p w14:paraId="2282047F">
            <w:pPr>
              <w:pageBreakBefore w:val="0"/>
              <w:shd w:val="clear"/>
              <w:kinsoku/>
              <w:overflowPunct/>
              <w:topLinePunct w:val="0"/>
              <w:bidi w:val="0"/>
              <w:spacing w:before="48" w:beforeLines="20" w:after="48" w:afterLines="20" w:line="360" w:lineRule="auto"/>
              <w:ind w:left="42" w:leftChars="20" w:right="42" w:rightChars="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服务</w:t>
            </w:r>
            <w:r>
              <w:rPr>
                <w:rFonts w:hint="eastAsia" w:ascii="宋体" w:hAnsi="宋体" w:eastAsia="宋体" w:cs="宋体"/>
                <w:color w:val="auto"/>
                <w:sz w:val="21"/>
                <w:szCs w:val="21"/>
                <w:highlight w:val="none"/>
              </w:rPr>
              <w:t>类</w:t>
            </w:r>
          </w:p>
        </w:tc>
      </w:tr>
      <w:tr w14:paraId="4DC8F01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1254" w:hRule="atLeast"/>
        </w:trPr>
        <w:tc>
          <w:tcPr>
            <w:tcW w:w="753" w:type="dxa"/>
            <w:tcBorders>
              <w:tl2br w:val="nil"/>
              <w:tr2bl w:val="nil"/>
            </w:tcBorders>
            <w:vAlign w:val="center"/>
          </w:tcPr>
          <w:p w14:paraId="3E5F15B9">
            <w:pPr>
              <w:pageBreakBefore w:val="0"/>
              <w:shd w:val="clear"/>
              <w:kinsoku/>
              <w:overflowPunct/>
              <w:topLinePunct w:val="0"/>
              <w:bidi w:val="0"/>
              <w:spacing w:before="48" w:beforeLines="20" w:after="48" w:afterLines="20" w:line="360" w:lineRule="auto"/>
              <w:ind w:left="42" w:leftChars="20" w:right="42" w:righ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187" w:type="dxa"/>
            <w:tcBorders>
              <w:tl2br w:val="nil"/>
              <w:tr2bl w:val="nil"/>
            </w:tcBorders>
            <w:vAlign w:val="center"/>
          </w:tcPr>
          <w:p w14:paraId="60D1298E">
            <w:pPr>
              <w:pageBreakBefore w:val="0"/>
              <w:shd w:val="clear"/>
              <w:kinsoku/>
              <w:overflowPunct/>
              <w:topLinePunct w:val="0"/>
              <w:bidi w:val="0"/>
              <w:spacing w:before="48" w:beforeLines="20" w:after="48" w:afterLines="20" w:line="360" w:lineRule="auto"/>
              <w:ind w:left="42" w:leftChars="20" w:right="42" w:rightChars="2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采购标的对应的中小企业划分标准所属行业</w:t>
            </w:r>
          </w:p>
        </w:tc>
        <w:tc>
          <w:tcPr>
            <w:tcW w:w="6400" w:type="dxa"/>
            <w:tcBorders>
              <w:tl2br w:val="nil"/>
              <w:tr2bl w:val="nil"/>
            </w:tcBorders>
            <w:vAlign w:val="center"/>
          </w:tcPr>
          <w:p w14:paraId="667F270D">
            <w:pPr>
              <w:pageBreakBefore w:val="0"/>
              <w:shd w:val="clear"/>
              <w:kinsoku/>
              <w:overflowPunct/>
              <w:topLinePunct w:val="0"/>
              <w:bidi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采购标的：</w:t>
            </w:r>
            <w:r>
              <w:rPr>
                <w:rFonts w:hint="eastAsia" w:ascii="宋体" w:hAnsi="宋体" w:cs="宋体"/>
                <w:b/>
                <w:bCs/>
                <w:color w:val="auto"/>
                <w:sz w:val="21"/>
                <w:szCs w:val="21"/>
                <w:highlight w:val="none"/>
                <w:u w:val="single"/>
                <w:lang w:eastAsia="zh-CN"/>
              </w:rPr>
              <w:t>钱塘校区教育教学用房及设施提升改造工程结算审核造价咨询服务</w:t>
            </w:r>
            <w:r>
              <w:rPr>
                <w:rFonts w:hint="eastAsia" w:ascii="宋体" w:hAnsi="宋体" w:eastAsia="宋体" w:cs="宋体"/>
                <w:b/>
                <w:bCs/>
                <w:color w:val="auto"/>
                <w:sz w:val="21"/>
                <w:szCs w:val="21"/>
                <w:highlight w:val="none"/>
                <w:u w:val="single"/>
                <w:lang w:val="en-US" w:eastAsia="zh-CN"/>
              </w:rPr>
              <w:t>，</w:t>
            </w:r>
            <w:r>
              <w:rPr>
                <w:rFonts w:hint="eastAsia" w:ascii="宋体" w:hAnsi="宋体" w:eastAsia="宋体" w:cs="宋体"/>
                <w:b/>
                <w:bCs/>
                <w:color w:val="auto"/>
                <w:sz w:val="21"/>
                <w:szCs w:val="21"/>
                <w:highlight w:val="none"/>
              </w:rPr>
              <w:t>所属行业为：</w:t>
            </w:r>
            <w:r>
              <w:rPr>
                <w:rFonts w:hint="eastAsia" w:ascii="宋体" w:hAnsi="宋体" w:eastAsia="宋体" w:cs="宋体"/>
                <w:b/>
                <w:bCs/>
                <w:color w:val="auto"/>
                <w:sz w:val="21"/>
                <w:szCs w:val="21"/>
                <w:highlight w:val="none"/>
                <w:u w:val="single"/>
                <w:lang w:bidi="ar"/>
              </w:rPr>
              <w:t>其他未列明行业</w:t>
            </w:r>
            <w:r>
              <w:rPr>
                <w:rFonts w:hint="eastAsia" w:ascii="宋体" w:hAnsi="宋体" w:eastAsia="宋体" w:cs="宋体"/>
                <w:b/>
                <w:bCs/>
                <w:color w:val="auto"/>
                <w:sz w:val="21"/>
                <w:szCs w:val="21"/>
                <w:highlight w:val="none"/>
                <w:u w:val="single"/>
                <w:lang w:eastAsia="zh-CN" w:bidi="ar"/>
              </w:rPr>
              <w:t>；</w:t>
            </w:r>
          </w:p>
          <w:p w14:paraId="260CE92A">
            <w:pPr>
              <w:pageBreakBefore w:val="0"/>
              <w:shd w:val="clear"/>
              <w:kinsoku/>
              <w:overflowPunct/>
              <w:topLinePunct w:val="0"/>
              <w:bidi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 w:val="21"/>
                <w:szCs w:val="21"/>
                <w:highlight w:val="none"/>
                <w:lang w:eastAsia="zh-CN"/>
              </w:rPr>
              <w:t>本项目行业的划型标准，以便于企业投标（响应）：</w:t>
            </w:r>
            <w:r>
              <w:rPr>
                <w:rFonts w:hint="eastAsia" w:ascii="宋体" w:hAnsi="宋体" w:eastAsia="宋体" w:cs="宋体"/>
                <w:color w:val="auto"/>
                <w:sz w:val="21"/>
                <w:szCs w:val="21"/>
                <w:highlight w:val="none"/>
                <w:lang w:val="en-US" w:eastAsia="zh-CN"/>
              </w:rPr>
              <w:t>根据</w:t>
            </w:r>
            <w:r>
              <w:rPr>
                <w:rFonts w:hint="eastAsia" w:ascii="宋体" w:hAnsi="宋体" w:eastAsia="宋体" w:cs="宋体"/>
                <w:color w:val="auto"/>
                <w:sz w:val="21"/>
                <w:szCs w:val="21"/>
                <w:highlight w:val="none"/>
                <w:lang w:eastAsia="zh-CN"/>
              </w:rPr>
              <w:t>《关于印发中小企业划型标准规定的通知》（工信部联企业〔2011〕300）第</w:t>
            </w:r>
            <w:r>
              <w:rPr>
                <w:rFonts w:hint="eastAsia" w:ascii="宋体" w:hAnsi="宋体" w:eastAsia="宋体" w:cs="宋体"/>
                <w:color w:val="auto"/>
                <w:sz w:val="21"/>
                <w:szCs w:val="21"/>
                <w:highlight w:val="none"/>
                <w:lang w:val="en-US" w:eastAsia="zh-CN"/>
              </w:rPr>
              <w:t>四条第</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项规定</w:t>
            </w:r>
            <w:r>
              <w:rPr>
                <w:rFonts w:hint="eastAsia" w:ascii="宋体" w:hAnsi="宋体" w:eastAsia="宋体" w:cs="宋体"/>
                <w:color w:val="auto"/>
                <w:sz w:val="21"/>
                <w:szCs w:val="21"/>
                <w:highlight w:val="none"/>
                <w:lang w:eastAsia="zh-CN"/>
              </w:rPr>
              <w:t>：</w:t>
            </w:r>
            <w:r>
              <w:rPr>
                <w:rFonts w:hint="eastAsia" w:ascii="宋体" w:hAnsi="宋体" w:eastAsia="宋体" w:cs="宋体"/>
                <w:b w:val="0"/>
                <w:bCs w:val="0"/>
                <w:color w:val="auto"/>
                <w:sz w:val="21"/>
                <w:szCs w:val="21"/>
                <w:highlight w:val="none"/>
                <w:u w:val="single"/>
                <w:lang w:bidi="ar"/>
              </w:rPr>
              <w:t>其他未列明行业</w:t>
            </w:r>
            <w:r>
              <w:rPr>
                <w:rFonts w:hint="eastAsia" w:ascii="宋体" w:hAnsi="宋体" w:eastAsia="宋体" w:cs="宋体"/>
                <w:color w:val="auto"/>
                <w:sz w:val="21"/>
                <w:szCs w:val="21"/>
                <w:highlight w:val="none"/>
                <w:lang w:eastAsia="zh-CN"/>
              </w:rPr>
              <w:t>，从业人员</w:t>
            </w:r>
            <w:r>
              <w:rPr>
                <w:rFonts w:hint="eastAsia" w:ascii="宋体" w:hAnsi="宋体" w:eastAsia="宋体" w:cs="宋体"/>
                <w:color w:val="auto"/>
                <w:sz w:val="21"/>
                <w:szCs w:val="21"/>
                <w:highlight w:val="none"/>
                <w:lang w:val="en-US" w:eastAsia="zh-CN"/>
              </w:rPr>
              <w:t>300</w:t>
            </w:r>
            <w:r>
              <w:rPr>
                <w:rFonts w:hint="eastAsia" w:ascii="宋体" w:hAnsi="宋体" w:eastAsia="宋体" w:cs="宋体"/>
                <w:color w:val="auto"/>
                <w:sz w:val="21"/>
                <w:szCs w:val="21"/>
                <w:highlight w:val="none"/>
                <w:lang w:eastAsia="zh-CN"/>
              </w:rPr>
              <w:t>人以下的为中小微型企业。</w:t>
            </w:r>
            <w:r>
              <w:rPr>
                <w:rFonts w:hint="eastAsia" w:ascii="宋体" w:hAnsi="宋体" w:eastAsia="宋体" w:cs="宋体"/>
                <w:color w:val="auto"/>
                <w:sz w:val="21"/>
                <w:szCs w:val="21"/>
                <w:highlight w:val="none"/>
                <w:lang w:val="en-US" w:eastAsia="zh-CN"/>
              </w:rPr>
              <w:t>其中，从业人员</w:t>
            </w:r>
            <w:r>
              <w:rPr>
                <w:rFonts w:hint="eastAsia" w:ascii="宋体" w:hAnsi="宋体" w:eastAsia="宋体" w:cs="宋体"/>
                <w:color w:val="auto"/>
                <w:sz w:val="21"/>
                <w:szCs w:val="21"/>
                <w:highlight w:val="none"/>
                <w:u w:val="single"/>
                <w:lang w:val="en-US" w:eastAsia="zh-CN"/>
              </w:rPr>
              <w:t>100人及以上</w:t>
            </w:r>
            <w:r>
              <w:rPr>
                <w:rFonts w:hint="eastAsia" w:ascii="宋体" w:hAnsi="宋体" w:eastAsia="宋体" w:cs="宋体"/>
                <w:color w:val="auto"/>
                <w:sz w:val="21"/>
                <w:szCs w:val="21"/>
                <w:highlight w:val="none"/>
                <w:lang w:val="en-US" w:eastAsia="zh-CN"/>
              </w:rPr>
              <w:t>为中型企业；从业人员</w:t>
            </w:r>
            <w:r>
              <w:rPr>
                <w:rFonts w:hint="eastAsia" w:ascii="宋体" w:hAnsi="宋体" w:eastAsia="宋体" w:cs="宋体"/>
                <w:color w:val="auto"/>
                <w:sz w:val="21"/>
                <w:szCs w:val="21"/>
                <w:highlight w:val="none"/>
                <w:u w:val="single"/>
                <w:lang w:val="en-US" w:eastAsia="zh-CN"/>
              </w:rPr>
              <w:t>10人及以上</w:t>
            </w:r>
            <w:r>
              <w:rPr>
                <w:rFonts w:hint="eastAsia" w:ascii="宋体" w:hAnsi="宋体" w:eastAsia="宋体" w:cs="宋体"/>
                <w:color w:val="auto"/>
                <w:sz w:val="21"/>
                <w:szCs w:val="21"/>
                <w:highlight w:val="none"/>
                <w:lang w:val="en-US" w:eastAsia="zh-CN"/>
              </w:rPr>
              <w:t>的为小型企业；从业人员</w:t>
            </w:r>
            <w:r>
              <w:rPr>
                <w:rFonts w:hint="eastAsia" w:ascii="宋体" w:hAnsi="宋体" w:eastAsia="宋体" w:cs="宋体"/>
                <w:color w:val="auto"/>
                <w:sz w:val="21"/>
                <w:szCs w:val="21"/>
                <w:highlight w:val="none"/>
                <w:u w:val="single"/>
                <w:lang w:val="en-US" w:eastAsia="zh-CN"/>
              </w:rPr>
              <w:t>10人以下</w:t>
            </w:r>
            <w:r>
              <w:rPr>
                <w:rFonts w:hint="eastAsia" w:ascii="宋体" w:hAnsi="宋体" w:eastAsia="宋体" w:cs="宋体"/>
                <w:color w:val="auto"/>
                <w:sz w:val="21"/>
                <w:szCs w:val="21"/>
                <w:highlight w:val="none"/>
                <w:lang w:val="en-US" w:eastAsia="zh-CN"/>
              </w:rPr>
              <w:t>的为微型企业。</w:t>
            </w:r>
          </w:p>
        </w:tc>
      </w:tr>
      <w:tr w14:paraId="6F51133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95" w:hRule="atLeast"/>
        </w:trPr>
        <w:tc>
          <w:tcPr>
            <w:tcW w:w="753" w:type="dxa"/>
            <w:tcBorders>
              <w:tl2br w:val="nil"/>
              <w:tr2bl w:val="nil"/>
            </w:tcBorders>
            <w:vAlign w:val="center"/>
          </w:tcPr>
          <w:p w14:paraId="30B06B5E">
            <w:pPr>
              <w:pageBreakBefore w:val="0"/>
              <w:shd w:val="clear"/>
              <w:kinsoku/>
              <w:overflowPunct/>
              <w:topLinePunct w:val="0"/>
              <w:bidi w:val="0"/>
              <w:spacing w:before="48" w:beforeLines="20" w:after="48" w:afterLines="20" w:line="360" w:lineRule="auto"/>
              <w:ind w:left="42" w:leftChars="20" w:right="42" w:righ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187" w:type="dxa"/>
            <w:tcBorders>
              <w:tl2br w:val="nil"/>
              <w:tr2bl w:val="nil"/>
            </w:tcBorders>
            <w:vAlign w:val="center"/>
          </w:tcPr>
          <w:p w14:paraId="7B13BF06">
            <w:pPr>
              <w:pageBreakBefore w:val="0"/>
              <w:shd w:val="clear"/>
              <w:kinsoku/>
              <w:overflowPunct/>
              <w:topLinePunct w:val="0"/>
              <w:bidi w:val="0"/>
              <w:spacing w:before="48" w:beforeLines="20" w:after="48" w:afterLines="20" w:line="360" w:lineRule="auto"/>
              <w:ind w:left="42" w:leftChars="20" w:right="42" w:rightChars="2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是否允许采购进口产品</w:t>
            </w:r>
          </w:p>
        </w:tc>
        <w:tc>
          <w:tcPr>
            <w:tcW w:w="6400" w:type="dxa"/>
            <w:tcBorders>
              <w:tl2br w:val="nil"/>
              <w:tr2bl w:val="nil"/>
            </w:tcBorders>
            <w:vAlign w:val="center"/>
          </w:tcPr>
          <w:p w14:paraId="3F944D21">
            <w:pPr>
              <w:pageBreakBefore w:val="0"/>
              <w:shd w:val="clear"/>
              <w:kinsoku/>
              <w:overflowPunct/>
              <w:topLinePunct w:val="0"/>
              <w:bidi w:val="0"/>
              <w:spacing w:before="48" w:beforeLines="20" w:after="48" w:afterLines="20" w:line="360" w:lineRule="auto"/>
              <w:ind w:left="42" w:leftChars="20" w:right="42" w:rightChars="20"/>
              <w:rPr>
                <w:rFonts w:hint="eastAsia" w:ascii="宋体" w:hAnsi="宋体" w:eastAsia="宋体" w:cs="宋体"/>
                <w:color w:val="auto"/>
                <w:kern w:val="0"/>
                <w:sz w:val="21"/>
                <w:szCs w:val="21"/>
                <w:highlight w:val="none"/>
              </w:rPr>
            </w:pPr>
            <w:sdt>
              <w:sdtPr>
                <w:rPr>
                  <w:rFonts w:hint="eastAsia" w:ascii="宋体" w:hAnsi="宋体" w:eastAsia="宋体" w:cs="宋体"/>
                  <w:color w:val="auto"/>
                  <w:kern w:val="0"/>
                  <w:sz w:val="21"/>
                  <w:szCs w:val="21"/>
                  <w:highlight w:val="none"/>
                </w:rPr>
                <w:id w:val="-1828425707"/>
                <w:showingPlcHdr/>
              </w:sdtPr>
              <w:sdtEndPr>
                <w:rPr>
                  <w:rFonts w:hint="eastAsia" w:ascii="宋体" w:hAnsi="宋体" w:eastAsia="宋体" w:cs="宋体"/>
                  <w:color w:val="auto"/>
                  <w:kern w:val="0"/>
                  <w:sz w:val="21"/>
                  <w:szCs w:val="21"/>
                  <w:highlight w:val="none"/>
                </w:rPr>
              </w:sdtEndPr>
              <w:sdtContent/>
            </w:sdt>
            <w:sdt>
              <w:sdtPr>
                <w:rPr>
                  <w:rFonts w:hint="eastAsia" w:ascii="宋体" w:hAnsi="宋体" w:eastAsia="宋体" w:cs="宋体"/>
                  <w:color w:val="auto"/>
                  <w:kern w:val="0"/>
                  <w:sz w:val="21"/>
                  <w:szCs w:val="21"/>
                  <w:highlight w:val="none"/>
                </w:rPr>
                <w:id w:val="104479417"/>
                <w:showingPlcHdr/>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本项目不允许采购进口产品。</w:t>
            </w:r>
          </w:p>
          <w:p w14:paraId="375FBFE2">
            <w:pPr>
              <w:pageBreakBefore w:val="0"/>
              <w:shd w:val="clear"/>
              <w:kinsoku/>
              <w:overflowPunct/>
              <w:topLinePunct w:val="0"/>
              <w:bidi w:val="0"/>
              <w:spacing w:before="48" w:beforeLines="20" w:after="48" w:afterLines="20" w:line="360" w:lineRule="auto"/>
              <w:ind w:left="42" w:leftChars="20" w:right="42" w:rightChars="20"/>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52852824"/>
                <w:showingPlcHdr/>
              </w:sdtPr>
              <w:sdtEndPr>
                <w:rPr>
                  <w:rFonts w:hint="eastAsia" w:ascii="宋体" w:hAnsi="宋体" w:eastAsia="宋体" w:cs="宋体"/>
                  <w:color w:val="auto"/>
                  <w:kern w:val="0"/>
                  <w:sz w:val="21"/>
                  <w:szCs w:val="21"/>
                  <w:highlight w:val="none"/>
                </w:rPr>
              </w:sdtEndPr>
              <w:sdtContent/>
            </w:sdt>
            <w:sdt>
              <w:sdtPr>
                <w:rPr>
                  <w:rFonts w:hint="eastAsia" w:ascii="宋体" w:hAnsi="宋体" w:eastAsia="宋体" w:cs="宋体"/>
                  <w:color w:val="auto"/>
                  <w:kern w:val="0"/>
                  <w:sz w:val="21"/>
                  <w:szCs w:val="21"/>
                  <w:highlight w:val="none"/>
                </w:rPr>
                <w:id w:val="-1276331357"/>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可以采购进口产品。</w:t>
            </w:r>
          </w:p>
        </w:tc>
      </w:tr>
      <w:tr w14:paraId="7D1F013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727" w:hRule="atLeast"/>
        </w:trPr>
        <w:tc>
          <w:tcPr>
            <w:tcW w:w="753" w:type="dxa"/>
            <w:tcBorders>
              <w:tl2br w:val="nil"/>
              <w:tr2bl w:val="nil"/>
            </w:tcBorders>
            <w:vAlign w:val="center"/>
          </w:tcPr>
          <w:p w14:paraId="145B4E8C">
            <w:pPr>
              <w:pageBreakBefore w:val="0"/>
              <w:shd w:val="clear"/>
              <w:kinsoku/>
              <w:overflowPunct/>
              <w:topLinePunct w:val="0"/>
              <w:bidi w:val="0"/>
              <w:spacing w:before="48" w:beforeLines="20" w:after="48" w:afterLines="20" w:line="360" w:lineRule="auto"/>
              <w:ind w:left="42" w:leftChars="20" w:right="42" w:righ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187" w:type="dxa"/>
            <w:tcBorders>
              <w:tl2br w:val="nil"/>
              <w:tr2bl w:val="nil"/>
            </w:tcBorders>
            <w:vAlign w:val="center"/>
          </w:tcPr>
          <w:p w14:paraId="0DE10670">
            <w:pPr>
              <w:pageBreakBefore w:val="0"/>
              <w:shd w:val="clear"/>
              <w:kinsoku/>
              <w:overflowPunct/>
              <w:topLinePunct w:val="0"/>
              <w:bidi w:val="0"/>
              <w:spacing w:before="48" w:beforeLines="20" w:after="48" w:afterLines="20" w:line="360" w:lineRule="auto"/>
              <w:ind w:left="42" w:leftChars="20" w:right="42" w:rightChars="2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分包</w:t>
            </w:r>
          </w:p>
        </w:tc>
        <w:tc>
          <w:tcPr>
            <w:tcW w:w="6400" w:type="dxa"/>
            <w:tcBorders>
              <w:tl2br w:val="nil"/>
              <w:tr2bl w:val="nil"/>
            </w:tcBorders>
            <w:vAlign w:val="center"/>
          </w:tcPr>
          <w:p w14:paraId="0CC0A54C">
            <w:pPr>
              <w:pageBreakBefore w:val="0"/>
              <w:shd w:val="clear"/>
              <w:kinsoku/>
              <w:overflowPunct/>
              <w:topLinePunct w:val="0"/>
              <w:bidi w:val="0"/>
              <w:spacing w:before="48" w:beforeLines="20" w:after="48" w:afterLines="20" w:line="360" w:lineRule="auto"/>
              <w:ind w:left="42" w:leftChars="20" w:right="42" w:rightChars="20"/>
              <w:rPr>
                <w:rFonts w:hint="eastAsia" w:ascii="宋体" w:hAnsi="宋体" w:eastAsia="宋体" w:cs="宋体"/>
                <w:color w:val="auto"/>
                <w:sz w:val="21"/>
                <w:szCs w:val="21"/>
                <w:highlight w:val="none"/>
              </w:rPr>
            </w:pPr>
            <w:sdt>
              <w:sdtPr>
                <w:rPr>
                  <w:rFonts w:hint="eastAsia" w:ascii="宋体" w:hAnsi="宋体" w:eastAsia="宋体" w:cs="宋体"/>
                  <w:snapToGrid w:val="0"/>
                  <w:color w:val="auto"/>
                  <w:kern w:val="28"/>
                  <w:sz w:val="21"/>
                  <w:szCs w:val="21"/>
                  <w:highlight w:val="none"/>
                </w:rPr>
                <w:id w:val="147473368"/>
              </w:sdtPr>
              <w:sdtEndPr>
                <w:rPr>
                  <w:rFonts w:hint="eastAsia" w:ascii="宋体" w:hAnsi="宋体" w:eastAsia="宋体" w:cs="宋体"/>
                  <w:snapToGrid w:val="0"/>
                  <w:color w:val="auto"/>
                  <w:kern w:val="28"/>
                  <w:sz w:val="21"/>
                  <w:szCs w:val="21"/>
                  <w:highlight w:val="none"/>
                </w:rPr>
              </w:sdtEndPr>
              <w:sdtContent>
                <w:r>
                  <w:rPr>
                    <w:rFonts w:hint="eastAsia" w:ascii="宋体" w:hAnsi="宋体" w:eastAsia="宋体" w:cs="宋体"/>
                    <w:snapToGrid w:val="0"/>
                    <w:color w:val="auto"/>
                    <w:kern w:val="28"/>
                    <w:sz w:val="21"/>
                    <w:szCs w:val="21"/>
                    <w:highlight w:val="none"/>
                  </w:rPr>
                  <w:t>☐</w:t>
                </w:r>
              </w:sdtContent>
            </w:sdt>
            <w:r>
              <w:rPr>
                <w:rFonts w:hint="eastAsia" w:ascii="宋体" w:hAnsi="宋体" w:eastAsia="宋体" w:cs="宋体"/>
                <w:color w:val="auto"/>
                <w:kern w:val="0"/>
                <w:sz w:val="21"/>
                <w:szCs w:val="21"/>
                <w:highlight w:val="none"/>
              </w:rPr>
              <w:t>A</w:t>
            </w:r>
            <w:r>
              <w:rPr>
                <w:rFonts w:hint="eastAsia" w:ascii="宋体" w:hAnsi="宋体" w:eastAsia="宋体" w:cs="宋体"/>
                <w:color w:val="auto"/>
                <w:sz w:val="21"/>
                <w:szCs w:val="21"/>
                <w:highlight w:val="none"/>
              </w:rPr>
              <w:t>同意将非主体、非关键性的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工作分包。</w:t>
            </w:r>
          </w:p>
          <w:p w14:paraId="55920756">
            <w:pPr>
              <w:pageBreakBefore w:val="0"/>
              <w:shd w:val="clear"/>
              <w:kinsoku/>
              <w:overflowPunct/>
              <w:topLinePunct w:val="0"/>
              <w:bidi w:val="0"/>
              <w:spacing w:before="48" w:beforeLines="20" w:after="48" w:afterLines="20" w:line="360" w:lineRule="auto"/>
              <w:ind w:left="42" w:leftChars="20" w:right="42" w:rightChars="20"/>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561459218"/>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B</w:t>
            </w:r>
            <w:r>
              <w:rPr>
                <w:rFonts w:hint="eastAsia" w:ascii="宋体" w:hAnsi="宋体" w:eastAsia="宋体" w:cs="宋体"/>
                <w:color w:val="auto"/>
                <w:sz w:val="21"/>
                <w:szCs w:val="21"/>
                <w:highlight w:val="none"/>
              </w:rPr>
              <w:t>不同意分包。</w:t>
            </w:r>
          </w:p>
          <w:p w14:paraId="5E3046F5">
            <w:pPr>
              <w:pageBreakBefore w:val="0"/>
              <w:shd w:val="clear"/>
              <w:kinsoku/>
              <w:overflowPunct/>
              <w:topLinePunct w:val="0"/>
              <w:bidi w:val="0"/>
              <w:spacing w:before="48" w:beforeLines="20" w:after="48" w:afterLines="20" w:line="360" w:lineRule="auto"/>
              <w:ind w:left="42" w:leftChars="20" w:right="42" w:rightChars="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注：不得限制大中型企业向小微企业合理分包。</w:t>
            </w:r>
          </w:p>
        </w:tc>
      </w:tr>
      <w:tr w14:paraId="1865806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936" w:hRule="atLeast"/>
        </w:trPr>
        <w:tc>
          <w:tcPr>
            <w:tcW w:w="753" w:type="dxa"/>
            <w:tcBorders>
              <w:tl2br w:val="nil"/>
              <w:tr2bl w:val="nil"/>
            </w:tcBorders>
            <w:vAlign w:val="center"/>
          </w:tcPr>
          <w:p w14:paraId="297F7201">
            <w:pPr>
              <w:pageBreakBefore w:val="0"/>
              <w:shd w:val="clear"/>
              <w:kinsoku/>
              <w:overflowPunct/>
              <w:topLinePunct w:val="0"/>
              <w:bidi w:val="0"/>
              <w:spacing w:before="48" w:beforeLines="20" w:after="48" w:afterLines="20" w:line="360" w:lineRule="auto"/>
              <w:ind w:left="42" w:leftChars="20" w:right="42" w:righ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187" w:type="dxa"/>
            <w:tcBorders>
              <w:tl2br w:val="nil"/>
              <w:tr2bl w:val="nil"/>
            </w:tcBorders>
            <w:vAlign w:val="center"/>
          </w:tcPr>
          <w:p w14:paraId="1945591F">
            <w:pPr>
              <w:pageBreakBefore w:val="0"/>
              <w:shd w:val="clear"/>
              <w:kinsoku/>
              <w:overflowPunct/>
              <w:topLinePunct w:val="0"/>
              <w:bidi w:val="0"/>
              <w:spacing w:before="48" w:beforeLines="20" w:after="48" w:afterLines="20" w:line="360" w:lineRule="auto"/>
              <w:ind w:left="42" w:leftChars="20" w:right="42" w:rightChars="2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开标前答疑会或现场考察</w:t>
            </w:r>
          </w:p>
        </w:tc>
        <w:tc>
          <w:tcPr>
            <w:tcW w:w="6400" w:type="dxa"/>
            <w:tcBorders>
              <w:tl2br w:val="nil"/>
              <w:tr2bl w:val="nil"/>
            </w:tcBorders>
            <w:vAlign w:val="center"/>
          </w:tcPr>
          <w:p w14:paraId="1478BC0D">
            <w:pPr>
              <w:pageBreakBefore w:val="0"/>
              <w:numPr>
                <w:ilvl w:val="0"/>
                <w:numId w:val="0"/>
              </w:numPr>
              <w:shd w:val="clear"/>
              <w:kinsoku/>
              <w:overflowPunct/>
              <w:topLinePunct w:val="0"/>
              <w:bidi w:val="0"/>
              <w:spacing w:before="48" w:beforeLines="20" w:after="48" w:afterLines="20" w:line="360" w:lineRule="auto"/>
              <w:ind w:leftChars="20" w:right="42" w:rightChars="20"/>
              <w:rPr>
                <w:rFonts w:hint="eastAsia" w:ascii="宋体" w:hAnsi="宋体" w:eastAsia="宋体" w:cs="宋体"/>
                <w:snapToGrid w:val="0"/>
                <w:color w:val="auto"/>
                <w:kern w:val="28"/>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snapToGrid w:val="0"/>
                <w:color w:val="auto"/>
                <w:kern w:val="28"/>
                <w:sz w:val="21"/>
                <w:szCs w:val="21"/>
                <w:highlight w:val="none"/>
              </w:rPr>
              <w:t>A不组织。</w:t>
            </w:r>
          </w:p>
          <w:p w14:paraId="76D304A1">
            <w:pPr>
              <w:pageBreakBefore w:val="0"/>
              <w:numPr>
                <w:ilvl w:val="0"/>
                <w:numId w:val="0"/>
              </w:numPr>
              <w:shd w:val="clear"/>
              <w:kinsoku/>
              <w:overflowPunct/>
              <w:topLinePunct w:val="0"/>
              <w:bidi w:val="0"/>
              <w:spacing w:before="48" w:beforeLines="20" w:after="48" w:afterLines="20" w:line="360" w:lineRule="auto"/>
              <w:ind w:leftChars="20" w:right="42" w:rightChars="20"/>
              <w:rPr>
                <w:rFonts w:hint="eastAsia" w:ascii="宋体" w:hAnsi="宋体" w:eastAsia="宋体" w:cs="宋体"/>
                <w:snapToGrid w:val="0"/>
                <w:color w:val="auto"/>
                <w:kern w:val="28"/>
                <w:sz w:val="21"/>
                <w:szCs w:val="21"/>
                <w:highlight w:val="none"/>
              </w:rPr>
            </w:pPr>
            <w:sdt>
              <w:sdtPr>
                <w:rPr>
                  <w:rFonts w:hint="eastAsia" w:ascii="宋体" w:hAnsi="宋体" w:eastAsia="宋体" w:cs="宋体"/>
                  <w:snapToGrid w:val="0"/>
                  <w:color w:val="auto"/>
                  <w:kern w:val="28"/>
                  <w:sz w:val="21"/>
                  <w:szCs w:val="21"/>
                  <w:highlight w:val="none"/>
                </w:rPr>
                <w:id w:val="-999802974"/>
              </w:sdtPr>
              <w:sdtEndPr>
                <w:rPr>
                  <w:rFonts w:hint="eastAsia" w:ascii="宋体" w:hAnsi="宋体" w:eastAsia="宋体" w:cs="宋体"/>
                  <w:snapToGrid w:val="0"/>
                  <w:color w:val="auto"/>
                  <w:kern w:val="28"/>
                  <w:sz w:val="21"/>
                  <w:szCs w:val="21"/>
                  <w:highlight w:val="none"/>
                </w:rPr>
              </w:sdtEndPr>
              <w:sdtContent>
                <w:r>
                  <w:rPr>
                    <w:rFonts w:hint="eastAsia" w:ascii="宋体" w:hAnsi="宋体" w:eastAsia="宋体" w:cs="宋体"/>
                    <w:snapToGrid w:val="0"/>
                    <w:color w:val="auto"/>
                    <w:kern w:val="28"/>
                    <w:sz w:val="21"/>
                    <w:szCs w:val="21"/>
                    <w:highlight w:val="none"/>
                  </w:rPr>
                  <w:t>☐</w:t>
                </w:r>
              </w:sdtContent>
            </w:sdt>
            <w:r>
              <w:rPr>
                <w:rFonts w:hint="eastAsia" w:ascii="宋体" w:hAnsi="宋体" w:eastAsia="宋体" w:cs="宋体"/>
                <w:snapToGrid w:val="0"/>
                <w:color w:val="auto"/>
                <w:kern w:val="28"/>
                <w:sz w:val="21"/>
                <w:szCs w:val="21"/>
                <w:highlight w:val="none"/>
              </w:rPr>
              <w:t>B组织，时间：,地点：，联系人：，联系方式：。</w:t>
            </w:r>
          </w:p>
          <w:p w14:paraId="53752944">
            <w:pPr>
              <w:pageBreakBefore w:val="0"/>
              <w:numPr>
                <w:ilvl w:val="0"/>
                <w:numId w:val="0"/>
              </w:numPr>
              <w:shd w:val="clear"/>
              <w:kinsoku/>
              <w:overflowPunct/>
              <w:topLinePunct w:val="0"/>
              <w:bidi w:val="0"/>
              <w:spacing w:before="48" w:beforeLines="20" w:after="48" w:afterLines="20" w:line="360" w:lineRule="auto"/>
              <w:ind w:leftChars="20" w:right="42" w:rightChars="20"/>
              <w:rPr>
                <w:rFonts w:hint="eastAsia" w:ascii="宋体" w:hAnsi="宋体" w:eastAsia="宋体" w:cs="宋体"/>
                <w:color w:val="auto"/>
                <w:sz w:val="21"/>
                <w:szCs w:val="21"/>
                <w:highlight w:val="none"/>
              </w:rPr>
            </w:pPr>
            <w:r>
              <w:rPr>
                <w:rFonts w:hint="eastAsia" w:ascii="宋体" w:hAnsi="宋体" w:eastAsia="宋体" w:cs="宋体"/>
                <w:snapToGrid w:val="0"/>
                <w:color w:val="auto"/>
                <w:kern w:val="28"/>
                <w:sz w:val="21"/>
                <w:szCs w:val="21"/>
                <w:highlight w:val="none"/>
                <w:lang w:eastAsia="zh-CN"/>
              </w:rPr>
              <w:t>☐C不统一组织，投标人在获取采购文件后，自行至项目现场考察。地点： ，联系人： ，联系方式： 。</w:t>
            </w:r>
          </w:p>
        </w:tc>
      </w:tr>
      <w:tr w14:paraId="4B160F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798" w:hRule="atLeast"/>
        </w:trPr>
        <w:tc>
          <w:tcPr>
            <w:tcW w:w="753" w:type="dxa"/>
            <w:tcBorders>
              <w:tl2br w:val="nil"/>
              <w:tr2bl w:val="nil"/>
            </w:tcBorders>
            <w:vAlign w:val="center"/>
          </w:tcPr>
          <w:p w14:paraId="08FB1F06">
            <w:pPr>
              <w:pageBreakBefore w:val="0"/>
              <w:shd w:val="clear"/>
              <w:kinsoku/>
              <w:overflowPunct/>
              <w:topLinePunct w:val="0"/>
              <w:bidi w:val="0"/>
              <w:spacing w:before="48" w:beforeLines="20" w:after="48" w:afterLines="20" w:line="360" w:lineRule="auto"/>
              <w:ind w:left="42" w:leftChars="20" w:right="42" w:righ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2187" w:type="dxa"/>
            <w:tcBorders>
              <w:tl2br w:val="nil"/>
              <w:tr2bl w:val="nil"/>
            </w:tcBorders>
            <w:vAlign w:val="center"/>
          </w:tcPr>
          <w:p w14:paraId="24E1E07B">
            <w:pPr>
              <w:pageBreakBefore w:val="0"/>
              <w:shd w:val="clear"/>
              <w:kinsoku/>
              <w:overflowPunct/>
              <w:topLinePunct w:val="0"/>
              <w:bidi w:val="0"/>
              <w:spacing w:before="48" w:beforeLines="20" w:after="48" w:afterLines="20" w:line="360" w:lineRule="auto"/>
              <w:ind w:left="42" w:leftChars="20" w:right="42" w:rightChars="2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样品提供</w:t>
            </w:r>
          </w:p>
        </w:tc>
        <w:tc>
          <w:tcPr>
            <w:tcW w:w="6400" w:type="dxa"/>
            <w:tcBorders>
              <w:tl2br w:val="nil"/>
              <w:tr2bl w:val="nil"/>
            </w:tcBorders>
            <w:vAlign w:val="center"/>
          </w:tcPr>
          <w:p w14:paraId="086D841C">
            <w:pPr>
              <w:pageBreakBefore w:val="0"/>
              <w:shd w:val="clear"/>
              <w:kinsoku/>
              <w:overflowPunct/>
              <w:topLinePunct w:val="0"/>
              <w:bidi w:val="0"/>
              <w:spacing w:before="48" w:beforeLines="20" w:after="48" w:afterLines="20" w:line="360" w:lineRule="auto"/>
              <w:ind w:left="42" w:leftChars="20" w:right="42" w:rightChars="20"/>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1639946486"/>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A</w:t>
            </w:r>
            <w:r>
              <w:rPr>
                <w:rFonts w:hint="eastAsia" w:ascii="宋体" w:hAnsi="宋体" w:eastAsia="宋体" w:cs="宋体"/>
                <w:color w:val="auto"/>
                <w:sz w:val="21"/>
                <w:szCs w:val="21"/>
                <w:highlight w:val="none"/>
              </w:rPr>
              <w:t>不要求提供。</w:t>
            </w:r>
          </w:p>
          <w:p w14:paraId="6C71ED34">
            <w:pPr>
              <w:pageBreakBefore w:val="0"/>
              <w:shd w:val="clear"/>
              <w:kinsoku/>
              <w:overflowPunct/>
              <w:topLinePunct w:val="0"/>
              <w:bidi w:val="0"/>
              <w:spacing w:before="48" w:beforeLines="20" w:after="48" w:afterLines="20" w:line="360" w:lineRule="auto"/>
              <w:ind w:left="42" w:leftChars="20" w:right="42" w:rightChars="20"/>
              <w:rPr>
                <w:rFonts w:hint="eastAsia" w:ascii="宋体" w:hAnsi="宋体" w:eastAsia="宋体" w:cs="宋体"/>
                <w:color w:val="auto"/>
                <w:kern w:val="0"/>
                <w:sz w:val="21"/>
                <w:szCs w:val="21"/>
                <w:highlight w:val="none"/>
              </w:rPr>
            </w:pPr>
            <w:sdt>
              <w:sdtPr>
                <w:rPr>
                  <w:rFonts w:hint="eastAsia" w:ascii="宋体" w:hAnsi="宋体" w:eastAsia="宋体" w:cs="宋体"/>
                  <w:color w:val="auto"/>
                  <w:kern w:val="0"/>
                  <w:sz w:val="21"/>
                  <w:szCs w:val="21"/>
                  <w:highlight w:val="none"/>
                </w:rPr>
                <w:id w:val="1026831988"/>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B要求提供，</w:t>
            </w:r>
          </w:p>
          <w:p w14:paraId="69A5C538">
            <w:pPr>
              <w:pageBreakBefore w:val="0"/>
              <w:numPr>
                <w:ilvl w:val="0"/>
                <w:numId w:val="1"/>
              </w:numPr>
              <w:shd w:val="clear"/>
              <w:kinsoku/>
              <w:overflowPunct/>
              <w:topLinePunct w:val="0"/>
              <w:bidi w:val="0"/>
              <w:spacing w:before="48" w:beforeLines="20" w:after="48" w:afterLines="20" w:line="360" w:lineRule="auto"/>
              <w:ind w:left="42" w:leftChars="20" w:right="42" w:rightChars="20" w:firstLine="0"/>
              <w:rPr>
                <w:rFonts w:hint="eastAsia" w:ascii="宋体" w:hAnsi="宋体" w:eastAsia="宋体" w:cs="宋体"/>
                <w:color w:val="auto"/>
                <w:kern w:val="0"/>
                <w:sz w:val="21"/>
                <w:szCs w:val="21"/>
                <w:highlight w:val="none"/>
              </w:rPr>
            </w:pPr>
            <w:r>
              <w:rPr>
                <w:rFonts w:hint="eastAsia" w:ascii="宋体" w:hAnsi="宋体" w:eastAsia="宋体" w:cs="宋体"/>
                <w:snapToGrid w:val="0"/>
                <w:color w:val="auto"/>
                <w:kern w:val="28"/>
                <w:sz w:val="21"/>
                <w:szCs w:val="21"/>
                <w:highlight w:val="none"/>
              </w:rPr>
              <w:t>样品：/</w:t>
            </w:r>
            <w:r>
              <w:rPr>
                <w:rFonts w:hint="eastAsia" w:ascii="宋体" w:hAnsi="宋体" w:eastAsia="宋体" w:cs="宋体"/>
                <w:color w:val="auto"/>
                <w:kern w:val="0"/>
                <w:sz w:val="21"/>
                <w:szCs w:val="21"/>
                <w:highlight w:val="none"/>
                <w:lang w:eastAsia="zh-CN"/>
              </w:rPr>
              <w:t>；</w:t>
            </w:r>
          </w:p>
          <w:p w14:paraId="178BF3C0">
            <w:pPr>
              <w:pageBreakBefore w:val="0"/>
              <w:numPr>
                <w:ilvl w:val="0"/>
                <w:numId w:val="1"/>
              </w:numPr>
              <w:shd w:val="clear"/>
              <w:kinsoku/>
              <w:overflowPunct/>
              <w:topLinePunct w:val="0"/>
              <w:bidi w:val="0"/>
              <w:spacing w:before="48" w:beforeLines="20" w:after="48" w:afterLines="20" w:line="360" w:lineRule="auto"/>
              <w:ind w:left="42" w:leftChars="20" w:right="42" w:rightChars="20" w:firstLine="0"/>
              <w:rPr>
                <w:rFonts w:hint="eastAsia" w:ascii="宋体" w:hAnsi="宋体" w:eastAsia="宋体" w:cs="宋体"/>
                <w:color w:val="auto"/>
                <w:kern w:val="0"/>
                <w:sz w:val="21"/>
                <w:szCs w:val="21"/>
                <w:highlight w:val="none"/>
              </w:rPr>
            </w:pPr>
            <w:r>
              <w:rPr>
                <w:rFonts w:hint="eastAsia" w:ascii="宋体" w:hAnsi="宋体" w:eastAsia="宋体" w:cs="宋体"/>
                <w:snapToGrid w:val="0"/>
                <w:color w:val="auto"/>
                <w:kern w:val="28"/>
                <w:sz w:val="21"/>
                <w:szCs w:val="21"/>
                <w:highlight w:val="none"/>
              </w:rPr>
              <w:t>样品制作的标准和要求：</w:t>
            </w:r>
            <w:r>
              <w:rPr>
                <w:rFonts w:hint="eastAsia" w:ascii="宋体" w:hAnsi="宋体" w:eastAsia="宋体" w:cs="宋体"/>
                <w:color w:val="auto"/>
                <w:kern w:val="0"/>
                <w:sz w:val="21"/>
                <w:szCs w:val="21"/>
                <w:highlight w:val="none"/>
                <w:lang w:eastAsia="zh-CN"/>
              </w:rPr>
              <w:t>；</w:t>
            </w:r>
          </w:p>
          <w:p w14:paraId="6F12D0A2">
            <w:pPr>
              <w:pageBreakBefore w:val="0"/>
              <w:numPr>
                <w:ilvl w:val="0"/>
                <w:numId w:val="1"/>
              </w:numPr>
              <w:shd w:val="clear"/>
              <w:kinsoku/>
              <w:overflowPunct/>
              <w:topLinePunct w:val="0"/>
              <w:bidi w:val="0"/>
              <w:spacing w:before="48" w:beforeLines="20" w:after="48" w:afterLines="20" w:line="360" w:lineRule="auto"/>
              <w:ind w:left="42" w:leftChars="20" w:right="42" w:rightChars="20" w:firstLine="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样品的评审方法以及评审标准</w:t>
            </w:r>
            <w:r>
              <w:rPr>
                <w:rFonts w:hint="eastAsia" w:ascii="宋体" w:hAnsi="宋体" w:eastAsia="宋体" w:cs="宋体"/>
                <w:snapToGrid w:val="0"/>
                <w:color w:val="auto"/>
                <w:kern w:val="28"/>
                <w:sz w:val="21"/>
                <w:szCs w:val="21"/>
                <w:highlight w:val="none"/>
              </w:rPr>
              <w:t>：详见</w:t>
            </w:r>
            <w:r>
              <w:rPr>
                <w:rFonts w:hint="eastAsia" w:ascii="宋体" w:hAnsi="宋体" w:eastAsia="宋体" w:cs="宋体"/>
                <w:snapToGrid w:val="0"/>
                <w:color w:val="auto"/>
                <w:kern w:val="28"/>
                <w:sz w:val="21"/>
                <w:szCs w:val="21"/>
                <w:highlight w:val="none"/>
                <w:u w:val="single"/>
                <w:lang w:eastAsia="zh-CN"/>
              </w:rPr>
              <w:t>第五部分</w:t>
            </w:r>
            <w:r>
              <w:rPr>
                <w:rFonts w:hint="eastAsia" w:ascii="宋体" w:hAnsi="宋体" w:eastAsia="宋体" w:cs="宋体"/>
                <w:color w:val="auto"/>
                <w:sz w:val="21"/>
                <w:szCs w:val="21"/>
                <w:highlight w:val="none"/>
                <w:u w:val="single"/>
                <w:lang w:eastAsia="zh-CN"/>
              </w:rPr>
              <w:t>评标标准</w:t>
            </w:r>
            <w:r>
              <w:rPr>
                <w:rFonts w:hint="eastAsia" w:ascii="宋体" w:hAnsi="宋体" w:eastAsia="宋体" w:cs="宋体"/>
                <w:color w:val="auto"/>
                <w:kern w:val="0"/>
                <w:sz w:val="21"/>
                <w:szCs w:val="21"/>
                <w:highlight w:val="none"/>
                <w:lang w:eastAsia="zh-CN"/>
              </w:rPr>
              <w:t>；</w:t>
            </w:r>
          </w:p>
          <w:p w14:paraId="3FDAC66C">
            <w:pPr>
              <w:pageBreakBefore w:val="0"/>
              <w:numPr>
                <w:ilvl w:val="0"/>
                <w:numId w:val="1"/>
              </w:numPr>
              <w:shd w:val="clear"/>
              <w:kinsoku/>
              <w:overflowPunct/>
              <w:topLinePunct w:val="0"/>
              <w:bidi w:val="0"/>
              <w:spacing w:before="48" w:beforeLines="20" w:after="48" w:afterLines="20" w:line="360" w:lineRule="auto"/>
              <w:ind w:left="42" w:leftChars="20" w:right="42" w:rightChars="20" w:firstLine="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是否需要随样品提交检测报告：</w:t>
            </w:r>
            <w:sdt>
              <w:sdtPr>
                <w:rPr>
                  <w:rFonts w:hint="eastAsia" w:ascii="宋体" w:hAnsi="宋体" w:eastAsia="宋体" w:cs="宋体"/>
                  <w:color w:val="auto"/>
                  <w:kern w:val="0"/>
                  <w:sz w:val="21"/>
                  <w:szCs w:val="21"/>
                  <w:highlight w:val="none"/>
                </w:rPr>
                <w:id w:val="1303421454"/>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否</w:t>
            </w:r>
            <w:r>
              <w:rPr>
                <w:rFonts w:hint="eastAsia" w:ascii="宋体" w:hAnsi="宋体" w:eastAsia="宋体" w:cs="宋体"/>
                <w:color w:val="auto"/>
                <w:kern w:val="0"/>
                <w:sz w:val="21"/>
                <w:szCs w:val="21"/>
                <w:highlight w:val="none"/>
                <w:lang w:eastAsia="zh-CN"/>
              </w:rPr>
              <w:t>；</w:t>
            </w:r>
            <w:sdt>
              <w:sdtPr>
                <w:rPr>
                  <w:rFonts w:hint="eastAsia" w:ascii="宋体" w:hAnsi="宋体" w:eastAsia="宋体" w:cs="宋体"/>
                  <w:color w:val="auto"/>
                  <w:kern w:val="0"/>
                  <w:sz w:val="21"/>
                  <w:szCs w:val="21"/>
                  <w:highlight w:val="none"/>
                </w:rPr>
                <w:id w:val="1621728433"/>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是，检测机构的要求</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检测内容</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w:t>
            </w:r>
          </w:p>
          <w:p w14:paraId="46FAE28B">
            <w:pPr>
              <w:pageBreakBefore w:val="0"/>
              <w:numPr>
                <w:ilvl w:val="0"/>
                <w:numId w:val="1"/>
              </w:numPr>
              <w:shd w:val="clear"/>
              <w:kinsoku/>
              <w:overflowPunct/>
              <w:topLinePunct w:val="0"/>
              <w:bidi w:val="0"/>
              <w:spacing w:before="48" w:beforeLines="20" w:after="48" w:afterLines="20" w:line="360" w:lineRule="auto"/>
              <w:ind w:left="42" w:leftChars="20" w:right="42" w:rightChars="2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提供样品的时间：</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地点：</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联系人</w:t>
            </w:r>
            <w:r>
              <w:rPr>
                <w:rFonts w:hint="eastAsia" w:ascii="宋体" w:hAnsi="宋体" w:eastAsia="宋体" w:cs="宋体"/>
                <w:color w:val="auto"/>
                <w:sz w:val="21"/>
                <w:szCs w:val="21"/>
                <w:highlight w:val="none"/>
              </w:rPr>
              <w:t>：，</w:t>
            </w:r>
            <w:r>
              <w:rPr>
                <w:rFonts w:hint="eastAsia" w:ascii="宋体" w:hAnsi="宋体" w:eastAsia="宋体" w:cs="宋体"/>
                <w:color w:val="auto"/>
                <w:kern w:val="28"/>
                <w:sz w:val="21"/>
                <w:szCs w:val="21"/>
                <w:highlight w:val="none"/>
              </w:rPr>
              <w:t>联系电话：</w:t>
            </w:r>
            <w:r>
              <w:rPr>
                <w:rFonts w:hint="eastAsia" w:ascii="宋体" w:hAnsi="宋体" w:eastAsia="宋体" w:cs="宋体"/>
                <w:color w:val="auto"/>
                <w:sz w:val="21"/>
                <w:szCs w:val="21"/>
                <w:highlight w:val="none"/>
              </w:rPr>
              <w:t>。请投标人在上述时间内提供样品并按规定位置安装完毕。超过截止时间的，采购人或采购代理机构将不予接收，并将清场并封闭样品现场。</w:t>
            </w:r>
          </w:p>
          <w:p w14:paraId="21D1C903">
            <w:pPr>
              <w:pageBreakBefore w:val="0"/>
              <w:numPr>
                <w:ilvl w:val="0"/>
                <w:numId w:val="1"/>
              </w:numPr>
              <w:shd w:val="clear"/>
              <w:kinsoku/>
              <w:overflowPunct/>
              <w:topLinePunct w:val="0"/>
              <w:bidi w:val="0"/>
              <w:spacing w:before="48" w:beforeLines="20" w:after="48" w:afterLines="20" w:line="360" w:lineRule="auto"/>
              <w:ind w:left="42" w:leftChars="20" w:right="42" w:rightChars="20" w:firstLine="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采购活动结束后，对于未中标人提供的样品，采购人、采购代理机构将通知未中标人在规定的时间内取回，逾期未取回的，采购人、采购代理机构不负保管义务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对于中标人提供的样品，采购人将进行保管、封存，并作为履约验收的参考。</w:t>
            </w:r>
          </w:p>
          <w:p w14:paraId="08193BC1">
            <w:pPr>
              <w:pageBreakBefore w:val="0"/>
              <w:numPr>
                <w:ilvl w:val="0"/>
                <w:numId w:val="1"/>
              </w:numPr>
              <w:shd w:val="clear"/>
              <w:kinsoku/>
              <w:overflowPunct/>
              <w:topLinePunct w:val="0"/>
              <w:bidi w:val="0"/>
              <w:spacing w:before="48" w:beforeLines="20" w:after="48" w:afterLines="20" w:line="360" w:lineRule="auto"/>
              <w:ind w:left="42" w:leftChars="20" w:right="42" w:rightChars="20" w:firstLine="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制作、运输、安装和保管样品所发生的一切费用由投标人自理。</w:t>
            </w:r>
          </w:p>
        </w:tc>
      </w:tr>
      <w:tr w14:paraId="6859F2A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5219" w:hRule="atLeast"/>
        </w:trPr>
        <w:tc>
          <w:tcPr>
            <w:tcW w:w="753" w:type="dxa"/>
            <w:tcBorders>
              <w:tl2br w:val="nil"/>
              <w:tr2bl w:val="nil"/>
            </w:tcBorders>
            <w:vAlign w:val="center"/>
          </w:tcPr>
          <w:p w14:paraId="285A271B">
            <w:pPr>
              <w:pageBreakBefore w:val="0"/>
              <w:shd w:val="clear"/>
              <w:kinsoku/>
              <w:overflowPunct/>
              <w:topLinePunct w:val="0"/>
              <w:bidi w:val="0"/>
              <w:spacing w:before="48" w:beforeLines="20" w:after="48" w:afterLines="20" w:line="360" w:lineRule="auto"/>
              <w:ind w:left="42" w:leftChars="20" w:right="42" w:righ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2187" w:type="dxa"/>
            <w:tcBorders>
              <w:tl2br w:val="nil"/>
              <w:tr2bl w:val="nil"/>
            </w:tcBorders>
            <w:vAlign w:val="center"/>
          </w:tcPr>
          <w:p w14:paraId="259B093B">
            <w:pPr>
              <w:pageBreakBefore w:val="0"/>
              <w:shd w:val="clear"/>
              <w:kinsoku/>
              <w:overflowPunct/>
              <w:topLinePunct w:val="0"/>
              <w:bidi w:val="0"/>
              <w:spacing w:before="48" w:beforeLines="20" w:after="48" w:afterLines="20" w:line="360" w:lineRule="auto"/>
              <w:ind w:left="42" w:leftChars="20" w:right="42" w:rightChars="20"/>
              <w:jc w:val="center"/>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方案讲解演示</w:t>
            </w:r>
          </w:p>
        </w:tc>
        <w:tc>
          <w:tcPr>
            <w:tcW w:w="6400" w:type="dxa"/>
            <w:tcBorders>
              <w:tl2br w:val="nil"/>
              <w:tr2bl w:val="nil"/>
            </w:tcBorders>
            <w:vAlign w:val="center"/>
          </w:tcPr>
          <w:p w14:paraId="47BDEEC8">
            <w:pPr>
              <w:pageBreakBefore w:val="0"/>
              <w:shd w:val="clear"/>
              <w:kinsoku/>
              <w:overflowPunct/>
              <w:topLinePunct w:val="0"/>
              <w:bidi w:val="0"/>
              <w:spacing w:before="48" w:beforeLines="20" w:after="48" w:afterLines="20" w:line="360" w:lineRule="auto"/>
              <w:ind w:left="42" w:leftChars="20" w:right="42" w:rightChars="20"/>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147473571"/>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A</w:t>
            </w:r>
            <w:r>
              <w:rPr>
                <w:rFonts w:hint="eastAsia" w:ascii="宋体" w:hAnsi="宋体" w:eastAsia="宋体" w:cs="宋体"/>
                <w:color w:val="auto"/>
                <w:sz w:val="21"/>
                <w:szCs w:val="21"/>
                <w:highlight w:val="none"/>
              </w:rPr>
              <w:t>不组织。</w:t>
            </w:r>
          </w:p>
          <w:p w14:paraId="5C7E3A08">
            <w:pPr>
              <w:pageBreakBefore w:val="0"/>
              <w:shd w:val="clear"/>
              <w:kinsoku/>
              <w:overflowPunct/>
              <w:topLinePunct w:val="0"/>
              <w:bidi w:val="0"/>
              <w:spacing w:before="48" w:beforeLines="20" w:after="48" w:afterLines="20" w:line="360" w:lineRule="auto"/>
              <w:ind w:left="42" w:leftChars="20" w:right="42" w:rightChars="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☐B组织。</w:t>
            </w:r>
          </w:p>
          <w:p w14:paraId="71853AC4">
            <w:pPr>
              <w:pageBreakBefore w:val="0"/>
              <w:shd w:val="clear"/>
              <w:kinsoku/>
              <w:overflowPunct/>
              <w:topLinePunct w:val="0"/>
              <w:bidi w:val="0"/>
              <w:spacing w:before="48" w:beforeLines="20" w:after="48" w:afterLines="20" w:line="360" w:lineRule="auto"/>
              <w:ind w:left="42" w:leftChars="20" w:right="42" w:rightChars="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（1）在评标时安排每个投标人进行方案讲解演示。每个投标人时间</w:t>
            </w:r>
            <w:r>
              <w:rPr>
                <w:rFonts w:hint="eastAsia" w:ascii="宋体" w:hAnsi="宋体" w:eastAsia="宋体" w:cs="宋体"/>
                <w:color w:val="auto"/>
                <w:kern w:val="0"/>
                <w:sz w:val="21"/>
                <w:szCs w:val="21"/>
                <w:highlight w:val="none"/>
                <w:lang w:eastAsia="zh-CN"/>
              </w:rPr>
              <w:t>详见《第五部分评标标准》</w:t>
            </w:r>
            <w:r>
              <w:rPr>
                <w:rFonts w:hint="eastAsia" w:ascii="宋体" w:hAnsi="宋体" w:eastAsia="宋体" w:cs="宋体"/>
                <w:color w:val="auto"/>
                <w:kern w:val="0"/>
                <w:sz w:val="21"/>
                <w:szCs w:val="21"/>
                <w:highlight w:val="none"/>
              </w:rPr>
              <w:t>，讲解次序以投标文件解密时间先后次序为准，讲解演示人员不超过2人。讲解演示结束后按要求解答评标委员会提问。</w:t>
            </w:r>
          </w:p>
          <w:p w14:paraId="1F2C66B1">
            <w:pPr>
              <w:pageBreakBefore w:val="0"/>
              <w:shd w:val="clear"/>
              <w:kinsoku/>
              <w:overflowPunct/>
              <w:topLinePunct w:val="0"/>
              <w:bidi w:val="0"/>
              <w:spacing w:before="48" w:beforeLines="20" w:after="48" w:afterLines="20" w:line="360" w:lineRule="auto"/>
              <w:ind w:left="42" w:leftChars="20" w:right="42" w:rightChars="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（2）方案讲解演示可选择以下其中一种方式：</w:t>
            </w:r>
          </w:p>
          <w:p w14:paraId="056C66F3">
            <w:pPr>
              <w:pageBreakBefore w:val="0"/>
              <w:shd w:val="clear"/>
              <w:kinsoku/>
              <w:overflowPunct/>
              <w:topLinePunct w:val="0"/>
              <w:bidi w:val="0"/>
              <w:spacing w:before="48" w:beforeLines="20" w:after="48" w:afterLines="20" w:line="360" w:lineRule="auto"/>
              <w:ind w:left="42" w:leftChars="20" w:right="42" w:rightChars="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☐方式一：政采云平台在线讲解演示。政采云平台在线讲解需投标人根据政采云平台操作要求做好准备工作，提前完善软硬件配置环境。</w:t>
            </w:r>
          </w:p>
          <w:p w14:paraId="2AB6392B">
            <w:pPr>
              <w:pageBreakBefore w:val="0"/>
              <w:shd w:val="clear"/>
              <w:kinsoku/>
              <w:overflowPunct/>
              <w:topLinePunct w:val="0"/>
              <w:bidi w:val="0"/>
              <w:spacing w:before="48" w:beforeLines="20" w:after="48" w:afterLines="20" w:line="360" w:lineRule="auto"/>
              <w:ind w:left="42" w:leftChars="20" w:right="42" w:rightChars="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方式二：采购代理机构现场讲解演示。现场讲解地点为浙江国际招投标有限公司（杭州市西湖区文三路90号东部软件园1楼3楼），讲解演示所用电脑等设备由投标人自备。现场讲解演示人员进场时提供讲解人员名单（加盖公章或授权代表签名）及身份证明，否则不得讲解演示。</w:t>
            </w:r>
          </w:p>
          <w:p w14:paraId="2BBBE5A3">
            <w:pPr>
              <w:pageBreakBefore w:val="0"/>
              <w:shd w:val="clear"/>
              <w:kinsoku/>
              <w:overflowPunct/>
              <w:topLinePunct w:val="0"/>
              <w:bidi w:val="0"/>
              <w:spacing w:before="48" w:beforeLines="20" w:after="48" w:afterLines="20" w:line="360" w:lineRule="auto"/>
              <w:ind w:left="42" w:leftChars="20" w:right="42" w:rightChars="20"/>
              <w:rPr>
                <w:rFonts w:hint="eastAsia" w:ascii="宋体" w:hAnsi="宋体" w:eastAsia="宋体" w:cs="宋体"/>
                <w:b/>
                <w:bCs/>
                <w:color w:val="auto"/>
                <w:kern w:val="0"/>
                <w:sz w:val="21"/>
                <w:szCs w:val="21"/>
                <w:highlight w:val="none"/>
              </w:rPr>
            </w:pPr>
            <w:sdt>
              <w:sdtPr>
                <w:rPr>
                  <w:rFonts w:hint="eastAsia" w:ascii="宋体" w:hAnsi="宋体" w:eastAsia="宋体" w:cs="宋体"/>
                  <w:color w:val="auto"/>
                  <w:kern w:val="0"/>
                  <w:sz w:val="21"/>
                  <w:szCs w:val="21"/>
                  <w:highlight w:val="none"/>
                </w:rPr>
                <w:id w:val="147475533"/>
              </w:sdtPr>
              <w:sdtEndPr>
                <w:rPr>
                  <w:rFonts w:hint="eastAsia" w:ascii="宋体" w:hAnsi="宋体" w:eastAsia="宋体" w:cs="宋体"/>
                  <w:color w:val="auto"/>
                  <w:kern w:val="0"/>
                  <w:sz w:val="21"/>
                  <w:szCs w:val="21"/>
                  <w:highlight w:val="none"/>
                </w:rPr>
              </w:sdtEndPr>
              <w:sdtContent>
                <w:sdt>
                  <w:sdtPr>
                    <w:rPr>
                      <w:rFonts w:hint="eastAsia" w:ascii="宋体" w:hAnsi="宋体" w:eastAsia="宋体" w:cs="宋体"/>
                      <w:color w:val="auto"/>
                      <w:kern w:val="0"/>
                      <w:sz w:val="21"/>
                      <w:szCs w:val="21"/>
                      <w:highlight w:val="none"/>
                    </w:rPr>
                    <w:id w:val="147451453"/>
                  </w:sdtPr>
                  <w:sdtEndPr>
                    <w:rPr>
                      <w:rFonts w:hint="eastAsia" w:ascii="宋体" w:hAnsi="宋体" w:eastAsia="宋体" w:cs="宋体"/>
                      <w:color w:val="auto"/>
                      <w:kern w:val="0"/>
                      <w:sz w:val="21"/>
                      <w:szCs w:val="21"/>
                      <w:highlight w:val="none"/>
                    </w:rPr>
                  </w:sdtEndPr>
                  <w:sdtContent>
                    <w:sdt>
                      <w:sdtPr>
                        <w:rPr>
                          <w:rFonts w:hint="eastAsia" w:ascii="宋体" w:hAnsi="宋体" w:eastAsia="宋体" w:cs="宋体"/>
                          <w:color w:val="auto"/>
                          <w:kern w:val="0"/>
                          <w:sz w:val="21"/>
                          <w:szCs w:val="21"/>
                          <w:highlight w:val="none"/>
                        </w:rPr>
                        <w:id w:val="147455182"/>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sdtContent>
                </w:sdt>
              </w:sdtContent>
            </w:sdt>
            <w:r>
              <w:rPr>
                <w:rFonts w:hint="eastAsia" w:ascii="宋体" w:hAnsi="宋体" w:eastAsia="宋体" w:cs="宋体"/>
                <w:color w:val="auto"/>
                <w:kern w:val="0"/>
                <w:sz w:val="21"/>
                <w:szCs w:val="21"/>
                <w:highlight w:val="none"/>
              </w:rPr>
              <w:t>方式三：采用“不见面”形式演示。投标人在投标截止时间前，递交自行录制的“音视频文件”，评标委员会在评审现场对其进行播放并以此作为与方案演示有关评审内容的评分依据。各投标人递交的音视频文件光盘或U盘中应有确保文件正常打开的播放器。</w:t>
            </w:r>
            <w:r>
              <w:rPr>
                <w:rFonts w:hint="eastAsia" w:ascii="宋体" w:hAnsi="宋体" w:eastAsia="宋体" w:cs="宋体"/>
                <w:b/>
                <w:bCs/>
                <w:color w:val="auto"/>
                <w:kern w:val="0"/>
                <w:sz w:val="21"/>
                <w:szCs w:val="21"/>
                <w:highlight w:val="none"/>
              </w:rPr>
              <w:t>演示文件送达地点与备份投标文件送达地点和签收人员一致，送达截止时间与提交投标文件截止时间一致。</w:t>
            </w:r>
          </w:p>
          <w:p w14:paraId="62656ED6">
            <w:pPr>
              <w:pageBreakBefore w:val="0"/>
              <w:shd w:val="clear"/>
              <w:kinsoku/>
              <w:overflowPunct/>
              <w:topLinePunct w:val="0"/>
              <w:bidi w:val="0"/>
              <w:spacing w:before="48" w:beforeLines="20" w:after="48" w:afterLines="20" w:line="360" w:lineRule="auto"/>
              <w:ind w:left="42" w:leftChars="20" w:right="42" w:rightChars="20"/>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rPr>
              <w:t>注：因投标人自身原因导致无法演示或者演示效果不理想的，责任自负。因平台原因导致本项目方案讲解演示环节无法顺利开展，按照《浙江省政府采购项目电子交易管理暂行办法》相关规定执行</w:t>
            </w:r>
            <w:r>
              <w:rPr>
                <w:rFonts w:hint="eastAsia" w:ascii="宋体" w:hAnsi="宋体" w:eastAsia="宋体" w:cs="宋体"/>
                <w:color w:val="auto"/>
                <w:kern w:val="0"/>
                <w:sz w:val="21"/>
                <w:szCs w:val="21"/>
                <w:highlight w:val="none"/>
                <w:lang w:eastAsia="zh-CN"/>
              </w:rPr>
              <w:t>。</w:t>
            </w:r>
          </w:p>
        </w:tc>
      </w:tr>
      <w:tr w14:paraId="1D94CEB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703" w:hRule="atLeast"/>
        </w:trPr>
        <w:tc>
          <w:tcPr>
            <w:tcW w:w="753" w:type="dxa"/>
            <w:vMerge w:val="restart"/>
            <w:tcBorders>
              <w:tl2br w:val="nil"/>
              <w:tr2bl w:val="nil"/>
            </w:tcBorders>
            <w:vAlign w:val="center"/>
          </w:tcPr>
          <w:p w14:paraId="5DBF4550">
            <w:pPr>
              <w:pageBreakBefore w:val="0"/>
              <w:shd w:val="clear"/>
              <w:kinsoku/>
              <w:overflowPunct/>
              <w:topLinePunct w:val="0"/>
              <w:bidi w:val="0"/>
              <w:spacing w:before="48" w:beforeLines="20" w:after="48" w:afterLines="20" w:line="360" w:lineRule="auto"/>
              <w:ind w:left="42" w:leftChars="20" w:right="42" w:righ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2187" w:type="dxa"/>
            <w:vMerge w:val="restart"/>
            <w:tcBorders>
              <w:tl2br w:val="nil"/>
              <w:tr2bl w:val="nil"/>
            </w:tcBorders>
            <w:vAlign w:val="center"/>
          </w:tcPr>
          <w:p w14:paraId="0DD2FAF0">
            <w:pPr>
              <w:pageBreakBefore w:val="0"/>
              <w:shd w:val="clear"/>
              <w:kinsoku/>
              <w:overflowPunct/>
              <w:topLinePunct w:val="0"/>
              <w:bidi w:val="0"/>
              <w:spacing w:before="48" w:beforeLines="20" w:after="48" w:afterLines="20" w:line="360" w:lineRule="auto"/>
              <w:ind w:left="42" w:leftChars="20" w:right="42" w:rightChars="2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投标人应当提供的资格、资信证明文件</w:t>
            </w:r>
          </w:p>
        </w:tc>
        <w:tc>
          <w:tcPr>
            <w:tcW w:w="6400" w:type="dxa"/>
            <w:tcBorders>
              <w:tl2br w:val="nil"/>
              <w:tr2bl w:val="nil"/>
            </w:tcBorders>
            <w:vAlign w:val="center"/>
          </w:tcPr>
          <w:p w14:paraId="71F179BD">
            <w:pPr>
              <w:pageBreakBefore w:val="0"/>
              <w:shd w:val="clear"/>
              <w:kinsoku/>
              <w:overflowPunct/>
              <w:topLinePunct w:val="0"/>
              <w:bidi w:val="0"/>
              <w:spacing w:before="48" w:beforeLines="20" w:after="48" w:afterLines="20" w:line="360" w:lineRule="auto"/>
              <w:ind w:left="42" w:leftChars="20" w:right="42" w:rightChars="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（1）资格证明文件：见招标文件第二部分11.1。</w:t>
            </w:r>
          </w:p>
          <w:p w14:paraId="57D83C79">
            <w:pPr>
              <w:pageBreakBefore w:val="0"/>
              <w:shd w:val="clear"/>
              <w:kinsoku/>
              <w:overflowPunct/>
              <w:topLinePunct w:val="0"/>
              <w:bidi w:val="0"/>
              <w:spacing w:before="48" w:beforeLines="20" w:after="48" w:afterLines="20" w:line="360" w:lineRule="auto"/>
              <w:ind w:left="42" w:leftChars="20" w:right="42" w:rightChars="20"/>
              <w:rPr>
                <w:rFonts w:hint="eastAsia" w:ascii="宋体" w:hAnsi="宋体" w:eastAsia="宋体" w:cs="宋体"/>
                <w:snapToGrid w:val="0"/>
                <w:color w:val="auto"/>
                <w:kern w:val="0"/>
                <w:sz w:val="21"/>
                <w:szCs w:val="21"/>
                <w:highlight w:val="none"/>
              </w:rPr>
            </w:pPr>
            <w:r>
              <w:rPr>
                <w:rFonts w:hint="eastAsia" w:ascii="宋体" w:hAnsi="宋体" w:eastAsia="宋体" w:cs="宋体"/>
                <w:color w:val="auto"/>
                <w:kern w:val="0"/>
                <w:sz w:val="21"/>
                <w:szCs w:val="21"/>
                <w:highlight w:val="none"/>
                <w:lang w:val="zh-CN"/>
              </w:rPr>
              <w:t>投标人未提供有效的资格证明文件的，视为投标人不具备招标文件中规定的资格要求，投标无效。</w:t>
            </w:r>
          </w:p>
        </w:tc>
      </w:tr>
      <w:tr w14:paraId="047EC61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262" w:hRule="atLeast"/>
        </w:trPr>
        <w:tc>
          <w:tcPr>
            <w:tcW w:w="753" w:type="dxa"/>
            <w:vMerge w:val="continue"/>
            <w:tcBorders>
              <w:tl2br w:val="nil"/>
              <w:tr2bl w:val="nil"/>
            </w:tcBorders>
            <w:vAlign w:val="center"/>
          </w:tcPr>
          <w:p w14:paraId="70CA22E1">
            <w:pPr>
              <w:pageBreakBefore w:val="0"/>
              <w:shd w:val="clear"/>
              <w:kinsoku/>
              <w:overflowPunct/>
              <w:topLinePunct w:val="0"/>
              <w:bidi w:val="0"/>
              <w:spacing w:before="48" w:beforeLines="20" w:after="48" w:afterLines="20" w:line="360" w:lineRule="auto"/>
              <w:ind w:left="42" w:leftChars="20" w:right="42" w:rightChars="20"/>
              <w:jc w:val="center"/>
              <w:rPr>
                <w:rFonts w:hint="eastAsia" w:ascii="宋体" w:hAnsi="宋体" w:eastAsia="宋体" w:cs="宋体"/>
                <w:color w:val="auto"/>
                <w:sz w:val="21"/>
                <w:szCs w:val="21"/>
                <w:highlight w:val="none"/>
              </w:rPr>
            </w:pPr>
          </w:p>
        </w:tc>
        <w:tc>
          <w:tcPr>
            <w:tcW w:w="2187" w:type="dxa"/>
            <w:vMerge w:val="continue"/>
            <w:tcBorders>
              <w:tl2br w:val="nil"/>
              <w:tr2bl w:val="nil"/>
            </w:tcBorders>
            <w:vAlign w:val="center"/>
          </w:tcPr>
          <w:p w14:paraId="15A915FD">
            <w:pPr>
              <w:pageBreakBefore w:val="0"/>
              <w:shd w:val="clear"/>
              <w:kinsoku/>
              <w:overflowPunct/>
              <w:topLinePunct w:val="0"/>
              <w:bidi w:val="0"/>
              <w:spacing w:before="48" w:beforeLines="20" w:after="48" w:afterLines="20" w:line="360" w:lineRule="auto"/>
              <w:ind w:left="42" w:leftChars="20" w:right="42" w:rightChars="20"/>
              <w:jc w:val="center"/>
              <w:rPr>
                <w:rFonts w:hint="eastAsia" w:ascii="宋体" w:hAnsi="宋体" w:eastAsia="宋体" w:cs="宋体"/>
                <w:b/>
                <w:color w:val="auto"/>
                <w:sz w:val="21"/>
                <w:szCs w:val="21"/>
                <w:highlight w:val="none"/>
              </w:rPr>
            </w:pPr>
          </w:p>
        </w:tc>
        <w:tc>
          <w:tcPr>
            <w:tcW w:w="6400" w:type="dxa"/>
            <w:tcBorders>
              <w:tl2br w:val="nil"/>
              <w:tr2bl w:val="nil"/>
            </w:tcBorders>
            <w:vAlign w:val="center"/>
          </w:tcPr>
          <w:p w14:paraId="12BD5551">
            <w:pPr>
              <w:pageBreakBefore w:val="0"/>
              <w:shd w:val="clear"/>
              <w:kinsoku/>
              <w:overflowPunct/>
              <w:topLinePunct w:val="0"/>
              <w:bidi w:val="0"/>
              <w:spacing w:before="48" w:beforeLines="20" w:after="48" w:afterLines="20" w:line="360" w:lineRule="auto"/>
              <w:ind w:left="42" w:leftChars="20" w:right="42" w:rightChars="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（2）资信证明文件：根据招标文件第</w:t>
            </w:r>
            <w:r>
              <w:rPr>
                <w:rFonts w:hint="eastAsia" w:ascii="宋体" w:hAnsi="宋体" w:eastAsia="宋体" w:cs="宋体"/>
                <w:color w:val="auto"/>
                <w:sz w:val="21"/>
                <w:szCs w:val="21"/>
                <w:highlight w:val="none"/>
                <w:lang w:eastAsia="zh-CN"/>
              </w:rPr>
              <w:t>五</w:t>
            </w:r>
            <w:r>
              <w:rPr>
                <w:rFonts w:hint="eastAsia" w:ascii="宋体" w:hAnsi="宋体" w:eastAsia="宋体" w:cs="宋体"/>
                <w:color w:val="auto"/>
                <w:sz w:val="21"/>
                <w:szCs w:val="21"/>
                <w:highlight w:val="none"/>
              </w:rPr>
              <w:t>部分</w:t>
            </w:r>
            <w:r>
              <w:rPr>
                <w:rFonts w:hint="eastAsia" w:ascii="宋体" w:hAnsi="宋体" w:eastAsia="宋体" w:cs="宋体"/>
                <w:color w:val="auto"/>
                <w:sz w:val="21"/>
                <w:szCs w:val="21"/>
                <w:highlight w:val="none"/>
                <w:lang w:eastAsia="zh-CN"/>
              </w:rPr>
              <w:t>评标标准</w:t>
            </w:r>
            <w:r>
              <w:rPr>
                <w:rFonts w:hint="eastAsia" w:ascii="宋体" w:hAnsi="宋体" w:eastAsia="宋体" w:cs="宋体"/>
                <w:color w:val="auto"/>
                <w:sz w:val="21"/>
                <w:szCs w:val="21"/>
                <w:highlight w:val="none"/>
              </w:rPr>
              <w:t>提供。</w:t>
            </w:r>
          </w:p>
        </w:tc>
      </w:tr>
      <w:tr w14:paraId="44E564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1817" w:hRule="atLeast"/>
        </w:trPr>
        <w:tc>
          <w:tcPr>
            <w:tcW w:w="753" w:type="dxa"/>
            <w:tcBorders>
              <w:tl2br w:val="nil"/>
              <w:tr2bl w:val="nil"/>
            </w:tcBorders>
            <w:vAlign w:val="center"/>
          </w:tcPr>
          <w:p w14:paraId="0E813227">
            <w:pPr>
              <w:pageBreakBefore w:val="0"/>
              <w:shd w:val="clear"/>
              <w:kinsoku/>
              <w:overflowPunct/>
              <w:topLinePunct w:val="0"/>
              <w:bidi w:val="0"/>
              <w:spacing w:before="48" w:beforeLines="20" w:after="48" w:afterLines="20" w:line="360" w:lineRule="auto"/>
              <w:ind w:left="42" w:leftChars="20" w:right="42" w:righ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2187" w:type="dxa"/>
            <w:tcBorders>
              <w:tl2br w:val="nil"/>
              <w:tr2bl w:val="nil"/>
            </w:tcBorders>
            <w:vAlign w:val="center"/>
          </w:tcPr>
          <w:p w14:paraId="0D6DA995">
            <w:pPr>
              <w:pageBreakBefore w:val="0"/>
              <w:shd w:val="clear"/>
              <w:kinsoku/>
              <w:overflowPunct/>
              <w:topLinePunct w:val="0"/>
              <w:bidi w:val="0"/>
              <w:spacing w:before="48" w:beforeLines="20" w:after="48" w:afterLines="20" w:line="360" w:lineRule="auto"/>
              <w:ind w:left="42" w:leftChars="20" w:right="42" w:rightChars="2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节能产品、环境标志产品</w:t>
            </w:r>
          </w:p>
        </w:tc>
        <w:tc>
          <w:tcPr>
            <w:tcW w:w="6400" w:type="dxa"/>
            <w:tcBorders>
              <w:tl2br w:val="nil"/>
              <w:tr2bl w:val="nil"/>
            </w:tcBorders>
            <w:vAlign w:val="center"/>
          </w:tcPr>
          <w:p w14:paraId="430F816F">
            <w:pPr>
              <w:pageBreakBefore w:val="0"/>
              <w:shd w:val="clear"/>
              <w:kinsoku/>
              <w:overflowPunct/>
              <w:topLinePunct w:val="0"/>
              <w:bidi w:val="0"/>
              <w:spacing w:before="48" w:beforeLines="20" w:after="48" w:afterLines="20" w:line="360" w:lineRule="auto"/>
              <w:ind w:left="42" w:leftChars="20" w:right="42" w:rightChars="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采购人拟采购的产品（标的）属于品目清单范围的，采购人及其委托的采购代理机构将依据国家确定的认证机构出具的、处于有效期之内的节能产品、环境标志产品认证证书，对获得证书的产品实施政府优先采购或强制采购。</w:t>
            </w:r>
          </w:p>
          <w:p w14:paraId="1524B722">
            <w:pPr>
              <w:pageBreakBefore w:val="0"/>
              <w:shd w:val="clear"/>
              <w:kinsoku/>
              <w:overflowPunct/>
              <w:topLinePunct w:val="0"/>
              <w:bidi w:val="0"/>
              <w:spacing w:before="48" w:beforeLines="20" w:after="48" w:afterLines="20" w:line="360" w:lineRule="auto"/>
              <w:ind w:left="42" w:leftChars="20" w:right="42" w:rightChars="2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强制采购。产品：</w:t>
            </w:r>
            <w:r>
              <w:rPr>
                <w:rFonts w:hint="eastAsia" w:ascii="宋体" w:hAnsi="宋体" w:eastAsia="宋体" w:cs="宋体"/>
                <w:color w:val="auto"/>
                <w:kern w:val="0"/>
                <w:sz w:val="21"/>
                <w:szCs w:val="21"/>
                <w:highlight w:val="none"/>
                <w:lang w:val="en-US" w:eastAsia="zh-CN"/>
              </w:rPr>
              <w:t xml:space="preserve">    </w:t>
            </w:r>
          </w:p>
          <w:p w14:paraId="10866842">
            <w:pPr>
              <w:pageBreakBefore w:val="0"/>
              <w:shd w:val="clear"/>
              <w:kinsoku/>
              <w:overflowPunct/>
              <w:topLinePunct w:val="0"/>
              <w:bidi w:val="0"/>
              <w:spacing w:before="48" w:beforeLines="20" w:after="48" w:afterLines="20" w:line="360" w:lineRule="auto"/>
              <w:ind w:left="42" w:leftChars="20" w:right="42" w:rightChars="2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□优先采购节能产品。产品：</w:t>
            </w:r>
            <w:r>
              <w:rPr>
                <w:rFonts w:hint="eastAsia" w:ascii="宋体" w:hAnsi="宋体" w:eastAsia="宋体" w:cs="宋体"/>
                <w:color w:val="auto"/>
                <w:kern w:val="0"/>
                <w:sz w:val="21"/>
                <w:szCs w:val="21"/>
                <w:highlight w:val="none"/>
                <w:lang w:val="en-US" w:eastAsia="zh-CN"/>
              </w:rPr>
              <w:t xml:space="preserve">   </w:t>
            </w:r>
          </w:p>
          <w:p w14:paraId="7732C547">
            <w:pPr>
              <w:pageBreakBefore w:val="0"/>
              <w:shd w:val="clear"/>
              <w:kinsoku/>
              <w:overflowPunct/>
              <w:topLinePunct w:val="0"/>
              <w:bidi w:val="0"/>
              <w:spacing w:before="48" w:beforeLines="20" w:after="48" w:afterLines="20" w:line="360" w:lineRule="auto"/>
              <w:ind w:left="42" w:leftChars="20" w:right="42" w:rightChars="2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□优先采购环保产品。产品：</w:t>
            </w:r>
            <w:r>
              <w:rPr>
                <w:rFonts w:hint="eastAsia" w:ascii="宋体" w:hAnsi="宋体" w:eastAsia="宋体" w:cs="宋体"/>
                <w:color w:val="auto"/>
                <w:kern w:val="0"/>
                <w:sz w:val="21"/>
                <w:szCs w:val="21"/>
                <w:highlight w:val="none"/>
                <w:lang w:val="en-US" w:eastAsia="zh-CN"/>
              </w:rPr>
              <w:t xml:space="preserve">   </w:t>
            </w:r>
          </w:p>
          <w:p w14:paraId="60690612">
            <w:pPr>
              <w:pageBreakBefore w:val="0"/>
              <w:shd w:val="clear"/>
              <w:kinsoku/>
              <w:overflowPunct/>
              <w:topLinePunct w:val="0"/>
              <w:bidi w:val="0"/>
              <w:spacing w:before="48" w:beforeLines="20" w:after="48" w:afterLines="20" w:line="360" w:lineRule="auto"/>
              <w:ind w:left="42" w:leftChars="20" w:right="42" w:rightChars="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☑无</w:t>
            </w:r>
          </w:p>
        </w:tc>
      </w:tr>
      <w:tr w14:paraId="5CD89F1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2881" w:hRule="atLeast"/>
        </w:trPr>
        <w:tc>
          <w:tcPr>
            <w:tcW w:w="753" w:type="dxa"/>
            <w:tcBorders>
              <w:tl2br w:val="nil"/>
              <w:tr2bl w:val="nil"/>
            </w:tcBorders>
            <w:vAlign w:val="center"/>
          </w:tcPr>
          <w:p w14:paraId="2F3B3F2E">
            <w:pPr>
              <w:pageBreakBefore w:val="0"/>
              <w:shd w:val="clear"/>
              <w:kinsoku/>
              <w:overflowPunct/>
              <w:topLinePunct w:val="0"/>
              <w:bidi w:val="0"/>
              <w:spacing w:before="48" w:beforeLines="20" w:after="48" w:afterLines="20" w:line="360" w:lineRule="auto"/>
              <w:ind w:left="42" w:leftChars="20" w:right="42" w:righ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2187" w:type="dxa"/>
            <w:tcBorders>
              <w:tl2br w:val="nil"/>
              <w:tr2bl w:val="nil"/>
            </w:tcBorders>
            <w:vAlign w:val="center"/>
          </w:tcPr>
          <w:p w14:paraId="0EF38B00">
            <w:pPr>
              <w:pageBreakBefore w:val="0"/>
              <w:shd w:val="clear"/>
              <w:kinsoku/>
              <w:overflowPunct/>
              <w:topLinePunct w:val="0"/>
              <w:bidi w:val="0"/>
              <w:spacing w:before="48" w:beforeLines="20" w:after="48" w:afterLines="20" w:line="360" w:lineRule="auto"/>
              <w:ind w:left="42" w:leftChars="20" w:right="42" w:rightChars="2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报价要求</w:t>
            </w:r>
          </w:p>
        </w:tc>
        <w:tc>
          <w:tcPr>
            <w:tcW w:w="6400" w:type="dxa"/>
            <w:tcBorders>
              <w:tl2br w:val="nil"/>
              <w:tr2bl w:val="nil"/>
            </w:tcBorders>
            <w:vAlign w:val="center"/>
          </w:tcPr>
          <w:p w14:paraId="302836D3">
            <w:pPr>
              <w:pageBreakBefore w:val="0"/>
              <w:shd w:val="clear"/>
              <w:kinsoku/>
              <w:overflowPunct/>
              <w:topLinePunct w:val="0"/>
              <w:bidi w:val="0"/>
              <w:spacing w:before="48" w:beforeLines="20" w:after="48" w:afterLines="20" w:line="360" w:lineRule="auto"/>
              <w:ind w:left="42" w:leftChars="20" w:right="42" w:rightChars="2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有关本项目实施所需的所有费用（含税费）均计入报价。</w:t>
            </w:r>
            <w:r>
              <w:rPr>
                <w:rFonts w:hint="eastAsia" w:ascii="宋体" w:hAnsi="宋体" w:eastAsia="宋体" w:cs="宋体"/>
                <w:b/>
                <w:bCs/>
                <w:color w:val="auto"/>
                <w:sz w:val="21"/>
                <w:szCs w:val="21"/>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val="zh-CN"/>
              </w:rPr>
              <w:t>投标文件中价格全部采用人民币报价。招标文件未列明，而投标人认为必需的费用也需列入报价。</w:t>
            </w:r>
          </w:p>
          <w:p w14:paraId="11CBFC7F">
            <w:pPr>
              <w:pageBreakBefore w:val="0"/>
              <w:shd w:val="clear"/>
              <w:kinsoku/>
              <w:overflowPunct/>
              <w:topLinePunct w:val="0"/>
              <w:bidi w:val="0"/>
              <w:spacing w:before="48" w:beforeLines="20" w:after="48" w:afterLines="20" w:line="360" w:lineRule="auto"/>
              <w:ind w:left="42" w:leftChars="20" w:right="42" w:rightChars="20"/>
              <w:jc w:val="left"/>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投标报价出现下列情形的，投标无效：</w:t>
            </w:r>
          </w:p>
          <w:p w14:paraId="59A23E52">
            <w:pPr>
              <w:pageBreakBefore w:val="0"/>
              <w:numPr>
                <w:ilvl w:val="0"/>
                <w:numId w:val="2"/>
              </w:numPr>
              <w:shd w:val="clear"/>
              <w:kinsoku/>
              <w:overflowPunct/>
              <w:topLinePunct w:val="0"/>
              <w:bidi w:val="0"/>
              <w:spacing w:before="48" w:beforeLines="20" w:after="48" w:afterLines="20" w:line="360" w:lineRule="auto"/>
              <w:ind w:left="42" w:leftChars="20" w:right="42" w:rightChars="20" w:firstLine="0"/>
              <w:jc w:val="left"/>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投标文件出现不是唯一的、有选择性投标报价的；</w:t>
            </w:r>
          </w:p>
          <w:p w14:paraId="403DB3BE">
            <w:pPr>
              <w:pageBreakBefore w:val="0"/>
              <w:numPr>
                <w:ilvl w:val="0"/>
                <w:numId w:val="2"/>
              </w:numPr>
              <w:shd w:val="clear"/>
              <w:kinsoku/>
              <w:overflowPunct/>
              <w:topLinePunct w:val="0"/>
              <w:bidi w:val="0"/>
              <w:spacing w:before="48" w:beforeLines="20" w:after="48" w:afterLines="20" w:line="360" w:lineRule="auto"/>
              <w:ind w:left="42" w:leftChars="20" w:right="42" w:rightChars="20" w:firstLine="0"/>
              <w:jc w:val="left"/>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投标报价超过招标文件中规定的预算金额或者最高限价的；</w:t>
            </w:r>
          </w:p>
          <w:p w14:paraId="5AD49E6F">
            <w:pPr>
              <w:pageBreakBefore w:val="0"/>
              <w:numPr>
                <w:ilvl w:val="0"/>
                <w:numId w:val="2"/>
              </w:numPr>
              <w:shd w:val="clear"/>
              <w:kinsoku/>
              <w:overflowPunct/>
              <w:topLinePunct w:val="0"/>
              <w:bidi w:val="0"/>
              <w:spacing w:before="48" w:beforeLines="20" w:after="48" w:afterLines="20" w:line="360" w:lineRule="auto"/>
              <w:ind w:left="42" w:leftChars="20" w:right="42" w:rightChars="20" w:firstLine="0"/>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1"/>
                <w:szCs w:val="21"/>
                <w:highlight w:val="none"/>
                <w:lang w:eastAsia="zh-CN"/>
              </w:rPr>
              <w:t>；</w:t>
            </w:r>
          </w:p>
          <w:p w14:paraId="27BB7086">
            <w:pPr>
              <w:pageBreakBefore w:val="0"/>
              <w:numPr>
                <w:ilvl w:val="0"/>
                <w:numId w:val="2"/>
              </w:numPr>
              <w:shd w:val="clear"/>
              <w:kinsoku/>
              <w:overflowPunct/>
              <w:topLinePunct w:val="0"/>
              <w:bidi w:val="0"/>
              <w:spacing w:before="48" w:beforeLines="20" w:after="48" w:afterLines="20" w:line="360" w:lineRule="auto"/>
              <w:ind w:left="42" w:leftChars="20" w:right="42" w:rightChars="20" w:firstLine="0"/>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投标人对根据修正原则修正后的报价不确认的。</w:t>
            </w:r>
          </w:p>
        </w:tc>
      </w:tr>
      <w:tr w14:paraId="551ED72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887" w:hRule="atLeast"/>
        </w:trPr>
        <w:tc>
          <w:tcPr>
            <w:tcW w:w="753" w:type="dxa"/>
            <w:tcBorders>
              <w:tl2br w:val="nil"/>
              <w:tr2bl w:val="nil"/>
            </w:tcBorders>
            <w:vAlign w:val="center"/>
          </w:tcPr>
          <w:p w14:paraId="7D5D24F3">
            <w:pPr>
              <w:pageBreakBefore w:val="0"/>
              <w:shd w:val="clear"/>
              <w:kinsoku/>
              <w:overflowPunct/>
              <w:topLinePunct w:val="0"/>
              <w:bidi w:val="0"/>
              <w:spacing w:before="48" w:beforeLines="20" w:after="48" w:afterLines="20" w:line="360" w:lineRule="auto"/>
              <w:ind w:left="42" w:leftChars="20" w:right="42" w:righ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2187" w:type="dxa"/>
            <w:tcBorders>
              <w:tl2br w:val="nil"/>
              <w:tr2bl w:val="nil"/>
            </w:tcBorders>
            <w:vAlign w:val="center"/>
          </w:tcPr>
          <w:p w14:paraId="795F836C">
            <w:pPr>
              <w:pageBreakBefore w:val="0"/>
              <w:shd w:val="clear"/>
              <w:kinsoku/>
              <w:overflowPunct/>
              <w:topLinePunct w:val="0"/>
              <w:bidi w:val="0"/>
              <w:spacing w:before="48" w:beforeLines="20" w:after="48" w:afterLines="20" w:line="360" w:lineRule="auto"/>
              <w:ind w:left="42" w:leftChars="20" w:right="42" w:rightChars="2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中小企业信用融资</w:t>
            </w:r>
          </w:p>
        </w:tc>
        <w:tc>
          <w:tcPr>
            <w:tcW w:w="6400" w:type="dxa"/>
            <w:tcBorders>
              <w:tl2br w:val="nil"/>
              <w:tr2bl w:val="nil"/>
            </w:tcBorders>
            <w:vAlign w:val="center"/>
          </w:tcPr>
          <w:p w14:paraId="6041BDE5">
            <w:pPr>
              <w:pageBreakBefore w:val="0"/>
              <w:shd w:val="clear"/>
              <w:kinsoku/>
              <w:overflowPunct/>
              <w:topLinePunct w:val="0"/>
              <w:bidi w:val="0"/>
              <w:spacing w:before="48" w:beforeLines="20" w:after="48" w:afterLines="20" w:line="360" w:lineRule="auto"/>
              <w:ind w:left="42" w:leftChars="20" w:right="42" w:rightChars="20"/>
              <w:rPr>
                <w:rFonts w:hint="eastAsia" w:ascii="宋体" w:hAnsi="宋体" w:eastAsia="宋体" w:cs="宋体"/>
                <w:b/>
                <w:color w:val="auto"/>
                <w:kern w:val="0"/>
                <w:sz w:val="21"/>
                <w:szCs w:val="21"/>
                <w:highlight w:val="none"/>
              </w:rPr>
            </w:pPr>
            <w:r>
              <w:rPr>
                <w:rFonts w:hint="eastAsia" w:ascii="宋体" w:hAnsi="宋体" w:eastAsia="宋体" w:cs="宋体"/>
                <w:snapToGrid w:val="0"/>
                <w:color w:val="auto"/>
                <w:kern w:val="28"/>
                <w:sz w:val="21"/>
                <w:szCs w:val="21"/>
                <w:highlight w:val="none"/>
                <w:lang w:eastAsia="zh-CN"/>
              </w:rPr>
              <w:t>投标人</w:t>
            </w:r>
            <w:r>
              <w:rPr>
                <w:rFonts w:hint="eastAsia" w:ascii="宋体" w:hAnsi="宋体" w:eastAsia="宋体" w:cs="宋体"/>
                <w:snapToGrid w:val="0"/>
                <w:color w:val="auto"/>
                <w:kern w:val="28"/>
                <w:sz w:val="21"/>
                <w:szCs w:val="21"/>
                <w:highlight w:val="none"/>
              </w:rPr>
              <w:t>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1ABC3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1143" w:hRule="atLeast"/>
        </w:trPr>
        <w:tc>
          <w:tcPr>
            <w:tcW w:w="753" w:type="dxa"/>
            <w:tcBorders>
              <w:tl2br w:val="nil"/>
              <w:tr2bl w:val="nil"/>
            </w:tcBorders>
            <w:vAlign w:val="center"/>
          </w:tcPr>
          <w:p w14:paraId="1B31C326">
            <w:pPr>
              <w:pageBreakBefore w:val="0"/>
              <w:shd w:val="clear"/>
              <w:kinsoku/>
              <w:overflowPunct/>
              <w:topLinePunct w:val="0"/>
              <w:bidi w:val="0"/>
              <w:spacing w:before="48" w:beforeLines="20" w:after="48" w:afterLines="20" w:line="360" w:lineRule="auto"/>
              <w:ind w:left="42" w:leftChars="20" w:right="42" w:righ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2187" w:type="dxa"/>
            <w:tcBorders>
              <w:tl2br w:val="nil"/>
              <w:tr2bl w:val="nil"/>
            </w:tcBorders>
            <w:vAlign w:val="center"/>
          </w:tcPr>
          <w:p w14:paraId="5F184E90">
            <w:pPr>
              <w:pageBreakBefore w:val="0"/>
              <w:shd w:val="clear"/>
              <w:kinsoku/>
              <w:overflowPunct/>
              <w:topLinePunct w:val="0"/>
              <w:bidi w:val="0"/>
              <w:spacing w:before="48" w:beforeLines="20" w:after="48" w:afterLines="20" w:line="360" w:lineRule="auto"/>
              <w:ind w:left="42" w:leftChars="20" w:right="42" w:rightChars="2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备份投标文件送达地点和签收人员 </w:t>
            </w:r>
          </w:p>
        </w:tc>
        <w:tc>
          <w:tcPr>
            <w:tcW w:w="6400" w:type="dxa"/>
            <w:tcBorders>
              <w:tl2br w:val="nil"/>
              <w:tr2bl w:val="nil"/>
            </w:tcBorders>
            <w:vAlign w:val="center"/>
          </w:tcPr>
          <w:p w14:paraId="428AC846">
            <w:pPr>
              <w:pStyle w:val="26"/>
              <w:pageBreakBefore w:val="0"/>
              <w:shd w:val="clear"/>
              <w:kinsoku/>
              <w:overflowPunct/>
              <w:topLinePunct w:val="0"/>
              <w:bidi w:val="0"/>
              <w:spacing w:before="48" w:beforeLines="20" w:after="48" w:afterLines="20" w:line="360" w:lineRule="auto"/>
              <w:ind w:left="42" w:leftChars="20" w:right="42" w:rightChars="20"/>
              <w:rPr>
                <w:rFonts w:hint="eastAsia" w:ascii="宋体" w:hAnsi="宋体" w:eastAsia="宋体" w:cs="宋体"/>
                <w:color w:val="auto"/>
                <w:kern w:val="28"/>
                <w:sz w:val="21"/>
                <w:highlight w:val="none"/>
                <w:lang w:eastAsia="zh-CN"/>
              </w:rPr>
            </w:pPr>
            <w:r>
              <w:rPr>
                <w:rFonts w:hint="eastAsia" w:ascii="宋体" w:hAnsi="宋体" w:eastAsia="宋体" w:cs="宋体"/>
                <w:color w:val="auto"/>
                <w:kern w:val="28"/>
                <w:sz w:val="21"/>
                <w:highlight w:val="none"/>
              </w:rPr>
              <w:t>备份投标文件送达地点：</w:t>
            </w:r>
            <w:r>
              <w:rPr>
                <w:rFonts w:hint="eastAsia" w:ascii="宋体" w:hAnsi="宋体" w:eastAsia="宋体" w:cs="宋体"/>
                <w:color w:val="auto"/>
                <w:sz w:val="21"/>
                <w:highlight w:val="none"/>
                <w:u w:val="single"/>
              </w:rPr>
              <w:t>杭州市文三路90号东部软件园1号楼3楼303室</w:t>
            </w:r>
            <w:r>
              <w:rPr>
                <w:rFonts w:hint="eastAsia" w:ascii="宋体" w:hAnsi="宋体" w:eastAsia="宋体" w:cs="宋体"/>
                <w:color w:val="auto"/>
                <w:kern w:val="28"/>
                <w:sz w:val="21"/>
                <w:highlight w:val="none"/>
                <w:lang w:eastAsia="zh-CN"/>
              </w:rPr>
              <w:t>；</w:t>
            </w:r>
          </w:p>
          <w:p w14:paraId="6131F6BA">
            <w:pPr>
              <w:pStyle w:val="26"/>
              <w:pageBreakBefore w:val="0"/>
              <w:shd w:val="clear"/>
              <w:kinsoku/>
              <w:overflowPunct/>
              <w:topLinePunct w:val="0"/>
              <w:bidi w:val="0"/>
              <w:spacing w:before="48" w:beforeLines="20" w:after="48" w:afterLines="20" w:line="360" w:lineRule="auto"/>
              <w:ind w:left="42" w:leftChars="20" w:right="42" w:rightChars="20"/>
              <w:rPr>
                <w:rFonts w:hint="eastAsia" w:ascii="宋体" w:hAnsi="宋体" w:eastAsia="宋体" w:cs="宋体"/>
                <w:color w:val="auto"/>
                <w:sz w:val="21"/>
                <w:highlight w:val="none"/>
              </w:rPr>
            </w:pPr>
            <w:r>
              <w:rPr>
                <w:rFonts w:hint="eastAsia" w:ascii="宋体" w:hAnsi="宋体" w:eastAsia="宋体" w:cs="宋体"/>
                <w:color w:val="auto"/>
                <w:kern w:val="28"/>
                <w:sz w:val="21"/>
                <w:highlight w:val="none"/>
              </w:rPr>
              <w:t>备份投标文件签收联系人：</w:t>
            </w:r>
            <w:r>
              <w:rPr>
                <w:rFonts w:hint="eastAsia" w:ascii="宋体" w:hAnsi="宋体" w:eastAsia="宋体" w:cs="宋体"/>
                <w:color w:val="auto"/>
                <w:kern w:val="28"/>
                <w:sz w:val="21"/>
                <w:highlight w:val="none"/>
                <w:u w:val="single"/>
              </w:rPr>
              <w:t>钱妍</w:t>
            </w:r>
            <w:r>
              <w:rPr>
                <w:rFonts w:hint="eastAsia" w:ascii="宋体" w:hAnsi="宋体" w:eastAsia="宋体" w:cs="宋体"/>
                <w:color w:val="auto"/>
                <w:kern w:val="28"/>
                <w:sz w:val="21"/>
                <w:highlight w:val="none"/>
                <w:lang w:eastAsia="zh-CN"/>
              </w:rPr>
              <w:t>；</w:t>
            </w:r>
            <w:r>
              <w:rPr>
                <w:rFonts w:hint="eastAsia" w:ascii="宋体" w:hAnsi="宋体" w:eastAsia="宋体" w:cs="宋体"/>
                <w:color w:val="auto"/>
                <w:kern w:val="28"/>
                <w:sz w:val="21"/>
                <w:highlight w:val="none"/>
              </w:rPr>
              <w:t>联系电话：</w:t>
            </w:r>
            <w:r>
              <w:rPr>
                <w:rFonts w:hint="eastAsia" w:ascii="宋体" w:hAnsi="宋体" w:eastAsia="宋体" w:cs="宋体"/>
                <w:color w:val="auto"/>
                <w:sz w:val="21"/>
                <w:highlight w:val="none"/>
                <w:u w:val="single"/>
              </w:rPr>
              <w:t xml:space="preserve"> 0571-81061810 </w:t>
            </w:r>
            <w:r>
              <w:rPr>
                <w:rFonts w:hint="eastAsia" w:ascii="宋体" w:hAnsi="宋体" w:eastAsia="宋体" w:cs="宋体"/>
                <w:color w:val="auto"/>
                <w:sz w:val="21"/>
                <w:highlight w:val="none"/>
              </w:rPr>
              <w:t>。</w:t>
            </w:r>
          </w:p>
          <w:p w14:paraId="54D31A7B">
            <w:pPr>
              <w:pStyle w:val="26"/>
              <w:pageBreakBefore w:val="0"/>
              <w:shd w:val="clear"/>
              <w:kinsoku/>
              <w:overflowPunct/>
              <w:topLinePunct w:val="0"/>
              <w:bidi w:val="0"/>
              <w:spacing w:before="48" w:beforeLines="20" w:after="48" w:afterLines="20" w:line="360" w:lineRule="auto"/>
              <w:ind w:left="42" w:leftChars="20" w:right="42" w:rightChars="20"/>
              <w:rPr>
                <w:rFonts w:hint="eastAsia" w:ascii="宋体" w:hAnsi="宋体" w:eastAsia="宋体" w:cs="宋体"/>
                <w:color w:val="auto"/>
                <w:kern w:val="28"/>
                <w:sz w:val="21"/>
                <w:highlight w:val="none"/>
              </w:rPr>
            </w:pPr>
            <w:r>
              <w:rPr>
                <w:rFonts w:hint="eastAsia" w:ascii="宋体" w:hAnsi="宋体" w:eastAsia="宋体" w:cs="宋体"/>
                <w:b/>
                <w:color w:val="auto"/>
                <w:sz w:val="21"/>
                <w:highlight w:val="none"/>
              </w:rPr>
              <w:t>采购人、采购代理机构不强制或变相强制投标人提交备份投标文件。</w:t>
            </w:r>
          </w:p>
        </w:tc>
      </w:tr>
      <w:tr w14:paraId="0CDC7C2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262" w:hRule="atLeast"/>
        </w:trPr>
        <w:tc>
          <w:tcPr>
            <w:tcW w:w="753" w:type="dxa"/>
            <w:tcBorders>
              <w:tl2br w:val="nil"/>
              <w:tr2bl w:val="nil"/>
            </w:tcBorders>
            <w:vAlign w:val="center"/>
          </w:tcPr>
          <w:p w14:paraId="757868D4">
            <w:pPr>
              <w:pageBreakBefore w:val="0"/>
              <w:shd w:val="clear"/>
              <w:kinsoku/>
              <w:overflowPunct/>
              <w:topLinePunct w:val="0"/>
              <w:bidi w:val="0"/>
              <w:spacing w:before="48" w:beforeLines="20" w:after="48" w:afterLines="20" w:line="360" w:lineRule="auto"/>
              <w:ind w:left="42" w:leftChars="20" w:right="42" w:righ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2187" w:type="dxa"/>
            <w:tcBorders>
              <w:tl2br w:val="nil"/>
              <w:tr2bl w:val="nil"/>
            </w:tcBorders>
            <w:vAlign w:val="center"/>
          </w:tcPr>
          <w:p w14:paraId="275A90F7">
            <w:pPr>
              <w:pageBreakBefore w:val="0"/>
              <w:shd w:val="clear"/>
              <w:kinsoku/>
              <w:overflowPunct/>
              <w:topLinePunct w:val="0"/>
              <w:bidi w:val="0"/>
              <w:spacing w:before="48" w:beforeLines="20" w:after="48" w:afterLines="20" w:line="360" w:lineRule="auto"/>
              <w:ind w:left="42" w:leftChars="20" w:right="42" w:rightChars="2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采购代理服务费</w:t>
            </w:r>
          </w:p>
        </w:tc>
        <w:tc>
          <w:tcPr>
            <w:tcW w:w="6400" w:type="dxa"/>
            <w:tcBorders>
              <w:tl2br w:val="nil"/>
              <w:tr2bl w:val="nil"/>
            </w:tcBorders>
            <w:shd w:val="clear" w:color="auto" w:fill="auto"/>
            <w:vAlign w:val="center"/>
          </w:tcPr>
          <w:p w14:paraId="512326B4">
            <w:pPr>
              <w:pageBreakBefore w:val="0"/>
              <w:shd w:val="clear"/>
              <w:kinsoku/>
              <w:overflowPunct/>
              <w:topLinePunct w:val="0"/>
              <w:bidi w:val="0"/>
              <w:adjustRightInd w:val="0"/>
              <w:snapToGrid w:val="0"/>
              <w:spacing w:line="360" w:lineRule="auto"/>
              <w:rPr>
                <w:rFonts w:hint="eastAsia" w:ascii="宋体" w:hAnsi="宋体" w:eastAsia="宋体" w:cs="宋体"/>
                <w:b/>
                <w:snapToGrid w:val="0"/>
                <w:color w:val="auto"/>
                <w:kern w:val="2"/>
                <w:sz w:val="21"/>
                <w:szCs w:val="21"/>
                <w:highlight w:val="none"/>
                <w:lang w:val="en-US" w:eastAsia="zh-CN" w:bidi="ar-SA"/>
              </w:rPr>
            </w:pPr>
            <w:r>
              <w:rPr>
                <w:rFonts w:hint="eastAsia" w:ascii="宋体" w:hAnsi="宋体" w:eastAsia="宋体" w:cs="宋体"/>
                <w:b/>
                <w:snapToGrid w:val="0"/>
                <w:color w:val="auto"/>
                <w:kern w:val="2"/>
                <w:sz w:val="21"/>
                <w:szCs w:val="21"/>
                <w:highlight w:val="none"/>
                <w:lang w:val="en-US" w:eastAsia="zh-CN" w:bidi="ar-SA"/>
              </w:rPr>
              <w:t>本项目的采购代理费由中标人支付。</w:t>
            </w:r>
          </w:p>
          <w:p w14:paraId="47C75410">
            <w:pPr>
              <w:pageBreakBefore w:val="0"/>
              <w:shd w:val="clear"/>
              <w:kinsoku/>
              <w:overflowPunct/>
              <w:topLinePunct w:val="0"/>
              <w:bidi w:val="0"/>
              <w:adjustRightInd w:val="0"/>
              <w:snapToGrid w:val="0"/>
              <w:spacing w:line="360" w:lineRule="auto"/>
              <w:rPr>
                <w:rFonts w:hint="eastAsia" w:ascii="宋体" w:hAnsi="宋体" w:eastAsia="宋体" w:cs="宋体"/>
                <w:snapToGrid w:val="0"/>
                <w:color w:val="auto"/>
                <w:kern w:val="28"/>
                <w:sz w:val="21"/>
                <w:szCs w:val="21"/>
                <w:highlight w:val="none"/>
                <w:lang w:val="en-US" w:eastAsia="zh-CN" w:bidi="ar-SA"/>
              </w:rPr>
            </w:pPr>
            <w:r>
              <w:rPr>
                <w:rFonts w:hint="eastAsia" w:ascii="宋体" w:hAnsi="宋体" w:eastAsia="宋体" w:cs="宋体"/>
                <w:snapToGrid w:val="0"/>
                <w:color w:val="auto"/>
                <w:kern w:val="28"/>
                <w:sz w:val="21"/>
                <w:szCs w:val="21"/>
                <w:highlight w:val="none"/>
                <w:lang w:val="en-US" w:eastAsia="zh-CN" w:bidi="ar-SA"/>
              </w:rPr>
              <w:t>1.中标服务费以中标（成交）金额为计费基准，按原国家计委（计价格[2002]1980号）文件收费标准的70%收取，采购代理服务费不足2000元的，以2000元计收取；对于单个标项采购在200万元人民币以上的项目，一律按200万元人民币为收费基数收取采购代理服务费。</w:t>
            </w:r>
          </w:p>
          <w:p w14:paraId="2651D9F4">
            <w:pPr>
              <w:pageBreakBefore w:val="0"/>
              <w:shd w:val="clear"/>
              <w:kinsoku/>
              <w:overflowPunct/>
              <w:topLinePunct w:val="0"/>
              <w:bidi w:val="0"/>
              <w:adjustRightInd w:val="0"/>
              <w:snapToGrid w:val="0"/>
              <w:spacing w:line="360" w:lineRule="auto"/>
              <w:rPr>
                <w:rFonts w:hint="eastAsia" w:ascii="宋体" w:hAnsi="宋体" w:eastAsia="宋体" w:cs="宋体"/>
                <w:snapToGrid w:val="0"/>
                <w:color w:val="auto"/>
                <w:kern w:val="28"/>
                <w:sz w:val="21"/>
                <w:szCs w:val="21"/>
                <w:highlight w:val="none"/>
                <w:lang w:val="en-US" w:eastAsia="zh-CN" w:bidi="ar-SA"/>
              </w:rPr>
            </w:pPr>
            <w:r>
              <w:rPr>
                <w:rFonts w:hint="eastAsia" w:ascii="宋体" w:hAnsi="宋体" w:eastAsia="宋体" w:cs="宋体"/>
                <w:snapToGrid w:val="0"/>
                <w:color w:val="auto"/>
                <w:kern w:val="28"/>
                <w:sz w:val="21"/>
                <w:szCs w:val="21"/>
                <w:highlight w:val="none"/>
                <w:lang w:val="en-US" w:eastAsia="zh-CN" w:bidi="ar-SA"/>
              </w:rPr>
              <w:t>2.结算方式及时间为：中标人在中标通知书发出后七个工作日内，向采购代理机构交纳代理服务费，缴纳至如下账号：</w:t>
            </w:r>
          </w:p>
          <w:p w14:paraId="368E0F1B">
            <w:pPr>
              <w:pageBreakBefore w:val="0"/>
              <w:shd w:val="clear"/>
              <w:kinsoku/>
              <w:overflowPunct/>
              <w:topLinePunct w:val="0"/>
              <w:bidi w:val="0"/>
              <w:adjustRightInd w:val="0"/>
              <w:snapToGrid w:val="0"/>
              <w:spacing w:line="360" w:lineRule="auto"/>
              <w:rPr>
                <w:rFonts w:hint="eastAsia" w:ascii="宋体" w:hAnsi="宋体" w:eastAsia="宋体" w:cs="宋体"/>
                <w:snapToGrid w:val="0"/>
                <w:color w:val="auto"/>
                <w:kern w:val="28"/>
                <w:sz w:val="21"/>
                <w:szCs w:val="21"/>
                <w:highlight w:val="none"/>
                <w:lang w:val="en-US" w:eastAsia="zh-CN" w:bidi="ar-SA"/>
              </w:rPr>
            </w:pPr>
            <w:r>
              <w:rPr>
                <w:rFonts w:hint="eastAsia" w:ascii="宋体" w:hAnsi="宋体" w:eastAsia="宋体" w:cs="宋体"/>
                <w:snapToGrid w:val="0"/>
                <w:color w:val="auto"/>
                <w:kern w:val="28"/>
                <w:sz w:val="21"/>
                <w:szCs w:val="21"/>
                <w:highlight w:val="none"/>
                <w:lang w:val="en-US" w:eastAsia="zh-CN" w:bidi="ar-SA"/>
              </w:rPr>
              <w:t>（1）收 款 人：浙江国际招投标有限公司</w:t>
            </w:r>
          </w:p>
          <w:p w14:paraId="39AE2C33">
            <w:pPr>
              <w:pageBreakBefore w:val="0"/>
              <w:shd w:val="clear"/>
              <w:kinsoku/>
              <w:overflowPunct/>
              <w:topLinePunct w:val="0"/>
              <w:bidi w:val="0"/>
              <w:adjustRightInd w:val="0"/>
              <w:snapToGrid w:val="0"/>
              <w:spacing w:line="360" w:lineRule="auto"/>
              <w:rPr>
                <w:rFonts w:hint="eastAsia" w:ascii="宋体" w:hAnsi="宋体" w:eastAsia="宋体" w:cs="宋体"/>
                <w:snapToGrid w:val="0"/>
                <w:color w:val="auto"/>
                <w:kern w:val="28"/>
                <w:sz w:val="21"/>
                <w:szCs w:val="21"/>
                <w:highlight w:val="none"/>
                <w:lang w:val="en-US" w:eastAsia="zh-CN" w:bidi="ar-SA"/>
              </w:rPr>
            </w:pPr>
            <w:r>
              <w:rPr>
                <w:rFonts w:hint="eastAsia" w:ascii="宋体" w:hAnsi="宋体" w:eastAsia="宋体" w:cs="宋体"/>
                <w:snapToGrid w:val="0"/>
                <w:color w:val="auto"/>
                <w:kern w:val="28"/>
                <w:sz w:val="21"/>
                <w:szCs w:val="21"/>
                <w:highlight w:val="none"/>
                <w:lang w:val="en-US" w:eastAsia="zh-CN" w:bidi="ar-SA"/>
              </w:rPr>
              <w:t>（2）开户银行：中国工商银行杭州武林支行</w:t>
            </w:r>
          </w:p>
          <w:p w14:paraId="6B53E730">
            <w:pPr>
              <w:pageBreakBefore w:val="0"/>
              <w:shd w:val="clear"/>
              <w:kinsoku/>
              <w:overflowPunct/>
              <w:topLinePunct w:val="0"/>
              <w:bidi w:val="0"/>
              <w:adjustRightInd w:val="0"/>
              <w:snapToGrid w:val="0"/>
              <w:spacing w:line="360" w:lineRule="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28"/>
                <w:sz w:val="21"/>
                <w:szCs w:val="21"/>
                <w:highlight w:val="none"/>
                <w:lang w:val="en-US" w:eastAsia="zh-CN" w:bidi="ar-SA"/>
              </w:rPr>
              <w:t>（3）账    号：1202 0212 0990 6782 015</w:t>
            </w:r>
          </w:p>
        </w:tc>
      </w:tr>
      <w:tr w14:paraId="1F4AC8B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1376" w:hRule="atLeast"/>
        </w:trPr>
        <w:tc>
          <w:tcPr>
            <w:tcW w:w="753" w:type="dxa"/>
            <w:vMerge w:val="restart"/>
            <w:tcBorders>
              <w:tl2br w:val="nil"/>
              <w:tr2bl w:val="nil"/>
            </w:tcBorders>
            <w:vAlign w:val="center"/>
          </w:tcPr>
          <w:p w14:paraId="019409C3">
            <w:pPr>
              <w:pageBreakBefore w:val="0"/>
              <w:shd w:val="clear"/>
              <w:kinsoku/>
              <w:overflowPunct/>
              <w:topLinePunct w:val="0"/>
              <w:bidi w:val="0"/>
              <w:spacing w:before="48" w:beforeLines="20" w:after="48" w:afterLines="20" w:line="360" w:lineRule="auto"/>
              <w:ind w:left="42" w:leftChars="20" w:right="42" w:righ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2187" w:type="dxa"/>
            <w:vMerge w:val="restart"/>
            <w:tcBorders>
              <w:tl2br w:val="nil"/>
              <w:tr2bl w:val="nil"/>
            </w:tcBorders>
            <w:vAlign w:val="center"/>
          </w:tcPr>
          <w:p w14:paraId="274741A7">
            <w:pPr>
              <w:pageBreakBefore w:val="0"/>
              <w:shd w:val="clear"/>
              <w:kinsoku/>
              <w:overflowPunct/>
              <w:topLinePunct w:val="0"/>
              <w:bidi w:val="0"/>
              <w:spacing w:before="48" w:beforeLines="20" w:after="48" w:afterLines="20" w:line="360" w:lineRule="auto"/>
              <w:ind w:left="42" w:leftChars="20" w:right="42" w:rightChars="2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联合体投标说明</w:t>
            </w:r>
          </w:p>
        </w:tc>
        <w:tc>
          <w:tcPr>
            <w:tcW w:w="6400" w:type="dxa"/>
            <w:tcBorders>
              <w:tl2br w:val="nil"/>
              <w:tr2bl w:val="nil"/>
            </w:tcBorders>
            <w:vAlign w:val="center"/>
          </w:tcPr>
          <w:p w14:paraId="73AE65E7">
            <w:pPr>
              <w:pStyle w:val="26"/>
              <w:pageBreakBefore w:val="0"/>
              <w:shd w:val="clear"/>
              <w:kinsoku/>
              <w:overflowPunct/>
              <w:topLinePunct w:val="0"/>
              <w:bidi w:val="0"/>
              <w:spacing w:before="48" w:beforeLines="20" w:after="48" w:afterLines="20" w:line="360" w:lineRule="auto"/>
              <w:ind w:left="42" w:leftChars="20" w:right="42" w:rightChars="20"/>
              <w:rPr>
                <w:rFonts w:hint="eastAsia" w:ascii="宋体" w:hAnsi="宋体" w:eastAsia="宋体" w:cs="宋体"/>
                <w:color w:val="auto"/>
                <w:kern w:val="28"/>
                <w:sz w:val="21"/>
                <w:highlight w:val="none"/>
              </w:rPr>
            </w:pPr>
            <w:r>
              <w:rPr>
                <w:rFonts w:hint="eastAsia" w:ascii="宋体" w:hAnsi="宋体" w:eastAsia="宋体" w:cs="宋体"/>
                <w:color w:val="auto"/>
                <w:kern w:val="28"/>
                <w:sz w:val="21"/>
                <w:highlight w:val="none"/>
              </w:rPr>
              <w:t>业绩证明材料</w:t>
            </w:r>
          </w:p>
          <w:p w14:paraId="04884A24">
            <w:pPr>
              <w:pStyle w:val="26"/>
              <w:pageBreakBefore w:val="0"/>
              <w:shd w:val="clear"/>
              <w:kinsoku/>
              <w:overflowPunct/>
              <w:topLinePunct w:val="0"/>
              <w:bidi w:val="0"/>
              <w:spacing w:before="48" w:beforeLines="20" w:after="48" w:afterLines="20" w:line="360" w:lineRule="auto"/>
              <w:ind w:left="42" w:leftChars="20" w:right="42" w:rightChars="20"/>
              <w:rPr>
                <w:rFonts w:hint="eastAsia" w:ascii="宋体" w:hAnsi="宋体" w:eastAsia="宋体" w:cs="宋体"/>
                <w:color w:val="auto"/>
                <w:kern w:val="28"/>
                <w:sz w:val="21"/>
                <w:highlight w:val="none"/>
              </w:rPr>
            </w:pPr>
            <w:r>
              <w:rPr>
                <w:rFonts w:hint="eastAsia" w:ascii="宋体" w:hAnsi="宋体" w:eastAsia="宋体" w:cs="宋体"/>
                <w:color w:val="auto"/>
                <w:kern w:val="28"/>
                <w:sz w:val="21"/>
                <w:highlight w:val="none"/>
              </w:rPr>
              <w:t>☐联合体投标的，按联合体协议约定的分工内容出具相应的业绩证明材料。承担相同工作的各方或工作内容存在部分相同的，业绩数量以提供材料较少的一方为准。</w:t>
            </w:r>
          </w:p>
          <w:p w14:paraId="7B9102A5">
            <w:pPr>
              <w:pStyle w:val="26"/>
              <w:pageBreakBefore w:val="0"/>
              <w:shd w:val="clear"/>
              <w:kinsoku/>
              <w:overflowPunct/>
              <w:topLinePunct w:val="0"/>
              <w:bidi w:val="0"/>
              <w:spacing w:before="48" w:beforeLines="20" w:after="48" w:afterLines="20" w:line="360" w:lineRule="auto"/>
              <w:ind w:left="42" w:leftChars="20" w:right="42" w:rightChars="20"/>
              <w:rPr>
                <w:rFonts w:hint="eastAsia" w:ascii="宋体" w:hAnsi="宋体" w:eastAsia="宋体" w:cs="宋体"/>
                <w:color w:val="auto"/>
                <w:kern w:val="28"/>
                <w:sz w:val="21"/>
                <w:highlight w:val="none"/>
              </w:rPr>
            </w:pPr>
            <w:r>
              <w:rPr>
                <w:rFonts w:hint="eastAsia" w:ascii="宋体" w:hAnsi="宋体" w:eastAsia="宋体" w:cs="宋体"/>
                <w:b/>
                <w:bCs/>
                <w:color w:val="auto"/>
                <w:kern w:val="0"/>
                <w:sz w:val="21"/>
                <w:highlight w:val="none"/>
              </w:rPr>
              <w:t>■</w:t>
            </w:r>
            <w:r>
              <w:rPr>
                <w:rFonts w:hint="eastAsia" w:ascii="宋体" w:hAnsi="宋体" w:eastAsia="宋体" w:cs="宋体"/>
                <w:color w:val="auto"/>
                <w:kern w:val="28"/>
                <w:sz w:val="21"/>
                <w:highlight w:val="none"/>
              </w:rPr>
              <w:t>联合体投标的，由联合体牵头方出具相应的业绩证明材料。</w:t>
            </w:r>
          </w:p>
          <w:p w14:paraId="051F5D4B">
            <w:pPr>
              <w:pStyle w:val="26"/>
              <w:pageBreakBefore w:val="0"/>
              <w:shd w:val="clear"/>
              <w:kinsoku/>
              <w:overflowPunct/>
              <w:topLinePunct w:val="0"/>
              <w:bidi w:val="0"/>
              <w:spacing w:before="48" w:beforeLines="20" w:after="48" w:afterLines="20" w:line="360" w:lineRule="auto"/>
              <w:ind w:left="42" w:leftChars="20" w:right="42" w:rightChars="20"/>
              <w:rPr>
                <w:rFonts w:hint="eastAsia" w:ascii="宋体" w:hAnsi="宋体" w:eastAsia="宋体" w:cs="宋体"/>
                <w:color w:val="auto"/>
                <w:kern w:val="28"/>
                <w:sz w:val="21"/>
                <w:highlight w:val="none"/>
              </w:rPr>
            </w:pPr>
            <w:r>
              <w:rPr>
                <w:rFonts w:hint="eastAsia" w:ascii="宋体" w:hAnsi="宋体" w:eastAsia="宋体" w:cs="宋体"/>
                <w:color w:val="auto"/>
                <w:kern w:val="28"/>
                <w:sz w:val="21"/>
                <w:highlight w:val="none"/>
              </w:rPr>
              <w:t>☐其他规定：</w:t>
            </w:r>
          </w:p>
        </w:tc>
      </w:tr>
      <w:tr w14:paraId="1C20994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1584" w:hRule="atLeast"/>
        </w:trPr>
        <w:tc>
          <w:tcPr>
            <w:tcW w:w="753" w:type="dxa"/>
            <w:vMerge w:val="continue"/>
            <w:tcBorders>
              <w:tl2br w:val="nil"/>
              <w:tr2bl w:val="nil"/>
            </w:tcBorders>
            <w:vAlign w:val="center"/>
          </w:tcPr>
          <w:p w14:paraId="1302A604">
            <w:pPr>
              <w:pageBreakBefore w:val="0"/>
              <w:shd w:val="clear"/>
              <w:kinsoku/>
              <w:overflowPunct/>
              <w:topLinePunct w:val="0"/>
              <w:bidi w:val="0"/>
              <w:spacing w:before="48" w:beforeLines="20" w:after="48" w:afterLines="20" w:line="360" w:lineRule="auto"/>
              <w:ind w:left="42" w:leftChars="20" w:right="42" w:rightChars="20"/>
              <w:jc w:val="center"/>
              <w:rPr>
                <w:rFonts w:hint="eastAsia" w:ascii="宋体" w:hAnsi="宋体" w:eastAsia="宋体" w:cs="宋体"/>
                <w:color w:val="auto"/>
                <w:sz w:val="21"/>
                <w:szCs w:val="21"/>
                <w:highlight w:val="none"/>
              </w:rPr>
            </w:pPr>
          </w:p>
        </w:tc>
        <w:tc>
          <w:tcPr>
            <w:tcW w:w="2187" w:type="dxa"/>
            <w:vMerge w:val="continue"/>
            <w:tcBorders>
              <w:tl2br w:val="nil"/>
              <w:tr2bl w:val="nil"/>
            </w:tcBorders>
            <w:vAlign w:val="center"/>
          </w:tcPr>
          <w:p w14:paraId="67A7AE42">
            <w:pPr>
              <w:pageBreakBefore w:val="0"/>
              <w:shd w:val="clear"/>
              <w:kinsoku/>
              <w:overflowPunct/>
              <w:topLinePunct w:val="0"/>
              <w:bidi w:val="0"/>
              <w:spacing w:before="48" w:beforeLines="20" w:after="48" w:afterLines="20" w:line="360" w:lineRule="auto"/>
              <w:ind w:left="42" w:leftChars="20" w:right="42" w:rightChars="20"/>
              <w:jc w:val="center"/>
              <w:rPr>
                <w:rFonts w:hint="eastAsia" w:ascii="宋体" w:hAnsi="宋体" w:eastAsia="宋体" w:cs="宋体"/>
                <w:b/>
                <w:color w:val="auto"/>
                <w:sz w:val="21"/>
                <w:szCs w:val="21"/>
                <w:highlight w:val="none"/>
              </w:rPr>
            </w:pPr>
          </w:p>
        </w:tc>
        <w:tc>
          <w:tcPr>
            <w:tcW w:w="6400" w:type="dxa"/>
            <w:tcBorders>
              <w:tl2br w:val="nil"/>
              <w:tr2bl w:val="nil"/>
            </w:tcBorders>
            <w:vAlign w:val="center"/>
          </w:tcPr>
          <w:p w14:paraId="26D50CC5">
            <w:pPr>
              <w:pStyle w:val="26"/>
              <w:pageBreakBefore w:val="0"/>
              <w:shd w:val="clear"/>
              <w:kinsoku/>
              <w:overflowPunct/>
              <w:topLinePunct w:val="0"/>
              <w:bidi w:val="0"/>
              <w:spacing w:before="48" w:beforeLines="20" w:after="48" w:afterLines="20" w:line="360" w:lineRule="auto"/>
              <w:ind w:left="42" w:leftChars="20" w:right="42" w:rightChars="20"/>
              <w:rPr>
                <w:rFonts w:hint="eastAsia" w:ascii="宋体" w:hAnsi="宋体" w:eastAsia="宋体" w:cs="宋体"/>
                <w:color w:val="auto"/>
                <w:kern w:val="28"/>
                <w:sz w:val="21"/>
                <w:highlight w:val="none"/>
              </w:rPr>
            </w:pPr>
            <w:r>
              <w:rPr>
                <w:rFonts w:hint="eastAsia" w:ascii="宋体" w:hAnsi="宋体" w:eastAsia="宋体" w:cs="宋体"/>
                <w:color w:val="auto"/>
                <w:kern w:val="28"/>
                <w:sz w:val="21"/>
                <w:highlight w:val="none"/>
              </w:rPr>
              <w:t>其他资信证明材料</w:t>
            </w:r>
          </w:p>
          <w:p w14:paraId="56579F88">
            <w:pPr>
              <w:pStyle w:val="26"/>
              <w:pageBreakBefore w:val="0"/>
              <w:shd w:val="clear"/>
              <w:kinsoku/>
              <w:overflowPunct/>
              <w:topLinePunct w:val="0"/>
              <w:bidi w:val="0"/>
              <w:spacing w:before="48" w:beforeLines="20" w:after="48" w:afterLines="20" w:line="360" w:lineRule="auto"/>
              <w:ind w:left="42" w:leftChars="20" w:right="42" w:rightChars="20"/>
              <w:rPr>
                <w:rFonts w:hint="eastAsia" w:ascii="宋体" w:hAnsi="宋体" w:eastAsia="宋体" w:cs="宋体"/>
                <w:color w:val="auto"/>
                <w:kern w:val="28"/>
                <w:sz w:val="21"/>
                <w:highlight w:val="none"/>
              </w:rPr>
            </w:pPr>
            <w:r>
              <w:rPr>
                <w:rFonts w:hint="eastAsia" w:ascii="宋体" w:hAnsi="宋体" w:eastAsia="宋体" w:cs="宋体"/>
                <w:color w:val="auto"/>
                <w:kern w:val="28"/>
                <w:sz w:val="21"/>
                <w:highlight w:val="none"/>
              </w:rPr>
              <w:t>☐联合体投标的，联合体各方均需按招标文件第</w:t>
            </w:r>
            <w:r>
              <w:rPr>
                <w:rFonts w:hint="eastAsia" w:ascii="宋体" w:hAnsi="宋体" w:eastAsia="宋体" w:cs="宋体"/>
                <w:color w:val="auto"/>
                <w:kern w:val="28"/>
                <w:sz w:val="21"/>
                <w:highlight w:val="none"/>
                <w:lang w:eastAsia="zh-CN"/>
              </w:rPr>
              <w:t>五</w:t>
            </w:r>
            <w:r>
              <w:rPr>
                <w:rFonts w:hint="eastAsia" w:ascii="宋体" w:hAnsi="宋体" w:eastAsia="宋体" w:cs="宋体"/>
                <w:color w:val="auto"/>
                <w:kern w:val="28"/>
                <w:sz w:val="21"/>
                <w:highlight w:val="none"/>
              </w:rPr>
              <w:t>部分评标标准要求提供资信证明文件，否则视为不符合相关要求。</w:t>
            </w:r>
          </w:p>
          <w:p w14:paraId="7A90068F">
            <w:pPr>
              <w:pStyle w:val="26"/>
              <w:pageBreakBefore w:val="0"/>
              <w:shd w:val="clear"/>
              <w:kinsoku/>
              <w:overflowPunct/>
              <w:topLinePunct w:val="0"/>
              <w:bidi w:val="0"/>
              <w:spacing w:before="48" w:beforeLines="20" w:after="48" w:afterLines="20" w:line="360" w:lineRule="auto"/>
              <w:ind w:left="42" w:leftChars="20" w:right="42" w:rightChars="20"/>
              <w:rPr>
                <w:rFonts w:hint="eastAsia" w:ascii="宋体" w:hAnsi="宋体" w:eastAsia="宋体" w:cs="宋体"/>
                <w:color w:val="auto"/>
                <w:kern w:val="28"/>
                <w:sz w:val="21"/>
                <w:highlight w:val="none"/>
              </w:rPr>
            </w:pPr>
            <w:r>
              <w:rPr>
                <w:rFonts w:hint="eastAsia" w:ascii="宋体" w:hAnsi="宋体" w:eastAsia="宋体" w:cs="宋体"/>
                <w:b/>
                <w:bCs/>
                <w:color w:val="auto"/>
                <w:kern w:val="0"/>
                <w:sz w:val="21"/>
                <w:highlight w:val="none"/>
              </w:rPr>
              <w:t>■</w:t>
            </w:r>
            <w:r>
              <w:rPr>
                <w:rFonts w:hint="eastAsia" w:ascii="宋体" w:hAnsi="宋体" w:eastAsia="宋体" w:cs="宋体"/>
                <w:color w:val="auto"/>
                <w:kern w:val="28"/>
                <w:sz w:val="21"/>
                <w:highlight w:val="none"/>
              </w:rPr>
              <w:t>联合体投标的，联合体牵头方或者联合体成员根据分工按招标文件第</w:t>
            </w:r>
            <w:r>
              <w:rPr>
                <w:rFonts w:hint="eastAsia" w:ascii="宋体" w:hAnsi="宋体" w:eastAsia="宋体" w:cs="宋体"/>
                <w:color w:val="auto"/>
                <w:kern w:val="28"/>
                <w:sz w:val="21"/>
                <w:highlight w:val="none"/>
                <w:lang w:eastAsia="zh-CN"/>
              </w:rPr>
              <w:t>五</w:t>
            </w:r>
            <w:r>
              <w:rPr>
                <w:rFonts w:hint="eastAsia" w:ascii="宋体" w:hAnsi="宋体" w:eastAsia="宋体" w:cs="宋体"/>
                <w:color w:val="auto"/>
                <w:kern w:val="28"/>
                <w:sz w:val="21"/>
                <w:highlight w:val="none"/>
              </w:rPr>
              <w:t>部分评标标准要求提供资信证明文件的，视为符合了相关要求。</w:t>
            </w:r>
          </w:p>
          <w:p w14:paraId="02589A35">
            <w:pPr>
              <w:pStyle w:val="26"/>
              <w:pageBreakBefore w:val="0"/>
              <w:shd w:val="clear"/>
              <w:kinsoku/>
              <w:overflowPunct/>
              <w:topLinePunct w:val="0"/>
              <w:bidi w:val="0"/>
              <w:spacing w:before="48" w:beforeLines="20" w:after="48" w:afterLines="20" w:line="360" w:lineRule="auto"/>
              <w:ind w:left="42" w:leftChars="20" w:right="42" w:rightChars="20"/>
              <w:rPr>
                <w:rFonts w:hint="eastAsia" w:ascii="宋体" w:hAnsi="宋体" w:eastAsia="宋体" w:cs="宋体"/>
                <w:color w:val="auto"/>
                <w:kern w:val="28"/>
                <w:sz w:val="21"/>
                <w:highlight w:val="none"/>
              </w:rPr>
            </w:pPr>
            <w:r>
              <w:rPr>
                <w:rFonts w:hint="eastAsia" w:ascii="宋体" w:hAnsi="宋体" w:eastAsia="宋体" w:cs="宋体"/>
                <w:color w:val="auto"/>
                <w:kern w:val="28"/>
                <w:sz w:val="21"/>
                <w:highlight w:val="none"/>
              </w:rPr>
              <w:t>☐其他规定：</w:t>
            </w:r>
          </w:p>
        </w:tc>
      </w:tr>
      <w:tr w14:paraId="566BE53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522" w:hRule="atLeast"/>
        </w:trPr>
        <w:tc>
          <w:tcPr>
            <w:tcW w:w="753" w:type="dxa"/>
            <w:tcBorders>
              <w:tl2br w:val="nil"/>
              <w:tr2bl w:val="nil"/>
            </w:tcBorders>
            <w:vAlign w:val="center"/>
          </w:tcPr>
          <w:p w14:paraId="29A51136">
            <w:pPr>
              <w:pageBreakBefore w:val="0"/>
              <w:shd w:val="clear"/>
              <w:kinsoku/>
              <w:overflowPunct/>
              <w:topLinePunct w:val="0"/>
              <w:bidi w:val="0"/>
              <w:spacing w:before="48" w:beforeLines="20" w:after="48" w:afterLines="20" w:line="360" w:lineRule="auto"/>
              <w:ind w:left="42" w:leftChars="20" w:right="42" w:righ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2187" w:type="dxa"/>
            <w:tcBorders>
              <w:tl2br w:val="nil"/>
              <w:tr2bl w:val="nil"/>
            </w:tcBorders>
            <w:vAlign w:val="center"/>
          </w:tcPr>
          <w:p w14:paraId="3C921BFC">
            <w:pPr>
              <w:pageBreakBefore w:val="0"/>
              <w:shd w:val="clear"/>
              <w:kinsoku/>
              <w:overflowPunct/>
              <w:topLinePunct w:val="0"/>
              <w:bidi w:val="0"/>
              <w:spacing w:before="48" w:beforeLines="20" w:after="48" w:afterLines="20" w:line="360" w:lineRule="auto"/>
              <w:ind w:left="42" w:leftChars="20" w:right="42" w:rightChars="2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特别说明</w:t>
            </w:r>
          </w:p>
        </w:tc>
        <w:tc>
          <w:tcPr>
            <w:tcW w:w="6400" w:type="dxa"/>
            <w:tcBorders>
              <w:tl2br w:val="nil"/>
              <w:tr2bl w:val="nil"/>
            </w:tcBorders>
            <w:vAlign w:val="center"/>
          </w:tcPr>
          <w:p w14:paraId="10423159">
            <w:pPr>
              <w:pStyle w:val="19"/>
              <w:pageBreakBefore w:val="0"/>
              <w:shd w:val="clear"/>
              <w:kinsoku/>
              <w:overflowPunct/>
              <w:topLinePunct w:val="0"/>
              <w:autoSpaceDE/>
              <w:autoSpaceDN/>
              <w:bidi w:val="0"/>
              <w:spacing w:before="48" w:beforeLines="20" w:after="48" w:afterLines="20" w:line="360" w:lineRule="auto"/>
              <w:ind w:left="42" w:leftChars="20" w:right="42" w:rightChars="20"/>
              <w:rPr>
                <w:rFonts w:hint="eastAsia" w:ascii="宋体" w:hAnsi="宋体" w:eastAsia="宋体" w:cs="宋体"/>
                <w:color w:val="auto"/>
                <w:sz w:val="21"/>
                <w:highlight w:val="none"/>
              </w:rPr>
            </w:pPr>
            <w:r>
              <w:rPr>
                <w:rFonts w:hint="eastAsia" w:ascii="宋体" w:hAnsi="宋体" w:eastAsia="宋体" w:cs="宋体"/>
                <w:color w:val="auto"/>
                <w:kern w:val="28"/>
                <w:sz w:val="21"/>
                <w:szCs w:val="21"/>
                <w:highlight w:val="none"/>
                <w:lang w:val="en" w:eastAsia="zh-CN" w:bidi="ar-SA"/>
              </w:rPr>
              <w:t>本项目推荐的中标候选人数量：</w:t>
            </w:r>
            <w:r>
              <w:rPr>
                <w:rFonts w:hint="eastAsia" w:ascii="宋体" w:hAnsi="宋体" w:eastAsia="宋体" w:cs="宋体"/>
                <w:color w:val="auto"/>
                <w:kern w:val="28"/>
                <w:sz w:val="21"/>
                <w:szCs w:val="21"/>
                <w:highlight w:val="none"/>
                <w:u w:val="single"/>
                <w:lang w:val="en-US" w:eastAsia="zh-CN" w:bidi="ar-SA"/>
              </w:rPr>
              <w:t xml:space="preserve">  </w:t>
            </w:r>
            <w:r>
              <w:rPr>
                <w:rFonts w:hint="eastAsia" w:ascii="宋体" w:hAnsi="宋体" w:cs="宋体"/>
                <w:color w:val="auto"/>
                <w:kern w:val="28"/>
                <w:sz w:val="21"/>
                <w:szCs w:val="21"/>
                <w:highlight w:val="none"/>
                <w:u w:val="single"/>
                <w:lang w:val="en-US" w:eastAsia="zh-CN" w:bidi="ar-SA"/>
              </w:rPr>
              <w:t>1</w:t>
            </w:r>
            <w:r>
              <w:rPr>
                <w:rFonts w:hint="eastAsia" w:ascii="宋体" w:hAnsi="宋体" w:eastAsia="宋体" w:cs="宋体"/>
                <w:color w:val="auto"/>
                <w:kern w:val="28"/>
                <w:sz w:val="21"/>
                <w:szCs w:val="21"/>
                <w:highlight w:val="none"/>
                <w:u w:val="single"/>
                <w:lang w:val="en-US" w:eastAsia="zh-CN" w:bidi="ar-SA"/>
              </w:rPr>
              <w:t xml:space="preserve">名  </w:t>
            </w:r>
            <w:r>
              <w:rPr>
                <w:rFonts w:hint="eastAsia" w:ascii="宋体" w:hAnsi="宋体" w:eastAsia="宋体" w:cs="宋体"/>
                <w:color w:val="auto"/>
                <w:kern w:val="28"/>
                <w:sz w:val="21"/>
                <w:szCs w:val="21"/>
                <w:highlight w:val="none"/>
                <w:lang w:val="en-US" w:eastAsia="zh-CN" w:bidi="ar-SA"/>
              </w:rPr>
              <w:t xml:space="preserve"> </w:t>
            </w:r>
            <w:r>
              <w:rPr>
                <w:rFonts w:hint="eastAsia" w:ascii="宋体" w:hAnsi="宋体" w:eastAsia="宋体" w:cs="宋体"/>
                <w:color w:val="auto"/>
                <w:kern w:val="28"/>
                <w:sz w:val="21"/>
                <w:szCs w:val="21"/>
                <w:highlight w:val="none"/>
                <w:lang w:val="en" w:eastAsia="zh-CN" w:bidi="ar-SA"/>
              </w:rPr>
              <w:t>。</w:t>
            </w:r>
          </w:p>
        </w:tc>
      </w:tr>
      <w:tr w14:paraId="5B7CB80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522" w:hRule="atLeast"/>
        </w:trPr>
        <w:tc>
          <w:tcPr>
            <w:tcW w:w="753" w:type="dxa"/>
            <w:tcBorders>
              <w:tl2br w:val="nil"/>
              <w:tr2bl w:val="nil"/>
            </w:tcBorders>
            <w:shd w:val="clear" w:color="auto" w:fill="auto"/>
            <w:vAlign w:val="center"/>
          </w:tcPr>
          <w:p w14:paraId="6BFCB96C">
            <w:pPr>
              <w:kinsoku/>
              <w:wordWrap/>
              <w:overflowPunct/>
              <w:topLinePunct w:val="0"/>
              <w:bidi w:val="0"/>
              <w:snapToGrid w:val="0"/>
              <w:spacing w:before="63" w:beforeLines="20" w:after="63" w:afterLines="20" w:line="324" w:lineRule="auto"/>
              <w:ind w:left="42" w:leftChars="20" w:right="42" w:rightChars="20"/>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highlight w:val="none"/>
                <w:lang w:val="en-US" w:eastAsia="zh-CN"/>
              </w:rPr>
              <w:t>16</w:t>
            </w:r>
          </w:p>
        </w:tc>
        <w:tc>
          <w:tcPr>
            <w:tcW w:w="2187" w:type="dxa"/>
            <w:tcBorders>
              <w:tl2br w:val="nil"/>
              <w:tr2bl w:val="nil"/>
            </w:tcBorders>
            <w:shd w:val="clear" w:color="auto" w:fill="auto"/>
            <w:vAlign w:val="center"/>
          </w:tcPr>
          <w:p w14:paraId="1A52945D">
            <w:pPr>
              <w:kinsoku/>
              <w:wordWrap/>
              <w:overflowPunct/>
              <w:topLinePunct w:val="0"/>
              <w:bidi w:val="0"/>
              <w:snapToGrid w:val="0"/>
              <w:spacing w:before="63" w:beforeLines="20" w:after="63" w:afterLines="20" w:line="324" w:lineRule="auto"/>
              <w:ind w:left="42" w:leftChars="20" w:right="42" w:rightChars="20"/>
              <w:jc w:val="center"/>
              <w:textAlignment w:val="auto"/>
              <w:rPr>
                <w:rFonts w:hint="eastAsia" w:ascii="宋体" w:hAnsi="宋体" w:eastAsia="宋体" w:cs="宋体"/>
                <w:b/>
                <w:bCs/>
                <w:color w:val="auto"/>
                <w:kern w:val="2"/>
                <w:sz w:val="24"/>
                <w:szCs w:val="24"/>
                <w:highlight w:val="none"/>
                <w:lang w:val="en" w:eastAsia="zh-CN" w:bidi="ar-SA"/>
              </w:rPr>
            </w:pPr>
            <w:r>
              <w:rPr>
                <w:rFonts w:hint="eastAsia" w:ascii="宋体" w:hAnsi="宋体" w:eastAsia="宋体" w:cs="宋体"/>
                <w:b/>
                <w:bCs/>
                <w:color w:val="auto"/>
                <w:kern w:val="28"/>
                <w:sz w:val="24"/>
                <w:szCs w:val="24"/>
                <w:highlight w:val="none"/>
                <w:lang w:val="en-US" w:eastAsia="zh-CN"/>
              </w:rPr>
              <w:t>真实性复核</w:t>
            </w:r>
          </w:p>
        </w:tc>
        <w:tc>
          <w:tcPr>
            <w:tcW w:w="6400" w:type="dxa"/>
            <w:tcBorders>
              <w:tl2br w:val="nil"/>
              <w:tr2bl w:val="nil"/>
            </w:tcBorders>
            <w:shd w:val="clear" w:color="auto" w:fill="auto"/>
            <w:vAlign w:val="center"/>
          </w:tcPr>
          <w:p w14:paraId="485C0FF4">
            <w:pPr>
              <w:pStyle w:val="26"/>
              <w:keepNext w:val="0"/>
              <w:keepLines w:val="0"/>
              <w:pageBreakBefore w:val="0"/>
              <w:widowControl w:val="0"/>
              <w:kinsoku/>
              <w:wordWrap/>
              <w:overflowPunct/>
              <w:topLinePunct w:val="0"/>
              <w:autoSpaceDE/>
              <w:autoSpaceDN/>
              <w:bidi w:val="0"/>
              <w:adjustRightInd w:val="0"/>
              <w:snapToGrid w:val="0"/>
              <w:spacing w:before="63" w:beforeLines="20" w:after="63" w:afterLines="20" w:line="324" w:lineRule="auto"/>
              <w:ind w:left="42" w:leftChars="20" w:right="42" w:rightChars="20"/>
              <w:textAlignment w:val="auto"/>
              <w:rPr>
                <w:rFonts w:hint="eastAsia" w:ascii="宋体" w:hAnsi="宋体" w:eastAsia="宋体" w:cs="宋体"/>
                <w:b/>
                <w:bCs/>
                <w:color w:val="auto"/>
                <w:kern w:val="28"/>
                <w:sz w:val="24"/>
                <w:szCs w:val="24"/>
                <w:highlight w:val="none"/>
                <w:lang w:val="en" w:eastAsia="zh-CN" w:bidi="ar-SA"/>
              </w:rPr>
            </w:pPr>
            <w:r>
              <w:rPr>
                <w:rFonts w:hint="eastAsia" w:ascii="宋体" w:hAnsi="宋体" w:eastAsia="宋体" w:cs="宋体"/>
                <w:b/>
                <w:bCs/>
                <w:color w:val="auto"/>
                <w:kern w:val="28"/>
                <w:sz w:val="24"/>
                <w:szCs w:val="24"/>
                <w:highlight w:val="none"/>
                <w:lang w:val="en-US" w:eastAsia="zh-CN"/>
              </w:rPr>
              <w:t>根据《浙江省财政厅关于进一步规范政府采购秩序促进公平竞争的通知》（浙财采监〔2025〕2号文件）的要求，在评审结束后、合同签订前，采购人、采购代理机构将通过网站查询、原件核对等方式对中标（成交）供应商在投标（响应）文件中涉及客观分评审内容的业绩、检测报告、认证证书等资料的真实性进行复核，发现供应商提供虚假材料的，将书面报告本级财政部门。</w:t>
            </w:r>
          </w:p>
        </w:tc>
      </w:tr>
    </w:tbl>
    <w:p w14:paraId="59987E55">
      <w:pPr>
        <w:pageBreakBefore w:val="0"/>
        <w:shd w:val="clear"/>
        <w:kinsoku/>
        <w:overflowPunct/>
        <w:topLinePunct w:val="0"/>
        <w:bidi w:val="0"/>
        <w:adjustRightInd w:val="0"/>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color w:val="auto"/>
          <w:szCs w:val="21"/>
          <w:highlight w:val="none"/>
        </w:rPr>
        <w:t>注：以上内容如有变化将另行公告通知。如通知其中某一内容发生变化，其余未提及的将不作变动。</w:t>
      </w:r>
      <w:bookmarkStart w:id="6" w:name="_Toc18045"/>
      <w:bookmarkStart w:id="7" w:name="_Toc2494"/>
      <w:bookmarkStart w:id="8" w:name="_Toc251566649"/>
      <w:bookmarkStart w:id="9" w:name="_Toc240450076"/>
      <w:r>
        <w:rPr>
          <w:rFonts w:hint="eastAsia" w:ascii="宋体" w:hAnsi="宋体" w:eastAsia="宋体" w:cs="宋体"/>
          <w:b/>
          <w:color w:val="auto"/>
          <w:sz w:val="28"/>
          <w:szCs w:val="28"/>
          <w:highlight w:val="none"/>
        </w:rPr>
        <w:br w:type="page"/>
      </w:r>
    </w:p>
    <w:p w14:paraId="7FF34C92">
      <w:pPr>
        <w:pStyle w:val="5"/>
        <w:pageBreakBefore w:val="0"/>
        <w:shd w:val="clear"/>
        <w:kinsoku/>
        <w:overflowPunct/>
        <w:topLinePunct w:val="0"/>
        <w:bidi w:val="0"/>
        <w:spacing w:line="360" w:lineRule="auto"/>
        <w:jc w:val="center"/>
        <w:rPr>
          <w:rFonts w:hint="eastAsia" w:ascii="宋体" w:hAnsi="宋体" w:eastAsia="宋体" w:cs="宋体"/>
          <w:color w:val="auto"/>
          <w:highlight w:val="none"/>
        </w:rPr>
      </w:pPr>
      <w:bookmarkStart w:id="10" w:name="_Toc21052"/>
      <w:r>
        <w:rPr>
          <w:rFonts w:hint="eastAsia" w:ascii="宋体" w:hAnsi="宋体" w:eastAsia="宋体" w:cs="宋体"/>
          <w:color w:val="auto"/>
          <w:highlight w:val="none"/>
        </w:rPr>
        <w:t>一、总则</w:t>
      </w:r>
      <w:bookmarkEnd w:id="6"/>
      <w:bookmarkEnd w:id="7"/>
      <w:bookmarkEnd w:id="10"/>
    </w:p>
    <w:p w14:paraId="33CD7D8B">
      <w:pPr>
        <w:pageBreakBefore w:val="0"/>
        <w:numPr>
          <w:ilvl w:val="0"/>
          <w:numId w:val="3"/>
        </w:numPr>
        <w:shd w:val="clear"/>
        <w:tabs>
          <w:tab w:val="left" w:pos="210"/>
        </w:tabs>
        <w:kinsoku/>
        <w:overflowPunct/>
        <w:topLinePunct w:val="0"/>
        <w:bidi w:val="0"/>
        <w:spacing w:line="360" w:lineRule="auto"/>
        <w:ind w:left="57" w:leftChars="0" w:hanging="57" w:firstLineChars="0"/>
        <w:jc w:val="left"/>
        <w:outlineLvl w:val="2"/>
        <w:rPr>
          <w:rFonts w:hint="eastAsia" w:ascii="宋体" w:hAnsi="宋体" w:eastAsia="宋体" w:cs="宋体"/>
          <w:b/>
          <w:color w:val="auto"/>
          <w:sz w:val="21"/>
          <w:szCs w:val="21"/>
          <w:highlight w:val="none"/>
        </w:rPr>
      </w:pPr>
      <w:bookmarkStart w:id="11" w:name="_Toc2187"/>
      <w:r>
        <w:rPr>
          <w:rFonts w:hint="eastAsia" w:ascii="宋体" w:hAnsi="宋体" w:eastAsia="宋体" w:cs="宋体"/>
          <w:b/>
          <w:color w:val="auto"/>
          <w:sz w:val="21"/>
          <w:szCs w:val="21"/>
          <w:highlight w:val="none"/>
        </w:rPr>
        <w:t>适用范围</w:t>
      </w:r>
    </w:p>
    <w:p w14:paraId="6D5604C0">
      <w:pPr>
        <w:pageBreakBefore w:val="0"/>
        <w:shd w:val="clear"/>
        <w:kinsoku/>
        <w:overflowPunct/>
        <w:topLinePunct w:val="0"/>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本招标文件适用于该项目的招标、投标、开标、资格审查及信用信息查询、评标、定标、合同、验收等行为（法律、法规另有规定的，从其规定）。</w:t>
      </w:r>
    </w:p>
    <w:p w14:paraId="18012FFD">
      <w:pPr>
        <w:pageBreakBefore w:val="0"/>
        <w:numPr>
          <w:ilvl w:val="0"/>
          <w:numId w:val="3"/>
        </w:numPr>
        <w:shd w:val="clear"/>
        <w:tabs>
          <w:tab w:val="left" w:pos="210"/>
        </w:tabs>
        <w:kinsoku/>
        <w:overflowPunct/>
        <w:topLinePunct w:val="0"/>
        <w:bidi w:val="0"/>
        <w:spacing w:line="360" w:lineRule="auto"/>
        <w:ind w:left="57" w:leftChars="0" w:hanging="57" w:firstLineChars="0"/>
        <w:jc w:val="left"/>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定义</w:t>
      </w:r>
    </w:p>
    <w:p w14:paraId="009AC8AB">
      <w:pPr>
        <w:pageBreakBefore w:val="0"/>
        <w:numPr>
          <w:ilvl w:val="1"/>
          <w:numId w:val="3"/>
        </w:numPr>
        <w:shd w:val="clear"/>
        <w:kinsoku/>
        <w:overflowPunct/>
        <w:topLinePunct w:val="0"/>
        <w:bidi w:val="0"/>
        <w:spacing w:line="360" w:lineRule="auto"/>
        <w:ind w:left="567" w:leftChars="0" w:hanging="567"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“采购人”系指招标公告中载明的本项目的采购人。</w:t>
      </w:r>
    </w:p>
    <w:p w14:paraId="4D10EDBC">
      <w:pPr>
        <w:pageBreakBefore w:val="0"/>
        <w:numPr>
          <w:ilvl w:val="1"/>
          <w:numId w:val="3"/>
        </w:numPr>
        <w:shd w:val="clear"/>
        <w:kinsoku/>
        <w:overflowPunct/>
        <w:topLinePunct w:val="0"/>
        <w:bidi w:val="0"/>
        <w:spacing w:line="360" w:lineRule="auto"/>
        <w:ind w:left="567" w:leftChars="0" w:hanging="567"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“采购代理机构”系指招标公告中载明的本项目的采购代理机构。</w:t>
      </w:r>
    </w:p>
    <w:p w14:paraId="1D7D262F">
      <w:pPr>
        <w:pageBreakBefore w:val="0"/>
        <w:numPr>
          <w:ilvl w:val="1"/>
          <w:numId w:val="3"/>
        </w:numPr>
        <w:shd w:val="clear"/>
        <w:kinsoku/>
        <w:overflowPunct/>
        <w:topLinePunct w:val="0"/>
        <w:bidi w:val="0"/>
        <w:spacing w:line="360" w:lineRule="auto"/>
        <w:ind w:left="567" w:leftChars="0" w:hanging="567"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“投标人”系指响应招标、参加投标竞争的法人、其他组织或者自然人。</w:t>
      </w:r>
    </w:p>
    <w:p w14:paraId="652E92B1">
      <w:pPr>
        <w:pageBreakBefore w:val="0"/>
        <w:numPr>
          <w:ilvl w:val="1"/>
          <w:numId w:val="3"/>
        </w:numPr>
        <w:shd w:val="clear"/>
        <w:kinsoku/>
        <w:overflowPunct/>
        <w:topLinePunct w:val="0"/>
        <w:bidi w:val="0"/>
        <w:spacing w:line="360" w:lineRule="auto"/>
        <w:ind w:left="567" w:leftChars="0" w:hanging="567"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“负责人”系指法人企业的法定负责人，或其他组织为法律、行政法规规定代表单位行使职权的主要负责人，或自然人本人。</w:t>
      </w:r>
    </w:p>
    <w:p w14:paraId="46BE844A">
      <w:pPr>
        <w:pageBreakBefore w:val="0"/>
        <w:numPr>
          <w:ilvl w:val="1"/>
          <w:numId w:val="3"/>
        </w:numPr>
        <w:shd w:val="clear"/>
        <w:kinsoku/>
        <w:overflowPunct/>
        <w:topLinePunct w:val="0"/>
        <w:bidi w:val="0"/>
        <w:spacing w:line="360" w:lineRule="auto"/>
        <w:ind w:left="567" w:leftChars="0" w:hanging="567"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“电子签名”系指数据电文中以电子形式所含、所附用于识别签名人身份并表明签名人认可其中内容的数据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“公章”系指单位法定名称章。因特殊原因需要使用冠以法定名称的业务专用章的，投标时须提供《业务专用章使用说明函》（附件4）。</w:t>
      </w:r>
    </w:p>
    <w:p w14:paraId="15E5EB9E">
      <w:pPr>
        <w:pageBreakBefore w:val="0"/>
        <w:numPr>
          <w:ilvl w:val="1"/>
          <w:numId w:val="3"/>
        </w:numPr>
        <w:shd w:val="clear"/>
        <w:kinsoku/>
        <w:overflowPunct/>
        <w:topLinePunct w:val="0"/>
        <w:bidi w:val="0"/>
        <w:spacing w:line="360" w:lineRule="auto"/>
        <w:ind w:left="567" w:leftChars="0" w:hanging="567"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“电子交易平台”是指本项目政府采购活动所依托的政府采购云平台（https：//www.zcygov.cn/）。</w:t>
      </w:r>
    </w:p>
    <w:p w14:paraId="308CD2FB">
      <w:pPr>
        <w:pageBreakBefore w:val="0"/>
        <w:numPr>
          <w:ilvl w:val="1"/>
          <w:numId w:val="3"/>
        </w:numPr>
        <w:shd w:val="clear"/>
        <w:kinsoku/>
        <w:overflowPunct/>
        <w:topLinePunct w:val="0"/>
        <w:bidi w:val="0"/>
        <w:spacing w:line="360" w:lineRule="auto"/>
        <w:ind w:left="567" w:leftChars="0" w:hanging="567" w:firstLineChars="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“▲”系指实质性要求条款，“■”系指适用本项目的要求，“</w:t>
      </w:r>
      <w:sdt>
        <w:sdtPr>
          <w:rPr>
            <w:rFonts w:hint="eastAsia" w:ascii="宋体" w:hAnsi="宋体" w:eastAsia="宋体" w:cs="宋体"/>
            <w:color w:val="auto"/>
            <w:kern w:val="0"/>
            <w:sz w:val="21"/>
            <w:szCs w:val="21"/>
            <w:highlight w:val="none"/>
          </w:rPr>
          <w:id w:val="404888855"/>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sz w:val="21"/>
          <w:szCs w:val="21"/>
          <w:highlight w:val="none"/>
        </w:rPr>
        <w:t>”系指不适用本项目的要求。</w:t>
      </w:r>
    </w:p>
    <w:p w14:paraId="2586C512">
      <w:pPr>
        <w:pageBreakBefore w:val="0"/>
        <w:numPr>
          <w:ilvl w:val="0"/>
          <w:numId w:val="3"/>
        </w:numPr>
        <w:shd w:val="clear"/>
        <w:tabs>
          <w:tab w:val="left" w:pos="210"/>
        </w:tabs>
        <w:kinsoku/>
        <w:overflowPunct/>
        <w:topLinePunct w:val="0"/>
        <w:bidi w:val="0"/>
        <w:spacing w:line="360" w:lineRule="auto"/>
        <w:ind w:left="57" w:leftChars="0" w:hanging="57" w:firstLineChars="0"/>
        <w:jc w:val="left"/>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采购项目需要落实的政府采购政策</w:t>
      </w:r>
    </w:p>
    <w:p w14:paraId="3E430DDE">
      <w:pPr>
        <w:pageBreakBefore w:val="0"/>
        <w:numPr>
          <w:ilvl w:val="1"/>
          <w:numId w:val="3"/>
        </w:numPr>
        <w:shd w:val="clear"/>
        <w:kinsoku/>
        <w:overflowPunct/>
        <w:topLinePunct w:val="0"/>
        <w:bidi w:val="0"/>
        <w:spacing w:line="360" w:lineRule="auto"/>
        <w:ind w:left="567" w:leftChars="0" w:hanging="567"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优先采购向我国企业转让技术、与我国企业签订消化吸收再创新方案的</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的进口产品。</w:t>
      </w:r>
    </w:p>
    <w:p w14:paraId="2D77DEAF">
      <w:pPr>
        <w:pageBreakBefore w:val="0"/>
        <w:numPr>
          <w:ilvl w:val="1"/>
          <w:numId w:val="3"/>
        </w:numPr>
        <w:shd w:val="clear"/>
        <w:kinsoku/>
        <w:overflowPunct/>
        <w:topLinePunct w:val="0"/>
        <w:bidi w:val="0"/>
        <w:spacing w:line="360" w:lineRule="auto"/>
        <w:ind w:left="567" w:leftChars="0" w:hanging="567"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支持绿色发展</w:t>
      </w:r>
    </w:p>
    <w:p w14:paraId="6AA69BAA">
      <w:pPr>
        <w:pageBreakBefore w:val="0"/>
        <w:numPr>
          <w:ilvl w:val="2"/>
          <w:numId w:val="3"/>
        </w:numPr>
        <w:shd w:val="clear"/>
        <w:kinsoku/>
        <w:overflowPunct/>
        <w:topLinePunct w:val="0"/>
        <w:bidi w:val="0"/>
        <w:spacing w:line="360" w:lineRule="auto"/>
        <w:ind w:left="850" w:leftChars="0" w:hanging="85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14AEBC86">
      <w:pPr>
        <w:pageBreakBefore w:val="0"/>
        <w:shd w:val="clear"/>
        <w:kinsoku/>
        <w:overflowPunct/>
        <w:topLinePunct w:val="0"/>
        <w:bidi w:val="0"/>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采购人拟采购的产品属于政府强制采购的节能产品品目清单范围的，投标人未按招标文件要求提供国家确定的认证机构出具的、处于有效期之内的节能产品认证证书的，投标无效。</w:t>
      </w:r>
    </w:p>
    <w:p w14:paraId="0E832C83">
      <w:pPr>
        <w:pageBreakBefore w:val="0"/>
        <w:numPr>
          <w:ilvl w:val="2"/>
          <w:numId w:val="3"/>
        </w:numPr>
        <w:shd w:val="clear"/>
        <w:kinsoku/>
        <w:overflowPunct/>
        <w:topLinePunct w:val="0"/>
        <w:bidi w:val="0"/>
        <w:spacing w:line="360" w:lineRule="auto"/>
        <w:ind w:left="850" w:leftChars="0" w:hanging="85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为助力打好污染防治攻坚战，推广使用绿色包装，涉及商品包装和快递包装的，</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提供产品及相关快递服务的具体包装要求要参考《商品包装政府采购需求标准（试行）》、《快递包装政府采购需求标准（试行）》。</w:t>
      </w:r>
    </w:p>
    <w:p w14:paraId="594F4A2C">
      <w:pPr>
        <w:pageBreakBefore w:val="0"/>
        <w:numPr>
          <w:ilvl w:val="2"/>
          <w:numId w:val="3"/>
        </w:numPr>
        <w:shd w:val="clear"/>
        <w:kinsoku/>
        <w:overflowPunct/>
        <w:topLinePunct w:val="0"/>
        <w:bidi w:val="0"/>
        <w:spacing w:line="360" w:lineRule="auto"/>
        <w:ind w:left="850" w:leftChars="0" w:hanging="85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鼓励</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开展绿色设计、选择绿色材料、打造绿色制造工艺、开展绿色运输、做好废弃产品回收处理，实现产品全周期的绿色环保。</w:t>
      </w:r>
    </w:p>
    <w:p w14:paraId="51DD56BF">
      <w:pPr>
        <w:pageBreakBefore w:val="0"/>
        <w:numPr>
          <w:ilvl w:val="1"/>
          <w:numId w:val="3"/>
        </w:numPr>
        <w:shd w:val="clear"/>
        <w:kinsoku/>
        <w:overflowPunct/>
        <w:topLinePunct w:val="0"/>
        <w:bidi w:val="0"/>
        <w:spacing w:line="360" w:lineRule="auto"/>
        <w:ind w:left="567" w:leftChars="0" w:hanging="567"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支持中小企业发展</w:t>
      </w:r>
    </w:p>
    <w:p w14:paraId="3355B248">
      <w:pPr>
        <w:pageBreakBefore w:val="0"/>
        <w:numPr>
          <w:ilvl w:val="2"/>
          <w:numId w:val="3"/>
        </w:numPr>
        <w:shd w:val="clear"/>
        <w:kinsoku/>
        <w:overflowPunct/>
        <w:topLinePunct w:val="0"/>
        <w:bidi w:val="0"/>
        <w:spacing w:line="360" w:lineRule="auto"/>
        <w:ind w:left="850" w:leftChars="0" w:hanging="85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79A54646">
      <w:pPr>
        <w:pageBreakBefore w:val="0"/>
        <w:shd w:val="clear"/>
        <w:kinsoku/>
        <w:overflowPunct/>
        <w:topLinePunct w:val="0"/>
        <w:bidi w:val="0"/>
        <w:spacing w:line="360" w:lineRule="auto"/>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符合中小企业划分标准的个体工商户，在政府采购活动中视同中小企业。</w:t>
      </w:r>
    </w:p>
    <w:p w14:paraId="67FAB84C">
      <w:pPr>
        <w:pageBreakBefore w:val="0"/>
        <w:numPr>
          <w:ilvl w:val="2"/>
          <w:numId w:val="3"/>
        </w:numPr>
        <w:shd w:val="clear"/>
        <w:kinsoku/>
        <w:overflowPunct/>
        <w:topLinePunct w:val="0"/>
        <w:bidi w:val="0"/>
        <w:spacing w:line="360" w:lineRule="auto"/>
        <w:ind w:left="850" w:leftChars="0" w:hanging="85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5059E803">
      <w:pPr>
        <w:pageBreakBefore w:val="0"/>
        <w:numPr>
          <w:ilvl w:val="2"/>
          <w:numId w:val="3"/>
        </w:numPr>
        <w:shd w:val="clear"/>
        <w:kinsoku/>
        <w:overflowPunct/>
        <w:topLinePunct w:val="0"/>
        <w:bidi w:val="0"/>
        <w:spacing w:line="360" w:lineRule="auto"/>
        <w:ind w:left="850" w:leftChars="0" w:hanging="85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以联合体形式参加政府采购活动，联合体各方均为中小企业的，联合体视同中小企业。其中，联合体各方均为小微企业的，联合体视同小微企业。</w:t>
      </w:r>
    </w:p>
    <w:p w14:paraId="44D29491">
      <w:pPr>
        <w:pageBreakBefore w:val="0"/>
        <w:numPr>
          <w:ilvl w:val="2"/>
          <w:numId w:val="3"/>
        </w:numPr>
        <w:shd w:val="clear"/>
        <w:kinsoku/>
        <w:overflowPunct/>
        <w:topLinePunct w:val="0"/>
        <w:bidi w:val="0"/>
        <w:spacing w:line="360" w:lineRule="auto"/>
        <w:ind w:left="850" w:leftChars="0" w:hanging="85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5D9A57C4">
      <w:pPr>
        <w:pageBreakBefore w:val="0"/>
        <w:numPr>
          <w:ilvl w:val="2"/>
          <w:numId w:val="3"/>
        </w:numPr>
        <w:shd w:val="clear"/>
        <w:kinsoku/>
        <w:overflowPunct/>
        <w:topLinePunct w:val="0"/>
        <w:bidi w:val="0"/>
        <w:spacing w:line="360" w:lineRule="auto"/>
        <w:ind w:left="850" w:leftChars="0" w:hanging="85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符合《关于促进残疾人就业政府采购政策的通知》（财库〔2017〕141号）规定的条件并提供《残疾人福利性单位声明函》（附件1）的残疾人福利性单位视同小型、微型企业</w:t>
      </w:r>
      <w:r>
        <w:rPr>
          <w:rFonts w:hint="eastAsia" w:ascii="宋体" w:hAnsi="宋体" w:eastAsia="宋体" w:cs="宋体"/>
          <w:color w:val="auto"/>
          <w:sz w:val="21"/>
          <w:szCs w:val="21"/>
          <w:highlight w:val="none"/>
          <w:lang w:eastAsia="zh-CN"/>
        </w:rPr>
        <w:t>；</w:t>
      </w:r>
    </w:p>
    <w:p w14:paraId="0525D2EC">
      <w:pPr>
        <w:pageBreakBefore w:val="0"/>
        <w:numPr>
          <w:ilvl w:val="2"/>
          <w:numId w:val="3"/>
        </w:numPr>
        <w:shd w:val="clear"/>
        <w:kinsoku/>
        <w:overflowPunct/>
        <w:topLinePunct w:val="0"/>
        <w:bidi w:val="0"/>
        <w:spacing w:line="360" w:lineRule="auto"/>
        <w:ind w:left="850" w:leftChars="0" w:hanging="85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17195D9C">
      <w:pPr>
        <w:pageBreakBefore w:val="0"/>
        <w:numPr>
          <w:ilvl w:val="2"/>
          <w:numId w:val="3"/>
        </w:numPr>
        <w:shd w:val="clear"/>
        <w:kinsoku/>
        <w:overflowPunct/>
        <w:topLinePunct w:val="0"/>
        <w:bidi w:val="0"/>
        <w:spacing w:line="360" w:lineRule="auto"/>
        <w:ind w:left="850" w:leftChars="0" w:hanging="85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328F427">
      <w:pPr>
        <w:pageBreakBefore w:val="0"/>
        <w:numPr>
          <w:ilvl w:val="2"/>
          <w:numId w:val="3"/>
        </w:numPr>
        <w:shd w:val="clear"/>
        <w:kinsoku/>
        <w:overflowPunct/>
        <w:topLinePunct w:val="0"/>
        <w:bidi w:val="0"/>
        <w:spacing w:line="360" w:lineRule="auto"/>
        <w:ind w:left="850" w:leftChars="0" w:hanging="85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中小企业享受扶持政策获得政府采购合同的，小微企业不得将合同分包给大中型企业，中型企业不得将合同分包给大型企业。</w:t>
      </w:r>
    </w:p>
    <w:p w14:paraId="152B44C7">
      <w:pPr>
        <w:pageBreakBefore w:val="0"/>
        <w:numPr>
          <w:ilvl w:val="1"/>
          <w:numId w:val="3"/>
        </w:numPr>
        <w:shd w:val="clear"/>
        <w:kinsoku/>
        <w:overflowPunct/>
        <w:topLinePunct w:val="0"/>
        <w:bidi w:val="0"/>
        <w:spacing w:line="360" w:lineRule="auto"/>
        <w:ind w:left="567" w:leftChars="0" w:hanging="567"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支持创新发展</w:t>
      </w:r>
    </w:p>
    <w:p w14:paraId="37FA3A25">
      <w:pPr>
        <w:pageBreakBefore w:val="0"/>
        <w:numPr>
          <w:ilvl w:val="2"/>
          <w:numId w:val="3"/>
        </w:numPr>
        <w:shd w:val="clear"/>
        <w:kinsoku/>
        <w:overflowPunct/>
        <w:topLinePunct w:val="0"/>
        <w:bidi w:val="0"/>
        <w:spacing w:line="360" w:lineRule="auto"/>
        <w:ind w:left="850" w:leftChars="0" w:hanging="85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采购人优先采购被认定为首台套产品和“制造精品”的自主创新产品。</w:t>
      </w:r>
    </w:p>
    <w:p w14:paraId="15956B98">
      <w:pPr>
        <w:pageBreakBefore w:val="0"/>
        <w:numPr>
          <w:ilvl w:val="2"/>
          <w:numId w:val="3"/>
        </w:numPr>
        <w:shd w:val="clear"/>
        <w:kinsoku/>
        <w:overflowPunct/>
        <w:topLinePunct w:val="0"/>
        <w:bidi w:val="0"/>
        <w:spacing w:line="360" w:lineRule="auto"/>
        <w:ind w:left="850" w:leftChars="0" w:hanging="85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3D35DABE">
      <w:pPr>
        <w:pageBreakBefore w:val="0"/>
        <w:numPr>
          <w:ilvl w:val="2"/>
          <w:numId w:val="3"/>
        </w:numPr>
        <w:shd w:val="clear"/>
        <w:kinsoku/>
        <w:overflowPunct/>
        <w:topLinePunct w:val="0"/>
        <w:bidi w:val="0"/>
        <w:spacing w:line="360" w:lineRule="auto"/>
        <w:ind w:left="850" w:leftChars="0" w:hanging="85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采购人应当贯彻落实知识产权保护相关法律法规，应当采购使用正版软件。</w:t>
      </w:r>
    </w:p>
    <w:p w14:paraId="204D6B01">
      <w:pPr>
        <w:pageBreakBefore w:val="0"/>
        <w:numPr>
          <w:ilvl w:val="1"/>
          <w:numId w:val="3"/>
        </w:numPr>
        <w:shd w:val="clear"/>
        <w:kinsoku/>
        <w:overflowPunct/>
        <w:topLinePunct w:val="0"/>
        <w:bidi w:val="0"/>
        <w:spacing w:line="360" w:lineRule="auto"/>
        <w:ind w:left="567" w:leftChars="0" w:hanging="567"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平等对待内外资企业和符合条件的破产重整企业</w:t>
      </w:r>
    </w:p>
    <w:p w14:paraId="550ED576">
      <w:pPr>
        <w:pageBreakBefore w:val="0"/>
        <w:shd w:val="clear"/>
        <w:kinsoku/>
        <w:overflowPunct/>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平等对待内外资企业和符合条件的破产重整企业，切实保障企业公平竞争，平等维护企业的合法利益。</w:t>
      </w:r>
    </w:p>
    <w:p w14:paraId="351FF060">
      <w:pPr>
        <w:pageBreakBefore w:val="0"/>
        <w:numPr>
          <w:ilvl w:val="0"/>
          <w:numId w:val="3"/>
        </w:numPr>
        <w:shd w:val="clear"/>
        <w:tabs>
          <w:tab w:val="left" w:pos="210"/>
        </w:tabs>
        <w:kinsoku/>
        <w:overflowPunct/>
        <w:topLinePunct w:val="0"/>
        <w:bidi w:val="0"/>
        <w:spacing w:line="360" w:lineRule="auto"/>
        <w:ind w:left="57" w:leftChars="0" w:hanging="57" w:firstLineChars="0"/>
        <w:jc w:val="left"/>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询问、质疑、投诉</w:t>
      </w:r>
    </w:p>
    <w:p w14:paraId="25556AEB">
      <w:pPr>
        <w:pageBreakBefore w:val="0"/>
        <w:numPr>
          <w:ilvl w:val="1"/>
          <w:numId w:val="3"/>
        </w:numPr>
        <w:shd w:val="clear"/>
        <w:tabs>
          <w:tab w:val="left" w:pos="210"/>
        </w:tabs>
        <w:kinsoku/>
        <w:overflowPunct/>
        <w:topLinePunct w:val="0"/>
        <w:bidi w:val="0"/>
        <w:spacing w:line="360" w:lineRule="auto"/>
        <w:ind w:left="567" w:leftChars="0" w:hanging="567" w:firstLineChars="0"/>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在线询问、质疑、投诉</w:t>
      </w:r>
    </w:p>
    <w:p w14:paraId="58F37D41">
      <w:pPr>
        <w:pageBreakBefore w:val="0"/>
        <w:shd w:val="clear"/>
        <w:kinsoku/>
        <w:overflowPunct/>
        <w:topLinePunct w:val="0"/>
        <w:bidi w:val="0"/>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根据《浙江省财政厅关于进一步促进政府采购公平竞争打造最优营商环境的通知》（浙财采监（2021）22号）文件关于“健全行政裁决机制”要求，鼓励投标人在线提起询问，路径为：政采云-项目采购-询问质疑投诉-询问列表；鼓励投标人在线提起质疑，路径为：政采云-项目采购-询问质疑投诉-质疑列表。质疑投标人对在线质疑答复不满意的，可在线提起投诉，路径为：浙江政府服务网-政府采购投诉处理-在线办理。</w:t>
      </w:r>
    </w:p>
    <w:p w14:paraId="1019162F">
      <w:pPr>
        <w:pageBreakBefore w:val="0"/>
        <w:numPr>
          <w:ilvl w:val="1"/>
          <w:numId w:val="3"/>
        </w:numPr>
        <w:shd w:val="clear"/>
        <w:tabs>
          <w:tab w:val="left" w:pos="210"/>
        </w:tabs>
        <w:kinsoku/>
        <w:overflowPunct/>
        <w:topLinePunct w:val="0"/>
        <w:bidi w:val="0"/>
        <w:spacing w:line="360" w:lineRule="auto"/>
        <w:ind w:left="567" w:leftChars="0" w:hanging="567" w:firstLineChars="0"/>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投标人询问</w:t>
      </w:r>
    </w:p>
    <w:p w14:paraId="2D74CE4F">
      <w:pPr>
        <w:pageBreakBefore w:val="0"/>
        <w:shd w:val="clear"/>
        <w:kinsoku/>
        <w:overflowPunct/>
        <w:topLinePunct w:val="0"/>
        <w:autoSpaceDE w:val="0"/>
        <w:autoSpaceDN w:val="0"/>
        <w:bidi w:val="0"/>
        <w:spacing w:line="36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投标人对政府采购活动事项有疑问的，可以提出询问，采购人或者采购代理机构应当在3个工作日内对投标人依法提出的询问作出答复，但答复的内容不得涉及商业秘密。投标人提出的询问超出采购人对采购代理机构委托授权范围的，采购代理机构应当告知投标人向采购人提出。</w:t>
      </w:r>
    </w:p>
    <w:p w14:paraId="751B803E">
      <w:pPr>
        <w:pageBreakBefore w:val="0"/>
        <w:numPr>
          <w:ilvl w:val="1"/>
          <w:numId w:val="3"/>
        </w:numPr>
        <w:shd w:val="clear"/>
        <w:tabs>
          <w:tab w:val="left" w:pos="210"/>
        </w:tabs>
        <w:kinsoku/>
        <w:overflowPunct/>
        <w:topLinePunct w:val="0"/>
        <w:bidi w:val="0"/>
        <w:spacing w:line="360" w:lineRule="auto"/>
        <w:ind w:left="567" w:leftChars="0" w:hanging="567" w:firstLineChars="0"/>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投标人质疑</w:t>
      </w:r>
    </w:p>
    <w:p w14:paraId="3B13B8AB">
      <w:pPr>
        <w:pageBreakBefore w:val="0"/>
        <w:numPr>
          <w:ilvl w:val="2"/>
          <w:numId w:val="3"/>
        </w:numPr>
        <w:shd w:val="clear"/>
        <w:tabs>
          <w:tab w:val="left" w:pos="210"/>
        </w:tabs>
        <w:kinsoku/>
        <w:overflowPunct/>
        <w:topLinePunct w:val="0"/>
        <w:bidi w:val="0"/>
        <w:spacing w:line="360" w:lineRule="auto"/>
        <w:ind w:left="850" w:leftChars="0" w:hanging="850" w:firstLineChars="0"/>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提出质疑的投标人应当是参与所质疑项目采购活动的投标人。潜在投标人已依法获取其可质疑的招标文件的，可以对该文件提出质疑。</w:t>
      </w:r>
    </w:p>
    <w:p w14:paraId="7EA0528E">
      <w:pPr>
        <w:pageBreakBefore w:val="0"/>
        <w:numPr>
          <w:ilvl w:val="2"/>
          <w:numId w:val="3"/>
        </w:numPr>
        <w:shd w:val="clear"/>
        <w:tabs>
          <w:tab w:val="left" w:pos="210"/>
        </w:tabs>
        <w:kinsoku/>
        <w:overflowPunct/>
        <w:topLinePunct w:val="0"/>
        <w:bidi w:val="0"/>
        <w:spacing w:line="360" w:lineRule="auto"/>
        <w:ind w:left="850" w:leftChars="0" w:hanging="850" w:firstLineChars="0"/>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投标人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78C1B01">
      <w:pPr>
        <w:pageBreakBefore w:val="0"/>
        <w:numPr>
          <w:ilvl w:val="3"/>
          <w:numId w:val="3"/>
        </w:numPr>
        <w:shd w:val="clear"/>
        <w:tabs>
          <w:tab w:val="left" w:pos="210"/>
          <w:tab w:val="left" w:pos="1050"/>
        </w:tabs>
        <w:kinsoku/>
        <w:overflowPunct/>
        <w:topLinePunct w:val="0"/>
        <w:bidi w:val="0"/>
        <w:spacing w:line="360" w:lineRule="auto"/>
        <w:ind w:left="850" w:leftChars="0" w:hanging="850" w:firstLineChars="0"/>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对招标文件提出质疑的，质疑期限为投标人获得招标文件之日或者招标文件公告期限届满之日起计算。</w:t>
      </w:r>
    </w:p>
    <w:p w14:paraId="04F4D44D">
      <w:pPr>
        <w:pageBreakBefore w:val="0"/>
        <w:numPr>
          <w:ilvl w:val="3"/>
          <w:numId w:val="3"/>
        </w:numPr>
        <w:shd w:val="clear"/>
        <w:tabs>
          <w:tab w:val="left" w:pos="210"/>
          <w:tab w:val="left" w:pos="1050"/>
        </w:tabs>
        <w:kinsoku/>
        <w:overflowPunct/>
        <w:topLinePunct w:val="0"/>
        <w:bidi w:val="0"/>
        <w:spacing w:line="360" w:lineRule="auto"/>
        <w:ind w:left="850" w:leftChars="0" w:hanging="850" w:firstLineChars="0"/>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对采购过程提出质疑的，质疑期限为各采购程序环节结束之日起计算。</w:t>
      </w:r>
    </w:p>
    <w:p w14:paraId="3F8146C5">
      <w:pPr>
        <w:pageBreakBefore w:val="0"/>
        <w:numPr>
          <w:ilvl w:val="3"/>
          <w:numId w:val="3"/>
        </w:numPr>
        <w:shd w:val="clear"/>
        <w:tabs>
          <w:tab w:val="left" w:pos="210"/>
          <w:tab w:val="left" w:pos="1050"/>
        </w:tabs>
        <w:kinsoku/>
        <w:overflowPunct/>
        <w:topLinePunct w:val="0"/>
        <w:bidi w:val="0"/>
        <w:spacing w:line="360" w:lineRule="auto"/>
        <w:ind w:left="850" w:leftChars="0" w:hanging="850" w:firstLineChars="0"/>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对采购结果提出质疑的，质疑期限自采购结果公告期限届满之日起计算。</w:t>
      </w:r>
    </w:p>
    <w:p w14:paraId="5D84C144">
      <w:pPr>
        <w:pageBreakBefore w:val="0"/>
        <w:numPr>
          <w:ilvl w:val="2"/>
          <w:numId w:val="3"/>
        </w:numPr>
        <w:shd w:val="clear"/>
        <w:tabs>
          <w:tab w:val="left" w:pos="210"/>
        </w:tabs>
        <w:kinsoku/>
        <w:overflowPunct/>
        <w:topLinePunct w:val="0"/>
        <w:bidi w:val="0"/>
        <w:spacing w:line="360" w:lineRule="auto"/>
        <w:ind w:left="850" w:leftChars="0" w:hanging="850" w:firstLineChars="0"/>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投标人提出质疑应当提交质疑函和必要的证明材料。质疑函应当包括下列内容：</w:t>
      </w:r>
    </w:p>
    <w:p w14:paraId="48F73567">
      <w:pPr>
        <w:pageBreakBefore w:val="0"/>
        <w:numPr>
          <w:ilvl w:val="3"/>
          <w:numId w:val="3"/>
        </w:numPr>
        <w:shd w:val="clear"/>
        <w:tabs>
          <w:tab w:val="left" w:pos="210"/>
          <w:tab w:val="left" w:pos="1050"/>
        </w:tabs>
        <w:kinsoku/>
        <w:overflowPunct/>
        <w:topLinePunct w:val="0"/>
        <w:bidi w:val="0"/>
        <w:spacing w:line="360" w:lineRule="auto"/>
        <w:ind w:left="850" w:leftChars="0" w:hanging="850" w:firstLineChars="0"/>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投标人的姓名或者名称、地址、邮编、联系人及联系电话；</w:t>
      </w:r>
    </w:p>
    <w:p w14:paraId="4EC8993E">
      <w:pPr>
        <w:pageBreakBefore w:val="0"/>
        <w:numPr>
          <w:ilvl w:val="3"/>
          <w:numId w:val="3"/>
        </w:numPr>
        <w:shd w:val="clear"/>
        <w:tabs>
          <w:tab w:val="left" w:pos="210"/>
          <w:tab w:val="left" w:pos="1050"/>
        </w:tabs>
        <w:kinsoku/>
        <w:overflowPunct/>
        <w:topLinePunct w:val="0"/>
        <w:bidi w:val="0"/>
        <w:spacing w:line="360" w:lineRule="auto"/>
        <w:ind w:left="850" w:leftChars="0" w:hanging="850" w:firstLineChars="0"/>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质疑项目的名称、编号；</w:t>
      </w:r>
    </w:p>
    <w:p w14:paraId="00ABBDCA">
      <w:pPr>
        <w:pageBreakBefore w:val="0"/>
        <w:numPr>
          <w:ilvl w:val="3"/>
          <w:numId w:val="3"/>
        </w:numPr>
        <w:shd w:val="clear"/>
        <w:tabs>
          <w:tab w:val="left" w:pos="210"/>
          <w:tab w:val="left" w:pos="1050"/>
        </w:tabs>
        <w:kinsoku/>
        <w:overflowPunct/>
        <w:topLinePunct w:val="0"/>
        <w:bidi w:val="0"/>
        <w:spacing w:line="360" w:lineRule="auto"/>
        <w:ind w:left="850" w:leftChars="0" w:hanging="850" w:firstLineChars="0"/>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具体、明确的质疑事项和与质疑事项相关的请求；</w:t>
      </w:r>
    </w:p>
    <w:p w14:paraId="579C8ED3">
      <w:pPr>
        <w:pageBreakBefore w:val="0"/>
        <w:numPr>
          <w:ilvl w:val="3"/>
          <w:numId w:val="3"/>
        </w:numPr>
        <w:shd w:val="clear"/>
        <w:tabs>
          <w:tab w:val="left" w:pos="210"/>
          <w:tab w:val="left" w:pos="1050"/>
        </w:tabs>
        <w:kinsoku/>
        <w:overflowPunct/>
        <w:topLinePunct w:val="0"/>
        <w:bidi w:val="0"/>
        <w:spacing w:line="360" w:lineRule="auto"/>
        <w:ind w:left="850" w:leftChars="0" w:hanging="850" w:firstLineChars="0"/>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事实依据；</w:t>
      </w:r>
    </w:p>
    <w:p w14:paraId="2C202772">
      <w:pPr>
        <w:pageBreakBefore w:val="0"/>
        <w:numPr>
          <w:ilvl w:val="3"/>
          <w:numId w:val="3"/>
        </w:numPr>
        <w:shd w:val="clear"/>
        <w:tabs>
          <w:tab w:val="left" w:pos="210"/>
          <w:tab w:val="left" w:pos="1050"/>
        </w:tabs>
        <w:kinsoku/>
        <w:overflowPunct/>
        <w:topLinePunct w:val="0"/>
        <w:bidi w:val="0"/>
        <w:spacing w:line="360" w:lineRule="auto"/>
        <w:ind w:left="850" w:leftChars="0" w:hanging="850" w:firstLineChars="0"/>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必要的法律依据；</w:t>
      </w:r>
    </w:p>
    <w:p w14:paraId="689609D7">
      <w:pPr>
        <w:pageBreakBefore w:val="0"/>
        <w:numPr>
          <w:ilvl w:val="3"/>
          <w:numId w:val="3"/>
        </w:numPr>
        <w:shd w:val="clear"/>
        <w:tabs>
          <w:tab w:val="left" w:pos="210"/>
          <w:tab w:val="left" w:pos="1050"/>
        </w:tabs>
        <w:kinsoku/>
        <w:overflowPunct/>
        <w:topLinePunct w:val="0"/>
        <w:bidi w:val="0"/>
        <w:spacing w:line="360" w:lineRule="auto"/>
        <w:ind w:left="850" w:leftChars="0" w:hanging="850" w:firstLineChars="0"/>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提出质疑的日期。</w:t>
      </w:r>
    </w:p>
    <w:p w14:paraId="5F047D9B">
      <w:pPr>
        <w:pageBreakBefore w:val="0"/>
        <w:shd w:val="clear"/>
        <w:tabs>
          <w:tab w:val="left" w:pos="210"/>
        </w:tabs>
        <w:kinsoku/>
        <w:overflowPunct/>
        <w:topLinePunct w:val="0"/>
        <w:bidi w:val="0"/>
        <w:spacing w:line="360" w:lineRule="auto"/>
        <w:ind w:firstLine="420" w:firstLineChars="200"/>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投标人提交的质疑函需一式三份。投标人为自然人的，应当由本人签字；投标人为法人或者其他组织的，应当由法定代表人、主要负责人，或者其授权代表签字或者盖章，并加盖公章或电子章。</w:t>
      </w:r>
    </w:p>
    <w:p w14:paraId="4A5390DA">
      <w:pPr>
        <w:pageBreakBefore w:val="0"/>
        <w:shd w:val="clear"/>
        <w:tabs>
          <w:tab w:val="left" w:pos="210"/>
        </w:tabs>
        <w:kinsoku/>
        <w:overflowPunct/>
        <w:topLinePunct w:val="0"/>
        <w:bidi w:val="0"/>
        <w:spacing w:line="360" w:lineRule="auto"/>
        <w:ind w:firstLine="420" w:firstLineChars="200"/>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质疑函范本及制作说明详见附件2。</w:t>
      </w:r>
    </w:p>
    <w:p w14:paraId="02E8EA78">
      <w:pPr>
        <w:pageBreakBefore w:val="0"/>
        <w:numPr>
          <w:ilvl w:val="2"/>
          <w:numId w:val="3"/>
        </w:numPr>
        <w:shd w:val="clear"/>
        <w:tabs>
          <w:tab w:val="left" w:pos="210"/>
          <w:tab w:val="left" w:pos="840"/>
        </w:tabs>
        <w:kinsoku/>
        <w:overflowPunct/>
        <w:topLinePunct w:val="0"/>
        <w:bidi w:val="0"/>
        <w:spacing w:line="360" w:lineRule="auto"/>
        <w:ind w:left="850" w:leftChars="0" w:hanging="850" w:firstLineChars="0"/>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对同一采购程序环节的质疑，投标人须在法定质疑期内一次性提出。</w:t>
      </w:r>
    </w:p>
    <w:p w14:paraId="3C77A6F4">
      <w:pPr>
        <w:pageBreakBefore w:val="0"/>
        <w:numPr>
          <w:ilvl w:val="2"/>
          <w:numId w:val="3"/>
        </w:numPr>
        <w:shd w:val="clear"/>
        <w:tabs>
          <w:tab w:val="left" w:pos="210"/>
          <w:tab w:val="left" w:pos="840"/>
        </w:tabs>
        <w:kinsoku/>
        <w:overflowPunct/>
        <w:topLinePunct w:val="0"/>
        <w:bidi w:val="0"/>
        <w:spacing w:line="360" w:lineRule="auto"/>
        <w:ind w:left="850" w:leftChars="0" w:hanging="850" w:firstLineChars="0"/>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采购人或者采购代理机构应当在收到投标人的书面质疑后七个工作日内作出答复，并以书面形式通知质疑投标人和其他与质疑处理结果有利害关系的政府采购当事人，但答复的内容不得涉及商业秘密。</w:t>
      </w:r>
    </w:p>
    <w:p w14:paraId="554CC2AC">
      <w:pPr>
        <w:pageBreakBefore w:val="0"/>
        <w:numPr>
          <w:ilvl w:val="1"/>
          <w:numId w:val="3"/>
        </w:numPr>
        <w:shd w:val="clear"/>
        <w:tabs>
          <w:tab w:val="left" w:pos="210"/>
        </w:tabs>
        <w:kinsoku/>
        <w:overflowPunct/>
        <w:topLinePunct w:val="0"/>
        <w:bidi w:val="0"/>
        <w:spacing w:line="360" w:lineRule="auto"/>
        <w:ind w:left="567" w:leftChars="0" w:hanging="567" w:firstLineChars="0"/>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投标人投诉</w:t>
      </w:r>
    </w:p>
    <w:p w14:paraId="7CD51DC4">
      <w:pPr>
        <w:pageBreakBefore w:val="0"/>
        <w:numPr>
          <w:ilvl w:val="2"/>
          <w:numId w:val="3"/>
        </w:numPr>
        <w:shd w:val="clear"/>
        <w:tabs>
          <w:tab w:val="left" w:pos="210"/>
        </w:tabs>
        <w:kinsoku/>
        <w:overflowPunct/>
        <w:topLinePunct w:val="0"/>
        <w:bidi w:val="0"/>
        <w:spacing w:line="360" w:lineRule="auto"/>
        <w:ind w:left="850" w:leftChars="0" w:hanging="850" w:firstLineChars="0"/>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质疑投标人对采购人、采购代理机构的答复不满意或者采购人、采购代理机构未在规定的时间内作出答复的，可以在答复期满后十五个工作日内向同级政府采购监督管理部门提出投诉。</w:t>
      </w:r>
    </w:p>
    <w:p w14:paraId="16E3EDE1">
      <w:pPr>
        <w:pageBreakBefore w:val="0"/>
        <w:numPr>
          <w:ilvl w:val="2"/>
          <w:numId w:val="3"/>
        </w:numPr>
        <w:shd w:val="clear"/>
        <w:tabs>
          <w:tab w:val="left" w:pos="210"/>
        </w:tabs>
        <w:kinsoku/>
        <w:overflowPunct/>
        <w:topLinePunct w:val="0"/>
        <w:bidi w:val="0"/>
        <w:spacing w:line="360" w:lineRule="auto"/>
        <w:ind w:left="850" w:leftChars="0" w:hanging="850" w:firstLineChars="0"/>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投标人投诉的事项不得超出已质疑事项的范围，基于质疑答复内容提出的投诉事项除外。</w:t>
      </w:r>
    </w:p>
    <w:p w14:paraId="41298603">
      <w:pPr>
        <w:pageBreakBefore w:val="0"/>
        <w:numPr>
          <w:ilvl w:val="2"/>
          <w:numId w:val="3"/>
        </w:numPr>
        <w:shd w:val="clear"/>
        <w:tabs>
          <w:tab w:val="left" w:pos="210"/>
        </w:tabs>
        <w:kinsoku/>
        <w:overflowPunct/>
        <w:topLinePunct w:val="0"/>
        <w:bidi w:val="0"/>
        <w:spacing w:line="360" w:lineRule="auto"/>
        <w:ind w:left="850" w:leftChars="0" w:hanging="850" w:firstLineChars="0"/>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投标人投诉应当有明确的请求和必要的证明材料。</w:t>
      </w:r>
    </w:p>
    <w:p w14:paraId="7107008C">
      <w:pPr>
        <w:pageBreakBefore w:val="0"/>
        <w:numPr>
          <w:ilvl w:val="2"/>
          <w:numId w:val="3"/>
        </w:numPr>
        <w:shd w:val="clear"/>
        <w:tabs>
          <w:tab w:val="left" w:pos="210"/>
        </w:tabs>
        <w:kinsoku/>
        <w:overflowPunct/>
        <w:topLinePunct w:val="0"/>
        <w:bidi w:val="0"/>
        <w:spacing w:line="360" w:lineRule="auto"/>
        <w:ind w:left="850" w:leftChars="0" w:hanging="850" w:firstLineChars="0"/>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以联合体形式参加政府采购活动的，其投诉应当由组成联合体的所有投标人共同提出。</w:t>
      </w:r>
    </w:p>
    <w:p w14:paraId="34ACE46F">
      <w:pPr>
        <w:pageBreakBefore w:val="0"/>
        <w:numPr>
          <w:ilvl w:val="2"/>
          <w:numId w:val="3"/>
        </w:numPr>
        <w:shd w:val="clear"/>
        <w:tabs>
          <w:tab w:val="left" w:pos="210"/>
        </w:tabs>
        <w:kinsoku/>
        <w:overflowPunct/>
        <w:topLinePunct w:val="0"/>
        <w:bidi w:val="0"/>
        <w:spacing w:line="360" w:lineRule="auto"/>
        <w:ind w:left="850" w:leftChars="0" w:hanging="850" w:firstLineChars="0"/>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本项目预算金额未达100万元，由采购人处理采购争议。质疑环节，采购人委托采购代理机构处理的，可由采购代理机构答复。对质疑答复不满意的，向采购人内部设置的采购监督机构反映。</w:t>
      </w:r>
    </w:p>
    <w:p w14:paraId="67C44D9D">
      <w:pPr>
        <w:pageBreakBefore w:val="0"/>
        <w:shd w:val="clear"/>
        <w:tabs>
          <w:tab w:val="left" w:pos="210"/>
        </w:tabs>
        <w:kinsoku/>
        <w:overflowPunct/>
        <w:topLinePunct w:val="0"/>
        <w:bidi w:val="0"/>
        <w:spacing w:line="360" w:lineRule="auto"/>
        <w:ind w:firstLine="840" w:firstLineChars="400"/>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zh-CN"/>
        </w:rPr>
        <w:t>投诉书范本及制作说明详见附件3。</w:t>
      </w:r>
    </w:p>
    <w:p w14:paraId="70E27153">
      <w:pPr>
        <w:pStyle w:val="5"/>
        <w:pageBreakBefore w:val="0"/>
        <w:shd w:val="clear"/>
        <w:kinsoku/>
        <w:overflowPunct/>
        <w:topLinePunct w:val="0"/>
        <w:bidi w:val="0"/>
        <w:spacing w:line="360" w:lineRule="auto"/>
        <w:jc w:val="center"/>
        <w:rPr>
          <w:rFonts w:hint="eastAsia" w:ascii="宋体" w:hAnsi="宋体" w:eastAsia="宋体" w:cs="宋体"/>
          <w:color w:val="auto"/>
          <w:highlight w:val="none"/>
        </w:rPr>
      </w:pPr>
      <w:bookmarkStart w:id="12" w:name="_Toc9262"/>
      <w:bookmarkStart w:id="13" w:name="_Toc29172"/>
      <w:bookmarkStart w:id="14" w:name="_Toc18614"/>
      <w:r>
        <w:rPr>
          <w:rFonts w:hint="eastAsia" w:ascii="宋体" w:hAnsi="宋体" w:eastAsia="宋体" w:cs="宋体"/>
          <w:color w:val="auto"/>
          <w:highlight w:val="none"/>
        </w:rPr>
        <w:t>二、招标文件的构成、澄清、修改</w:t>
      </w:r>
      <w:bookmarkEnd w:id="12"/>
      <w:bookmarkEnd w:id="13"/>
      <w:bookmarkEnd w:id="14"/>
    </w:p>
    <w:p w14:paraId="3A226F92">
      <w:pPr>
        <w:pageBreakBefore w:val="0"/>
        <w:numPr>
          <w:ilvl w:val="0"/>
          <w:numId w:val="3"/>
        </w:numPr>
        <w:shd w:val="clear"/>
        <w:tabs>
          <w:tab w:val="left" w:pos="210"/>
        </w:tabs>
        <w:kinsoku/>
        <w:overflowPunct/>
        <w:topLinePunct w:val="0"/>
        <w:bidi w:val="0"/>
        <w:spacing w:line="360" w:lineRule="auto"/>
        <w:ind w:left="57" w:leftChars="0" w:hanging="57" w:firstLineChars="0"/>
        <w:jc w:val="left"/>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招标文件的构成</w:t>
      </w:r>
    </w:p>
    <w:p w14:paraId="561EF59A">
      <w:pPr>
        <w:pageBreakBefore w:val="0"/>
        <w:numPr>
          <w:ilvl w:val="1"/>
          <w:numId w:val="3"/>
        </w:numPr>
        <w:shd w:val="clear"/>
        <w:tabs>
          <w:tab w:val="left" w:pos="210"/>
        </w:tabs>
        <w:kinsoku/>
        <w:overflowPunct/>
        <w:topLinePunct w:val="0"/>
        <w:bidi w:val="0"/>
        <w:spacing w:line="360" w:lineRule="auto"/>
        <w:ind w:left="567" w:leftChars="0" w:hanging="567" w:firstLineChars="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招标文件包括下列文件及附件：</w:t>
      </w:r>
    </w:p>
    <w:p w14:paraId="7CC0EC4F">
      <w:pPr>
        <w:pageBreakBefore w:val="0"/>
        <w:numPr>
          <w:ilvl w:val="2"/>
          <w:numId w:val="3"/>
        </w:numPr>
        <w:shd w:val="clear"/>
        <w:tabs>
          <w:tab w:val="left" w:pos="210"/>
        </w:tabs>
        <w:kinsoku/>
        <w:overflowPunct/>
        <w:topLinePunct w:val="0"/>
        <w:bidi w:val="0"/>
        <w:spacing w:line="360" w:lineRule="auto"/>
        <w:ind w:left="850" w:leftChars="0" w:hanging="850" w:firstLineChars="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招标公告</w:t>
      </w:r>
      <w:r>
        <w:rPr>
          <w:rFonts w:hint="eastAsia" w:ascii="宋体" w:hAnsi="宋体" w:eastAsia="宋体" w:cs="宋体"/>
          <w:bCs/>
          <w:color w:val="auto"/>
          <w:sz w:val="21"/>
          <w:szCs w:val="21"/>
          <w:highlight w:val="none"/>
          <w:lang w:eastAsia="zh-CN"/>
        </w:rPr>
        <w:t>；</w:t>
      </w:r>
    </w:p>
    <w:p w14:paraId="10368AF6">
      <w:pPr>
        <w:pageBreakBefore w:val="0"/>
        <w:numPr>
          <w:ilvl w:val="2"/>
          <w:numId w:val="3"/>
        </w:numPr>
        <w:shd w:val="clear"/>
        <w:tabs>
          <w:tab w:val="left" w:pos="210"/>
        </w:tabs>
        <w:kinsoku/>
        <w:overflowPunct/>
        <w:topLinePunct w:val="0"/>
        <w:bidi w:val="0"/>
        <w:spacing w:line="360" w:lineRule="auto"/>
        <w:ind w:left="850" w:leftChars="0" w:hanging="850" w:firstLineChars="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投标人须知</w:t>
      </w:r>
      <w:r>
        <w:rPr>
          <w:rFonts w:hint="eastAsia" w:ascii="宋体" w:hAnsi="宋体" w:eastAsia="宋体" w:cs="宋体"/>
          <w:bCs/>
          <w:color w:val="auto"/>
          <w:sz w:val="21"/>
          <w:szCs w:val="21"/>
          <w:highlight w:val="none"/>
          <w:lang w:eastAsia="zh-CN"/>
        </w:rPr>
        <w:t>；</w:t>
      </w:r>
    </w:p>
    <w:p w14:paraId="177DC760">
      <w:pPr>
        <w:pageBreakBefore w:val="0"/>
        <w:numPr>
          <w:ilvl w:val="2"/>
          <w:numId w:val="3"/>
        </w:numPr>
        <w:shd w:val="clear"/>
        <w:tabs>
          <w:tab w:val="left" w:pos="210"/>
        </w:tabs>
        <w:kinsoku/>
        <w:overflowPunct/>
        <w:topLinePunct w:val="0"/>
        <w:bidi w:val="0"/>
        <w:spacing w:line="360" w:lineRule="auto"/>
        <w:ind w:left="850" w:leftChars="0" w:hanging="850" w:firstLineChars="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采购需求</w:t>
      </w:r>
      <w:r>
        <w:rPr>
          <w:rFonts w:hint="eastAsia" w:ascii="宋体" w:hAnsi="宋体" w:eastAsia="宋体" w:cs="宋体"/>
          <w:bCs/>
          <w:color w:val="auto"/>
          <w:sz w:val="21"/>
          <w:szCs w:val="21"/>
          <w:highlight w:val="none"/>
          <w:lang w:eastAsia="zh-CN"/>
        </w:rPr>
        <w:t>；</w:t>
      </w:r>
    </w:p>
    <w:p w14:paraId="4F5676B4">
      <w:pPr>
        <w:pageBreakBefore w:val="0"/>
        <w:numPr>
          <w:ilvl w:val="2"/>
          <w:numId w:val="3"/>
        </w:numPr>
        <w:shd w:val="clear"/>
        <w:tabs>
          <w:tab w:val="left" w:pos="210"/>
        </w:tabs>
        <w:kinsoku/>
        <w:overflowPunct/>
        <w:topLinePunct w:val="0"/>
        <w:bidi w:val="0"/>
        <w:spacing w:line="360" w:lineRule="auto"/>
        <w:ind w:left="850" w:leftChars="0" w:hanging="850" w:firstLineChars="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评标标准；</w:t>
      </w:r>
    </w:p>
    <w:p w14:paraId="4314C682">
      <w:pPr>
        <w:pageBreakBefore w:val="0"/>
        <w:numPr>
          <w:ilvl w:val="2"/>
          <w:numId w:val="3"/>
        </w:numPr>
        <w:shd w:val="clear"/>
        <w:tabs>
          <w:tab w:val="left" w:pos="210"/>
        </w:tabs>
        <w:kinsoku/>
        <w:overflowPunct/>
        <w:topLinePunct w:val="0"/>
        <w:bidi w:val="0"/>
        <w:spacing w:line="360" w:lineRule="auto"/>
        <w:ind w:left="850" w:leftChars="0" w:hanging="850" w:firstLineChars="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拟签订的合同文本</w:t>
      </w:r>
      <w:r>
        <w:rPr>
          <w:rFonts w:hint="eastAsia" w:ascii="宋体" w:hAnsi="宋体" w:eastAsia="宋体" w:cs="宋体"/>
          <w:bCs/>
          <w:color w:val="auto"/>
          <w:sz w:val="21"/>
          <w:szCs w:val="21"/>
          <w:highlight w:val="none"/>
          <w:lang w:eastAsia="zh-CN"/>
        </w:rPr>
        <w:t>；</w:t>
      </w:r>
    </w:p>
    <w:p w14:paraId="0F105161">
      <w:pPr>
        <w:pageBreakBefore w:val="0"/>
        <w:numPr>
          <w:ilvl w:val="2"/>
          <w:numId w:val="3"/>
        </w:numPr>
        <w:shd w:val="clear"/>
        <w:tabs>
          <w:tab w:val="left" w:pos="210"/>
        </w:tabs>
        <w:kinsoku/>
        <w:overflowPunct/>
        <w:topLinePunct w:val="0"/>
        <w:bidi w:val="0"/>
        <w:spacing w:line="360" w:lineRule="auto"/>
        <w:ind w:left="850" w:leftChars="0" w:hanging="850" w:firstLineChars="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应提交的有关格式范例。</w:t>
      </w:r>
    </w:p>
    <w:p w14:paraId="000EBC27">
      <w:pPr>
        <w:pageBreakBefore w:val="0"/>
        <w:numPr>
          <w:ilvl w:val="1"/>
          <w:numId w:val="3"/>
        </w:numPr>
        <w:shd w:val="clear"/>
        <w:tabs>
          <w:tab w:val="left" w:pos="210"/>
        </w:tabs>
        <w:kinsoku/>
        <w:overflowPunct/>
        <w:topLinePunct w:val="0"/>
        <w:bidi w:val="0"/>
        <w:spacing w:line="360" w:lineRule="auto"/>
        <w:ind w:left="567" w:leftChars="0" w:hanging="567" w:firstLineChars="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与本项目有关的澄清或者修改的内容为招标文件的组成部分。</w:t>
      </w:r>
    </w:p>
    <w:p w14:paraId="5054C356">
      <w:pPr>
        <w:pageBreakBefore w:val="0"/>
        <w:numPr>
          <w:ilvl w:val="0"/>
          <w:numId w:val="3"/>
        </w:numPr>
        <w:shd w:val="clear"/>
        <w:tabs>
          <w:tab w:val="left" w:pos="210"/>
        </w:tabs>
        <w:kinsoku/>
        <w:overflowPunct/>
        <w:topLinePunct w:val="0"/>
        <w:bidi w:val="0"/>
        <w:spacing w:line="360" w:lineRule="auto"/>
        <w:ind w:left="57" w:leftChars="0" w:hanging="57" w:firstLineChars="0"/>
        <w:jc w:val="left"/>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招标文件的澄清、修改</w:t>
      </w:r>
    </w:p>
    <w:p w14:paraId="5ED6A9A9">
      <w:pPr>
        <w:pageBreakBefore w:val="0"/>
        <w:numPr>
          <w:ilvl w:val="1"/>
          <w:numId w:val="3"/>
        </w:numPr>
        <w:shd w:val="clear"/>
        <w:tabs>
          <w:tab w:val="left" w:pos="210"/>
        </w:tabs>
        <w:kinsoku/>
        <w:overflowPunct/>
        <w:topLinePunct w:val="0"/>
        <w:bidi w:val="0"/>
        <w:spacing w:line="360" w:lineRule="auto"/>
        <w:ind w:left="567" w:leftChars="0" w:hanging="567" w:firstLineChars="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已获取招标文件的潜在投标人，若有问题需要澄清，应于投标截止时间前，以书面形式向采购代理机构提出。</w:t>
      </w:r>
    </w:p>
    <w:p w14:paraId="6C37A3B1">
      <w:pPr>
        <w:pageBreakBefore w:val="0"/>
        <w:numPr>
          <w:ilvl w:val="1"/>
          <w:numId w:val="3"/>
        </w:numPr>
        <w:shd w:val="clear"/>
        <w:tabs>
          <w:tab w:val="left" w:pos="210"/>
        </w:tabs>
        <w:kinsoku/>
        <w:overflowPunct/>
        <w:topLinePunct w:val="0"/>
        <w:bidi w:val="0"/>
        <w:spacing w:line="360" w:lineRule="auto"/>
        <w:ind w:left="567" w:leftChars="0" w:hanging="567" w:firstLineChars="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D8F9B56">
      <w:pPr>
        <w:pStyle w:val="5"/>
        <w:pageBreakBefore w:val="0"/>
        <w:shd w:val="clear"/>
        <w:kinsoku/>
        <w:overflowPunct/>
        <w:topLinePunct w:val="0"/>
        <w:bidi w:val="0"/>
        <w:spacing w:line="360" w:lineRule="auto"/>
        <w:jc w:val="center"/>
        <w:rPr>
          <w:rFonts w:hint="eastAsia" w:ascii="宋体" w:hAnsi="宋体" w:eastAsia="宋体" w:cs="宋体"/>
          <w:color w:val="auto"/>
          <w:highlight w:val="none"/>
        </w:rPr>
      </w:pPr>
      <w:bookmarkStart w:id="15" w:name="_Toc12389"/>
      <w:bookmarkStart w:id="16" w:name="_Toc2871"/>
      <w:bookmarkStart w:id="17" w:name="_Toc9846"/>
      <w:r>
        <w:rPr>
          <w:rFonts w:hint="eastAsia" w:ascii="宋体" w:hAnsi="宋体" w:eastAsia="宋体" w:cs="宋体"/>
          <w:color w:val="auto"/>
          <w:highlight w:val="none"/>
        </w:rPr>
        <w:t>三、投标</w:t>
      </w:r>
      <w:bookmarkEnd w:id="15"/>
      <w:bookmarkEnd w:id="16"/>
      <w:bookmarkEnd w:id="17"/>
    </w:p>
    <w:p w14:paraId="79470A94">
      <w:pPr>
        <w:pageBreakBefore w:val="0"/>
        <w:numPr>
          <w:ilvl w:val="0"/>
          <w:numId w:val="3"/>
        </w:numPr>
        <w:shd w:val="clear"/>
        <w:tabs>
          <w:tab w:val="left" w:pos="210"/>
        </w:tabs>
        <w:kinsoku/>
        <w:overflowPunct/>
        <w:topLinePunct w:val="0"/>
        <w:bidi w:val="0"/>
        <w:spacing w:line="360" w:lineRule="auto"/>
        <w:ind w:left="57" w:leftChars="0" w:hanging="57" w:firstLineChars="0"/>
        <w:jc w:val="left"/>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招标文件的获取</w:t>
      </w:r>
    </w:p>
    <w:p w14:paraId="356DD5E3">
      <w:pPr>
        <w:pStyle w:val="26"/>
        <w:pageBreakBefore w:val="0"/>
        <w:shd w:val="clear"/>
        <w:kinsoku/>
        <w:overflowPunct/>
        <w:topLinePunct w:val="0"/>
        <w:bidi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详见招标公告中获取招标文件的时间期限、地点、方式及招标文件售价。</w:t>
      </w:r>
    </w:p>
    <w:p w14:paraId="51B344B3">
      <w:pPr>
        <w:pageBreakBefore w:val="0"/>
        <w:numPr>
          <w:ilvl w:val="0"/>
          <w:numId w:val="3"/>
        </w:numPr>
        <w:shd w:val="clear"/>
        <w:tabs>
          <w:tab w:val="left" w:pos="210"/>
        </w:tabs>
        <w:kinsoku/>
        <w:overflowPunct/>
        <w:topLinePunct w:val="0"/>
        <w:bidi w:val="0"/>
        <w:spacing w:line="360" w:lineRule="auto"/>
        <w:ind w:left="57" w:leftChars="0" w:hanging="57" w:firstLineChars="0"/>
        <w:jc w:val="left"/>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开标前答疑会或现场考察</w:t>
      </w:r>
    </w:p>
    <w:p w14:paraId="655F5BB2">
      <w:pPr>
        <w:pStyle w:val="26"/>
        <w:pageBreakBefore w:val="0"/>
        <w:shd w:val="clear"/>
        <w:kinsoku/>
        <w:overflowPunct/>
        <w:topLinePunct w:val="0"/>
        <w:bidi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采购人组织潜在投标人现场考察或者召开开标前答疑会的，潜在投标人按第二部分投标人须知前附表的规定参加现场考察或者开标前答疑会。</w:t>
      </w:r>
    </w:p>
    <w:p w14:paraId="164D9F3F">
      <w:pPr>
        <w:pageBreakBefore w:val="0"/>
        <w:numPr>
          <w:ilvl w:val="0"/>
          <w:numId w:val="3"/>
        </w:numPr>
        <w:shd w:val="clear"/>
        <w:tabs>
          <w:tab w:val="left" w:pos="210"/>
        </w:tabs>
        <w:kinsoku/>
        <w:overflowPunct/>
        <w:topLinePunct w:val="0"/>
        <w:bidi w:val="0"/>
        <w:spacing w:line="360" w:lineRule="auto"/>
        <w:ind w:left="57" w:leftChars="0" w:hanging="57" w:firstLineChars="0"/>
        <w:jc w:val="left"/>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投标保证金</w:t>
      </w:r>
    </w:p>
    <w:p w14:paraId="3AE2F6B9">
      <w:pPr>
        <w:pStyle w:val="26"/>
        <w:pageBreakBefore w:val="0"/>
        <w:shd w:val="clear"/>
        <w:kinsoku/>
        <w:overflowPunct/>
        <w:topLinePunct w:val="0"/>
        <w:bidi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本项目不需缴纳投标保证金。</w:t>
      </w:r>
    </w:p>
    <w:p w14:paraId="301FF1F2">
      <w:pPr>
        <w:pageBreakBefore w:val="0"/>
        <w:numPr>
          <w:ilvl w:val="0"/>
          <w:numId w:val="3"/>
        </w:numPr>
        <w:shd w:val="clear"/>
        <w:tabs>
          <w:tab w:val="left" w:pos="210"/>
        </w:tabs>
        <w:kinsoku/>
        <w:overflowPunct/>
        <w:topLinePunct w:val="0"/>
        <w:bidi w:val="0"/>
        <w:spacing w:line="360" w:lineRule="auto"/>
        <w:ind w:left="57" w:leftChars="0" w:hanging="57" w:firstLineChars="0"/>
        <w:jc w:val="left"/>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投标文件的语言</w:t>
      </w:r>
    </w:p>
    <w:p w14:paraId="5491A97A">
      <w:pPr>
        <w:pStyle w:val="26"/>
        <w:pageBreakBefore w:val="0"/>
        <w:shd w:val="clear"/>
        <w:kinsoku/>
        <w:overflowPunct/>
        <w:topLinePunct w:val="0"/>
        <w:bidi w:val="0"/>
        <w:spacing w:line="360" w:lineRule="auto"/>
        <w:ind w:firstLine="420" w:firstLineChars="200"/>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rPr>
        <w:t>投标文件及投标人与采购有关的来往通知、函件和文件均应使用中文。</w:t>
      </w:r>
    </w:p>
    <w:p w14:paraId="731FA1FB">
      <w:pPr>
        <w:pageBreakBefore w:val="0"/>
        <w:numPr>
          <w:ilvl w:val="0"/>
          <w:numId w:val="3"/>
        </w:numPr>
        <w:shd w:val="clear"/>
        <w:tabs>
          <w:tab w:val="left" w:pos="210"/>
        </w:tabs>
        <w:kinsoku/>
        <w:overflowPunct/>
        <w:topLinePunct w:val="0"/>
        <w:bidi w:val="0"/>
        <w:spacing w:line="360" w:lineRule="auto"/>
        <w:ind w:left="57" w:leftChars="0" w:hanging="57" w:firstLineChars="0"/>
        <w:jc w:val="left"/>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投标文件的组成</w:t>
      </w:r>
    </w:p>
    <w:p w14:paraId="1F961345">
      <w:pPr>
        <w:pageBreakBefore w:val="0"/>
        <w:numPr>
          <w:ilvl w:val="1"/>
          <w:numId w:val="3"/>
        </w:numPr>
        <w:shd w:val="clear"/>
        <w:tabs>
          <w:tab w:val="left" w:pos="210"/>
          <w:tab w:val="left" w:pos="630"/>
          <w:tab w:val="left" w:pos="840"/>
        </w:tabs>
        <w:kinsoku/>
        <w:overflowPunct/>
        <w:topLinePunct w:val="0"/>
        <w:bidi w:val="0"/>
        <w:spacing w:line="360" w:lineRule="auto"/>
        <w:ind w:left="567" w:leftChars="0" w:hanging="567" w:firstLineChars="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资格文件：</w:t>
      </w:r>
    </w:p>
    <w:p w14:paraId="5B6E05EC">
      <w:pPr>
        <w:pageBreakBefore w:val="0"/>
        <w:numPr>
          <w:ilvl w:val="2"/>
          <w:numId w:val="3"/>
        </w:numPr>
        <w:shd w:val="clear"/>
        <w:tabs>
          <w:tab w:val="left" w:pos="210"/>
          <w:tab w:val="left" w:pos="630"/>
          <w:tab w:val="left" w:pos="840"/>
        </w:tabs>
        <w:kinsoku/>
        <w:overflowPunct/>
        <w:topLinePunct w:val="0"/>
        <w:bidi w:val="0"/>
        <w:spacing w:line="360" w:lineRule="auto"/>
        <w:ind w:left="850" w:leftChars="0" w:hanging="850" w:firstLineChars="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符合参加政府采购活动应当具备的一般条件的承诺函</w:t>
      </w:r>
      <w:r>
        <w:rPr>
          <w:rFonts w:hint="eastAsia" w:ascii="宋体" w:hAnsi="宋体" w:eastAsia="宋体" w:cs="宋体"/>
          <w:bCs/>
          <w:color w:val="auto"/>
          <w:sz w:val="21"/>
          <w:szCs w:val="21"/>
          <w:highlight w:val="none"/>
          <w:lang w:eastAsia="zh-CN"/>
        </w:rPr>
        <w:t>；</w:t>
      </w:r>
    </w:p>
    <w:p w14:paraId="26E60FFE">
      <w:pPr>
        <w:pageBreakBefore w:val="0"/>
        <w:numPr>
          <w:ilvl w:val="2"/>
          <w:numId w:val="3"/>
        </w:numPr>
        <w:shd w:val="clear"/>
        <w:tabs>
          <w:tab w:val="left" w:pos="210"/>
          <w:tab w:val="left" w:pos="630"/>
          <w:tab w:val="left" w:pos="840"/>
        </w:tabs>
        <w:kinsoku/>
        <w:overflowPunct/>
        <w:topLinePunct w:val="0"/>
        <w:bidi w:val="0"/>
        <w:spacing w:line="360" w:lineRule="auto"/>
        <w:ind w:left="850" w:leftChars="0" w:hanging="850" w:firstLineChars="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联合协议（如果有）</w:t>
      </w:r>
      <w:r>
        <w:rPr>
          <w:rFonts w:hint="eastAsia" w:ascii="宋体" w:hAnsi="宋体" w:eastAsia="宋体" w:cs="宋体"/>
          <w:bCs/>
          <w:color w:val="auto"/>
          <w:sz w:val="21"/>
          <w:szCs w:val="21"/>
          <w:highlight w:val="none"/>
          <w:lang w:eastAsia="zh-CN"/>
        </w:rPr>
        <w:t>；</w:t>
      </w:r>
    </w:p>
    <w:p w14:paraId="63005445">
      <w:pPr>
        <w:pageBreakBefore w:val="0"/>
        <w:numPr>
          <w:ilvl w:val="2"/>
          <w:numId w:val="3"/>
        </w:numPr>
        <w:shd w:val="clear"/>
        <w:tabs>
          <w:tab w:val="left" w:pos="210"/>
          <w:tab w:val="left" w:pos="630"/>
          <w:tab w:val="left" w:pos="840"/>
        </w:tabs>
        <w:kinsoku/>
        <w:overflowPunct/>
        <w:topLinePunct w:val="0"/>
        <w:bidi w:val="0"/>
        <w:spacing w:line="360" w:lineRule="auto"/>
        <w:ind w:left="850" w:leftChars="0" w:hanging="850" w:firstLineChars="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落实政府采购政策需满足的资格要求：</w:t>
      </w:r>
      <w:r>
        <w:rPr>
          <w:rFonts w:hint="eastAsia" w:ascii="宋体" w:hAnsi="宋体" w:eastAsia="宋体" w:cs="宋体"/>
          <w:snapToGrid w:val="0"/>
          <w:color w:val="auto"/>
          <w:kern w:val="28"/>
          <w:sz w:val="21"/>
          <w:szCs w:val="21"/>
          <w:highlight w:val="none"/>
          <w:lang w:eastAsia="zh-CN"/>
        </w:rPr>
        <w:t>中小企业声明函</w:t>
      </w:r>
      <w:r>
        <w:rPr>
          <w:rFonts w:hint="eastAsia" w:ascii="宋体" w:hAnsi="宋体" w:eastAsia="宋体" w:cs="宋体"/>
          <w:bCs/>
          <w:color w:val="auto"/>
          <w:sz w:val="21"/>
          <w:szCs w:val="21"/>
          <w:highlight w:val="none"/>
          <w:lang w:eastAsia="zh-CN"/>
        </w:rPr>
        <w:t>；</w:t>
      </w:r>
    </w:p>
    <w:p w14:paraId="1EADC278">
      <w:pPr>
        <w:pageBreakBefore w:val="0"/>
        <w:numPr>
          <w:ilvl w:val="2"/>
          <w:numId w:val="3"/>
        </w:numPr>
        <w:shd w:val="clear"/>
        <w:tabs>
          <w:tab w:val="left" w:pos="210"/>
          <w:tab w:val="left" w:pos="630"/>
          <w:tab w:val="left" w:pos="840"/>
        </w:tabs>
        <w:kinsoku/>
        <w:overflowPunct/>
        <w:topLinePunct w:val="0"/>
        <w:bidi w:val="0"/>
        <w:spacing w:line="360" w:lineRule="auto"/>
        <w:ind w:left="850" w:leftChars="0" w:hanging="850" w:firstLineChars="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本项目的特定资格要求：</w:t>
      </w:r>
      <w:r>
        <w:rPr>
          <w:rFonts w:hint="eastAsia" w:ascii="宋体" w:hAnsi="宋体" w:eastAsia="宋体" w:cs="宋体"/>
          <w:snapToGrid w:val="0"/>
          <w:color w:val="auto"/>
          <w:kern w:val="28"/>
          <w:sz w:val="21"/>
          <w:szCs w:val="21"/>
          <w:highlight w:val="none"/>
          <w:lang w:eastAsia="zh-CN"/>
        </w:rPr>
        <w:t>无；</w:t>
      </w:r>
    </w:p>
    <w:p w14:paraId="0B0A428C">
      <w:pPr>
        <w:pageBreakBefore w:val="0"/>
        <w:numPr>
          <w:ilvl w:val="1"/>
          <w:numId w:val="3"/>
        </w:numPr>
        <w:shd w:val="clear"/>
        <w:tabs>
          <w:tab w:val="left" w:pos="210"/>
          <w:tab w:val="left" w:pos="630"/>
          <w:tab w:val="left" w:pos="840"/>
        </w:tabs>
        <w:kinsoku/>
        <w:overflowPunct/>
        <w:topLinePunct w:val="0"/>
        <w:bidi w:val="0"/>
        <w:spacing w:line="360" w:lineRule="auto"/>
        <w:ind w:left="567" w:leftChars="0" w:hanging="567" w:firstLineChars="0"/>
        <w:jc w:val="left"/>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rPr>
        <w:t>商务技术</w:t>
      </w:r>
      <w:r>
        <w:rPr>
          <w:rFonts w:hint="eastAsia" w:ascii="宋体" w:hAnsi="宋体" w:eastAsia="宋体" w:cs="宋体"/>
          <w:b/>
          <w:color w:val="auto"/>
          <w:sz w:val="21"/>
          <w:szCs w:val="21"/>
          <w:highlight w:val="none"/>
          <w:lang w:val="zh-CN"/>
        </w:rPr>
        <w:t>文件：</w:t>
      </w:r>
    </w:p>
    <w:p w14:paraId="23A7BD3E">
      <w:pPr>
        <w:pageBreakBefore w:val="0"/>
        <w:numPr>
          <w:ilvl w:val="2"/>
          <w:numId w:val="3"/>
        </w:numPr>
        <w:shd w:val="clear"/>
        <w:tabs>
          <w:tab w:val="left" w:pos="210"/>
          <w:tab w:val="left" w:pos="630"/>
          <w:tab w:val="left" w:pos="840"/>
        </w:tabs>
        <w:kinsoku/>
        <w:overflowPunct/>
        <w:topLinePunct w:val="0"/>
        <w:bidi w:val="0"/>
        <w:spacing w:line="360" w:lineRule="auto"/>
        <w:ind w:left="850" w:leftChars="0" w:right="42" w:hanging="850" w:firstLineChars="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投标函</w:t>
      </w:r>
      <w:r>
        <w:rPr>
          <w:rFonts w:hint="eastAsia" w:ascii="宋体" w:hAnsi="宋体" w:eastAsia="宋体" w:cs="宋体"/>
          <w:bCs/>
          <w:color w:val="auto"/>
          <w:sz w:val="21"/>
          <w:szCs w:val="21"/>
          <w:highlight w:val="none"/>
          <w:lang w:eastAsia="zh-CN"/>
        </w:rPr>
        <w:t>；</w:t>
      </w:r>
    </w:p>
    <w:p w14:paraId="7513B8D4">
      <w:pPr>
        <w:pageBreakBefore w:val="0"/>
        <w:numPr>
          <w:ilvl w:val="2"/>
          <w:numId w:val="3"/>
        </w:numPr>
        <w:shd w:val="clear"/>
        <w:tabs>
          <w:tab w:val="left" w:pos="210"/>
          <w:tab w:val="left" w:pos="630"/>
          <w:tab w:val="left" w:pos="840"/>
        </w:tabs>
        <w:kinsoku/>
        <w:overflowPunct/>
        <w:topLinePunct w:val="0"/>
        <w:bidi w:val="0"/>
        <w:spacing w:line="360" w:lineRule="auto"/>
        <w:ind w:left="850" w:leftChars="0" w:right="42" w:hanging="850" w:firstLineChars="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授权委托书或法定代表人（单位负责人、自然人本人）身份证明</w:t>
      </w:r>
      <w:r>
        <w:rPr>
          <w:rFonts w:hint="eastAsia" w:ascii="宋体" w:hAnsi="宋体" w:eastAsia="宋体" w:cs="宋体"/>
          <w:bCs/>
          <w:color w:val="auto"/>
          <w:sz w:val="21"/>
          <w:szCs w:val="21"/>
          <w:highlight w:val="none"/>
          <w:lang w:eastAsia="zh-CN"/>
        </w:rPr>
        <w:t>；</w:t>
      </w:r>
    </w:p>
    <w:p w14:paraId="10A69DE5">
      <w:pPr>
        <w:pageBreakBefore w:val="0"/>
        <w:numPr>
          <w:ilvl w:val="2"/>
          <w:numId w:val="3"/>
        </w:numPr>
        <w:shd w:val="clear"/>
        <w:tabs>
          <w:tab w:val="left" w:pos="210"/>
          <w:tab w:val="left" w:pos="630"/>
          <w:tab w:val="left" w:pos="840"/>
        </w:tabs>
        <w:kinsoku/>
        <w:overflowPunct/>
        <w:topLinePunct w:val="0"/>
        <w:bidi w:val="0"/>
        <w:spacing w:line="360" w:lineRule="auto"/>
        <w:ind w:left="850" w:leftChars="0" w:right="42" w:hanging="850" w:firstLineChars="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授权代表近一个月内在投标单位缴纳社保的参保证明（适用于法定代表人授权代表参加投标活动）</w:t>
      </w:r>
      <w:r>
        <w:rPr>
          <w:rFonts w:hint="eastAsia" w:ascii="宋体" w:hAnsi="宋体" w:eastAsia="宋体" w:cs="宋体"/>
          <w:bCs/>
          <w:color w:val="auto"/>
          <w:sz w:val="21"/>
          <w:szCs w:val="21"/>
          <w:highlight w:val="none"/>
          <w:lang w:eastAsia="zh-CN"/>
        </w:rPr>
        <w:t>；</w:t>
      </w:r>
    </w:p>
    <w:p w14:paraId="63041DDA">
      <w:pPr>
        <w:pageBreakBefore w:val="0"/>
        <w:numPr>
          <w:ilvl w:val="2"/>
          <w:numId w:val="3"/>
        </w:numPr>
        <w:shd w:val="clear"/>
        <w:tabs>
          <w:tab w:val="left" w:pos="210"/>
          <w:tab w:val="left" w:pos="630"/>
          <w:tab w:val="left" w:pos="840"/>
        </w:tabs>
        <w:kinsoku/>
        <w:overflowPunct/>
        <w:topLinePunct w:val="0"/>
        <w:bidi w:val="0"/>
        <w:spacing w:line="360" w:lineRule="auto"/>
        <w:ind w:left="850" w:leftChars="0" w:right="42" w:hanging="850" w:firstLineChars="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投标人基本情况表</w:t>
      </w:r>
      <w:r>
        <w:rPr>
          <w:rFonts w:hint="eastAsia" w:ascii="宋体" w:hAnsi="宋体" w:eastAsia="宋体" w:cs="宋体"/>
          <w:bCs/>
          <w:color w:val="auto"/>
          <w:sz w:val="21"/>
          <w:szCs w:val="21"/>
          <w:highlight w:val="none"/>
          <w:lang w:eastAsia="zh-CN"/>
        </w:rPr>
        <w:t>；</w:t>
      </w:r>
    </w:p>
    <w:p w14:paraId="2FFA0EDC">
      <w:pPr>
        <w:pageBreakBefore w:val="0"/>
        <w:numPr>
          <w:ilvl w:val="2"/>
          <w:numId w:val="3"/>
        </w:numPr>
        <w:shd w:val="clear"/>
        <w:tabs>
          <w:tab w:val="left" w:pos="210"/>
          <w:tab w:val="left" w:pos="630"/>
          <w:tab w:val="left" w:pos="840"/>
        </w:tabs>
        <w:kinsoku/>
        <w:overflowPunct/>
        <w:topLinePunct w:val="0"/>
        <w:bidi w:val="0"/>
        <w:spacing w:line="360" w:lineRule="auto"/>
        <w:ind w:left="850" w:leftChars="0" w:right="42" w:hanging="850" w:firstLineChars="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分包意向协议（如果有）</w:t>
      </w:r>
      <w:r>
        <w:rPr>
          <w:rFonts w:hint="eastAsia" w:ascii="宋体" w:hAnsi="宋体" w:eastAsia="宋体" w:cs="宋体"/>
          <w:bCs/>
          <w:color w:val="auto"/>
          <w:sz w:val="21"/>
          <w:szCs w:val="21"/>
          <w:highlight w:val="none"/>
          <w:lang w:eastAsia="zh-CN"/>
        </w:rPr>
        <w:t>；</w:t>
      </w:r>
    </w:p>
    <w:p w14:paraId="2718DF85">
      <w:pPr>
        <w:pageBreakBefore w:val="0"/>
        <w:numPr>
          <w:ilvl w:val="2"/>
          <w:numId w:val="3"/>
        </w:numPr>
        <w:shd w:val="clear"/>
        <w:tabs>
          <w:tab w:val="left" w:pos="210"/>
          <w:tab w:val="left" w:pos="630"/>
          <w:tab w:val="left" w:pos="840"/>
        </w:tabs>
        <w:kinsoku/>
        <w:overflowPunct/>
        <w:topLinePunct w:val="0"/>
        <w:bidi w:val="0"/>
        <w:spacing w:line="360" w:lineRule="auto"/>
        <w:ind w:left="850" w:leftChars="0" w:right="42" w:hanging="850" w:firstLineChars="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符合性审查资料</w:t>
      </w:r>
      <w:r>
        <w:rPr>
          <w:rFonts w:hint="eastAsia" w:ascii="宋体" w:hAnsi="宋体" w:eastAsia="宋体" w:cs="宋体"/>
          <w:bCs/>
          <w:color w:val="auto"/>
          <w:sz w:val="21"/>
          <w:szCs w:val="21"/>
          <w:highlight w:val="none"/>
          <w:lang w:eastAsia="zh-CN"/>
        </w:rPr>
        <w:t>；</w:t>
      </w:r>
    </w:p>
    <w:p w14:paraId="0043C3BE">
      <w:pPr>
        <w:pageBreakBefore w:val="0"/>
        <w:numPr>
          <w:ilvl w:val="2"/>
          <w:numId w:val="3"/>
        </w:numPr>
        <w:shd w:val="clear"/>
        <w:tabs>
          <w:tab w:val="left" w:pos="210"/>
          <w:tab w:val="left" w:pos="630"/>
          <w:tab w:val="left" w:pos="840"/>
        </w:tabs>
        <w:kinsoku/>
        <w:overflowPunct/>
        <w:topLinePunct w:val="0"/>
        <w:bidi w:val="0"/>
        <w:spacing w:line="360" w:lineRule="auto"/>
        <w:ind w:left="850" w:leftChars="0" w:right="42" w:hanging="850" w:firstLineChars="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评标标准相应的商务技术资料</w:t>
      </w:r>
      <w:r>
        <w:rPr>
          <w:rFonts w:hint="eastAsia" w:ascii="宋体" w:hAnsi="宋体" w:eastAsia="宋体" w:cs="宋体"/>
          <w:bCs/>
          <w:color w:val="auto"/>
          <w:sz w:val="21"/>
          <w:szCs w:val="21"/>
          <w:highlight w:val="none"/>
          <w:lang w:eastAsia="zh-CN"/>
        </w:rPr>
        <w:t>；</w:t>
      </w:r>
    </w:p>
    <w:p w14:paraId="784246F2">
      <w:pPr>
        <w:pageBreakBefore w:val="0"/>
        <w:numPr>
          <w:ilvl w:val="2"/>
          <w:numId w:val="3"/>
        </w:numPr>
        <w:shd w:val="clear"/>
        <w:tabs>
          <w:tab w:val="left" w:pos="210"/>
          <w:tab w:val="left" w:pos="630"/>
          <w:tab w:val="left" w:pos="840"/>
        </w:tabs>
        <w:kinsoku/>
        <w:overflowPunct/>
        <w:topLinePunct w:val="0"/>
        <w:bidi w:val="0"/>
        <w:spacing w:line="360" w:lineRule="auto"/>
        <w:ind w:left="850" w:leftChars="0" w:right="42" w:hanging="850" w:firstLineChars="0"/>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商务技术偏离表</w:t>
      </w:r>
      <w:r>
        <w:rPr>
          <w:rFonts w:hint="eastAsia" w:ascii="宋体" w:hAnsi="宋体" w:eastAsia="宋体" w:cs="宋体"/>
          <w:bCs/>
          <w:color w:val="auto"/>
          <w:sz w:val="21"/>
          <w:szCs w:val="21"/>
          <w:highlight w:val="none"/>
          <w:lang w:eastAsia="zh-CN"/>
        </w:rPr>
        <w:t>；</w:t>
      </w:r>
    </w:p>
    <w:p w14:paraId="42B8FC02">
      <w:pPr>
        <w:pageBreakBefore w:val="0"/>
        <w:numPr>
          <w:ilvl w:val="2"/>
          <w:numId w:val="3"/>
        </w:numPr>
        <w:shd w:val="clear"/>
        <w:tabs>
          <w:tab w:val="left" w:pos="210"/>
          <w:tab w:val="left" w:pos="630"/>
          <w:tab w:val="left" w:pos="840"/>
        </w:tabs>
        <w:kinsoku/>
        <w:overflowPunct/>
        <w:topLinePunct w:val="0"/>
        <w:bidi w:val="0"/>
        <w:spacing w:line="360" w:lineRule="auto"/>
        <w:ind w:left="850" w:leftChars="0" w:right="42" w:hanging="850" w:firstLineChars="0"/>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eastAsia="zh-CN"/>
        </w:rPr>
        <w:t>拟投入</w:t>
      </w:r>
      <w:r>
        <w:rPr>
          <w:rFonts w:hint="eastAsia" w:ascii="宋体" w:hAnsi="宋体" w:eastAsia="宋体" w:cs="宋体"/>
          <w:bCs/>
          <w:color w:val="auto"/>
          <w:sz w:val="21"/>
          <w:szCs w:val="21"/>
          <w:highlight w:val="none"/>
          <w:lang w:val="en-US" w:eastAsia="zh-CN"/>
        </w:rPr>
        <w:t>软硬件</w:t>
      </w:r>
      <w:r>
        <w:rPr>
          <w:rFonts w:hint="eastAsia" w:ascii="宋体" w:hAnsi="宋体" w:eastAsia="宋体" w:cs="宋体"/>
          <w:bCs/>
          <w:color w:val="auto"/>
          <w:sz w:val="21"/>
          <w:szCs w:val="21"/>
          <w:highlight w:val="none"/>
          <w:lang w:eastAsia="zh-CN"/>
        </w:rPr>
        <w:t>清单；</w:t>
      </w:r>
    </w:p>
    <w:p w14:paraId="59AC7DB1">
      <w:pPr>
        <w:pageBreakBefore w:val="0"/>
        <w:numPr>
          <w:ilvl w:val="2"/>
          <w:numId w:val="3"/>
        </w:numPr>
        <w:shd w:val="clear"/>
        <w:tabs>
          <w:tab w:val="left" w:pos="210"/>
          <w:tab w:val="left" w:pos="630"/>
          <w:tab w:val="left" w:pos="840"/>
        </w:tabs>
        <w:kinsoku/>
        <w:overflowPunct/>
        <w:topLinePunct w:val="0"/>
        <w:bidi w:val="0"/>
        <w:spacing w:line="360" w:lineRule="auto"/>
        <w:ind w:left="850" w:leftChars="0" w:right="42" w:hanging="850" w:firstLineChars="0"/>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政府采购投标人廉洁自律承诺书。</w:t>
      </w:r>
    </w:p>
    <w:p w14:paraId="495EDFFE">
      <w:pPr>
        <w:pageBreakBefore w:val="0"/>
        <w:numPr>
          <w:ilvl w:val="1"/>
          <w:numId w:val="3"/>
        </w:numPr>
        <w:shd w:val="clear"/>
        <w:tabs>
          <w:tab w:val="left" w:pos="210"/>
          <w:tab w:val="left" w:pos="630"/>
          <w:tab w:val="left" w:pos="840"/>
        </w:tabs>
        <w:kinsoku/>
        <w:overflowPunct/>
        <w:topLinePunct w:val="0"/>
        <w:bidi w:val="0"/>
        <w:spacing w:line="360" w:lineRule="auto"/>
        <w:ind w:left="567" w:leftChars="0" w:hanging="567" w:firstLineChars="0"/>
        <w:jc w:val="left"/>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rPr>
        <w:t xml:space="preserve">报价文件： </w:t>
      </w:r>
    </w:p>
    <w:p w14:paraId="57C3F44E">
      <w:pPr>
        <w:pageBreakBefore w:val="0"/>
        <w:numPr>
          <w:ilvl w:val="2"/>
          <w:numId w:val="3"/>
        </w:numPr>
        <w:shd w:val="clear"/>
        <w:tabs>
          <w:tab w:val="left" w:pos="210"/>
          <w:tab w:val="left" w:pos="630"/>
          <w:tab w:val="left" w:pos="840"/>
        </w:tabs>
        <w:kinsoku/>
        <w:overflowPunct/>
        <w:topLinePunct w:val="0"/>
        <w:bidi w:val="0"/>
        <w:spacing w:line="360" w:lineRule="auto"/>
        <w:ind w:left="850" w:leftChars="0" w:hanging="850" w:firstLineChars="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开标一览表（报价表）</w:t>
      </w:r>
      <w:r>
        <w:rPr>
          <w:rFonts w:hint="eastAsia" w:ascii="宋体" w:hAnsi="宋体" w:eastAsia="宋体" w:cs="宋体"/>
          <w:bCs/>
          <w:color w:val="auto"/>
          <w:sz w:val="21"/>
          <w:szCs w:val="21"/>
          <w:highlight w:val="none"/>
          <w:lang w:eastAsia="zh-CN"/>
        </w:rPr>
        <w:t>；</w:t>
      </w:r>
    </w:p>
    <w:p w14:paraId="138036CB">
      <w:pPr>
        <w:pageBreakBefore w:val="0"/>
        <w:numPr>
          <w:ilvl w:val="2"/>
          <w:numId w:val="3"/>
        </w:numPr>
        <w:shd w:val="clear"/>
        <w:tabs>
          <w:tab w:val="left" w:pos="210"/>
          <w:tab w:val="left" w:pos="630"/>
          <w:tab w:val="left" w:pos="840"/>
        </w:tabs>
        <w:kinsoku/>
        <w:overflowPunct/>
        <w:topLinePunct w:val="0"/>
        <w:bidi w:val="0"/>
        <w:spacing w:line="360" w:lineRule="auto"/>
        <w:ind w:left="850" w:leftChars="0" w:hanging="850" w:firstLineChars="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报价情况说明（如</w:t>
      </w:r>
      <w:r>
        <w:rPr>
          <w:rFonts w:hint="eastAsia" w:ascii="宋体" w:hAnsi="宋体" w:eastAsia="宋体" w:cs="宋体"/>
          <w:bCs/>
          <w:color w:val="auto"/>
          <w:sz w:val="21"/>
          <w:szCs w:val="21"/>
          <w:highlight w:val="none"/>
          <w:lang w:eastAsia="zh-CN"/>
        </w:rPr>
        <w:t>投标人</w:t>
      </w:r>
      <w:r>
        <w:rPr>
          <w:rFonts w:hint="eastAsia" w:ascii="宋体" w:hAnsi="宋体" w:eastAsia="宋体" w:cs="宋体"/>
          <w:bCs/>
          <w:color w:val="auto"/>
          <w:sz w:val="21"/>
          <w:szCs w:val="21"/>
          <w:highlight w:val="none"/>
        </w:rPr>
        <w:t>报价低于项目最高限价的50%的，应当提交本文档，详细阐述不影响产品质量或者诚信履约的具体原因）</w:t>
      </w:r>
      <w:r>
        <w:rPr>
          <w:rFonts w:hint="eastAsia" w:ascii="宋体" w:hAnsi="宋体" w:eastAsia="宋体" w:cs="宋体"/>
          <w:bCs/>
          <w:color w:val="auto"/>
          <w:sz w:val="21"/>
          <w:szCs w:val="21"/>
          <w:highlight w:val="none"/>
          <w:lang w:eastAsia="zh-CN"/>
        </w:rPr>
        <w:t>；</w:t>
      </w:r>
    </w:p>
    <w:p w14:paraId="25C498A2">
      <w:pPr>
        <w:pageBreakBefore w:val="0"/>
        <w:numPr>
          <w:ilvl w:val="2"/>
          <w:numId w:val="3"/>
        </w:numPr>
        <w:shd w:val="clear"/>
        <w:tabs>
          <w:tab w:val="left" w:pos="210"/>
          <w:tab w:val="left" w:pos="630"/>
          <w:tab w:val="left" w:pos="840"/>
        </w:tabs>
        <w:kinsoku/>
        <w:overflowPunct/>
        <w:topLinePunct w:val="0"/>
        <w:bidi w:val="0"/>
        <w:spacing w:line="360" w:lineRule="auto"/>
        <w:ind w:left="850" w:leftChars="0" w:hanging="850" w:firstLineChars="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中标服务费支付承诺书和中标服务费结算信息表。</w:t>
      </w:r>
    </w:p>
    <w:p w14:paraId="022051CD">
      <w:pPr>
        <w:pageBreakBefore w:val="0"/>
        <w:shd w:val="clear"/>
        <w:kinsoku/>
        <w:overflowPunct/>
        <w:topLinePunct w:val="0"/>
        <w:bidi w:val="0"/>
        <w:spacing w:line="360" w:lineRule="auto"/>
        <w:ind w:firstLine="422" w:firstLineChars="200"/>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投标文件含有采购人不能接受的附加条件的，投标无效</w:t>
      </w:r>
      <w:r>
        <w:rPr>
          <w:rFonts w:hint="eastAsia" w:ascii="宋体" w:hAnsi="宋体" w:eastAsia="宋体" w:cs="宋体"/>
          <w:b/>
          <w:color w:val="auto"/>
          <w:sz w:val="21"/>
          <w:szCs w:val="21"/>
          <w:highlight w:val="none"/>
          <w:lang w:eastAsia="zh-CN"/>
        </w:rPr>
        <w:t>；</w:t>
      </w:r>
    </w:p>
    <w:p w14:paraId="2CEEDBDF">
      <w:pPr>
        <w:pageBreakBefore w:val="0"/>
        <w:shd w:val="clear"/>
        <w:kinsoku/>
        <w:overflowPunct/>
        <w:topLinePunct w:val="0"/>
        <w:bidi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投标人提供虚假材料投标的，投标无效。</w:t>
      </w:r>
    </w:p>
    <w:p w14:paraId="65B50688">
      <w:pPr>
        <w:pageBreakBefore w:val="0"/>
        <w:shd w:val="clear"/>
        <w:kinsoku/>
        <w:overflowPunct/>
        <w:topLinePunct w:val="0"/>
        <w:bidi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投标人应对投标文件中材料的真实性、合法性负责。</w:t>
      </w:r>
    </w:p>
    <w:p w14:paraId="6275CEE8">
      <w:pPr>
        <w:pageBreakBefore w:val="0"/>
        <w:numPr>
          <w:ilvl w:val="0"/>
          <w:numId w:val="3"/>
        </w:numPr>
        <w:shd w:val="clear"/>
        <w:tabs>
          <w:tab w:val="left" w:pos="210"/>
        </w:tabs>
        <w:kinsoku/>
        <w:overflowPunct/>
        <w:topLinePunct w:val="0"/>
        <w:bidi w:val="0"/>
        <w:spacing w:line="360" w:lineRule="auto"/>
        <w:ind w:left="57" w:leftChars="0" w:hanging="57" w:firstLineChars="0"/>
        <w:jc w:val="left"/>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投标文件的编制</w:t>
      </w:r>
    </w:p>
    <w:p w14:paraId="5C8F8367">
      <w:pPr>
        <w:pageBreakBefore w:val="0"/>
        <w:numPr>
          <w:ilvl w:val="1"/>
          <w:numId w:val="3"/>
        </w:numPr>
        <w:shd w:val="clear"/>
        <w:tabs>
          <w:tab w:val="left" w:pos="210"/>
          <w:tab w:val="left" w:pos="640"/>
        </w:tabs>
        <w:kinsoku/>
        <w:overflowPunct/>
        <w:topLinePunct w:val="0"/>
        <w:bidi w:val="0"/>
        <w:spacing w:line="360" w:lineRule="auto"/>
        <w:ind w:left="567" w:leftChars="0" w:hanging="567" w:firstLineChars="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8B1008E">
      <w:pPr>
        <w:pageBreakBefore w:val="0"/>
        <w:numPr>
          <w:ilvl w:val="1"/>
          <w:numId w:val="3"/>
        </w:numPr>
        <w:shd w:val="clear"/>
        <w:tabs>
          <w:tab w:val="left" w:pos="210"/>
          <w:tab w:val="left" w:pos="640"/>
        </w:tabs>
        <w:kinsoku/>
        <w:overflowPunct/>
        <w:topLinePunct w:val="0"/>
        <w:bidi w:val="0"/>
        <w:spacing w:line="360" w:lineRule="auto"/>
        <w:ind w:left="567" w:leftChars="0" w:hanging="567" w:firstLineChars="0"/>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投标人进行电子投标应安装客户端软件—“政采云电子交易客户端”，并按照招标文件和电子交易平台的要求编制并加密投标文件。投标人未按规定加密的投标文件，电子交易平台将拒收并提示。</w:t>
      </w:r>
    </w:p>
    <w:p w14:paraId="096EFDEA">
      <w:pPr>
        <w:pageBreakBefore w:val="0"/>
        <w:numPr>
          <w:ilvl w:val="1"/>
          <w:numId w:val="3"/>
        </w:numPr>
        <w:shd w:val="clear"/>
        <w:tabs>
          <w:tab w:val="left" w:pos="210"/>
          <w:tab w:val="left" w:pos="640"/>
        </w:tabs>
        <w:kinsoku/>
        <w:overflowPunct/>
        <w:topLinePunct w:val="0"/>
        <w:bidi w:val="0"/>
        <w:spacing w:line="360" w:lineRule="auto"/>
        <w:ind w:left="567" w:leftChars="0" w:hanging="567" w:firstLineChars="0"/>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使用“政采云电子交易客户端”需要提前申领CA数字证书，申领流程请自行前往“浙江政府采购网-下载专区-电子交易客户端-CA驱动和申领流程”进行查阅。</w:t>
      </w:r>
    </w:p>
    <w:p w14:paraId="020FA193">
      <w:pPr>
        <w:pageBreakBefore w:val="0"/>
        <w:numPr>
          <w:ilvl w:val="0"/>
          <w:numId w:val="3"/>
        </w:numPr>
        <w:shd w:val="clear"/>
        <w:tabs>
          <w:tab w:val="left" w:pos="210"/>
        </w:tabs>
        <w:kinsoku/>
        <w:overflowPunct/>
        <w:topLinePunct w:val="0"/>
        <w:bidi w:val="0"/>
        <w:spacing w:line="360" w:lineRule="auto"/>
        <w:ind w:left="57" w:leftChars="0" w:hanging="57" w:firstLineChars="0"/>
        <w:jc w:val="left"/>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投标文件的签署、盖章</w:t>
      </w:r>
    </w:p>
    <w:p w14:paraId="2CB63448">
      <w:pPr>
        <w:pageBreakBefore w:val="0"/>
        <w:numPr>
          <w:ilvl w:val="1"/>
          <w:numId w:val="3"/>
        </w:numPr>
        <w:shd w:val="clear"/>
        <w:tabs>
          <w:tab w:val="left" w:pos="210"/>
          <w:tab w:val="left" w:pos="640"/>
        </w:tabs>
        <w:kinsoku/>
        <w:overflowPunct/>
        <w:topLinePunct w:val="0"/>
        <w:bidi w:val="0"/>
        <w:spacing w:line="360" w:lineRule="auto"/>
        <w:ind w:left="567" w:leftChars="0" w:hanging="567" w:firstLineChars="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投标文件按照招标文件第六部分格式要求进行签署、盖章。</w:t>
      </w:r>
    </w:p>
    <w:p w14:paraId="65008A9E">
      <w:pPr>
        <w:pStyle w:val="63"/>
        <w:pageBreakBefore w:val="0"/>
        <w:shd w:val="clear"/>
        <w:kinsoku/>
        <w:overflowPunct/>
        <w:topLinePunct w:val="0"/>
        <w:bidi w:val="0"/>
        <w:spacing w:before="0" w:line="360" w:lineRule="auto"/>
        <w:ind w:firstLine="42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▲投标人的投标文件未按照招标文件要求签署、盖章的，其投标无效</w:t>
      </w:r>
      <w:r>
        <w:rPr>
          <w:rFonts w:hint="eastAsia" w:ascii="宋体" w:hAnsi="宋体" w:eastAsia="宋体" w:cs="宋体"/>
          <w:color w:val="auto"/>
          <w:sz w:val="21"/>
          <w:szCs w:val="21"/>
          <w:highlight w:val="none"/>
        </w:rPr>
        <w:t>。</w:t>
      </w:r>
    </w:p>
    <w:p w14:paraId="60D2C5C9">
      <w:pPr>
        <w:pageBreakBefore w:val="0"/>
        <w:numPr>
          <w:ilvl w:val="1"/>
          <w:numId w:val="3"/>
        </w:numPr>
        <w:shd w:val="clear"/>
        <w:tabs>
          <w:tab w:val="left" w:pos="210"/>
          <w:tab w:val="left" w:pos="640"/>
        </w:tabs>
        <w:kinsoku/>
        <w:overflowPunct/>
        <w:topLinePunct w:val="0"/>
        <w:bidi w:val="0"/>
        <w:spacing w:line="360" w:lineRule="auto"/>
        <w:ind w:left="567" w:leftChars="0" w:hanging="567" w:firstLineChars="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为确保网上操作合法、有效和安全，投标人应当在投标截止时间前完成在“政府采购云平台”的身份认证，确保在电子投标过程中能够对相关数据电文进行加密和使用电子签名。</w:t>
      </w:r>
    </w:p>
    <w:p w14:paraId="10FA8990">
      <w:pPr>
        <w:pageBreakBefore w:val="0"/>
        <w:numPr>
          <w:ilvl w:val="1"/>
          <w:numId w:val="3"/>
        </w:numPr>
        <w:shd w:val="clear"/>
        <w:tabs>
          <w:tab w:val="left" w:pos="210"/>
          <w:tab w:val="left" w:pos="640"/>
        </w:tabs>
        <w:kinsoku/>
        <w:overflowPunct/>
        <w:topLinePunct w:val="0"/>
        <w:bidi w:val="0"/>
        <w:spacing w:line="360" w:lineRule="auto"/>
        <w:ind w:left="567" w:leftChars="0" w:hanging="567" w:firstLineChars="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招标文件对投标文件签署、盖章的要求适用于电子签名。</w:t>
      </w:r>
    </w:p>
    <w:p w14:paraId="767C0F1C">
      <w:pPr>
        <w:pageBreakBefore w:val="0"/>
        <w:numPr>
          <w:ilvl w:val="0"/>
          <w:numId w:val="3"/>
        </w:numPr>
        <w:shd w:val="clear"/>
        <w:tabs>
          <w:tab w:val="left" w:pos="210"/>
        </w:tabs>
        <w:kinsoku/>
        <w:overflowPunct/>
        <w:topLinePunct w:val="0"/>
        <w:bidi w:val="0"/>
        <w:spacing w:line="360" w:lineRule="auto"/>
        <w:ind w:left="57" w:leftChars="0" w:hanging="57" w:firstLineChars="0"/>
        <w:jc w:val="left"/>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投标文件的提交、补充、修改、撤回</w:t>
      </w:r>
    </w:p>
    <w:p w14:paraId="105C8F0C">
      <w:pPr>
        <w:pageBreakBefore w:val="0"/>
        <w:numPr>
          <w:ilvl w:val="1"/>
          <w:numId w:val="3"/>
        </w:numPr>
        <w:shd w:val="clear"/>
        <w:tabs>
          <w:tab w:val="left" w:pos="210"/>
          <w:tab w:val="left" w:pos="640"/>
        </w:tabs>
        <w:kinsoku/>
        <w:overflowPunct/>
        <w:topLinePunct w:val="0"/>
        <w:bidi w:val="0"/>
        <w:spacing w:line="360" w:lineRule="auto"/>
        <w:ind w:left="567" w:leftChars="0" w:hanging="567" w:firstLineChars="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投标人</w:t>
      </w:r>
      <w:r>
        <w:rPr>
          <w:rFonts w:hint="eastAsia" w:ascii="宋体" w:hAnsi="宋体" w:eastAsia="宋体" w:cs="宋体"/>
          <w:bCs/>
          <w:color w:val="auto"/>
          <w:sz w:val="21"/>
          <w:szCs w:val="21"/>
          <w:highlight w:val="none"/>
        </w:rPr>
        <w:t>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9E88C29">
      <w:pPr>
        <w:pageBreakBefore w:val="0"/>
        <w:numPr>
          <w:ilvl w:val="1"/>
          <w:numId w:val="3"/>
        </w:numPr>
        <w:shd w:val="clear"/>
        <w:tabs>
          <w:tab w:val="left" w:pos="210"/>
          <w:tab w:val="left" w:pos="640"/>
        </w:tabs>
        <w:kinsoku/>
        <w:overflowPunct/>
        <w:topLinePunct w:val="0"/>
        <w:bidi w:val="0"/>
        <w:spacing w:line="360" w:lineRule="auto"/>
        <w:ind w:left="567" w:leftChars="0" w:hanging="567" w:firstLineChars="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电子交易平台收到投标文件，将妥善保存并即时向</w:t>
      </w:r>
      <w:r>
        <w:rPr>
          <w:rFonts w:hint="eastAsia" w:ascii="宋体" w:hAnsi="宋体" w:eastAsia="宋体" w:cs="宋体"/>
          <w:bCs/>
          <w:color w:val="auto"/>
          <w:sz w:val="21"/>
          <w:szCs w:val="21"/>
          <w:highlight w:val="none"/>
          <w:lang w:eastAsia="zh-CN"/>
        </w:rPr>
        <w:t>投标人</w:t>
      </w:r>
      <w:r>
        <w:rPr>
          <w:rFonts w:hint="eastAsia" w:ascii="宋体" w:hAnsi="宋体" w:eastAsia="宋体" w:cs="宋体"/>
          <w:bCs/>
          <w:color w:val="auto"/>
          <w:sz w:val="21"/>
          <w:szCs w:val="21"/>
          <w:highlight w:val="none"/>
        </w:rPr>
        <w:t>发出确认回执通知。在投标截止时间前，除</w:t>
      </w:r>
      <w:r>
        <w:rPr>
          <w:rFonts w:hint="eastAsia" w:ascii="宋体" w:hAnsi="宋体" w:eastAsia="宋体" w:cs="宋体"/>
          <w:bCs/>
          <w:color w:val="auto"/>
          <w:sz w:val="21"/>
          <w:szCs w:val="21"/>
          <w:highlight w:val="none"/>
          <w:lang w:eastAsia="zh-CN"/>
        </w:rPr>
        <w:t>投标人</w:t>
      </w:r>
      <w:r>
        <w:rPr>
          <w:rFonts w:hint="eastAsia" w:ascii="宋体" w:hAnsi="宋体" w:eastAsia="宋体" w:cs="宋体"/>
          <w:bCs/>
          <w:color w:val="auto"/>
          <w:sz w:val="21"/>
          <w:szCs w:val="21"/>
          <w:highlight w:val="none"/>
        </w:rPr>
        <w:t>补充、修改或者撤回投标文件外，任何单位和个人不得解密或提取投标文件。</w:t>
      </w:r>
    </w:p>
    <w:p w14:paraId="7955E1B3">
      <w:pPr>
        <w:pageBreakBefore w:val="0"/>
        <w:numPr>
          <w:ilvl w:val="1"/>
          <w:numId w:val="3"/>
        </w:numPr>
        <w:shd w:val="clear"/>
        <w:tabs>
          <w:tab w:val="left" w:pos="210"/>
          <w:tab w:val="left" w:pos="640"/>
        </w:tabs>
        <w:kinsoku/>
        <w:overflowPunct/>
        <w:topLinePunct w:val="0"/>
        <w:bidi w:val="0"/>
        <w:spacing w:line="360" w:lineRule="auto"/>
        <w:ind w:left="567" w:leftChars="0" w:hanging="567" w:firstLineChars="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采购人、采购代理机构可以视情况延长投标文件提交的截止时间。在上述情况下，采购代理机构与投标人以前在投标截止期方面的全部权利、责任和义务，将适用于延长至新的投标截止期。</w:t>
      </w:r>
    </w:p>
    <w:p w14:paraId="6EC083F0">
      <w:pPr>
        <w:pageBreakBefore w:val="0"/>
        <w:numPr>
          <w:ilvl w:val="0"/>
          <w:numId w:val="3"/>
        </w:numPr>
        <w:shd w:val="clear"/>
        <w:tabs>
          <w:tab w:val="left" w:pos="210"/>
        </w:tabs>
        <w:kinsoku/>
        <w:overflowPunct/>
        <w:topLinePunct w:val="0"/>
        <w:bidi w:val="0"/>
        <w:spacing w:line="360" w:lineRule="auto"/>
        <w:ind w:left="57" w:leftChars="0" w:hanging="57" w:firstLineChars="0"/>
        <w:jc w:val="left"/>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备份投标文件</w:t>
      </w:r>
    </w:p>
    <w:p w14:paraId="6A928E63">
      <w:pPr>
        <w:pageBreakBefore w:val="0"/>
        <w:numPr>
          <w:ilvl w:val="1"/>
          <w:numId w:val="3"/>
        </w:numPr>
        <w:shd w:val="clear"/>
        <w:tabs>
          <w:tab w:val="left" w:pos="210"/>
          <w:tab w:val="left" w:pos="640"/>
        </w:tabs>
        <w:kinsoku/>
        <w:overflowPunct/>
        <w:topLinePunct w:val="0"/>
        <w:bidi w:val="0"/>
        <w:spacing w:line="360" w:lineRule="auto"/>
        <w:ind w:left="567" w:leftChars="0" w:hanging="567" w:firstLineChars="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投标人在电子交易平台传输递交投标文件后，还可以在投标截止时间前直接提交或者以邮政快递方式递交备份投标文件1份，</w:t>
      </w:r>
      <w:r>
        <w:rPr>
          <w:rFonts w:hint="eastAsia" w:ascii="宋体" w:hAnsi="宋体" w:eastAsia="宋体" w:cs="宋体"/>
          <w:b/>
          <w:color w:val="auto"/>
          <w:sz w:val="21"/>
          <w:szCs w:val="21"/>
          <w:highlight w:val="none"/>
        </w:rPr>
        <w:t>但采购人、采购代理机构不强制或变相强制投标人提交备份投标文件</w:t>
      </w:r>
      <w:r>
        <w:rPr>
          <w:rFonts w:hint="eastAsia" w:ascii="宋体" w:hAnsi="宋体" w:eastAsia="宋体" w:cs="宋体"/>
          <w:bCs/>
          <w:color w:val="auto"/>
          <w:sz w:val="21"/>
          <w:szCs w:val="21"/>
          <w:highlight w:val="none"/>
        </w:rPr>
        <w:t>。</w:t>
      </w:r>
    </w:p>
    <w:p w14:paraId="136D6414">
      <w:pPr>
        <w:pageBreakBefore w:val="0"/>
        <w:numPr>
          <w:ilvl w:val="1"/>
          <w:numId w:val="3"/>
        </w:numPr>
        <w:shd w:val="clear"/>
        <w:tabs>
          <w:tab w:val="left" w:pos="210"/>
          <w:tab w:val="left" w:pos="640"/>
        </w:tabs>
        <w:kinsoku/>
        <w:overflowPunct/>
        <w:topLinePunct w:val="0"/>
        <w:bidi w:val="0"/>
        <w:spacing w:line="360" w:lineRule="auto"/>
        <w:ind w:left="567" w:leftChars="0" w:hanging="567" w:firstLineChars="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备份投标文件须在“政采云投标客户端”制作生成，并储存在DVD光盘或U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1"/>
          <w:szCs w:val="21"/>
          <w:highlight w:val="none"/>
        </w:rPr>
        <w:t>不符合上述制作、存储、密封规定的备份投标文件将被视为无效或者被拒绝接收。</w:t>
      </w:r>
    </w:p>
    <w:p w14:paraId="66A50D42">
      <w:pPr>
        <w:pageBreakBefore w:val="0"/>
        <w:numPr>
          <w:ilvl w:val="1"/>
          <w:numId w:val="3"/>
        </w:numPr>
        <w:shd w:val="clear"/>
        <w:tabs>
          <w:tab w:val="left" w:pos="210"/>
          <w:tab w:val="left" w:pos="640"/>
        </w:tabs>
        <w:kinsoku/>
        <w:overflowPunct/>
        <w:topLinePunct w:val="0"/>
        <w:bidi w:val="0"/>
        <w:spacing w:line="360" w:lineRule="auto"/>
        <w:ind w:left="567" w:leftChars="0" w:hanging="567" w:firstLineChars="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直接提交备份投标文件的，投标人应于投标截止时间前在招标公告中载明的开标地点将备份投标文件提交给采购代理机构，</w:t>
      </w:r>
      <w:r>
        <w:rPr>
          <w:rFonts w:hint="eastAsia" w:ascii="宋体" w:hAnsi="宋体" w:eastAsia="宋体" w:cs="宋体"/>
          <w:b/>
          <w:color w:val="auto"/>
          <w:sz w:val="21"/>
          <w:szCs w:val="21"/>
          <w:highlight w:val="none"/>
        </w:rPr>
        <w:t>采购代理机构将拒绝接受逾期送达的备份投标文件</w:t>
      </w:r>
      <w:r>
        <w:rPr>
          <w:rFonts w:hint="eastAsia" w:ascii="宋体" w:hAnsi="宋体" w:eastAsia="宋体" w:cs="宋体"/>
          <w:bCs/>
          <w:color w:val="auto"/>
          <w:sz w:val="21"/>
          <w:szCs w:val="21"/>
          <w:highlight w:val="none"/>
        </w:rPr>
        <w:t>。</w:t>
      </w:r>
    </w:p>
    <w:p w14:paraId="64FA8D71">
      <w:pPr>
        <w:pageBreakBefore w:val="0"/>
        <w:numPr>
          <w:ilvl w:val="1"/>
          <w:numId w:val="3"/>
        </w:numPr>
        <w:shd w:val="clear"/>
        <w:tabs>
          <w:tab w:val="left" w:pos="210"/>
          <w:tab w:val="left" w:pos="640"/>
        </w:tabs>
        <w:kinsoku/>
        <w:overflowPunct/>
        <w:topLinePunct w:val="0"/>
        <w:bidi w:val="0"/>
        <w:spacing w:line="360" w:lineRule="auto"/>
        <w:ind w:left="567" w:leftChars="0" w:hanging="567" w:firstLineChars="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送达时间以签收人签收时间为准。采购代理机构将拒绝接受逾期送达的备份投标文件。邮寄过程中，电子备份投标文件发生泄露、遗失、损坏或延期送达等情况的，由投标人自行负责。</w:t>
      </w:r>
    </w:p>
    <w:p w14:paraId="7B111A8A">
      <w:pPr>
        <w:pageBreakBefore w:val="0"/>
        <w:numPr>
          <w:ilvl w:val="1"/>
          <w:numId w:val="3"/>
        </w:numPr>
        <w:shd w:val="clear"/>
        <w:tabs>
          <w:tab w:val="left" w:pos="210"/>
          <w:tab w:val="left" w:pos="640"/>
        </w:tabs>
        <w:kinsoku/>
        <w:overflowPunct/>
        <w:topLinePunct w:val="0"/>
        <w:bidi w:val="0"/>
        <w:spacing w:line="360" w:lineRule="auto"/>
        <w:ind w:left="567" w:leftChars="0" w:hanging="567" w:firstLineChars="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投标人仅提交备份投标文件，未在电子交易平台传输递交投标文件的，投标无效。</w:t>
      </w:r>
    </w:p>
    <w:p w14:paraId="5A340EF3">
      <w:pPr>
        <w:pageBreakBefore w:val="0"/>
        <w:numPr>
          <w:ilvl w:val="0"/>
          <w:numId w:val="3"/>
        </w:numPr>
        <w:shd w:val="clear"/>
        <w:tabs>
          <w:tab w:val="left" w:pos="210"/>
        </w:tabs>
        <w:kinsoku/>
        <w:overflowPunct/>
        <w:topLinePunct w:val="0"/>
        <w:bidi w:val="0"/>
        <w:spacing w:line="360" w:lineRule="auto"/>
        <w:ind w:left="57" w:leftChars="0" w:hanging="57" w:firstLineChars="0"/>
        <w:jc w:val="left"/>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投标文件的无效处理</w:t>
      </w:r>
    </w:p>
    <w:p w14:paraId="1A2E72FF">
      <w:pPr>
        <w:pStyle w:val="21"/>
        <w:pageBreakBefore w:val="0"/>
        <w:shd w:val="clear"/>
        <w:kinsoku/>
        <w:overflowPunct/>
        <w:topLinePunct w:val="0"/>
        <w:bidi w:val="0"/>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有招标文件第</w:t>
      </w:r>
      <w:r>
        <w:rPr>
          <w:rFonts w:hint="eastAsia" w:ascii="宋体" w:hAnsi="宋体" w:eastAsia="宋体" w:cs="宋体"/>
          <w:color w:val="auto"/>
          <w:sz w:val="21"/>
          <w:szCs w:val="21"/>
          <w:highlight w:val="none"/>
          <w:lang w:eastAsia="zh-CN"/>
        </w:rPr>
        <w:t>五</w:t>
      </w:r>
      <w:r>
        <w:rPr>
          <w:rFonts w:hint="eastAsia" w:ascii="宋体" w:hAnsi="宋体" w:eastAsia="宋体" w:cs="宋体"/>
          <w:color w:val="auto"/>
          <w:sz w:val="21"/>
          <w:szCs w:val="21"/>
          <w:highlight w:val="none"/>
        </w:rPr>
        <w:t>部分第4.2项规定的情形之一的，投标无效：</w:t>
      </w:r>
    </w:p>
    <w:p w14:paraId="02FE57A3">
      <w:pPr>
        <w:pageBreakBefore w:val="0"/>
        <w:numPr>
          <w:ilvl w:val="0"/>
          <w:numId w:val="3"/>
        </w:numPr>
        <w:shd w:val="clear"/>
        <w:tabs>
          <w:tab w:val="left" w:pos="210"/>
        </w:tabs>
        <w:kinsoku/>
        <w:overflowPunct/>
        <w:topLinePunct w:val="0"/>
        <w:bidi w:val="0"/>
        <w:spacing w:line="360" w:lineRule="auto"/>
        <w:ind w:left="57" w:leftChars="0" w:hanging="57" w:firstLineChars="0"/>
        <w:jc w:val="left"/>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投标有效期</w:t>
      </w:r>
    </w:p>
    <w:p w14:paraId="7274C820">
      <w:pPr>
        <w:pageBreakBefore w:val="0"/>
        <w:numPr>
          <w:ilvl w:val="1"/>
          <w:numId w:val="3"/>
        </w:numPr>
        <w:shd w:val="clear"/>
        <w:tabs>
          <w:tab w:val="left" w:pos="210"/>
          <w:tab w:val="left" w:pos="640"/>
        </w:tabs>
        <w:kinsoku/>
        <w:overflowPunct/>
        <w:topLinePunct w:val="0"/>
        <w:bidi w:val="0"/>
        <w:spacing w:line="360" w:lineRule="auto"/>
        <w:ind w:left="567" w:leftChars="0" w:hanging="567" w:firstLineChars="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投标有效期为从提交投标文件的截止之日起90天。</w:t>
      </w:r>
    </w:p>
    <w:p w14:paraId="052E7183">
      <w:pPr>
        <w:pageBreakBefore w:val="0"/>
        <w:shd w:val="clear"/>
        <w:kinsoku/>
        <w:overflowPunct/>
        <w:topLinePunct w:val="0"/>
        <w:bidi w:val="0"/>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投标人的投标文件中承诺的投标有效期少于招标文件中载明的投标有效期的，投标无效。</w:t>
      </w:r>
    </w:p>
    <w:p w14:paraId="61C558C6">
      <w:pPr>
        <w:pageBreakBefore w:val="0"/>
        <w:numPr>
          <w:ilvl w:val="1"/>
          <w:numId w:val="3"/>
        </w:numPr>
        <w:shd w:val="clear"/>
        <w:tabs>
          <w:tab w:val="left" w:pos="210"/>
          <w:tab w:val="left" w:pos="640"/>
        </w:tabs>
        <w:kinsoku/>
        <w:overflowPunct/>
        <w:topLinePunct w:val="0"/>
        <w:bidi w:val="0"/>
        <w:spacing w:line="360" w:lineRule="auto"/>
        <w:ind w:left="567" w:leftChars="0" w:hanging="567" w:firstLineChars="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投标文件合格投递后，自投标截止日期起，在投标有效期内有效。</w:t>
      </w:r>
    </w:p>
    <w:p w14:paraId="6AEB87E2">
      <w:pPr>
        <w:pageBreakBefore w:val="0"/>
        <w:numPr>
          <w:ilvl w:val="1"/>
          <w:numId w:val="3"/>
        </w:numPr>
        <w:shd w:val="clear"/>
        <w:tabs>
          <w:tab w:val="left" w:pos="210"/>
          <w:tab w:val="left" w:pos="640"/>
        </w:tabs>
        <w:kinsoku/>
        <w:overflowPunct/>
        <w:topLinePunct w:val="0"/>
        <w:bidi w:val="0"/>
        <w:spacing w:line="360" w:lineRule="auto"/>
        <w:ind w:left="567" w:leftChars="0" w:hanging="567" w:firstLineChars="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在原定投标有效期满之前，如果出现特殊情况，采购代理机构可以以书面形式通知投标人延长投标有效期。投标人同意延长的，不得要求或被允许修改其投标文件，投标人拒绝延长的，其投标无效。</w:t>
      </w:r>
    </w:p>
    <w:p w14:paraId="68C8CEC7">
      <w:pPr>
        <w:pStyle w:val="5"/>
        <w:pageBreakBefore w:val="0"/>
        <w:shd w:val="clear"/>
        <w:kinsoku/>
        <w:overflowPunct/>
        <w:topLinePunct w:val="0"/>
        <w:bidi w:val="0"/>
        <w:spacing w:line="360" w:lineRule="auto"/>
        <w:jc w:val="center"/>
        <w:rPr>
          <w:rFonts w:hint="eastAsia" w:ascii="宋体" w:hAnsi="宋体" w:eastAsia="宋体" w:cs="宋体"/>
          <w:color w:val="auto"/>
          <w:highlight w:val="none"/>
        </w:rPr>
      </w:pPr>
      <w:bookmarkStart w:id="18" w:name="_Toc27005"/>
      <w:bookmarkStart w:id="19" w:name="_Toc29853"/>
      <w:bookmarkStart w:id="20" w:name="_Toc16066"/>
      <w:r>
        <w:rPr>
          <w:rFonts w:hint="eastAsia" w:ascii="宋体" w:hAnsi="宋体" w:eastAsia="宋体" w:cs="宋体"/>
          <w:color w:val="auto"/>
          <w:highlight w:val="none"/>
        </w:rPr>
        <w:t>四、开标、资格审查与信用信息查询</w:t>
      </w:r>
      <w:bookmarkEnd w:id="18"/>
      <w:bookmarkEnd w:id="19"/>
      <w:bookmarkEnd w:id="20"/>
    </w:p>
    <w:p w14:paraId="7AB194DC">
      <w:pPr>
        <w:pageBreakBefore w:val="0"/>
        <w:numPr>
          <w:ilvl w:val="0"/>
          <w:numId w:val="3"/>
        </w:numPr>
        <w:shd w:val="clear"/>
        <w:tabs>
          <w:tab w:val="left" w:pos="210"/>
        </w:tabs>
        <w:kinsoku/>
        <w:overflowPunct/>
        <w:topLinePunct w:val="0"/>
        <w:bidi w:val="0"/>
        <w:spacing w:line="360" w:lineRule="auto"/>
        <w:ind w:left="57" w:leftChars="0" w:hanging="57" w:firstLineChars="0"/>
        <w:jc w:val="left"/>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开标 </w:t>
      </w:r>
    </w:p>
    <w:p w14:paraId="09A8C3B2">
      <w:pPr>
        <w:pageBreakBefore w:val="0"/>
        <w:numPr>
          <w:ilvl w:val="1"/>
          <w:numId w:val="3"/>
        </w:numPr>
        <w:shd w:val="clear"/>
        <w:tabs>
          <w:tab w:val="left" w:pos="210"/>
          <w:tab w:val="left" w:pos="640"/>
        </w:tabs>
        <w:kinsoku/>
        <w:overflowPunct/>
        <w:topLinePunct w:val="0"/>
        <w:bidi w:val="0"/>
        <w:spacing w:line="360" w:lineRule="auto"/>
        <w:ind w:left="567" w:leftChars="0" w:hanging="567" w:firstLineChars="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采购代理机构按照招标文件规定的时间通过电子交易平台组织开标，所有投标人均应当准时在线参加。投标人不足3家的，不得开标。</w:t>
      </w:r>
    </w:p>
    <w:p w14:paraId="2A683C3D">
      <w:pPr>
        <w:pageBreakBefore w:val="0"/>
        <w:numPr>
          <w:ilvl w:val="1"/>
          <w:numId w:val="3"/>
        </w:numPr>
        <w:shd w:val="clear"/>
        <w:tabs>
          <w:tab w:val="left" w:pos="210"/>
          <w:tab w:val="left" w:pos="640"/>
        </w:tabs>
        <w:kinsoku/>
        <w:overflowPunct/>
        <w:topLinePunct w:val="0"/>
        <w:bidi w:val="0"/>
        <w:spacing w:line="360" w:lineRule="auto"/>
        <w:ind w:left="567" w:leftChars="0" w:hanging="567" w:firstLineChars="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开标时，电子交易平台按开标时间自动提取所有投标文件。采购代理机构依托电子交易平台发起开始解密指令，投标人按照平台提示和招标文件的规定在半小时内完成在线解密。</w:t>
      </w:r>
    </w:p>
    <w:p w14:paraId="7BDBA8F4">
      <w:pPr>
        <w:pageBreakBefore w:val="0"/>
        <w:numPr>
          <w:ilvl w:val="1"/>
          <w:numId w:val="3"/>
        </w:numPr>
        <w:shd w:val="clear"/>
        <w:tabs>
          <w:tab w:val="left" w:pos="210"/>
          <w:tab w:val="left" w:pos="640"/>
        </w:tabs>
        <w:kinsoku/>
        <w:overflowPunct/>
        <w:topLinePunct w:val="0"/>
        <w:bidi w:val="0"/>
        <w:spacing w:line="360" w:lineRule="auto"/>
        <w:ind w:left="567" w:leftChars="0" w:hanging="567" w:firstLineChars="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投标文件未按时解密，投标人提供了备份投标文件的，以备份投标文件作为依据，否则视为投标文件撤回。投标文件已按时解密的，备份投标文件自动失效。</w:t>
      </w:r>
    </w:p>
    <w:p w14:paraId="34ED8CB5">
      <w:pPr>
        <w:pageBreakBefore w:val="0"/>
        <w:numPr>
          <w:ilvl w:val="0"/>
          <w:numId w:val="3"/>
        </w:numPr>
        <w:shd w:val="clear"/>
        <w:tabs>
          <w:tab w:val="left" w:pos="210"/>
        </w:tabs>
        <w:kinsoku/>
        <w:overflowPunct/>
        <w:topLinePunct w:val="0"/>
        <w:bidi w:val="0"/>
        <w:spacing w:line="360" w:lineRule="auto"/>
        <w:ind w:left="57" w:leftChars="0" w:hanging="57" w:firstLineChars="0"/>
        <w:jc w:val="left"/>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资格审查</w:t>
      </w:r>
    </w:p>
    <w:p w14:paraId="183BBD2B">
      <w:pPr>
        <w:pageBreakBefore w:val="0"/>
        <w:numPr>
          <w:ilvl w:val="1"/>
          <w:numId w:val="3"/>
        </w:numPr>
        <w:shd w:val="clear"/>
        <w:tabs>
          <w:tab w:val="left" w:pos="210"/>
          <w:tab w:val="left" w:pos="640"/>
        </w:tabs>
        <w:kinsoku/>
        <w:overflowPunct/>
        <w:topLinePunct w:val="0"/>
        <w:bidi w:val="0"/>
        <w:spacing w:line="360" w:lineRule="auto"/>
        <w:ind w:left="567" w:leftChars="0" w:hanging="567" w:firstLineChars="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采购人或采购代理机构依据法律法规和招标文件的规定，对投标人的资格进行审查。</w:t>
      </w:r>
    </w:p>
    <w:p w14:paraId="46D4E40D">
      <w:pPr>
        <w:pageBreakBefore w:val="0"/>
        <w:numPr>
          <w:ilvl w:val="1"/>
          <w:numId w:val="3"/>
        </w:numPr>
        <w:shd w:val="clear"/>
        <w:tabs>
          <w:tab w:val="left" w:pos="210"/>
          <w:tab w:val="left" w:pos="640"/>
        </w:tabs>
        <w:kinsoku/>
        <w:overflowPunct/>
        <w:topLinePunct w:val="0"/>
        <w:bidi w:val="0"/>
        <w:spacing w:line="360" w:lineRule="auto"/>
        <w:ind w:left="567" w:leftChars="0" w:hanging="567" w:firstLineChars="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投标人未按照招标文件要求提供与资格条件相应的有效资格证明材料的，视为投标人不具备招标文件中规定的资格要求，其投标无效。</w:t>
      </w:r>
    </w:p>
    <w:p w14:paraId="703DA0DC">
      <w:pPr>
        <w:pageBreakBefore w:val="0"/>
        <w:numPr>
          <w:ilvl w:val="1"/>
          <w:numId w:val="3"/>
        </w:numPr>
        <w:shd w:val="clear"/>
        <w:tabs>
          <w:tab w:val="left" w:pos="210"/>
          <w:tab w:val="left" w:pos="640"/>
        </w:tabs>
        <w:kinsoku/>
        <w:overflowPunct/>
        <w:topLinePunct w:val="0"/>
        <w:bidi w:val="0"/>
        <w:spacing w:line="360" w:lineRule="auto"/>
        <w:ind w:left="567" w:leftChars="0" w:hanging="567" w:firstLineChars="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对未通过资格审查的投标人，采购人或采购代理机构告知其未通过的原因。</w:t>
      </w:r>
    </w:p>
    <w:p w14:paraId="07510579">
      <w:pPr>
        <w:pageBreakBefore w:val="0"/>
        <w:numPr>
          <w:ilvl w:val="1"/>
          <w:numId w:val="3"/>
        </w:numPr>
        <w:shd w:val="clear"/>
        <w:tabs>
          <w:tab w:val="left" w:pos="210"/>
          <w:tab w:val="left" w:pos="640"/>
        </w:tabs>
        <w:kinsoku/>
        <w:overflowPunct/>
        <w:topLinePunct w:val="0"/>
        <w:bidi w:val="0"/>
        <w:spacing w:line="360" w:lineRule="auto"/>
        <w:ind w:left="567" w:leftChars="0" w:hanging="567" w:firstLineChars="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合格投标人不足3家的，不再评标。</w:t>
      </w:r>
    </w:p>
    <w:p w14:paraId="4A4B95A6">
      <w:pPr>
        <w:pageBreakBefore w:val="0"/>
        <w:numPr>
          <w:ilvl w:val="0"/>
          <w:numId w:val="3"/>
        </w:numPr>
        <w:shd w:val="clear"/>
        <w:tabs>
          <w:tab w:val="left" w:pos="210"/>
        </w:tabs>
        <w:kinsoku/>
        <w:overflowPunct/>
        <w:topLinePunct w:val="0"/>
        <w:bidi w:val="0"/>
        <w:spacing w:line="360" w:lineRule="auto"/>
        <w:ind w:left="57" w:leftChars="0" w:hanging="57" w:firstLineChars="0"/>
        <w:jc w:val="left"/>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信用信息查询</w:t>
      </w:r>
    </w:p>
    <w:p w14:paraId="50B8DEF7">
      <w:pPr>
        <w:pageBreakBefore w:val="0"/>
        <w:numPr>
          <w:ilvl w:val="1"/>
          <w:numId w:val="3"/>
        </w:numPr>
        <w:shd w:val="clear"/>
        <w:tabs>
          <w:tab w:val="left" w:pos="210"/>
          <w:tab w:val="left" w:pos="640"/>
        </w:tabs>
        <w:kinsoku/>
        <w:overflowPunct/>
        <w:topLinePunct w:val="0"/>
        <w:bidi w:val="0"/>
        <w:spacing w:line="360" w:lineRule="auto"/>
        <w:ind w:left="567" w:leftChars="0" w:hanging="567" w:firstLineChars="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信用信息查询渠道及截止时间：采购代理机构将通过“信用中国”网站(www.creditchina.gov.cn)、中国政府采购网(www.ccgp.gov.cn)渠道查询投标人投标截止时间当天的信用记录。</w:t>
      </w:r>
    </w:p>
    <w:p w14:paraId="5F4E8584">
      <w:pPr>
        <w:pageBreakBefore w:val="0"/>
        <w:numPr>
          <w:ilvl w:val="1"/>
          <w:numId w:val="3"/>
        </w:numPr>
        <w:shd w:val="clear"/>
        <w:tabs>
          <w:tab w:val="left" w:pos="210"/>
          <w:tab w:val="left" w:pos="640"/>
        </w:tabs>
        <w:kinsoku/>
        <w:overflowPunct/>
        <w:topLinePunct w:val="0"/>
        <w:bidi w:val="0"/>
        <w:spacing w:line="360" w:lineRule="auto"/>
        <w:ind w:left="567" w:leftChars="0" w:hanging="567" w:firstLineChars="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信用信息查询记录和证据留存的具体方式：现场查询的投标人的信用记录、查询结果经确认后将与招标文件一起存档。</w:t>
      </w:r>
    </w:p>
    <w:p w14:paraId="62650659">
      <w:pPr>
        <w:pageBreakBefore w:val="0"/>
        <w:numPr>
          <w:ilvl w:val="1"/>
          <w:numId w:val="3"/>
        </w:numPr>
        <w:shd w:val="clear"/>
        <w:tabs>
          <w:tab w:val="left" w:pos="210"/>
          <w:tab w:val="left" w:pos="640"/>
        </w:tabs>
        <w:kinsoku/>
        <w:overflowPunct/>
        <w:topLinePunct w:val="0"/>
        <w:bidi w:val="0"/>
        <w:spacing w:line="360" w:lineRule="auto"/>
        <w:ind w:left="567" w:leftChars="0" w:hanging="567" w:firstLineChars="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信用信息的使用规则：经查询列入失信被执行人名单、重大税收违法案件当事人名单、政府采购严重违法失信行为记录名单的投标人将被拒绝参与政府采购活动。</w:t>
      </w:r>
    </w:p>
    <w:p w14:paraId="58B165AA">
      <w:pPr>
        <w:pageBreakBefore w:val="0"/>
        <w:numPr>
          <w:ilvl w:val="1"/>
          <w:numId w:val="3"/>
        </w:numPr>
        <w:shd w:val="clear"/>
        <w:tabs>
          <w:tab w:val="left" w:pos="210"/>
          <w:tab w:val="left" w:pos="640"/>
        </w:tabs>
        <w:kinsoku/>
        <w:overflowPunct/>
        <w:topLinePunct w:val="0"/>
        <w:bidi w:val="0"/>
        <w:spacing w:line="360" w:lineRule="auto"/>
        <w:ind w:left="567" w:leftChars="0" w:hanging="567" w:firstLineChars="0"/>
        <w:jc w:val="left"/>
        <w:rPr>
          <w:rFonts w:hint="eastAsia" w:ascii="宋体" w:hAnsi="宋体" w:eastAsia="宋体" w:cs="宋体"/>
          <w:color w:val="auto"/>
          <w:kern w:val="0"/>
          <w:sz w:val="21"/>
          <w:szCs w:val="21"/>
          <w:highlight w:val="none"/>
        </w:rPr>
      </w:pPr>
      <w:r>
        <w:rPr>
          <w:rFonts w:hint="eastAsia" w:ascii="宋体" w:hAnsi="宋体" w:eastAsia="宋体" w:cs="宋体"/>
          <w:bCs/>
          <w:color w:val="auto"/>
          <w:sz w:val="21"/>
          <w:szCs w:val="21"/>
          <w:highlight w:val="none"/>
        </w:rPr>
        <w:t>联合体信用信息查询：两个以上的自然人、法人或者其他组织组成一个联合体，以一个</w:t>
      </w:r>
      <w:r>
        <w:rPr>
          <w:rFonts w:hint="eastAsia" w:ascii="宋体" w:hAnsi="宋体" w:eastAsia="宋体" w:cs="宋体"/>
          <w:bCs/>
          <w:color w:val="auto"/>
          <w:sz w:val="21"/>
          <w:szCs w:val="21"/>
          <w:highlight w:val="none"/>
          <w:lang w:eastAsia="zh-CN"/>
        </w:rPr>
        <w:t>投标人</w:t>
      </w:r>
      <w:r>
        <w:rPr>
          <w:rFonts w:hint="eastAsia" w:ascii="宋体" w:hAnsi="宋体" w:eastAsia="宋体" w:cs="宋体"/>
          <w:bCs/>
          <w:color w:val="auto"/>
          <w:sz w:val="21"/>
          <w:szCs w:val="21"/>
          <w:highlight w:val="none"/>
        </w:rPr>
        <w:t>的身份共同参加政府采购活动的，应当对所有联合体成员进行信用记录查询，联合体成员存在不良信用记录的，视同联合体存在不良信用记录。</w:t>
      </w:r>
    </w:p>
    <w:p w14:paraId="4C3F206F">
      <w:pPr>
        <w:pageBreakBefore w:val="0"/>
        <w:numPr>
          <w:ilvl w:val="0"/>
          <w:numId w:val="0"/>
        </w:numPr>
        <w:shd w:val="clear"/>
        <w:tabs>
          <w:tab w:val="left" w:pos="210"/>
          <w:tab w:val="left" w:pos="640"/>
        </w:tabs>
        <w:kinsoku/>
        <w:overflowPunct/>
        <w:topLinePunct w:val="0"/>
        <w:bidi w:val="0"/>
        <w:spacing w:line="360" w:lineRule="auto"/>
        <w:ind w:leftChars="0"/>
        <w:jc w:val="left"/>
        <w:rPr>
          <w:rFonts w:hint="eastAsia" w:ascii="宋体" w:hAnsi="宋体" w:eastAsia="宋体" w:cs="宋体"/>
          <w:color w:val="auto"/>
          <w:kern w:val="0"/>
          <w:sz w:val="21"/>
          <w:szCs w:val="21"/>
          <w:highlight w:val="none"/>
        </w:rPr>
      </w:pPr>
    </w:p>
    <w:p w14:paraId="289602BA">
      <w:pPr>
        <w:pStyle w:val="5"/>
        <w:pageBreakBefore w:val="0"/>
        <w:shd w:val="clear"/>
        <w:kinsoku/>
        <w:overflowPunct/>
        <w:topLinePunct w:val="0"/>
        <w:bidi w:val="0"/>
        <w:spacing w:line="360" w:lineRule="auto"/>
        <w:jc w:val="center"/>
        <w:rPr>
          <w:rFonts w:hint="eastAsia" w:ascii="宋体" w:hAnsi="宋体" w:eastAsia="宋体" w:cs="宋体"/>
          <w:color w:val="auto"/>
          <w:highlight w:val="none"/>
        </w:rPr>
      </w:pPr>
      <w:bookmarkStart w:id="21" w:name="_Toc4902"/>
      <w:bookmarkStart w:id="22" w:name="_Toc12605"/>
      <w:bookmarkStart w:id="23" w:name="_Toc21003"/>
      <w:r>
        <w:rPr>
          <w:rFonts w:hint="eastAsia" w:ascii="宋体" w:hAnsi="宋体" w:eastAsia="宋体" w:cs="宋体"/>
          <w:color w:val="auto"/>
          <w:highlight w:val="none"/>
        </w:rPr>
        <w:t>五、评标</w:t>
      </w:r>
      <w:bookmarkEnd w:id="21"/>
      <w:bookmarkEnd w:id="22"/>
      <w:bookmarkEnd w:id="23"/>
    </w:p>
    <w:p w14:paraId="1DF3567D">
      <w:pPr>
        <w:pageBreakBefore w:val="0"/>
        <w:numPr>
          <w:ilvl w:val="0"/>
          <w:numId w:val="3"/>
        </w:numPr>
        <w:shd w:val="clear"/>
        <w:tabs>
          <w:tab w:val="left" w:pos="210"/>
        </w:tabs>
        <w:kinsoku/>
        <w:overflowPunct/>
        <w:topLinePunct w:val="0"/>
        <w:bidi w:val="0"/>
        <w:spacing w:line="360" w:lineRule="auto"/>
        <w:ind w:left="57" w:leftChars="0" w:hanging="57" w:firstLineChars="0"/>
        <w:jc w:val="left"/>
        <w:outlineLvl w:val="2"/>
        <w:rPr>
          <w:rFonts w:hint="eastAsia" w:ascii="宋体" w:hAnsi="宋体" w:eastAsia="宋体" w:cs="宋体"/>
          <w:b/>
          <w:color w:val="auto"/>
          <w:sz w:val="21"/>
          <w:szCs w:val="21"/>
          <w:highlight w:val="none"/>
        </w:rPr>
      </w:pPr>
      <w:bookmarkStart w:id="24" w:name="_Toc91899903"/>
      <w:r>
        <w:rPr>
          <w:rFonts w:hint="eastAsia" w:ascii="宋体" w:hAnsi="宋体" w:eastAsia="宋体" w:cs="宋体"/>
          <w:b/>
          <w:color w:val="auto"/>
          <w:sz w:val="21"/>
          <w:szCs w:val="21"/>
          <w:highlight w:val="none"/>
        </w:rPr>
        <w:t>评标</w:t>
      </w:r>
    </w:p>
    <w:p w14:paraId="1B49C6BD">
      <w:pPr>
        <w:pageBreakBefore w:val="0"/>
        <w:shd w:val="clear"/>
        <w:kinsoku/>
        <w:overflowPunct/>
        <w:topLinePunct w:val="0"/>
        <w:bidi w:val="0"/>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1"/>
          <w:szCs w:val="21"/>
          <w:highlight w:val="none"/>
        </w:rPr>
        <w:t>详见招标文件第</w:t>
      </w:r>
      <w:r>
        <w:rPr>
          <w:rFonts w:hint="eastAsia" w:ascii="宋体" w:hAnsi="宋体" w:eastAsia="宋体" w:cs="宋体"/>
          <w:b/>
          <w:color w:val="auto"/>
          <w:sz w:val="21"/>
          <w:szCs w:val="21"/>
          <w:highlight w:val="none"/>
          <w:lang w:eastAsia="zh-CN"/>
        </w:rPr>
        <w:t>五</w:t>
      </w:r>
      <w:r>
        <w:rPr>
          <w:rFonts w:hint="eastAsia" w:ascii="宋体" w:hAnsi="宋体" w:eastAsia="宋体" w:cs="宋体"/>
          <w:b/>
          <w:color w:val="auto"/>
          <w:sz w:val="21"/>
          <w:szCs w:val="21"/>
          <w:highlight w:val="none"/>
        </w:rPr>
        <w:t>部分</w:t>
      </w:r>
      <w:r>
        <w:rPr>
          <w:rFonts w:hint="eastAsia" w:ascii="宋体" w:hAnsi="宋体" w:eastAsia="宋体" w:cs="宋体"/>
          <w:b/>
          <w:color w:val="auto"/>
          <w:sz w:val="21"/>
          <w:szCs w:val="21"/>
          <w:highlight w:val="none"/>
          <w:lang w:eastAsia="zh-CN"/>
        </w:rPr>
        <w:t>评标标准</w:t>
      </w:r>
      <w:r>
        <w:rPr>
          <w:rFonts w:hint="eastAsia" w:ascii="宋体" w:hAnsi="宋体" w:eastAsia="宋体" w:cs="宋体"/>
          <w:b/>
          <w:color w:val="auto"/>
          <w:sz w:val="21"/>
          <w:szCs w:val="21"/>
          <w:highlight w:val="none"/>
        </w:rPr>
        <w:t>。</w:t>
      </w:r>
    </w:p>
    <w:p w14:paraId="785A0584">
      <w:pPr>
        <w:pStyle w:val="5"/>
        <w:pageBreakBefore w:val="0"/>
        <w:shd w:val="clear"/>
        <w:kinsoku/>
        <w:overflowPunct/>
        <w:topLinePunct w:val="0"/>
        <w:bidi w:val="0"/>
        <w:spacing w:line="360" w:lineRule="auto"/>
        <w:jc w:val="center"/>
        <w:rPr>
          <w:rFonts w:hint="eastAsia" w:ascii="宋体" w:hAnsi="宋体" w:eastAsia="宋体" w:cs="宋体"/>
          <w:color w:val="auto"/>
          <w:highlight w:val="none"/>
        </w:rPr>
      </w:pPr>
      <w:bookmarkStart w:id="25" w:name="_Toc19137"/>
      <w:bookmarkStart w:id="26" w:name="_Toc7938"/>
      <w:bookmarkStart w:id="27" w:name="_Toc7222"/>
      <w:r>
        <w:rPr>
          <w:rFonts w:hint="eastAsia" w:ascii="宋体" w:hAnsi="宋体" w:eastAsia="宋体" w:cs="宋体"/>
          <w:color w:val="auto"/>
          <w:highlight w:val="none"/>
        </w:rPr>
        <w:t>六、定标</w:t>
      </w:r>
      <w:bookmarkEnd w:id="25"/>
      <w:bookmarkEnd w:id="26"/>
      <w:bookmarkEnd w:id="27"/>
    </w:p>
    <w:p w14:paraId="30929662">
      <w:pPr>
        <w:pageBreakBefore w:val="0"/>
        <w:numPr>
          <w:ilvl w:val="0"/>
          <w:numId w:val="3"/>
        </w:numPr>
        <w:shd w:val="clear"/>
        <w:tabs>
          <w:tab w:val="left" w:pos="210"/>
        </w:tabs>
        <w:kinsoku/>
        <w:overflowPunct/>
        <w:topLinePunct w:val="0"/>
        <w:bidi w:val="0"/>
        <w:spacing w:line="360" w:lineRule="auto"/>
        <w:ind w:left="57" w:leftChars="0" w:hanging="57" w:firstLineChars="0"/>
        <w:jc w:val="left"/>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确定中标</w:t>
      </w:r>
      <w:r>
        <w:rPr>
          <w:rFonts w:hint="eastAsia" w:ascii="宋体" w:hAnsi="宋体" w:eastAsia="宋体" w:cs="宋体"/>
          <w:b/>
          <w:color w:val="auto"/>
          <w:sz w:val="21"/>
          <w:szCs w:val="21"/>
          <w:highlight w:val="none"/>
          <w:lang w:eastAsia="zh-CN"/>
        </w:rPr>
        <w:t>投标人</w:t>
      </w:r>
    </w:p>
    <w:p w14:paraId="02A00A24">
      <w:pPr>
        <w:pStyle w:val="63"/>
        <w:pageBreakBefore w:val="0"/>
        <w:shd w:val="clear"/>
        <w:kinsoku/>
        <w:overflowPunct/>
        <w:topLinePunct w:val="0"/>
        <w:bidi w:val="0"/>
        <w:spacing w:before="0" w:line="360" w:lineRule="auto"/>
        <w:ind w:firstLine="42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成交</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。中标、成交通知书和中标、成交结果公告应当在规定时间内同时发出。</w:t>
      </w:r>
    </w:p>
    <w:p w14:paraId="50B1C711">
      <w:pPr>
        <w:pageBreakBefore w:val="0"/>
        <w:numPr>
          <w:ilvl w:val="0"/>
          <w:numId w:val="3"/>
        </w:numPr>
        <w:shd w:val="clear"/>
        <w:tabs>
          <w:tab w:val="left" w:pos="210"/>
        </w:tabs>
        <w:kinsoku/>
        <w:overflowPunct/>
        <w:topLinePunct w:val="0"/>
        <w:bidi w:val="0"/>
        <w:spacing w:line="360" w:lineRule="auto"/>
        <w:ind w:left="57" w:leftChars="0" w:hanging="57" w:firstLineChars="0"/>
        <w:jc w:val="left"/>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中标通知与中标结果公告</w:t>
      </w:r>
    </w:p>
    <w:p w14:paraId="4F2EB5A9">
      <w:pPr>
        <w:pageBreakBefore w:val="0"/>
        <w:numPr>
          <w:ilvl w:val="1"/>
          <w:numId w:val="3"/>
        </w:numPr>
        <w:shd w:val="clear"/>
        <w:tabs>
          <w:tab w:val="left" w:pos="210"/>
          <w:tab w:val="left" w:pos="640"/>
        </w:tabs>
        <w:kinsoku/>
        <w:overflowPunct/>
        <w:topLinePunct w:val="0"/>
        <w:bidi w:val="0"/>
        <w:spacing w:line="360" w:lineRule="auto"/>
        <w:ind w:left="567" w:leftChars="0" w:hanging="567" w:firstLineChars="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自中标人确定之日起2个工作日内，采购代理机构通过电子交易平台向中标人发出中标通知书，同时编制发布采购结果公告。采购代理机构也可以以纸质形式进行中标通知。</w:t>
      </w:r>
    </w:p>
    <w:p w14:paraId="4DFC071C">
      <w:pPr>
        <w:pageBreakBefore w:val="0"/>
        <w:numPr>
          <w:ilvl w:val="1"/>
          <w:numId w:val="3"/>
        </w:numPr>
        <w:shd w:val="clear"/>
        <w:tabs>
          <w:tab w:val="left" w:pos="210"/>
          <w:tab w:val="left" w:pos="640"/>
        </w:tabs>
        <w:kinsoku/>
        <w:overflowPunct/>
        <w:topLinePunct w:val="0"/>
        <w:bidi w:val="0"/>
        <w:spacing w:line="360" w:lineRule="auto"/>
        <w:ind w:left="567" w:leftChars="0" w:hanging="567" w:firstLineChars="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中标结果公告内容包括采购人及其委托的采购代理机构的名称、地址、联系方式，项目名称和项目编号，中标人名称、地址和中标金额，主要中标标的的名称、规格型号、数量、单价，开标记录、中标公告期限以及评审专家名单、评分汇总及明细。</w:t>
      </w:r>
    </w:p>
    <w:p w14:paraId="71E69983">
      <w:pPr>
        <w:pageBreakBefore w:val="0"/>
        <w:numPr>
          <w:ilvl w:val="1"/>
          <w:numId w:val="3"/>
        </w:numPr>
        <w:shd w:val="clear"/>
        <w:tabs>
          <w:tab w:val="left" w:pos="210"/>
          <w:tab w:val="left" w:pos="640"/>
        </w:tabs>
        <w:kinsoku/>
        <w:overflowPunct/>
        <w:topLinePunct w:val="0"/>
        <w:bidi w:val="0"/>
        <w:spacing w:line="360" w:lineRule="auto"/>
        <w:ind w:left="567" w:leftChars="0" w:hanging="567" w:firstLineChars="0"/>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公告期限为1个工作日。</w:t>
      </w:r>
    </w:p>
    <w:p w14:paraId="58A99A88">
      <w:pPr>
        <w:pageBreakBefore w:val="0"/>
        <w:numPr>
          <w:ilvl w:val="1"/>
          <w:numId w:val="3"/>
        </w:numPr>
        <w:shd w:val="clear"/>
        <w:tabs>
          <w:tab w:val="left" w:pos="210"/>
          <w:tab w:val="left" w:pos="640"/>
        </w:tabs>
        <w:kinsoku/>
        <w:overflowPunct/>
        <w:topLinePunct w:val="0"/>
        <w:bidi w:val="0"/>
        <w:spacing w:line="360" w:lineRule="auto"/>
        <w:ind w:left="567" w:leftChars="0" w:hanging="567" w:firstLineChars="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由于中标、成交</w:t>
      </w:r>
      <w:r>
        <w:rPr>
          <w:rFonts w:hint="eastAsia" w:ascii="宋体" w:hAnsi="宋体" w:eastAsia="宋体" w:cs="宋体"/>
          <w:bCs/>
          <w:color w:val="auto"/>
          <w:sz w:val="21"/>
          <w:szCs w:val="21"/>
          <w:highlight w:val="none"/>
          <w:lang w:eastAsia="zh-CN"/>
        </w:rPr>
        <w:t>投标人</w:t>
      </w:r>
      <w:r>
        <w:rPr>
          <w:rFonts w:hint="eastAsia" w:ascii="宋体" w:hAnsi="宋体" w:eastAsia="宋体" w:cs="宋体"/>
          <w:bCs/>
          <w:color w:val="auto"/>
          <w:sz w:val="21"/>
          <w:szCs w:val="21"/>
          <w:highlight w:val="none"/>
        </w:rPr>
        <w:t>原因导致重新采购的，应当承担支付代理费和专家评审费等费用在内的赔偿责任。</w:t>
      </w:r>
    </w:p>
    <w:p w14:paraId="7D9A39AE">
      <w:pPr>
        <w:pStyle w:val="5"/>
        <w:pageBreakBefore w:val="0"/>
        <w:shd w:val="clear"/>
        <w:kinsoku/>
        <w:overflowPunct/>
        <w:topLinePunct w:val="0"/>
        <w:bidi w:val="0"/>
        <w:spacing w:line="360" w:lineRule="auto"/>
        <w:jc w:val="center"/>
        <w:rPr>
          <w:rFonts w:hint="eastAsia" w:ascii="宋体" w:hAnsi="宋体" w:eastAsia="宋体" w:cs="宋体"/>
          <w:color w:val="auto"/>
          <w:highlight w:val="none"/>
        </w:rPr>
      </w:pPr>
      <w:bookmarkStart w:id="28" w:name="_Toc32186"/>
      <w:bookmarkStart w:id="29" w:name="_Toc5836"/>
      <w:bookmarkStart w:id="30" w:name="_Toc16349"/>
      <w:r>
        <w:rPr>
          <w:rFonts w:hint="eastAsia" w:ascii="宋体" w:hAnsi="宋体" w:eastAsia="宋体" w:cs="宋体"/>
          <w:color w:val="auto"/>
          <w:highlight w:val="none"/>
        </w:rPr>
        <w:t>七、合同授予</w:t>
      </w:r>
      <w:bookmarkEnd w:id="28"/>
      <w:bookmarkEnd w:id="29"/>
      <w:bookmarkEnd w:id="30"/>
    </w:p>
    <w:p w14:paraId="20A3C618">
      <w:pPr>
        <w:pageBreakBefore w:val="0"/>
        <w:numPr>
          <w:ilvl w:val="0"/>
          <w:numId w:val="3"/>
        </w:numPr>
        <w:shd w:val="clear"/>
        <w:tabs>
          <w:tab w:val="left" w:pos="210"/>
        </w:tabs>
        <w:kinsoku/>
        <w:overflowPunct/>
        <w:topLinePunct w:val="0"/>
        <w:bidi w:val="0"/>
        <w:spacing w:line="360" w:lineRule="auto"/>
        <w:ind w:left="57" w:leftChars="0" w:hanging="57" w:firstLineChars="0"/>
        <w:jc w:val="left"/>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合同授予</w:t>
      </w:r>
    </w:p>
    <w:p w14:paraId="45F34030">
      <w:pPr>
        <w:pageBreakBefore w:val="0"/>
        <w:widowControl/>
        <w:shd w:val="clear"/>
        <w:kinsoku/>
        <w:overflowPunct/>
        <w:topLinePunct w:val="0"/>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合同主要条款详见第五部分拟签订的合同文本。</w:t>
      </w:r>
    </w:p>
    <w:p w14:paraId="1FF2577E">
      <w:pPr>
        <w:pageBreakBefore w:val="0"/>
        <w:numPr>
          <w:ilvl w:val="0"/>
          <w:numId w:val="3"/>
        </w:numPr>
        <w:shd w:val="clear"/>
        <w:tabs>
          <w:tab w:val="left" w:pos="210"/>
        </w:tabs>
        <w:kinsoku/>
        <w:overflowPunct/>
        <w:topLinePunct w:val="0"/>
        <w:bidi w:val="0"/>
        <w:spacing w:line="360" w:lineRule="auto"/>
        <w:ind w:left="57" w:leftChars="0" w:hanging="57" w:firstLineChars="0"/>
        <w:jc w:val="left"/>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合同的签订</w:t>
      </w:r>
    </w:p>
    <w:p w14:paraId="2F133F63">
      <w:pPr>
        <w:pageBreakBefore w:val="0"/>
        <w:numPr>
          <w:ilvl w:val="1"/>
          <w:numId w:val="3"/>
        </w:numPr>
        <w:shd w:val="clear"/>
        <w:tabs>
          <w:tab w:val="left" w:pos="210"/>
          <w:tab w:val="left" w:pos="640"/>
        </w:tabs>
        <w:kinsoku/>
        <w:overflowPunct/>
        <w:topLinePunct w:val="0"/>
        <w:bidi w:val="0"/>
        <w:spacing w:line="360" w:lineRule="auto"/>
        <w:ind w:left="567" w:leftChars="0" w:hanging="567" w:firstLineChars="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采购人与中标人应当在中标通知书发出之日起三十日内，按照招标文件确定的事项签订政府采购合同，并在签订之日起2个工作日内将政府采购合同在浙江政府采购网上公告。</w:t>
      </w:r>
    </w:p>
    <w:p w14:paraId="10737ECD">
      <w:pPr>
        <w:pageBreakBefore w:val="0"/>
        <w:numPr>
          <w:ilvl w:val="1"/>
          <w:numId w:val="3"/>
        </w:numPr>
        <w:shd w:val="clear"/>
        <w:tabs>
          <w:tab w:val="left" w:pos="210"/>
          <w:tab w:val="left" w:pos="640"/>
        </w:tabs>
        <w:kinsoku/>
        <w:overflowPunct/>
        <w:topLinePunct w:val="0"/>
        <w:bidi w:val="0"/>
        <w:spacing w:line="360" w:lineRule="auto"/>
        <w:ind w:left="567" w:leftChars="0" w:hanging="567" w:firstLineChars="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zh-CN"/>
        </w:rPr>
        <w:t>中标人按规定的日期、时间、地点，由法定代表人或其授权代表与采购人代表签订合同。如中标人为联合体的，由联合体成员各方法定代表人或其授权代表与采购人代表签订合同。</w:t>
      </w:r>
    </w:p>
    <w:p w14:paraId="39D43D0A">
      <w:pPr>
        <w:pageBreakBefore w:val="0"/>
        <w:numPr>
          <w:ilvl w:val="1"/>
          <w:numId w:val="3"/>
        </w:numPr>
        <w:shd w:val="clear"/>
        <w:tabs>
          <w:tab w:val="left" w:pos="210"/>
          <w:tab w:val="left" w:pos="640"/>
        </w:tabs>
        <w:kinsoku/>
        <w:overflowPunct/>
        <w:topLinePunct w:val="0"/>
        <w:bidi w:val="0"/>
        <w:spacing w:line="360" w:lineRule="auto"/>
        <w:ind w:left="567" w:leftChars="0" w:hanging="567" w:firstLineChars="0"/>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如签订合同并生效后，投标人无故拒绝或延期，除按照合同条款处理外，列入不良行为记录一次，并给予通报。</w:t>
      </w:r>
    </w:p>
    <w:p w14:paraId="1E3675D0">
      <w:pPr>
        <w:pageBreakBefore w:val="0"/>
        <w:numPr>
          <w:ilvl w:val="1"/>
          <w:numId w:val="3"/>
        </w:numPr>
        <w:shd w:val="clear"/>
        <w:tabs>
          <w:tab w:val="left" w:pos="210"/>
          <w:tab w:val="left" w:pos="640"/>
        </w:tabs>
        <w:kinsoku/>
        <w:overflowPunct/>
        <w:topLinePunct w:val="0"/>
        <w:bidi w:val="0"/>
        <w:spacing w:line="360" w:lineRule="auto"/>
        <w:ind w:left="567" w:leftChars="0" w:hanging="567" w:firstLineChars="0"/>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中标投标人拒绝与采购人签订合同的，采购人可以按照评审报告推荐的中标或者成交候选人名单排序，确定下一候选人为中标投标人，也可以重新开展政府采购活动。</w:t>
      </w:r>
    </w:p>
    <w:p w14:paraId="2A52637D">
      <w:pPr>
        <w:pageBreakBefore w:val="0"/>
        <w:numPr>
          <w:ilvl w:val="0"/>
          <w:numId w:val="3"/>
        </w:numPr>
        <w:shd w:val="clear"/>
        <w:tabs>
          <w:tab w:val="left" w:pos="210"/>
        </w:tabs>
        <w:kinsoku/>
        <w:overflowPunct/>
        <w:topLinePunct w:val="0"/>
        <w:bidi w:val="0"/>
        <w:spacing w:line="360" w:lineRule="auto"/>
        <w:ind w:left="57" w:leftChars="0" w:hanging="57" w:firstLineChars="0"/>
        <w:jc w:val="left"/>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履约保证金</w:t>
      </w:r>
    </w:p>
    <w:p w14:paraId="35BF6B5B">
      <w:pPr>
        <w:pageBreakBefore w:val="0"/>
        <w:numPr>
          <w:ilvl w:val="1"/>
          <w:numId w:val="3"/>
        </w:numPr>
        <w:shd w:val="clear"/>
        <w:tabs>
          <w:tab w:val="left" w:pos="210"/>
          <w:tab w:val="left" w:pos="640"/>
        </w:tabs>
        <w:kinsoku/>
        <w:overflowPunct/>
        <w:topLinePunct w:val="0"/>
        <w:bidi w:val="0"/>
        <w:spacing w:line="360" w:lineRule="auto"/>
        <w:ind w:left="567" w:leftChars="0" w:hanging="567" w:firstLineChars="0"/>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拟签订的合同文本要求中标投标人提交履约保证金的，投标人应当以支票、汇票、本票或者金融机构、担保机构出具的保函等非现金形式提交。鼓励和支持投标人以银行、保险公司出具的保函形式提供履约保证金。采购人不得拒收履约保函，项目验收结束后应及时退还，延迟退还的，应当按照合同约定和法律规定承担相应的赔偿责任。</w:t>
      </w:r>
    </w:p>
    <w:p w14:paraId="0B865DB3">
      <w:pPr>
        <w:pageBreakBefore w:val="0"/>
        <w:numPr>
          <w:ilvl w:val="1"/>
          <w:numId w:val="3"/>
        </w:numPr>
        <w:shd w:val="clear"/>
        <w:tabs>
          <w:tab w:val="left" w:pos="210"/>
          <w:tab w:val="left" w:pos="640"/>
        </w:tabs>
        <w:kinsoku/>
        <w:overflowPunct/>
        <w:topLinePunct w:val="0"/>
        <w:bidi w:val="0"/>
        <w:spacing w:line="360" w:lineRule="auto"/>
        <w:ind w:left="567" w:leftChars="0" w:hanging="567" w:firstLineChars="0"/>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投标人</w:t>
      </w:r>
      <w:r>
        <w:rPr>
          <w:rFonts w:hint="eastAsia" w:ascii="宋体" w:hAnsi="宋体" w:eastAsia="宋体" w:cs="宋体"/>
          <w:bCs/>
          <w:color w:val="auto"/>
          <w:sz w:val="21"/>
          <w:szCs w:val="21"/>
          <w:highlight w:val="none"/>
        </w:rPr>
        <w:t>可</w:t>
      </w:r>
      <w:r>
        <w:rPr>
          <w:rFonts w:hint="eastAsia" w:ascii="宋体" w:hAnsi="宋体" w:eastAsia="宋体" w:cs="宋体"/>
          <w:bCs/>
          <w:color w:val="auto"/>
          <w:sz w:val="21"/>
          <w:szCs w:val="21"/>
          <w:highlight w:val="none"/>
          <w:lang w:val="zh-CN"/>
        </w:rPr>
        <w:t>登录政采云平台-【金融服务】—【我的项目】—【已备案合同】以保函形式提供：</w:t>
      </w:r>
    </w:p>
    <w:p w14:paraId="3CC55520">
      <w:pPr>
        <w:pageBreakBefore w:val="0"/>
        <w:numPr>
          <w:ilvl w:val="2"/>
          <w:numId w:val="3"/>
        </w:numPr>
        <w:shd w:val="clear"/>
        <w:tabs>
          <w:tab w:val="left" w:pos="210"/>
        </w:tabs>
        <w:kinsoku/>
        <w:overflowPunct/>
        <w:topLinePunct w:val="0"/>
        <w:bidi w:val="0"/>
        <w:spacing w:line="360" w:lineRule="auto"/>
        <w:ind w:left="850" w:leftChars="0" w:hanging="850" w:firstLineChars="0"/>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投标人在合同列表选择需要投保的合同，点击【保函推荐】。</w:t>
      </w:r>
    </w:p>
    <w:p w14:paraId="795F6FD5">
      <w:pPr>
        <w:pageBreakBefore w:val="0"/>
        <w:numPr>
          <w:ilvl w:val="2"/>
          <w:numId w:val="3"/>
        </w:numPr>
        <w:shd w:val="clear"/>
        <w:tabs>
          <w:tab w:val="left" w:pos="210"/>
        </w:tabs>
        <w:kinsoku/>
        <w:overflowPunct/>
        <w:topLinePunct w:val="0"/>
        <w:bidi w:val="0"/>
        <w:spacing w:line="360" w:lineRule="auto"/>
        <w:ind w:left="850" w:leftChars="0" w:hanging="850" w:firstLineChars="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zh-CN"/>
        </w:rPr>
        <w:t>在弹框里查看推荐的保函产品，投标人自行选择保函产品，点击【立即申请】。</w:t>
      </w:r>
    </w:p>
    <w:p w14:paraId="5D523BF5">
      <w:pPr>
        <w:pageBreakBefore w:val="0"/>
        <w:numPr>
          <w:ilvl w:val="2"/>
          <w:numId w:val="3"/>
        </w:numPr>
        <w:shd w:val="clear"/>
        <w:tabs>
          <w:tab w:val="left" w:pos="210"/>
        </w:tabs>
        <w:kinsoku/>
        <w:overflowPunct/>
        <w:topLinePunct w:val="0"/>
        <w:bidi w:val="0"/>
        <w:spacing w:line="360" w:lineRule="auto"/>
        <w:ind w:left="850" w:leftChars="0" w:hanging="850" w:firstLineChars="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zh-CN"/>
        </w:rPr>
        <w:t>在弹框里填写保函申请信息。具体步骤：选择产品—填写投标人信息—选择中标项目—确认信息—等待保险/保函受理—确认保单—支付保费—成功出单。政采云金融专线400-903-9583。</w:t>
      </w:r>
    </w:p>
    <w:p w14:paraId="36D31054">
      <w:pPr>
        <w:pageBreakBefore w:val="0"/>
        <w:numPr>
          <w:ilvl w:val="0"/>
          <w:numId w:val="3"/>
        </w:numPr>
        <w:shd w:val="clear"/>
        <w:tabs>
          <w:tab w:val="left" w:pos="210"/>
        </w:tabs>
        <w:kinsoku/>
        <w:overflowPunct/>
        <w:topLinePunct w:val="0"/>
        <w:bidi w:val="0"/>
        <w:spacing w:line="360" w:lineRule="auto"/>
        <w:ind w:left="57" w:leftChars="0" w:hanging="57" w:firstLineChars="0"/>
        <w:jc w:val="left"/>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预付款</w:t>
      </w:r>
    </w:p>
    <w:p w14:paraId="5A2636B0">
      <w:pPr>
        <w:pStyle w:val="21"/>
        <w:pageBreakBefore w:val="0"/>
        <w:shd w:val="clear"/>
        <w:kinsoku/>
        <w:overflowPunct/>
        <w:topLinePunct w:val="0"/>
        <w:bidi w:val="0"/>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投标人为大型企业的项目或者以人工投入为主且实行按月定期结算支付款项的项目，预付款可低于上述比例或者不约定预付款。在签订合同时，投标人明确表示无需预付款或者主动要求降低预付款比例的，采购单位可不适用前述规定。采购单位根据项目特点、投标人诚信等因素，可以要求投标人提交银行、保险公司等金融机构出具的预付款保函或其他担保措施。政府采购预付款应在合同生效以及具备实施条件后5个工作日内支付。政府采购工程以及与工程建设有关的货物、服务，采用招标</w:t>
      </w:r>
      <w:r>
        <w:rPr>
          <w:rFonts w:hint="eastAsia" w:ascii="宋体" w:hAnsi="宋体" w:eastAsia="宋体" w:cs="宋体"/>
          <w:bCs/>
          <w:color w:val="auto"/>
          <w:sz w:val="21"/>
          <w:szCs w:val="21"/>
          <w:highlight w:val="none"/>
          <w:lang w:val="en-US" w:eastAsia="zh-CN"/>
        </w:rPr>
        <w:t>方</w:t>
      </w:r>
      <w:r>
        <w:rPr>
          <w:rFonts w:hint="eastAsia" w:ascii="宋体" w:hAnsi="宋体" w:eastAsia="宋体" w:cs="宋体"/>
          <w:bCs/>
          <w:color w:val="auto"/>
          <w:sz w:val="21"/>
          <w:szCs w:val="21"/>
          <w:highlight w:val="none"/>
          <w:lang w:val="zh-CN"/>
        </w:rPr>
        <w:t>式采购的，预付款从其相关规定。投标人可登录政采云前台大厅选择金融服务 - 【保函保险服务】出具预付款保函，具体步骤：选择产品—填写投标人信息—选择中标项目—确认信息—等待保险/保函受理—确认保单—支付保费—成功出单。政采云金融专线400-903-9583。</w:t>
      </w:r>
    </w:p>
    <w:p w14:paraId="070CE56B">
      <w:pPr>
        <w:pStyle w:val="5"/>
        <w:pageBreakBefore w:val="0"/>
        <w:shd w:val="clear"/>
        <w:kinsoku/>
        <w:overflowPunct/>
        <w:topLinePunct w:val="0"/>
        <w:bidi w:val="0"/>
        <w:spacing w:line="360" w:lineRule="auto"/>
        <w:jc w:val="center"/>
        <w:rPr>
          <w:rFonts w:hint="eastAsia" w:ascii="宋体" w:hAnsi="宋体" w:eastAsia="宋体" w:cs="宋体"/>
          <w:color w:val="auto"/>
          <w:highlight w:val="none"/>
        </w:rPr>
      </w:pPr>
      <w:bookmarkStart w:id="31" w:name="_Toc28828"/>
      <w:bookmarkStart w:id="32" w:name="_Toc7682"/>
      <w:bookmarkStart w:id="33" w:name="_Toc11769"/>
      <w:r>
        <w:rPr>
          <w:rFonts w:hint="eastAsia" w:ascii="宋体" w:hAnsi="宋体" w:eastAsia="宋体" w:cs="宋体"/>
          <w:color w:val="auto"/>
          <w:highlight w:val="none"/>
        </w:rPr>
        <w:t>八、电子交易活动的中止</w:t>
      </w:r>
      <w:bookmarkEnd w:id="31"/>
      <w:bookmarkEnd w:id="32"/>
      <w:bookmarkEnd w:id="33"/>
    </w:p>
    <w:p w14:paraId="14C9E76E">
      <w:pPr>
        <w:pageBreakBefore w:val="0"/>
        <w:numPr>
          <w:ilvl w:val="0"/>
          <w:numId w:val="3"/>
        </w:numPr>
        <w:shd w:val="clear"/>
        <w:tabs>
          <w:tab w:val="left" w:pos="210"/>
        </w:tabs>
        <w:kinsoku/>
        <w:overflowPunct/>
        <w:topLinePunct w:val="0"/>
        <w:bidi w:val="0"/>
        <w:spacing w:line="360" w:lineRule="auto"/>
        <w:ind w:left="57" w:leftChars="0" w:hanging="57" w:firstLineChars="0"/>
        <w:jc w:val="left"/>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电子交易活动的中止</w:t>
      </w:r>
    </w:p>
    <w:p w14:paraId="20C02B39">
      <w:pPr>
        <w:pStyle w:val="63"/>
        <w:pageBreakBefore w:val="0"/>
        <w:shd w:val="clear"/>
        <w:kinsoku/>
        <w:overflowPunct/>
        <w:topLinePunct w:val="0"/>
        <w:bidi w:val="0"/>
        <w:spacing w:before="0" w:line="360" w:lineRule="auto"/>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采购过程中出现以下情形，导致电子交易平台无法正常运行，或者无法保证电子交易的公平、公正和安全时，采购代理机构可中止电子交易活动：</w:t>
      </w:r>
    </w:p>
    <w:p w14:paraId="0746EF65">
      <w:pPr>
        <w:pageBreakBefore w:val="0"/>
        <w:numPr>
          <w:ilvl w:val="1"/>
          <w:numId w:val="3"/>
        </w:numPr>
        <w:shd w:val="clear"/>
        <w:tabs>
          <w:tab w:val="left" w:pos="210"/>
          <w:tab w:val="left" w:pos="640"/>
        </w:tabs>
        <w:kinsoku/>
        <w:overflowPunct/>
        <w:topLinePunct w:val="0"/>
        <w:bidi w:val="0"/>
        <w:spacing w:line="360" w:lineRule="auto"/>
        <w:ind w:left="567" w:leftChars="0" w:hanging="567" w:firstLineChars="0"/>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 xml:space="preserve">电子交易平台发生故障而无法登录访问的； </w:t>
      </w:r>
    </w:p>
    <w:p w14:paraId="475AA652">
      <w:pPr>
        <w:pageBreakBefore w:val="0"/>
        <w:numPr>
          <w:ilvl w:val="1"/>
          <w:numId w:val="3"/>
        </w:numPr>
        <w:shd w:val="clear"/>
        <w:tabs>
          <w:tab w:val="left" w:pos="210"/>
          <w:tab w:val="left" w:pos="640"/>
        </w:tabs>
        <w:kinsoku/>
        <w:overflowPunct/>
        <w:topLinePunct w:val="0"/>
        <w:bidi w:val="0"/>
        <w:spacing w:line="360" w:lineRule="auto"/>
        <w:ind w:left="567" w:leftChars="0" w:hanging="567" w:firstLineChars="0"/>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电子交易平台应用或数据库出现错误，不能进行正常操作的；</w:t>
      </w:r>
    </w:p>
    <w:p w14:paraId="7BAB6D34">
      <w:pPr>
        <w:pageBreakBefore w:val="0"/>
        <w:numPr>
          <w:ilvl w:val="1"/>
          <w:numId w:val="3"/>
        </w:numPr>
        <w:shd w:val="clear"/>
        <w:tabs>
          <w:tab w:val="left" w:pos="210"/>
          <w:tab w:val="left" w:pos="640"/>
        </w:tabs>
        <w:kinsoku/>
        <w:overflowPunct/>
        <w:topLinePunct w:val="0"/>
        <w:bidi w:val="0"/>
        <w:spacing w:line="360" w:lineRule="auto"/>
        <w:ind w:left="567" w:leftChars="0" w:hanging="567" w:firstLineChars="0"/>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电子交易平台发现严重安全漏洞，有潜在泄密危险的；</w:t>
      </w:r>
    </w:p>
    <w:p w14:paraId="7A8966C9">
      <w:pPr>
        <w:pageBreakBefore w:val="0"/>
        <w:numPr>
          <w:ilvl w:val="1"/>
          <w:numId w:val="3"/>
        </w:numPr>
        <w:shd w:val="clear"/>
        <w:tabs>
          <w:tab w:val="left" w:pos="210"/>
          <w:tab w:val="left" w:pos="640"/>
        </w:tabs>
        <w:kinsoku/>
        <w:overflowPunct/>
        <w:topLinePunct w:val="0"/>
        <w:bidi w:val="0"/>
        <w:spacing w:line="360" w:lineRule="auto"/>
        <w:ind w:left="567" w:leftChars="0" w:hanging="567" w:firstLineChars="0"/>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 xml:space="preserve">病毒发作导致不能进行正常操作的； </w:t>
      </w:r>
    </w:p>
    <w:p w14:paraId="043939D0">
      <w:pPr>
        <w:pageBreakBefore w:val="0"/>
        <w:numPr>
          <w:ilvl w:val="1"/>
          <w:numId w:val="3"/>
        </w:numPr>
        <w:shd w:val="clear"/>
        <w:tabs>
          <w:tab w:val="left" w:pos="210"/>
          <w:tab w:val="left" w:pos="640"/>
        </w:tabs>
        <w:kinsoku/>
        <w:overflowPunct/>
        <w:topLinePunct w:val="0"/>
        <w:bidi w:val="0"/>
        <w:spacing w:line="360" w:lineRule="auto"/>
        <w:ind w:left="567" w:leftChars="0" w:hanging="567" w:firstLineChars="0"/>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其他无法保证电子交易的公平、公正和安全的情况。</w:t>
      </w:r>
    </w:p>
    <w:p w14:paraId="226B9FBB">
      <w:pPr>
        <w:pageBreakBefore w:val="0"/>
        <w:numPr>
          <w:ilvl w:val="0"/>
          <w:numId w:val="3"/>
        </w:numPr>
        <w:shd w:val="clear"/>
        <w:tabs>
          <w:tab w:val="left" w:pos="210"/>
        </w:tabs>
        <w:kinsoku/>
        <w:overflowPunct/>
        <w:topLinePunct w:val="0"/>
        <w:bidi w:val="0"/>
        <w:spacing w:line="360" w:lineRule="auto"/>
        <w:ind w:left="57" w:leftChars="0" w:hanging="57" w:firstLineChars="0"/>
        <w:jc w:val="left"/>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出现以上情形，不影响采购公平、公正性的，采购组织机构可以待上述情形消除后继续组织电子交易活动，也可以决定某些环节以纸质形式进行</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影响或可能影响采购公平、公正性的，应当重新采购。</w:t>
      </w:r>
    </w:p>
    <w:p w14:paraId="15DB8122">
      <w:pPr>
        <w:pStyle w:val="5"/>
        <w:pageBreakBefore w:val="0"/>
        <w:shd w:val="clear"/>
        <w:kinsoku/>
        <w:overflowPunct/>
        <w:topLinePunct w:val="0"/>
        <w:bidi w:val="0"/>
        <w:spacing w:line="360" w:lineRule="auto"/>
        <w:jc w:val="center"/>
        <w:rPr>
          <w:rFonts w:hint="eastAsia" w:ascii="宋体" w:hAnsi="宋体" w:eastAsia="宋体" w:cs="宋体"/>
          <w:color w:val="auto"/>
          <w:highlight w:val="none"/>
        </w:rPr>
      </w:pPr>
      <w:bookmarkStart w:id="34" w:name="_Toc26448"/>
      <w:bookmarkStart w:id="35" w:name="_Toc26887"/>
      <w:bookmarkStart w:id="36" w:name="_Toc31128"/>
      <w:r>
        <w:rPr>
          <w:rFonts w:hint="eastAsia" w:ascii="宋体" w:hAnsi="宋体" w:eastAsia="宋体" w:cs="宋体"/>
          <w:color w:val="auto"/>
          <w:highlight w:val="none"/>
        </w:rPr>
        <w:t>九、验收</w:t>
      </w:r>
      <w:bookmarkEnd w:id="34"/>
      <w:bookmarkEnd w:id="35"/>
      <w:bookmarkEnd w:id="36"/>
    </w:p>
    <w:p w14:paraId="20F5B1AC">
      <w:pPr>
        <w:pageBreakBefore w:val="0"/>
        <w:numPr>
          <w:ilvl w:val="0"/>
          <w:numId w:val="3"/>
        </w:numPr>
        <w:shd w:val="clear"/>
        <w:tabs>
          <w:tab w:val="left" w:pos="210"/>
        </w:tabs>
        <w:kinsoku/>
        <w:overflowPunct/>
        <w:topLinePunct w:val="0"/>
        <w:bidi w:val="0"/>
        <w:spacing w:line="360" w:lineRule="auto"/>
        <w:ind w:left="57" w:leftChars="0" w:hanging="57" w:firstLineChars="0"/>
        <w:jc w:val="left"/>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验收</w:t>
      </w:r>
    </w:p>
    <w:p w14:paraId="0CADCF6E">
      <w:pPr>
        <w:pageBreakBefore w:val="0"/>
        <w:numPr>
          <w:ilvl w:val="1"/>
          <w:numId w:val="3"/>
        </w:numPr>
        <w:shd w:val="clear"/>
        <w:tabs>
          <w:tab w:val="left" w:pos="210"/>
          <w:tab w:val="left" w:pos="640"/>
        </w:tabs>
        <w:kinsoku/>
        <w:overflowPunct/>
        <w:topLinePunct w:val="0"/>
        <w:bidi w:val="0"/>
        <w:spacing w:line="360" w:lineRule="auto"/>
        <w:ind w:left="567" w:leftChars="0" w:hanging="567" w:firstLineChars="0"/>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采购人组织对投标人履约的验收。大型或者复杂的政府采购项目，应当邀请国家认可的质量检测机构参加验收工作。验收方成员应当在验收书上签字，并承担相应的法律责任。如果发现与合同中要求不符，投标人须承担由此发生的一切损失和费用，并接受相应的处理。</w:t>
      </w:r>
    </w:p>
    <w:p w14:paraId="02FB6E6E">
      <w:pPr>
        <w:pageBreakBefore w:val="0"/>
        <w:numPr>
          <w:ilvl w:val="1"/>
          <w:numId w:val="3"/>
        </w:numPr>
        <w:shd w:val="clear"/>
        <w:tabs>
          <w:tab w:val="left" w:pos="210"/>
          <w:tab w:val="left" w:pos="640"/>
        </w:tabs>
        <w:kinsoku/>
        <w:overflowPunct/>
        <w:topLinePunct w:val="0"/>
        <w:bidi w:val="0"/>
        <w:spacing w:line="360" w:lineRule="auto"/>
        <w:ind w:left="567" w:leftChars="0" w:hanging="567" w:firstLineChars="0"/>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采购人可以邀请参加本项目的其他投标人或者第三方机构参与验收。参与验收的投标人或者第三方机构的意见作为验收书的参考资料一并存档。</w:t>
      </w:r>
    </w:p>
    <w:p w14:paraId="02C81FAC">
      <w:pPr>
        <w:pageBreakBefore w:val="0"/>
        <w:numPr>
          <w:ilvl w:val="1"/>
          <w:numId w:val="3"/>
        </w:numPr>
        <w:shd w:val="clear"/>
        <w:tabs>
          <w:tab w:val="left" w:pos="210"/>
          <w:tab w:val="left" w:pos="640"/>
        </w:tabs>
        <w:kinsoku/>
        <w:overflowPunct/>
        <w:topLinePunct w:val="0"/>
        <w:bidi w:val="0"/>
        <w:spacing w:line="360" w:lineRule="auto"/>
        <w:ind w:left="567" w:leftChars="0" w:hanging="567" w:firstLineChars="0"/>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严格按照采购合同开展履约验收。采购人成立验收小组，按照采购合同的约定对投标人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273B552">
      <w:pPr>
        <w:pageBreakBefore w:val="0"/>
        <w:numPr>
          <w:ilvl w:val="1"/>
          <w:numId w:val="3"/>
        </w:numPr>
        <w:shd w:val="clear"/>
        <w:tabs>
          <w:tab w:val="left" w:pos="210"/>
          <w:tab w:val="left" w:pos="640"/>
        </w:tabs>
        <w:kinsoku/>
        <w:overflowPunct/>
        <w:topLinePunct w:val="0"/>
        <w:bidi w:val="0"/>
        <w:spacing w:line="360" w:lineRule="auto"/>
        <w:ind w:left="567" w:leftChars="0" w:hanging="567" w:firstLineChars="0"/>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验收合格的项目，采购人将根据采购合同的约定及时向投标人支付采购资金、退还履约保证金。验收不合格的项目，采购人将依法及时处理。采购合同的履行、违约责任和解决争议的方式等适用《中华人民共和国民法典》。投标人在履约过程中有政府采购法律法规规定的违法违规情形的，采购人应当及时报告本级财政部门。</w:t>
      </w:r>
    </w:p>
    <w:bookmarkEnd w:id="8"/>
    <w:bookmarkEnd w:id="9"/>
    <w:bookmarkEnd w:id="11"/>
    <w:bookmarkEnd w:id="24"/>
    <w:p w14:paraId="246F6ADD">
      <w:pPr>
        <w:pageBreakBefore w:val="0"/>
        <w:shd w:val="clear"/>
        <w:kinsoku/>
        <w:overflowPunct/>
        <w:topLinePunct w:val="0"/>
        <w:bidi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p>
    <w:p w14:paraId="665F38EF">
      <w:pPr>
        <w:pageBreakBefore w:val="0"/>
        <w:shd w:val="clear"/>
        <w:kinsoku/>
        <w:overflowPunct/>
        <w:topLinePunct w:val="0"/>
        <w:bidi w:val="0"/>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rPr>
      </w:pPr>
    </w:p>
    <w:p w14:paraId="24784081">
      <w:pPr>
        <w:pageBreakBefore w:val="0"/>
        <w:numPr>
          <w:ilvl w:val="0"/>
          <w:numId w:val="0"/>
        </w:numPr>
        <w:shd w:val="clear"/>
        <w:kinsoku/>
        <w:overflowPunct/>
        <w:topLinePunct w:val="0"/>
        <w:bidi w:val="0"/>
        <w:adjustRightInd w:val="0"/>
        <w:snapToGrid w:val="0"/>
        <w:spacing w:before="120" w:beforeLines="50" w:after="120" w:afterLines="50" w:line="360" w:lineRule="auto"/>
        <w:jc w:val="center"/>
        <w:outlineLvl w:val="0"/>
        <w:rPr>
          <w:rFonts w:hint="eastAsia" w:ascii="宋体" w:hAnsi="宋体" w:eastAsia="宋体" w:cs="宋体"/>
          <w:b/>
          <w:color w:val="auto"/>
          <w:sz w:val="30"/>
          <w:szCs w:val="30"/>
          <w:highlight w:val="none"/>
        </w:rPr>
      </w:pPr>
      <w:r>
        <w:rPr>
          <w:rFonts w:hint="eastAsia" w:ascii="宋体" w:hAnsi="宋体" w:eastAsia="宋体" w:cs="宋体"/>
          <w:b/>
          <w:bCs/>
          <w:color w:val="auto"/>
          <w:sz w:val="28"/>
          <w:szCs w:val="21"/>
          <w:highlight w:val="none"/>
        </w:rPr>
        <w:br w:type="page"/>
      </w:r>
      <w:bookmarkStart w:id="37" w:name="_Toc242012796"/>
      <w:bookmarkStart w:id="38" w:name="_Toc31190"/>
      <w:bookmarkStart w:id="39" w:name="_Toc242012824"/>
      <w:bookmarkStart w:id="40" w:name="_Toc19650"/>
      <w:r>
        <w:rPr>
          <w:rStyle w:val="57"/>
          <w:rFonts w:hint="eastAsia" w:ascii="宋体" w:hAnsi="宋体" w:eastAsia="宋体" w:cs="宋体"/>
          <w:color w:val="auto"/>
          <w:highlight w:val="none"/>
        </w:rPr>
        <w:t xml:space="preserve"> </w:t>
      </w:r>
      <w:bookmarkStart w:id="41" w:name="_Toc20990"/>
      <w:r>
        <w:rPr>
          <w:rStyle w:val="57"/>
          <w:rFonts w:hint="eastAsia" w:ascii="宋体" w:hAnsi="宋体" w:eastAsia="宋体" w:cs="宋体"/>
          <w:color w:val="auto"/>
          <w:highlight w:val="none"/>
          <w:lang w:eastAsia="zh-CN"/>
        </w:rPr>
        <w:t>第三部分</w:t>
      </w:r>
      <w:r>
        <w:rPr>
          <w:rStyle w:val="57"/>
          <w:rFonts w:hint="eastAsia" w:ascii="宋体" w:hAnsi="宋体" w:eastAsia="宋体" w:cs="宋体"/>
          <w:color w:val="auto"/>
          <w:highlight w:val="none"/>
          <w:lang w:val="en-US" w:eastAsia="zh-CN"/>
        </w:rPr>
        <w:t xml:space="preserve"> </w:t>
      </w:r>
      <w:r>
        <w:rPr>
          <w:rStyle w:val="57"/>
          <w:rFonts w:hint="eastAsia" w:ascii="宋体" w:hAnsi="宋体" w:eastAsia="宋体" w:cs="宋体"/>
          <w:color w:val="auto"/>
          <w:highlight w:val="none"/>
        </w:rPr>
        <w:t>采购需求</w:t>
      </w:r>
      <w:bookmarkEnd w:id="37"/>
      <w:bookmarkEnd w:id="38"/>
      <w:bookmarkEnd w:id="41"/>
    </w:p>
    <w:p w14:paraId="2563C57E">
      <w:pPr>
        <w:pStyle w:val="5"/>
        <w:shd w:val="clear"/>
        <w:bidi w:val="0"/>
        <w:spacing w:line="360" w:lineRule="auto"/>
        <w:rPr>
          <w:rFonts w:hint="eastAsia" w:ascii="宋体" w:hAnsi="宋体" w:eastAsia="宋体" w:cs="宋体"/>
          <w:color w:val="auto"/>
          <w:highlight w:val="none"/>
        </w:rPr>
      </w:pPr>
      <w:bookmarkStart w:id="42" w:name="_Toc4128"/>
      <w:r>
        <w:rPr>
          <w:rFonts w:hint="eastAsia" w:ascii="宋体" w:hAnsi="宋体" w:eastAsia="宋体" w:cs="宋体"/>
          <w:color w:val="auto"/>
          <w:highlight w:val="none"/>
        </w:rPr>
        <w:t>一、商务条款</w:t>
      </w:r>
      <w:bookmarkEnd w:id="42"/>
    </w:p>
    <w:tbl>
      <w:tblPr>
        <w:tblStyle w:val="46"/>
        <w:tblW w:w="9607" w:type="dxa"/>
        <w:tblInd w:w="-24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8267"/>
      </w:tblGrid>
      <w:tr w14:paraId="7CFDBA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340" w:type="dxa"/>
            <w:noWrap w:val="0"/>
            <w:vAlign w:val="center"/>
          </w:tcPr>
          <w:p w14:paraId="5F556E03">
            <w:pPr>
              <w:pageBreakBefore w:val="0"/>
              <w:shd w:val="clear"/>
              <w:kinsoku/>
              <w:overflowPunct/>
              <w:topLinePunct w:val="0"/>
              <w:bidi w:val="0"/>
              <w:adjustRightInd w:val="0"/>
              <w:snapToGrid w:val="0"/>
              <w:spacing w:before="72" w:beforeLines="30" w:after="72" w:afterLines="30" w:line="360" w:lineRule="auto"/>
              <w:ind w:left="63" w:leftChars="30" w:right="63" w:rightChars="30"/>
              <w:jc w:val="center"/>
              <w:rPr>
                <w:rFonts w:hint="eastAsia" w:ascii="宋体" w:hAnsi="宋体" w:eastAsia="宋体" w:cs="宋体"/>
                <w:b/>
                <w:color w:val="auto"/>
                <w:spacing w:val="-6"/>
                <w:szCs w:val="21"/>
                <w:highlight w:val="none"/>
              </w:rPr>
            </w:pPr>
            <w:bookmarkStart w:id="43" w:name="_Hlk45005608"/>
            <w:r>
              <w:rPr>
                <w:rFonts w:hint="eastAsia" w:ascii="宋体" w:hAnsi="宋体" w:eastAsia="宋体" w:cs="宋体"/>
                <w:color w:val="auto"/>
                <w:kern w:val="0"/>
                <w:sz w:val="21"/>
                <w:szCs w:val="21"/>
                <w:highlight w:val="none"/>
              </w:rPr>
              <w:t>合同履行期限</w:t>
            </w:r>
          </w:p>
        </w:tc>
        <w:tc>
          <w:tcPr>
            <w:tcW w:w="8267" w:type="dxa"/>
            <w:noWrap w:val="0"/>
            <w:vAlign w:val="center"/>
          </w:tcPr>
          <w:p w14:paraId="7E1CE35F">
            <w:pPr>
              <w:pageBreakBefore w:val="0"/>
              <w:shd w:val="clear"/>
              <w:kinsoku/>
              <w:overflowPunct/>
              <w:topLinePunct w:val="0"/>
              <w:bidi w:val="0"/>
              <w:adjustRightInd w:val="0"/>
              <w:snapToGrid w:val="0"/>
              <w:spacing w:before="72" w:beforeLines="30" w:after="72" w:afterLines="30" w:line="360" w:lineRule="auto"/>
              <w:ind w:left="63" w:leftChars="30" w:right="63" w:rightChars="30"/>
              <w:rPr>
                <w:rFonts w:hint="eastAsia" w:ascii="宋体" w:hAnsi="宋体" w:eastAsia="宋体" w:cs="宋体"/>
                <w:color w:val="auto"/>
                <w:szCs w:val="21"/>
                <w:highlight w:val="none"/>
                <w:lang w:eastAsia="zh-CN"/>
              </w:rPr>
            </w:pPr>
            <w:r>
              <w:rPr>
                <w:rFonts w:hint="eastAsia" w:ascii="宋体" w:hAnsi="宋体" w:eastAsia="宋体" w:cs="宋体"/>
                <w:color w:val="auto"/>
                <w:kern w:val="0"/>
                <w:sz w:val="21"/>
                <w:szCs w:val="21"/>
                <w:highlight w:val="none"/>
              </w:rPr>
              <w:t>从签订委托合同之日起至浙江理工大学</w:t>
            </w:r>
            <w:r>
              <w:rPr>
                <w:rFonts w:hint="eastAsia" w:ascii="宋体" w:hAnsi="宋体" w:eastAsia="宋体" w:cs="宋体"/>
                <w:color w:val="auto"/>
                <w:sz w:val="21"/>
                <w:szCs w:val="21"/>
                <w:highlight w:val="none"/>
                <w:lang w:val="en-US" w:eastAsia="zh-CN"/>
              </w:rPr>
              <w:t>钱塘</w:t>
            </w:r>
            <w:r>
              <w:rPr>
                <w:rFonts w:hint="eastAsia" w:ascii="宋体" w:hAnsi="宋体" w:eastAsia="宋体" w:cs="宋体"/>
                <w:color w:val="auto"/>
                <w:sz w:val="21"/>
                <w:szCs w:val="21"/>
                <w:highlight w:val="none"/>
              </w:rPr>
              <w:t>校区教育教学用房及设施提升改造工程结算审核造价咨询服务</w:t>
            </w:r>
            <w:r>
              <w:rPr>
                <w:rFonts w:hint="eastAsia" w:ascii="宋体" w:hAnsi="宋体" w:eastAsia="宋体" w:cs="宋体"/>
                <w:color w:val="auto"/>
                <w:kern w:val="0"/>
                <w:sz w:val="21"/>
                <w:szCs w:val="21"/>
                <w:highlight w:val="none"/>
              </w:rPr>
              <w:t>完成。</w:t>
            </w:r>
          </w:p>
        </w:tc>
      </w:tr>
      <w:tr w14:paraId="5AF681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01" w:hRule="atLeast"/>
        </w:trPr>
        <w:tc>
          <w:tcPr>
            <w:tcW w:w="1340" w:type="dxa"/>
            <w:noWrap w:val="0"/>
            <w:vAlign w:val="center"/>
          </w:tcPr>
          <w:p w14:paraId="7A6BE1FB">
            <w:pPr>
              <w:pageBreakBefore w:val="0"/>
              <w:shd w:val="clear"/>
              <w:kinsoku/>
              <w:overflowPunct/>
              <w:topLinePunct w:val="0"/>
              <w:bidi w:val="0"/>
              <w:adjustRightInd w:val="0"/>
              <w:snapToGrid w:val="0"/>
              <w:spacing w:before="72" w:beforeLines="30" w:after="72" w:afterLines="30" w:line="360" w:lineRule="auto"/>
              <w:ind w:left="63" w:leftChars="30" w:right="63" w:rightChars="3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报价要求</w:t>
            </w:r>
          </w:p>
        </w:tc>
        <w:tc>
          <w:tcPr>
            <w:tcW w:w="8267" w:type="dxa"/>
            <w:noWrap w:val="0"/>
            <w:vAlign w:val="center"/>
          </w:tcPr>
          <w:p w14:paraId="03A17AE1">
            <w:pPr>
              <w:pStyle w:val="19"/>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项目结算</w:t>
            </w:r>
            <w:r>
              <w:rPr>
                <w:rFonts w:hint="eastAsia" w:ascii="宋体" w:hAnsi="宋体" w:eastAsia="宋体" w:cs="宋体"/>
                <w:color w:val="auto"/>
                <w:sz w:val="21"/>
                <w:szCs w:val="21"/>
                <w:highlight w:val="none"/>
                <w:lang w:val="en-US" w:eastAsia="zh-CN"/>
              </w:rPr>
              <w:t>审核</w:t>
            </w:r>
            <w:r>
              <w:rPr>
                <w:rFonts w:hint="eastAsia" w:ascii="宋体" w:hAnsi="宋体" w:eastAsia="宋体" w:cs="宋体"/>
                <w:color w:val="auto"/>
                <w:sz w:val="21"/>
                <w:szCs w:val="21"/>
                <w:highlight w:val="none"/>
              </w:rPr>
              <w:t>服务</w:t>
            </w:r>
            <w:r>
              <w:rPr>
                <w:rFonts w:hint="eastAsia" w:ascii="宋体" w:hAnsi="宋体" w:eastAsia="宋体" w:cs="宋体"/>
                <w:snapToGrid/>
                <w:color w:val="auto"/>
                <w:kern w:val="0"/>
                <w:sz w:val="21"/>
                <w:szCs w:val="21"/>
                <w:highlight w:val="none"/>
                <w:lang w:val="en-US" w:eastAsia="zh-CN" w:bidi="ar"/>
              </w:rPr>
              <w:t>的基本审计费为</w:t>
            </w:r>
            <w:r>
              <w:rPr>
                <w:rFonts w:hint="eastAsia" w:ascii="宋体" w:hAnsi="宋体" w:eastAsia="宋体" w:cs="宋体"/>
                <w:snapToGrid/>
                <w:color w:val="auto"/>
                <w:kern w:val="0"/>
                <w:sz w:val="21"/>
                <w:szCs w:val="21"/>
                <w:highlight w:val="none"/>
                <w:u w:val="single"/>
                <w:lang w:val="en-US" w:eastAsia="zh-CN" w:bidi="ar"/>
              </w:rPr>
              <w:t>中标价</w:t>
            </w:r>
            <w:r>
              <w:rPr>
                <w:rFonts w:hint="eastAsia" w:ascii="宋体" w:hAnsi="宋体" w:eastAsia="宋体" w:cs="宋体"/>
                <w:snapToGrid/>
                <w:color w:val="auto"/>
                <w:kern w:val="0"/>
                <w:sz w:val="21"/>
                <w:szCs w:val="21"/>
                <w:highlight w:val="none"/>
                <w:lang w:val="en-US" w:eastAsia="zh-CN" w:bidi="ar"/>
              </w:rPr>
              <w:t>，中标价</w:t>
            </w:r>
            <w:r>
              <w:rPr>
                <w:rFonts w:hint="eastAsia" w:ascii="宋体" w:hAnsi="宋体" w:eastAsia="宋体" w:cs="宋体"/>
                <w:color w:val="auto"/>
                <w:sz w:val="21"/>
                <w:szCs w:val="21"/>
                <w:highlight w:val="none"/>
              </w:rPr>
              <w:t>包括但不限于人员的待遇费（基本工资、各类福利和补贴、“社保五险”）、通讯费、交通费、编制报告费、管理费、税金、利润、政策性文件规定及合同包含的所有风险、责任等各项应有的费用及其他与完成本项目服务有关的一切费用。</w:t>
            </w:r>
          </w:p>
        </w:tc>
      </w:tr>
      <w:tr w14:paraId="0DE4A51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340" w:type="dxa"/>
            <w:noWrap w:val="0"/>
            <w:vAlign w:val="center"/>
          </w:tcPr>
          <w:p w14:paraId="5307FF72">
            <w:pPr>
              <w:pageBreakBefore w:val="0"/>
              <w:shd w:val="clear"/>
              <w:kinsoku/>
              <w:overflowPunct/>
              <w:topLinePunct w:val="0"/>
              <w:bidi w:val="0"/>
              <w:adjustRightInd w:val="0"/>
              <w:snapToGrid w:val="0"/>
              <w:spacing w:before="72" w:beforeLines="30" w:after="72" w:afterLines="30" w:line="360" w:lineRule="auto"/>
              <w:ind w:left="63" w:leftChars="30" w:right="63" w:rightChars="30"/>
              <w:jc w:val="center"/>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付款方式</w:t>
            </w:r>
          </w:p>
        </w:tc>
        <w:tc>
          <w:tcPr>
            <w:tcW w:w="8267" w:type="dxa"/>
            <w:noWrap w:val="0"/>
            <w:vAlign w:val="center"/>
          </w:tcPr>
          <w:p w14:paraId="001F05C8">
            <w:pPr>
              <w:pageBreakBefore w:val="0"/>
              <w:shd w:val="clear"/>
              <w:kinsoku/>
              <w:overflowPunct/>
              <w:topLinePunct w:val="0"/>
              <w:bidi w:val="0"/>
              <w:adjustRightInd w:val="0"/>
              <w:snapToGrid w:val="0"/>
              <w:spacing w:line="360" w:lineRule="auto"/>
              <w:jc w:val="left"/>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1</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基本审计费</w:t>
            </w:r>
          </w:p>
          <w:p w14:paraId="485D5862">
            <w:pPr>
              <w:pageBreakBefore w:val="0"/>
              <w:shd w:val="clear"/>
              <w:kinsoku/>
              <w:overflowPunct/>
              <w:topLinePunct w:val="0"/>
              <w:bidi w:val="0"/>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约定预付款：</w:t>
            </w:r>
            <w:r>
              <w:rPr>
                <w:rFonts w:hint="eastAsia" w:ascii="宋体" w:hAnsi="宋体" w:eastAsia="宋体" w:cs="宋体"/>
                <w:color w:val="auto"/>
                <w:szCs w:val="21"/>
                <w:highlight w:val="none"/>
              </w:rPr>
              <w:t>合同生效并具备实施条件后7个工作日内，采购人向中标人支付</w:t>
            </w:r>
            <w:r>
              <w:rPr>
                <w:rFonts w:hint="eastAsia" w:ascii="宋体" w:hAnsi="宋体" w:eastAsia="宋体" w:cs="宋体"/>
                <w:color w:val="auto"/>
                <w:szCs w:val="21"/>
                <w:highlight w:val="none"/>
                <w:u w:val="none"/>
                <w:lang w:val="en-US" w:eastAsia="zh-CN"/>
              </w:rPr>
              <w:t>合同价</w:t>
            </w:r>
            <w:r>
              <w:rPr>
                <w:rFonts w:hint="eastAsia" w:ascii="宋体" w:hAnsi="宋体" w:eastAsia="宋体" w:cs="宋体"/>
                <w:color w:val="auto"/>
                <w:szCs w:val="21"/>
                <w:highlight w:val="none"/>
                <w:u w:val="none"/>
                <w:lang w:eastAsia="zh-CN"/>
              </w:rPr>
              <w:t>的</w:t>
            </w:r>
            <w:r>
              <w:rPr>
                <w:rFonts w:hint="eastAsia" w:ascii="宋体" w:hAnsi="宋体" w:eastAsia="宋体" w:cs="宋体"/>
                <w:color w:val="auto"/>
                <w:szCs w:val="21"/>
                <w:highlight w:val="none"/>
                <w:u w:val="none"/>
                <w:lang w:val="en-US" w:eastAsia="zh-CN"/>
              </w:rPr>
              <w:t>20</w:t>
            </w:r>
            <w:r>
              <w:rPr>
                <w:rFonts w:hint="eastAsia" w:ascii="宋体" w:hAnsi="宋体" w:eastAsia="宋体" w:cs="宋体"/>
                <w:color w:val="auto"/>
                <w:szCs w:val="21"/>
                <w:highlight w:val="none"/>
                <w:u w:val="none"/>
              </w:rPr>
              <w:t>%</w:t>
            </w:r>
            <w:r>
              <w:rPr>
                <w:rFonts w:hint="eastAsia" w:ascii="宋体" w:hAnsi="宋体" w:eastAsia="宋体" w:cs="宋体"/>
                <w:color w:val="auto"/>
                <w:szCs w:val="21"/>
                <w:highlight w:val="none"/>
              </w:rPr>
              <w:t>作为预付款，同时中标人应提交银行、保险公司等金融机构出具的预付款保函</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经</w:t>
            </w:r>
            <w:r>
              <w:rPr>
                <w:rFonts w:hint="eastAsia" w:ascii="宋体" w:hAnsi="宋体" w:eastAsia="宋体" w:cs="宋体"/>
                <w:color w:val="auto"/>
                <w:sz w:val="21"/>
                <w:szCs w:val="21"/>
                <w:highlight w:val="none"/>
                <w:u w:val="none"/>
                <w:lang w:eastAsia="zh-CN"/>
              </w:rPr>
              <w:t>整个项目</w:t>
            </w:r>
            <w:r>
              <w:rPr>
                <w:rFonts w:hint="eastAsia" w:ascii="宋体" w:hAnsi="宋体" w:eastAsia="宋体" w:cs="宋体"/>
                <w:color w:val="auto"/>
                <w:sz w:val="21"/>
                <w:szCs w:val="21"/>
                <w:highlight w:val="none"/>
                <w:u w:val="none"/>
              </w:rPr>
              <w:t>审核完毕</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中标人</w:t>
            </w:r>
            <w:r>
              <w:rPr>
                <w:rFonts w:hint="eastAsia" w:ascii="宋体" w:hAnsi="宋体" w:eastAsia="宋体" w:cs="宋体"/>
                <w:color w:val="auto"/>
                <w:sz w:val="21"/>
                <w:szCs w:val="21"/>
                <w:highlight w:val="none"/>
                <w:u w:val="none"/>
              </w:rPr>
              <w:t>出具正式的审计报告后</w:t>
            </w:r>
            <w:r>
              <w:rPr>
                <w:rFonts w:hint="eastAsia" w:ascii="宋体" w:hAnsi="宋体" w:eastAsia="宋体" w:cs="宋体"/>
                <w:color w:val="auto"/>
                <w:sz w:val="21"/>
                <w:szCs w:val="21"/>
                <w:highlight w:val="none"/>
                <w:u w:val="none"/>
                <w:lang w:val="en-US" w:eastAsia="zh-CN"/>
              </w:rPr>
              <w:t>30天内</w:t>
            </w:r>
            <w:r>
              <w:rPr>
                <w:rFonts w:hint="eastAsia" w:ascii="宋体" w:hAnsi="宋体" w:eastAsia="宋体" w:cs="宋体"/>
                <w:color w:val="auto"/>
                <w:szCs w:val="21"/>
                <w:highlight w:val="none"/>
              </w:rPr>
              <w:t>，由采购人向中标人支付</w:t>
            </w:r>
            <w:r>
              <w:rPr>
                <w:rFonts w:hint="eastAsia" w:ascii="宋体" w:hAnsi="宋体" w:eastAsia="宋体" w:cs="宋体"/>
                <w:color w:val="auto"/>
                <w:szCs w:val="21"/>
                <w:highlight w:val="none"/>
                <w:lang w:eastAsia="zh-CN"/>
              </w:rPr>
              <w:t>至</w:t>
            </w:r>
            <w:r>
              <w:rPr>
                <w:rFonts w:hint="eastAsia" w:ascii="宋体" w:hAnsi="宋体" w:eastAsia="宋体" w:cs="宋体"/>
                <w:color w:val="auto"/>
                <w:szCs w:val="21"/>
                <w:highlight w:val="none"/>
              </w:rPr>
              <w:t>合同全额货款的100%</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预付款以抵扣采购人应付价款的方式扣回。合同生效后5日内，中标人应向采购人</w:t>
            </w:r>
            <w:r>
              <w:rPr>
                <w:rFonts w:hint="eastAsia" w:ascii="宋体" w:hAnsi="宋体" w:eastAsia="宋体" w:cs="宋体"/>
                <w:color w:val="auto"/>
                <w:szCs w:val="21"/>
                <w:highlight w:val="none"/>
                <w:lang w:val="en-US" w:eastAsia="zh-CN"/>
              </w:rPr>
              <w:t>暂</w:t>
            </w:r>
            <w:r>
              <w:rPr>
                <w:rFonts w:hint="eastAsia" w:ascii="宋体" w:hAnsi="宋体" w:eastAsia="宋体" w:cs="宋体"/>
                <w:color w:val="auto"/>
                <w:szCs w:val="21"/>
                <w:highlight w:val="none"/>
              </w:rPr>
              <w:t>交1%的合同履约保证金（支票、汇票、本票或者金融机构、担保机构出具的保函等非现金形式），</w:t>
            </w:r>
            <w:r>
              <w:rPr>
                <w:rFonts w:hint="eastAsia" w:ascii="宋体" w:hAnsi="宋体" w:eastAsia="宋体" w:cs="宋体"/>
                <w:color w:val="auto"/>
                <w:sz w:val="21"/>
                <w:szCs w:val="21"/>
                <w:highlight w:val="none"/>
                <w:lang w:val="en-US" w:eastAsia="zh-CN"/>
              </w:rPr>
              <w:t>待上级审计、审核（若有）完成后</w:t>
            </w:r>
            <w:r>
              <w:rPr>
                <w:rFonts w:hint="eastAsia" w:ascii="宋体" w:hAnsi="宋体" w:eastAsia="宋体" w:cs="宋体"/>
                <w:color w:val="auto"/>
                <w:szCs w:val="21"/>
                <w:highlight w:val="none"/>
              </w:rPr>
              <w:t>，由采购人退还（不计息）给中标人。</w:t>
            </w:r>
          </w:p>
          <w:p w14:paraId="4F071E3A">
            <w:pPr>
              <w:pageBreakBefore w:val="0"/>
              <w:shd w:val="clear"/>
              <w:kinsoku/>
              <w:overflowPunct/>
              <w:topLinePunct w:val="0"/>
              <w:bidi w:val="0"/>
              <w:adjustRightInd w:val="0"/>
              <w:snapToGrid w:val="0"/>
              <w:spacing w:line="360" w:lineRule="auto"/>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签订合同时，中标人明确表示无需预付款或者主动要求降低预付款比例的，采购人可不适用前述规定。若中标人无需预付款的，按下述规定执行：</w:t>
            </w:r>
          </w:p>
          <w:p w14:paraId="39398D36">
            <w:pPr>
              <w:pageBreakBefore w:val="0"/>
              <w:shd w:val="clear"/>
              <w:kinsoku/>
              <w:overflowPunct/>
              <w:topLinePunct w:val="0"/>
              <w:bidi w:val="0"/>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整个项目审核完毕，中标人出具正式的审计报告后30天内，一次性支付基本审计费。</w:t>
            </w:r>
            <w:r>
              <w:rPr>
                <w:rFonts w:hint="eastAsia" w:ascii="宋体" w:hAnsi="宋体" w:eastAsia="宋体" w:cs="宋体"/>
                <w:color w:val="auto"/>
                <w:szCs w:val="21"/>
                <w:highlight w:val="none"/>
              </w:rPr>
              <w:t>合同生效后5日内，中标人应向采购人</w:t>
            </w:r>
            <w:r>
              <w:rPr>
                <w:rFonts w:hint="eastAsia" w:ascii="宋体" w:hAnsi="宋体" w:eastAsia="宋体" w:cs="宋体"/>
                <w:color w:val="auto"/>
                <w:szCs w:val="21"/>
                <w:highlight w:val="none"/>
                <w:lang w:val="en-US" w:eastAsia="zh-CN"/>
              </w:rPr>
              <w:t>暂</w:t>
            </w:r>
            <w:r>
              <w:rPr>
                <w:rFonts w:hint="eastAsia" w:ascii="宋体" w:hAnsi="宋体" w:eastAsia="宋体" w:cs="宋体"/>
                <w:color w:val="auto"/>
                <w:szCs w:val="21"/>
                <w:highlight w:val="none"/>
              </w:rPr>
              <w:t>交1%的合同履约保证金（支票、汇票、本票或者金融机构、担保机构出具的保函等非现金形式），</w:t>
            </w:r>
            <w:r>
              <w:rPr>
                <w:rFonts w:hint="eastAsia" w:ascii="宋体" w:hAnsi="宋体" w:eastAsia="宋体" w:cs="宋体"/>
                <w:color w:val="auto"/>
                <w:sz w:val="21"/>
                <w:szCs w:val="21"/>
                <w:highlight w:val="none"/>
                <w:lang w:val="en-US" w:eastAsia="zh-CN"/>
              </w:rPr>
              <w:t>待上级审计、审核（若有）完成后，</w:t>
            </w:r>
            <w:r>
              <w:rPr>
                <w:rFonts w:hint="eastAsia" w:ascii="宋体" w:hAnsi="宋体" w:eastAsia="宋体" w:cs="宋体"/>
                <w:color w:val="auto"/>
                <w:szCs w:val="21"/>
                <w:highlight w:val="none"/>
              </w:rPr>
              <w:t>由采购人退还（不计息）给中标人。</w:t>
            </w:r>
          </w:p>
          <w:p w14:paraId="686ADD15">
            <w:pPr>
              <w:pageBreakBefore w:val="0"/>
              <w:shd w:val="clear"/>
              <w:kinsoku/>
              <w:overflowPunct/>
              <w:topLinePunct w:val="0"/>
              <w:bidi w:val="0"/>
              <w:adjustRightInd w:val="0"/>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 w:val="21"/>
                <w:szCs w:val="21"/>
                <w:highlight w:val="none"/>
                <w:lang w:val="en-US" w:eastAsia="zh-CN"/>
              </w:rPr>
              <w:t>支付前中标人须提交申请资料，经审核后向采购人开具实付款额的增值税专用发票</w:t>
            </w:r>
            <w:r>
              <w:rPr>
                <w:rFonts w:hint="eastAsia" w:ascii="宋体" w:hAnsi="宋体" w:eastAsia="宋体" w:cs="宋体"/>
                <w:color w:val="auto"/>
                <w:sz w:val="21"/>
                <w:szCs w:val="21"/>
                <w:highlight w:val="none"/>
                <w:lang w:val="en-US" w:eastAsia="zh-CN"/>
              </w:rPr>
              <w:t>。</w:t>
            </w:r>
          </w:p>
          <w:p w14:paraId="36F57225">
            <w:pPr>
              <w:numPr>
                <w:ilvl w:val="0"/>
                <w:numId w:val="0"/>
              </w:numPr>
              <w:adjustRightInd w:val="0"/>
              <w:snapToGrid w:val="0"/>
              <w:spacing w:line="360" w:lineRule="auto"/>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kern w:val="2"/>
                <w:sz w:val="21"/>
                <w:szCs w:val="21"/>
                <w:highlight w:val="none"/>
                <w:lang w:val="en-US" w:eastAsia="zh-CN" w:bidi="ar-SA"/>
              </w:rPr>
              <w:t>（3）</w:t>
            </w:r>
            <w:r>
              <w:rPr>
                <w:rFonts w:hint="eastAsia" w:ascii="宋体" w:hAnsi="宋体" w:eastAsia="宋体" w:cs="宋体"/>
                <w:b/>
                <w:bCs/>
                <w:color w:val="auto"/>
                <w:sz w:val="21"/>
                <w:szCs w:val="21"/>
                <w:highlight w:val="none"/>
                <w:lang w:val="en-US" w:eastAsia="zh-CN"/>
              </w:rPr>
              <w:t>追加审计费</w:t>
            </w:r>
          </w:p>
          <w:p w14:paraId="2C777AAF">
            <w:pPr>
              <w:numPr>
                <w:ilvl w:val="0"/>
                <w:numId w:val="0"/>
              </w:numPr>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按浙价服【2009】84号文件收取，由</w:t>
            </w:r>
            <w:r>
              <w:rPr>
                <w:rFonts w:hint="eastAsia" w:ascii="宋体" w:hAnsi="宋体" w:eastAsia="宋体" w:cs="宋体"/>
                <w:color w:val="auto"/>
                <w:sz w:val="21"/>
                <w:szCs w:val="21"/>
                <w:highlight w:val="none"/>
                <w:lang w:eastAsia="zh-CN"/>
              </w:rPr>
              <w:t>钱塘校区</w:t>
            </w:r>
            <w:r>
              <w:rPr>
                <w:rFonts w:hint="eastAsia" w:ascii="宋体" w:hAnsi="宋体" w:eastAsia="宋体" w:cs="宋体"/>
                <w:color w:val="auto"/>
                <w:sz w:val="21"/>
                <w:szCs w:val="21"/>
                <w:highlight w:val="none"/>
              </w:rPr>
              <w:t>教育教学用房及设施提升改造工程</w:t>
            </w:r>
            <w:r>
              <w:rPr>
                <w:rFonts w:hint="eastAsia" w:ascii="宋体" w:hAnsi="宋体" w:eastAsia="宋体" w:cs="宋体"/>
                <w:color w:val="auto"/>
                <w:sz w:val="21"/>
                <w:szCs w:val="21"/>
                <w:highlight w:val="none"/>
                <w:lang w:val="en-US" w:eastAsia="zh-CN"/>
              </w:rPr>
              <w:t>施工单位支付。</w:t>
            </w:r>
          </w:p>
        </w:tc>
      </w:tr>
      <w:bookmarkEnd w:id="43"/>
      <w:tr w14:paraId="4475D58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0" w:type="dxa"/>
            <w:noWrap w:val="0"/>
            <w:vAlign w:val="center"/>
          </w:tcPr>
          <w:p w14:paraId="6A151D0E">
            <w:pPr>
              <w:pageBreakBefore w:val="0"/>
              <w:shd w:val="clear"/>
              <w:kinsoku/>
              <w:overflowPunct/>
              <w:topLinePunct w:val="0"/>
              <w:bidi w:val="0"/>
              <w:adjustRightInd w:val="0"/>
              <w:snapToGrid w:val="0"/>
              <w:spacing w:before="72" w:beforeLines="30" w:after="72" w:afterLines="30" w:line="360" w:lineRule="auto"/>
              <w:ind w:left="63" w:leftChars="30" w:right="63" w:rightChars="3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交付地点</w:t>
            </w:r>
          </w:p>
        </w:tc>
        <w:tc>
          <w:tcPr>
            <w:tcW w:w="8267" w:type="dxa"/>
            <w:noWrap w:val="0"/>
            <w:vAlign w:val="center"/>
          </w:tcPr>
          <w:p w14:paraId="3DC60BC9">
            <w:pPr>
              <w:pageBreakBefore w:val="0"/>
              <w:shd w:val="clear"/>
              <w:kinsoku/>
              <w:overflowPunct/>
              <w:topLinePunct w:val="0"/>
              <w:bidi w:val="0"/>
              <w:adjustRightInd w:val="0"/>
              <w:snapToGrid w:val="0"/>
              <w:spacing w:before="72" w:beforeLines="30" w:after="72" w:afterLines="30" w:line="360" w:lineRule="auto"/>
              <w:ind w:left="63" w:leftChars="30" w:right="63" w:righ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交付地点：用户指定地点</w:t>
            </w:r>
          </w:p>
        </w:tc>
      </w:tr>
      <w:tr w14:paraId="0A1963F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40" w:type="dxa"/>
            <w:noWrap w:val="0"/>
            <w:vAlign w:val="center"/>
          </w:tcPr>
          <w:p w14:paraId="62C1C98E">
            <w:pPr>
              <w:pageBreakBefore w:val="0"/>
              <w:shd w:val="clear"/>
              <w:kinsoku/>
              <w:overflowPunct/>
              <w:topLinePunct w:val="0"/>
              <w:bidi w:val="0"/>
              <w:adjustRightInd w:val="0"/>
              <w:snapToGrid w:val="0"/>
              <w:spacing w:before="72" w:beforeLines="30" w:after="72" w:afterLines="30" w:line="360" w:lineRule="auto"/>
              <w:ind w:left="63" w:leftChars="30" w:right="63" w:rightChars="3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验收</w:t>
            </w:r>
          </w:p>
        </w:tc>
        <w:tc>
          <w:tcPr>
            <w:tcW w:w="8267" w:type="dxa"/>
            <w:noWrap w:val="0"/>
            <w:vAlign w:val="center"/>
          </w:tcPr>
          <w:p w14:paraId="078EC810">
            <w:pPr>
              <w:pageBreakBefore w:val="0"/>
              <w:shd w:val="clear"/>
              <w:kinsoku/>
              <w:overflowPunct/>
              <w:topLinePunct w:val="0"/>
              <w:bidi w:val="0"/>
              <w:adjustRightInd w:val="0"/>
              <w:snapToGrid w:val="0"/>
              <w:spacing w:before="72" w:beforeLines="30" w:after="72" w:afterLines="30" w:line="360" w:lineRule="auto"/>
              <w:ind w:left="63" w:leftChars="30" w:right="63" w:righ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1.验收主体：浙江</w:t>
            </w:r>
            <w:r>
              <w:rPr>
                <w:rFonts w:hint="eastAsia" w:ascii="宋体" w:hAnsi="宋体" w:eastAsia="宋体" w:cs="宋体"/>
                <w:color w:val="auto"/>
                <w:szCs w:val="21"/>
                <w:highlight w:val="none"/>
                <w:lang w:eastAsia="zh-CN"/>
              </w:rPr>
              <w:t>理工</w:t>
            </w:r>
            <w:r>
              <w:rPr>
                <w:rFonts w:hint="eastAsia" w:ascii="宋体" w:hAnsi="宋体" w:eastAsia="宋体" w:cs="宋体"/>
                <w:color w:val="auto"/>
                <w:szCs w:val="21"/>
                <w:highlight w:val="none"/>
              </w:rPr>
              <w:t>大学。</w:t>
            </w:r>
          </w:p>
          <w:p w14:paraId="5CDA9F75">
            <w:pPr>
              <w:pageBreakBefore w:val="0"/>
              <w:shd w:val="clear"/>
              <w:kinsoku/>
              <w:overflowPunct/>
              <w:topLinePunct w:val="0"/>
              <w:bidi w:val="0"/>
              <w:adjustRightInd w:val="0"/>
              <w:snapToGrid w:val="0"/>
              <w:spacing w:before="72" w:beforeLines="30" w:after="72" w:afterLines="30" w:line="360" w:lineRule="auto"/>
              <w:ind w:left="63" w:leftChars="30" w:right="63" w:rightChars="3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2.采购人在中标人提供服务的过程中，有权不定期对服务内容和质量进行考核。中标人应当配合进行。</w:t>
            </w:r>
          </w:p>
          <w:p w14:paraId="71E7257F">
            <w:pPr>
              <w:pageBreakBefore w:val="0"/>
              <w:shd w:val="clear"/>
              <w:kinsoku/>
              <w:overflowPunct/>
              <w:topLinePunct w:val="0"/>
              <w:bidi w:val="0"/>
              <w:adjustRightInd w:val="0"/>
              <w:snapToGrid w:val="0"/>
              <w:spacing w:before="72" w:beforeLines="30" w:after="72" w:afterLines="30" w:line="360" w:lineRule="auto"/>
              <w:ind w:left="63" w:leftChars="30" w:right="63" w:rightChars="3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3.最终验收时间：服务内容执行完毕、结</w:t>
            </w:r>
            <w:r>
              <w:rPr>
                <w:rFonts w:hint="eastAsia" w:ascii="宋体" w:hAnsi="宋体" w:eastAsia="宋体" w:cs="宋体"/>
                <w:color w:val="auto"/>
                <w:sz w:val="21"/>
                <w:szCs w:val="21"/>
                <w:highlight w:val="none"/>
              </w:rPr>
              <w:t>算审核造价咨询服务</w:t>
            </w:r>
            <w:r>
              <w:rPr>
                <w:rFonts w:hint="eastAsia" w:ascii="宋体" w:hAnsi="宋体" w:eastAsia="宋体" w:cs="宋体"/>
                <w:color w:val="auto"/>
                <w:kern w:val="0"/>
                <w:sz w:val="21"/>
                <w:szCs w:val="21"/>
                <w:highlight w:val="none"/>
              </w:rPr>
              <w:t>完成</w:t>
            </w:r>
            <w:r>
              <w:rPr>
                <w:rFonts w:hint="eastAsia" w:ascii="宋体" w:hAnsi="宋体" w:eastAsia="宋体" w:cs="宋体"/>
                <w:color w:val="auto"/>
                <w:szCs w:val="21"/>
                <w:highlight w:val="none"/>
                <w:lang w:val="en-US" w:eastAsia="zh-CN"/>
              </w:rPr>
              <w:t>后。</w:t>
            </w:r>
          </w:p>
          <w:p w14:paraId="2AF0223D">
            <w:pPr>
              <w:pageBreakBefore w:val="0"/>
              <w:shd w:val="clear"/>
              <w:kinsoku/>
              <w:overflowPunct/>
              <w:topLinePunct w:val="0"/>
              <w:bidi w:val="0"/>
              <w:adjustRightInd w:val="0"/>
              <w:snapToGrid w:val="0"/>
              <w:spacing w:before="72" w:beforeLines="30" w:after="72" w:afterLines="30" w:line="360" w:lineRule="auto"/>
              <w:ind w:left="63" w:leftChars="30" w:right="63" w:rightChars="3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4.验收程序：中标人向采购人提出申请验收，采购人按验收方案组织履约验收。中标人应将项目执行过程及时记录、收集、整理，向采购人递交验收申请资料。</w:t>
            </w:r>
          </w:p>
          <w:p w14:paraId="6A764082">
            <w:pPr>
              <w:pageBreakBefore w:val="0"/>
              <w:shd w:val="clear"/>
              <w:kinsoku/>
              <w:overflowPunct/>
              <w:topLinePunct w:val="0"/>
              <w:bidi w:val="0"/>
              <w:adjustRightInd w:val="0"/>
              <w:snapToGrid w:val="0"/>
              <w:spacing w:before="72" w:beforeLines="30" w:after="72" w:afterLines="30" w:line="360" w:lineRule="auto"/>
              <w:ind w:left="63" w:leftChars="30" w:right="63" w:rightChars="3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5.验收内容：中标人交付成果是否符合采购文件要求和中标人在投标响应文件中的商务、技术承诺。</w:t>
            </w:r>
          </w:p>
          <w:p w14:paraId="67100D90">
            <w:pPr>
              <w:pageBreakBefore w:val="0"/>
              <w:shd w:val="clear"/>
              <w:kinsoku/>
              <w:overflowPunct/>
              <w:topLinePunct w:val="0"/>
              <w:bidi w:val="0"/>
              <w:adjustRightInd w:val="0"/>
              <w:snapToGrid w:val="0"/>
              <w:spacing w:before="72" w:beforeLines="30" w:after="72" w:afterLines="30" w:line="360" w:lineRule="auto"/>
              <w:ind w:left="63" w:leftChars="30" w:right="63" w:rightChars="3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6.验收标准：中标人已经按采购文件要求和中标人在投标响应文件中的商务、技术承诺完成项目执行。</w:t>
            </w:r>
          </w:p>
          <w:p w14:paraId="637C91F1">
            <w:pPr>
              <w:pageBreakBefore w:val="0"/>
              <w:shd w:val="clear"/>
              <w:kinsoku/>
              <w:overflowPunct/>
              <w:topLinePunct w:val="0"/>
              <w:bidi w:val="0"/>
              <w:adjustRightInd w:val="0"/>
              <w:snapToGrid w:val="0"/>
              <w:spacing w:before="72" w:beforeLines="30" w:after="72" w:afterLines="30" w:line="360" w:lineRule="auto"/>
              <w:ind w:left="63" w:leftChars="30" w:right="63" w:rightChars="3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7.验收时中标人应在现场，验收完毕后作出验收结果报告；验收产生的费用，由采购人承担。</w:t>
            </w:r>
          </w:p>
          <w:p w14:paraId="4257E578">
            <w:pPr>
              <w:pageBreakBefore w:val="0"/>
              <w:shd w:val="clear"/>
              <w:kinsoku/>
              <w:overflowPunct/>
              <w:topLinePunct w:val="0"/>
              <w:bidi w:val="0"/>
              <w:adjustRightInd w:val="0"/>
              <w:snapToGrid w:val="0"/>
              <w:spacing w:before="72" w:beforeLines="30" w:after="72" w:afterLines="30" w:line="360" w:lineRule="auto"/>
              <w:ind w:left="63" w:leftChars="30" w:right="63" w:rightChars="3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8.经验收后，中标人交付成果不合格的（或未通过评审的），采购人有权要求中标人进行整改，相关费用由中标人承担，给采购人造成损失的，还应赔偿相应损失。</w:t>
            </w:r>
          </w:p>
        </w:tc>
      </w:tr>
    </w:tbl>
    <w:p w14:paraId="53AF590E">
      <w:pPr>
        <w:pStyle w:val="5"/>
        <w:pageBreakBefore w:val="0"/>
        <w:numPr>
          <w:ilvl w:val="0"/>
          <w:numId w:val="0"/>
        </w:numPr>
        <w:shd w:val="clear"/>
        <w:kinsoku/>
        <w:overflowPunct/>
        <w:topLinePunct w:val="0"/>
        <w:bidi w:val="0"/>
        <w:spacing w:line="360" w:lineRule="auto"/>
        <w:rPr>
          <w:rFonts w:hint="eastAsia" w:ascii="宋体" w:hAnsi="宋体" w:eastAsia="宋体" w:cs="宋体"/>
          <w:b/>
          <w:bCs/>
          <w:color w:val="auto"/>
          <w:kern w:val="2"/>
          <w:sz w:val="21"/>
          <w:szCs w:val="21"/>
          <w:highlight w:val="none"/>
          <w:lang w:val="en-US" w:eastAsia="zh-CN" w:bidi="ar-SA"/>
        </w:rPr>
      </w:pPr>
      <w:bookmarkStart w:id="44" w:name="_Toc23445"/>
      <w:r>
        <w:rPr>
          <w:rFonts w:hint="eastAsia" w:ascii="宋体" w:hAnsi="宋体" w:eastAsia="宋体" w:cs="宋体"/>
          <w:b/>
          <w:bCs/>
          <w:color w:val="auto"/>
          <w:kern w:val="2"/>
          <w:sz w:val="21"/>
          <w:szCs w:val="21"/>
          <w:highlight w:val="none"/>
          <w:lang w:val="en-US" w:eastAsia="zh-CN" w:bidi="ar-SA"/>
        </w:rPr>
        <w:t>注：本章涉及的标准及通知均以当地最新发布的标准执行。</w:t>
      </w:r>
      <w:bookmarkEnd w:id="44"/>
    </w:p>
    <w:p w14:paraId="47190D85">
      <w:pPr>
        <w:shd w:val="clear"/>
        <w:spacing w:line="360" w:lineRule="auto"/>
        <w:rPr>
          <w:rFonts w:hint="eastAsia" w:ascii="宋体" w:hAnsi="宋体" w:eastAsia="宋体" w:cs="宋体"/>
          <w:color w:val="auto"/>
          <w:highlight w:val="none"/>
        </w:rPr>
      </w:pPr>
    </w:p>
    <w:p w14:paraId="1A0559C6">
      <w:pPr>
        <w:pStyle w:val="5"/>
        <w:shd w:val="clear"/>
        <w:bidi w:val="0"/>
        <w:spacing w:line="360" w:lineRule="auto"/>
        <w:rPr>
          <w:rFonts w:hint="eastAsia" w:ascii="宋体" w:hAnsi="宋体" w:eastAsia="宋体" w:cs="宋体"/>
          <w:color w:val="auto"/>
          <w:highlight w:val="none"/>
          <w:lang w:val="en-US" w:eastAsia="zh-CN"/>
        </w:rPr>
      </w:pPr>
      <w:bookmarkStart w:id="45" w:name="_Toc21723"/>
      <w:r>
        <w:rPr>
          <w:rFonts w:hint="eastAsia" w:ascii="宋体" w:hAnsi="宋体" w:eastAsia="宋体" w:cs="宋体"/>
          <w:color w:val="auto"/>
          <w:highlight w:val="none"/>
          <w:lang w:val="en-US" w:eastAsia="zh-CN"/>
        </w:rPr>
        <w:t>二、</w:t>
      </w:r>
      <w:bookmarkEnd w:id="45"/>
      <w:r>
        <w:rPr>
          <w:rFonts w:hint="eastAsia" w:ascii="宋体" w:hAnsi="宋体" w:eastAsia="宋体" w:cs="宋体"/>
          <w:color w:val="auto"/>
          <w:highlight w:val="none"/>
          <w:lang w:val="en-US" w:eastAsia="zh-CN"/>
        </w:rPr>
        <w:t>技术要求</w:t>
      </w:r>
    </w:p>
    <w:p w14:paraId="67221EE8">
      <w:pPr>
        <w:keepNext w:val="0"/>
        <w:keepLines w:val="0"/>
        <w:pageBreakBefore w:val="0"/>
        <w:widowControl/>
        <w:kinsoku/>
        <w:wordWrap/>
        <w:overflowPunct/>
        <w:topLinePunct w:val="0"/>
        <w:autoSpaceDE/>
        <w:autoSpaceDN/>
        <w:bidi w:val="0"/>
        <w:adjustRightInd w:val="0"/>
        <w:spacing w:beforeAutospacing="0" w:line="360" w:lineRule="auto"/>
        <w:ind w:left="0" w:leftChars="0" w:firstLine="422" w:firstLineChars="200"/>
        <w:textAlignment w:val="auto"/>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sz w:val="21"/>
          <w:szCs w:val="21"/>
          <w:highlight w:val="none"/>
          <w:lang w:val="en-US" w:eastAsia="zh-CN"/>
        </w:rPr>
        <w:t>（一）</w:t>
      </w:r>
      <w:r>
        <w:rPr>
          <w:rFonts w:hint="eastAsia" w:ascii="宋体" w:hAnsi="宋体" w:eastAsia="宋体" w:cs="宋体"/>
          <w:b/>
          <w:bCs w:val="0"/>
          <w:color w:val="auto"/>
          <w:kern w:val="0"/>
          <w:sz w:val="21"/>
          <w:szCs w:val="21"/>
          <w:highlight w:val="none"/>
        </w:rPr>
        <w:t>项目概况</w:t>
      </w:r>
    </w:p>
    <w:p w14:paraId="4FD18A74">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项目名称：浙江理工大学</w:t>
      </w:r>
      <w:r>
        <w:rPr>
          <w:rFonts w:hint="eastAsia" w:ascii="宋体" w:hAnsi="宋体" w:eastAsia="宋体" w:cs="宋体"/>
          <w:color w:val="auto"/>
          <w:sz w:val="21"/>
          <w:szCs w:val="21"/>
          <w:highlight w:val="none"/>
          <w:lang w:eastAsia="zh-CN"/>
        </w:rPr>
        <w:t>钱塘校区</w:t>
      </w:r>
      <w:r>
        <w:rPr>
          <w:rFonts w:hint="eastAsia" w:ascii="宋体" w:hAnsi="宋体" w:eastAsia="宋体" w:cs="宋体"/>
          <w:color w:val="auto"/>
          <w:sz w:val="21"/>
          <w:szCs w:val="21"/>
          <w:highlight w:val="none"/>
        </w:rPr>
        <w:t>教育教学用房及设施提升改造工程结算审核造价咨询服务</w:t>
      </w:r>
    </w:p>
    <w:p w14:paraId="31763C91">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项目地点：浙江理工大学</w:t>
      </w:r>
      <w:r>
        <w:rPr>
          <w:rFonts w:hint="eastAsia" w:ascii="宋体" w:hAnsi="宋体" w:eastAsia="宋体" w:cs="宋体"/>
          <w:color w:val="auto"/>
          <w:sz w:val="21"/>
          <w:szCs w:val="21"/>
          <w:highlight w:val="none"/>
          <w:lang w:eastAsia="zh-CN"/>
        </w:rPr>
        <w:t>钱塘校区</w:t>
      </w:r>
    </w:p>
    <w:p w14:paraId="52D029C0">
      <w:pPr>
        <w:widowControl/>
        <w:adjustRightInd w:val="0"/>
        <w:spacing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项目规模：</w:t>
      </w:r>
      <w:r>
        <w:rPr>
          <w:rFonts w:hint="eastAsia" w:ascii="宋体" w:hAnsi="宋体" w:eastAsia="宋体" w:cs="宋体"/>
          <w:color w:val="auto"/>
          <w:kern w:val="0"/>
          <w:sz w:val="21"/>
          <w:szCs w:val="21"/>
          <w:highlight w:val="none"/>
        </w:rPr>
        <w:t>施工合同价9213</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15万元。</w:t>
      </w:r>
      <w:r>
        <w:rPr>
          <w:rFonts w:hint="eastAsia" w:ascii="宋体" w:hAnsi="宋体" w:eastAsia="宋体" w:cs="宋体"/>
          <w:color w:val="auto"/>
          <w:kern w:val="0"/>
          <w:sz w:val="21"/>
          <w:szCs w:val="21"/>
          <w:highlight w:val="none"/>
          <w:lang w:val="en-US" w:eastAsia="zh-CN"/>
        </w:rPr>
        <w:t>主要改造内容包括：</w:t>
      </w:r>
    </w:p>
    <w:p w14:paraId="3410C18D">
      <w:pPr>
        <w:widowControl/>
        <w:adjustRightInd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一是</w:t>
      </w:r>
      <w:r>
        <w:rPr>
          <w:rFonts w:hint="eastAsia" w:ascii="宋体" w:hAnsi="宋体" w:eastAsia="宋体" w:cs="宋体"/>
          <w:color w:val="auto"/>
          <w:kern w:val="0"/>
          <w:sz w:val="21"/>
          <w:szCs w:val="21"/>
          <w:highlight w:val="none"/>
          <w:lang w:val="en-US" w:eastAsia="zh-CN"/>
        </w:rPr>
        <w:t>楼宇</w:t>
      </w:r>
      <w:r>
        <w:rPr>
          <w:rFonts w:hint="eastAsia" w:ascii="宋体" w:hAnsi="宋体" w:eastAsia="宋体" w:cs="宋体"/>
          <w:color w:val="auto"/>
          <w:kern w:val="0"/>
          <w:sz w:val="21"/>
          <w:szCs w:val="21"/>
          <w:highlight w:val="none"/>
        </w:rPr>
        <w:t>修缮改造</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涉及建筑面积106848平方米，主要是</w:t>
      </w:r>
      <w:r>
        <w:rPr>
          <w:rFonts w:hint="eastAsia" w:ascii="宋体" w:hAnsi="宋体" w:eastAsia="宋体" w:cs="宋体"/>
          <w:color w:val="auto"/>
          <w:kern w:val="0"/>
          <w:sz w:val="21"/>
          <w:szCs w:val="21"/>
          <w:highlight w:val="none"/>
        </w:rPr>
        <w:t>教学区2号楼、10号楼、18号楼、21号楼</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游泳馆</w:t>
      </w:r>
      <w:r>
        <w:rPr>
          <w:rFonts w:hint="eastAsia" w:ascii="宋体" w:hAnsi="宋体" w:eastAsia="宋体" w:cs="宋体"/>
          <w:color w:val="auto"/>
          <w:kern w:val="0"/>
          <w:sz w:val="21"/>
          <w:szCs w:val="21"/>
          <w:highlight w:val="none"/>
          <w:lang w:val="en-US" w:eastAsia="zh-CN"/>
        </w:rPr>
        <w:t>和</w:t>
      </w:r>
      <w:r>
        <w:rPr>
          <w:rFonts w:hint="eastAsia" w:ascii="宋体" w:hAnsi="宋体" w:eastAsia="宋体" w:cs="宋体"/>
          <w:color w:val="auto"/>
          <w:kern w:val="0"/>
          <w:sz w:val="21"/>
          <w:szCs w:val="21"/>
          <w:highlight w:val="none"/>
        </w:rPr>
        <w:t>生活区一区1号楼、4号楼北楼，二区5号楼北楼</w:t>
      </w:r>
      <w:r>
        <w:rPr>
          <w:rFonts w:hint="eastAsia" w:ascii="宋体" w:hAnsi="宋体" w:eastAsia="宋体" w:cs="宋体"/>
          <w:color w:val="auto"/>
          <w:kern w:val="0"/>
          <w:sz w:val="21"/>
          <w:szCs w:val="21"/>
          <w:highlight w:val="none"/>
          <w:lang w:val="en-US" w:eastAsia="zh-CN"/>
        </w:rPr>
        <w:t>等8幢</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内容包括房间功能布局调整，室内装修翻新，卫生间翻新改造，给排水、暖通和电力工程改造，消防系统设备更新，加装电梯，安防系统建设完善等。</w:t>
      </w:r>
    </w:p>
    <w:p w14:paraId="417947CB">
      <w:pPr>
        <w:widowControl/>
        <w:adjustRightInd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二是室外</w:t>
      </w:r>
      <w:r>
        <w:rPr>
          <w:rFonts w:hint="eastAsia" w:ascii="宋体" w:hAnsi="宋体" w:eastAsia="宋体" w:cs="宋体"/>
          <w:color w:val="auto"/>
          <w:kern w:val="0"/>
          <w:sz w:val="21"/>
          <w:szCs w:val="21"/>
          <w:highlight w:val="none"/>
          <w:lang w:val="en-US" w:eastAsia="zh-CN"/>
        </w:rPr>
        <w:t>场地</w:t>
      </w:r>
      <w:r>
        <w:rPr>
          <w:rFonts w:hint="eastAsia" w:ascii="宋体" w:hAnsi="宋体" w:eastAsia="宋体" w:cs="宋体"/>
          <w:color w:val="auto"/>
          <w:kern w:val="0"/>
          <w:sz w:val="21"/>
          <w:szCs w:val="21"/>
          <w:highlight w:val="none"/>
        </w:rPr>
        <w:t>改造</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改造</w:t>
      </w:r>
      <w:r>
        <w:rPr>
          <w:rFonts w:hint="eastAsia" w:ascii="宋体" w:hAnsi="宋体" w:eastAsia="宋体" w:cs="宋体"/>
          <w:color w:val="auto"/>
          <w:kern w:val="0"/>
          <w:sz w:val="21"/>
          <w:szCs w:val="21"/>
          <w:highlight w:val="none"/>
        </w:rPr>
        <w:t>篮球场12000平方米，包括围网拆除新建和球场地面修补。</w:t>
      </w:r>
    </w:p>
    <w:p w14:paraId="63BD6EF1">
      <w:pPr>
        <w:widowControl/>
        <w:adjustRightInd w:val="0"/>
        <w:spacing w:line="360" w:lineRule="auto"/>
        <w:ind w:firstLine="420" w:firstLineChars="20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三是更新图书馆</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学生活动中心、1号楼、3号楼</w:t>
      </w:r>
      <w:r>
        <w:rPr>
          <w:rFonts w:hint="eastAsia" w:ascii="宋体" w:hAnsi="宋体" w:eastAsia="宋体" w:cs="宋体"/>
          <w:color w:val="auto"/>
          <w:kern w:val="0"/>
          <w:sz w:val="21"/>
          <w:szCs w:val="21"/>
          <w:highlight w:val="none"/>
        </w:rPr>
        <w:t>等建筑的暖通设备和游泳馆锅炉设备</w:t>
      </w:r>
      <w:r>
        <w:rPr>
          <w:rFonts w:hint="eastAsia" w:ascii="宋体" w:hAnsi="宋体" w:eastAsia="宋体" w:cs="宋体"/>
          <w:color w:val="auto"/>
          <w:kern w:val="0"/>
          <w:sz w:val="21"/>
          <w:szCs w:val="21"/>
          <w:highlight w:val="none"/>
          <w:lang w:eastAsia="zh-CN"/>
        </w:rPr>
        <w:t>。</w:t>
      </w:r>
    </w:p>
    <w:p w14:paraId="1C756FB5">
      <w:pPr>
        <w:widowControl/>
        <w:adjustRightInd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具体以提供的竣工图、工程量清单等明确的内容为准。</w:t>
      </w:r>
    </w:p>
    <w:p w14:paraId="758E5F36">
      <w:pPr>
        <w:keepNext w:val="0"/>
        <w:keepLines w:val="0"/>
        <w:pageBreakBefore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rPr>
        <w:t>服务</w:t>
      </w:r>
      <w:r>
        <w:rPr>
          <w:rFonts w:hint="eastAsia" w:ascii="宋体" w:hAnsi="宋体" w:eastAsia="宋体" w:cs="宋体"/>
          <w:b/>
          <w:bCs/>
          <w:color w:val="auto"/>
          <w:sz w:val="21"/>
          <w:szCs w:val="21"/>
          <w:highlight w:val="none"/>
          <w:lang w:val="en-US" w:eastAsia="zh-CN"/>
        </w:rPr>
        <w:t>内容和</w:t>
      </w:r>
      <w:r>
        <w:rPr>
          <w:rFonts w:hint="eastAsia" w:ascii="宋体" w:hAnsi="宋体" w:eastAsia="宋体" w:cs="宋体"/>
          <w:b/>
          <w:bCs/>
          <w:color w:val="auto"/>
          <w:sz w:val="21"/>
          <w:szCs w:val="21"/>
          <w:highlight w:val="none"/>
        </w:rPr>
        <w:t>要求</w:t>
      </w:r>
    </w:p>
    <w:p w14:paraId="7C29DEAB">
      <w:pPr>
        <w:keepNext w:val="0"/>
        <w:keepLines w:val="0"/>
        <w:pageBreakBefore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具体工作内容</w:t>
      </w:r>
    </w:p>
    <w:p w14:paraId="1549DBE3">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r>
        <w:rPr>
          <w:rFonts w:hint="eastAsia" w:ascii="宋体" w:hAnsi="宋体" w:eastAsia="宋体" w:cs="宋体"/>
          <w:color w:val="auto"/>
          <w:sz w:val="21"/>
          <w:szCs w:val="21"/>
          <w:highlight w:val="none"/>
          <w:lang w:val="en-US" w:eastAsia="zh-CN"/>
        </w:rPr>
        <w:t>竣工</w:t>
      </w:r>
      <w:r>
        <w:rPr>
          <w:rFonts w:hint="eastAsia" w:ascii="宋体" w:hAnsi="宋体" w:eastAsia="宋体" w:cs="宋体"/>
          <w:color w:val="auto"/>
          <w:sz w:val="21"/>
          <w:szCs w:val="21"/>
          <w:highlight w:val="none"/>
        </w:rPr>
        <w:t>结算审核造价咨询服务。主要包括</w:t>
      </w:r>
      <w:r>
        <w:rPr>
          <w:rFonts w:hint="eastAsia" w:ascii="宋体" w:hAnsi="宋体" w:eastAsia="宋体" w:cs="宋体"/>
          <w:color w:val="auto"/>
          <w:sz w:val="21"/>
          <w:szCs w:val="21"/>
          <w:highlight w:val="none"/>
          <w:lang w:eastAsia="zh-CN"/>
        </w:rPr>
        <w:t>钱塘校区</w:t>
      </w:r>
      <w:r>
        <w:rPr>
          <w:rFonts w:hint="eastAsia" w:ascii="宋体" w:hAnsi="宋体" w:eastAsia="宋体" w:cs="宋体"/>
          <w:color w:val="auto"/>
          <w:sz w:val="21"/>
          <w:szCs w:val="21"/>
          <w:highlight w:val="none"/>
        </w:rPr>
        <w:t>教育教学用房及设施提升改造工程</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装饰装修工程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安装工程</w:t>
      </w:r>
      <w:r>
        <w:rPr>
          <w:rFonts w:hint="eastAsia" w:ascii="宋体" w:hAnsi="宋体" w:eastAsia="宋体" w:cs="宋体"/>
          <w:color w:val="auto"/>
          <w:sz w:val="21"/>
          <w:szCs w:val="21"/>
          <w:highlight w:val="none"/>
        </w:rPr>
        <w:t>等竣工结算</w:t>
      </w:r>
      <w:r>
        <w:rPr>
          <w:rFonts w:hint="eastAsia" w:ascii="宋体" w:hAnsi="宋体" w:eastAsia="宋体" w:cs="宋体"/>
          <w:color w:val="auto"/>
          <w:sz w:val="21"/>
          <w:szCs w:val="21"/>
          <w:highlight w:val="none"/>
          <w:lang w:val="en-US" w:eastAsia="zh-CN"/>
        </w:rPr>
        <w:t>审核</w:t>
      </w:r>
      <w:r>
        <w:rPr>
          <w:rFonts w:hint="eastAsia" w:ascii="宋体" w:hAnsi="宋体" w:eastAsia="宋体" w:cs="宋体"/>
          <w:color w:val="auto"/>
          <w:sz w:val="21"/>
          <w:szCs w:val="21"/>
          <w:highlight w:val="none"/>
        </w:rPr>
        <w:t>。包括但不仅限于以下服务内容：</w:t>
      </w:r>
    </w:p>
    <w:p w14:paraId="5EF7F1CD">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了解</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eastAsia="zh-CN"/>
        </w:rPr>
        <w:t>人</w:t>
      </w:r>
      <w:r>
        <w:rPr>
          <w:rFonts w:hint="eastAsia" w:ascii="宋体" w:hAnsi="宋体" w:eastAsia="宋体" w:cs="宋体"/>
          <w:color w:val="auto"/>
          <w:sz w:val="21"/>
          <w:szCs w:val="21"/>
          <w:highlight w:val="none"/>
          <w:lang w:val="en-US" w:eastAsia="zh-CN"/>
        </w:rPr>
        <w:t>审核</w:t>
      </w:r>
      <w:r>
        <w:rPr>
          <w:rFonts w:hint="eastAsia" w:ascii="宋体" w:hAnsi="宋体" w:eastAsia="宋体" w:cs="宋体"/>
          <w:color w:val="auto"/>
          <w:sz w:val="21"/>
          <w:szCs w:val="21"/>
          <w:highlight w:val="none"/>
        </w:rPr>
        <w:t>目的和具体要求，提出</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lang w:eastAsia="zh-CN"/>
        </w:rPr>
        <w:t>竣工</w:t>
      </w:r>
      <w:r>
        <w:rPr>
          <w:rFonts w:hint="eastAsia" w:ascii="宋体" w:hAnsi="宋体" w:eastAsia="宋体" w:cs="宋体"/>
          <w:color w:val="auto"/>
          <w:sz w:val="21"/>
          <w:szCs w:val="21"/>
          <w:highlight w:val="none"/>
          <w:lang w:val="en-US" w:eastAsia="zh-CN"/>
        </w:rPr>
        <w:t>结算审核</w:t>
      </w:r>
      <w:r>
        <w:rPr>
          <w:rFonts w:hint="eastAsia" w:ascii="宋体" w:hAnsi="宋体" w:eastAsia="宋体" w:cs="宋体"/>
          <w:color w:val="auto"/>
          <w:sz w:val="21"/>
          <w:szCs w:val="21"/>
          <w:highlight w:val="none"/>
        </w:rPr>
        <w:t>方案，</w:t>
      </w:r>
      <w:r>
        <w:rPr>
          <w:rFonts w:hint="eastAsia" w:ascii="宋体" w:hAnsi="宋体" w:eastAsia="宋体" w:cs="宋体"/>
          <w:color w:val="auto"/>
          <w:sz w:val="21"/>
          <w:szCs w:val="21"/>
          <w:highlight w:val="none"/>
          <w:lang w:val="en-US" w:eastAsia="zh-CN"/>
        </w:rPr>
        <w:t>组建审核</w:t>
      </w:r>
      <w:r>
        <w:rPr>
          <w:rFonts w:hint="eastAsia" w:ascii="宋体" w:hAnsi="宋体" w:eastAsia="宋体" w:cs="宋体"/>
          <w:color w:val="auto"/>
          <w:sz w:val="21"/>
          <w:szCs w:val="21"/>
          <w:highlight w:val="none"/>
        </w:rPr>
        <w:t>项目组，委派项目负责人，并授予其行使本项目</w:t>
      </w:r>
      <w:r>
        <w:rPr>
          <w:rFonts w:hint="eastAsia" w:ascii="宋体" w:hAnsi="宋体" w:eastAsia="宋体" w:cs="宋体"/>
          <w:color w:val="auto"/>
          <w:sz w:val="21"/>
          <w:szCs w:val="21"/>
          <w:highlight w:val="none"/>
          <w:lang w:val="en-US" w:eastAsia="zh-CN"/>
        </w:rPr>
        <w:t>结算审核</w:t>
      </w:r>
      <w:r>
        <w:rPr>
          <w:rFonts w:hint="eastAsia" w:ascii="宋体" w:hAnsi="宋体" w:eastAsia="宋体" w:cs="宋体"/>
          <w:color w:val="auto"/>
          <w:sz w:val="21"/>
          <w:szCs w:val="21"/>
          <w:highlight w:val="none"/>
        </w:rPr>
        <w:t>合同范围内处理</w:t>
      </w:r>
      <w:r>
        <w:rPr>
          <w:rFonts w:hint="eastAsia" w:ascii="宋体" w:hAnsi="宋体" w:eastAsia="宋体" w:cs="宋体"/>
          <w:color w:val="auto"/>
          <w:sz w:val="21"/>
          <w:szCs w:val="21"/>
          <w:highlight w:val="none"/>
          <w:lang w:val="en-US" w:eastAsia="zh-CN"/>
        </w:rPr>
        <w:t>审核</w:t>
      </w:r>
      <w:r>
        <w:rPr>
          <w:rFonts w:hint="eastAsia" w:ascii="宋体" w:hAnsi="宋体" w:eastAsia="宋体" w:cs="宋体"/>
          <w:color w:val="auto"/>
          <w:sz w:val="21"/>
          <w:szCs w:val="21"/>
          <w:highlight w:val="none"/>
        </w:rPr>
        <w:t>业务的全部权力。</w:t>
      </w:r>
    </w:p>
    <w:p w14:paraId="0DDAE66C">
      <w:pPr>
        <w:keepNext w:val="0"/>
        <w:keepLines w:val="0"/>
        <w:pageBreakBefore w:val="0"/>
        <w:kinsoku/>
        <w:wordWrap/>
        <w:overflowPunct/>
        <w:topLinePunct w:val="0"/>
        <w:autoSpaceDE/>
        <w:autoSpaceDN/>
        <w:bidi w:val="0"/>
        <w:snapToGrid w:val="0"/>
        <w:spacing w:beforeAutospacing="0" w:line="360" w:lineRule="auto"/>
        <w:ind w:left="0" w:leftChars="0"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2.服务要求</w:t>
      </w:r>
    </w:p>
    <w:p w14:paraId="57419AB8">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（1）中标人</w:t>
      </w:r>
      <w:r>
        <w:rPr>
          <w:rFonts w:hint="eastAsia" w:ascii="宋体" w:hAnsi="宋体" w:eastAsia="宋体" w:cs="宋体"/>
          <w:color w:val="auto"/>
          <w:sz w:val="21"/>
          <w:szCs w:val="21"/>
          <w:highlight w:val="none"/>
        </w:rPr>
        <w:t>审核人员应当对遵守廉政纪律作出书面承诺，并依据“公正、公开、科学、合理”的原则</w:t>
      </w:r>
      <w:r>
        <w:rPr>
          <w:rFonts w:hint="eastAsia" w:ascii="宋体" w:hAnsi="宋体" w:eastAsia="宋体" w:cs="宋体"/>
          <w:color w:val="auto"/>
          <w:sz w:val="21"/>
          <w:szCs w:val="21"/>
          <w:highlight w:val="none"/>
          <w:lang w:eastAsia="zh-CN"/>
        </w:rPr>
        <w:t>、严格遵守执业规范和职业道德</w:t>
      </w:r>
      <w:r>
        <w:rPr>
          <w:rFonts w:hint="eastAsia" w:ascii="宋体" w:hAnsi="宋体" w:eastAsia="宋体" w:cs="宋体"/>
          <w:color w:val="auto"/>
          <w:sz w:val="21"/>
          <w:szCs w:val="21"/>
          <w:highlight w:val="none"/>
        </w:rPr>
        <w:t>开展</w:t>
      </w:r>
      <w:r>
        <w:rPr>
          <w:rFonts w:hint="eastAsia" w:ascii="宋体" w:hAnsi="宋体" w:eastAsia="宋体" w:cs="宋体"/>
          <w:color w:val="auto"/>
          <w:sz w:val="21"/>
          <w:szCs w:val="21"/>
          <w:highlight w:val="none"/>
          <w:lang w:val="en-US" w:eastAsia="zh-CN"/>
        </w:rPr>
        <w:t>结算审核咨询服务</w:t>
      </w:r>
      <w:r>
        <w:rPr>
          <w:rFonts w:hint="eastAsia" w:ascii="宋体" w:hAnsi="宋体" w:eastAsia="宋体" w:cs="宋体"/>
          <w:color w:val="auto"/>
          <w:sz w:val="21"/>
          <w:szCs w:val="21"/>
          <w:highlight w:val="none"/>
        </w:rPr>
        <w:t>工作。</w:t>
      </w:r>
    </w:p>
    <w:p w14:paraId="4698BF5C">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（2）中标人</w:t>
      </w:r>
      <w:r>
        <w:rPr>
          <w:rFonts w:hint="eastAsia" w:ascii="宋体" w:hAnsi="宋体" w:eastAsia="宋体" w:cs="宋体"/>
          <w:color w:val="auto"/>
          <w:sz w:val="21"/>
          <w:szCs w:val="21"/>
          <w:highlight w:val="none"/>
          <w:lang w:eastAsia="zh-CN"/>
        </w:rPr>
        <w:t>应制订符合</w:t>
      </w:r>
      <w:r>
        <w:rPr>
          <w:rFonts w:hint="eastAsia" w:ascii="宋体" w:hAnsi="宋体" w:eastAsia="宋体" w:cs="宋体"/>
          <w:color w:val="auto"/>
          <w:sz w:val="21"/>
          <w:szCs w:val="21"/>
          <w:highlight w:val="none"/>
          <w:lang w:val="en-US" w:eastAsia="zh-CN"/>
        </w:rPr>
        <w:t>本项目</w:t>
      </w:r>
      <w:r>
        <w:rPr>
          <w:rFonts w:hint="eastAsia" w:ascii="宋体" w:hAnsi="宋体" w:eastAsia="宋体" w:cs="宋体"/>
          <w:color w:val="auto"/>
          <w:sz w:val="21"/>
          <w:szCs w:val="21"/>
          <w:highlight w:val="none"/>
          <w:lang w:eastAsia="zh-CN"/>
        </w:rPr>
        <w:t>专业性质、规模以及特点的项目审</w:t>
      </w:r>
      <w:r>
        <w:rPr>
          <w:rFonts w:hint="eastAsia" w:ascii="宋体" w:hAnsi="宋体" w:eastAsia="宋体" w:cs="宋体"/>
          <w:color w:val="auto"/>
          <w:sz w:val="21"/>
          <w:szCs w:val="21"/>
          <w:highlight w:val="none"/>
          <w:lang w:val="en-US" w:eastAsia="zh-CN"/>
        </w:rPr>
        <w:t>核</w:t>
      </w:r>
      <w:r>
        <w:rPr>
          <w:rFonts w:hint="eastAsia" w:ascii="宋体" w:hAnsi="宋体" w:eastAsia="宋体" w:cs="宋体"/>
          <w:color w:val="auto"/>
          <w:sz w:val="21"/>
          <w:szCs w:val="21"/>
          <w:highlight w:val="none"/>
          <w:lang w:eastAsia="zh-CN"/>
        </w:rPr>
        <w:t>工作方案，并</w:t>
      </w:r>
      <w:r>
        <w:rPr>
          <w:rFonts w:hint="eastAsia" w:ascii="宋体" w:hAnsi="宋体" w:eastAsia="宋体" w:cs="宋体"/>
          <w:color w:val="auto"/>
          <w:sz w:val="21"/>
          <w:szCs w:val="21"/>
          <w:highlight w:val="none"/>
          <w:lang w:val="en-US" w:eastAsia="zh-CN"/>
        </w:rPr>
        <w:t>根据采购人</w:t>
      </w:r>
      <w:r>
        <w:rPr>
          <w:rFonts w:hint="eastAsia" w:ascii="宋体" w:hAnsi="宋体" w:eastAsia="宋体" w:cs="宋体"/>
          <w:color w:val="auto"/>
          <w:sz w:val="21"/>
          <w:szCs w:val="21"/>
          <w:highlight w:val="none"/>
          <w:lang w:eastAsia="zh-CN"/>
        </w:rPr>
        <w:t>审</w:t>
      </w:r>
      <w:r>
        <w:rPr>
          <w:rFonts w:hint="eastAsia" w:ascii="宋体" w:hAnsi="宋体" w:eastAsia="宋体" w:cs="宋体"/>
          <w:color w:val="auto"/>
          <w:sz w:val="21"/>
          <w:szCs w:val="21"/>
          <w:highlight w:val="none"/>
          <w:lang w:val="en-US" w:eastAsia="zh-CN"/>
        </w:rPr>
        <w:t>核</w:t>
      </w:r>
      <w:r>
        <w:rPr>
          <w:rFonts w:hint="eastAsia" w:ascii="宋体" w:hAnsi="宋体" w:eastAsia="宋体" w:cs="宋体"/>
          <w:color w:val="auto"/>
          <w:sz w:val="21"/>
          <w:szCs w:val="21"/>
          <w:highlight w:val="none"/>
          <w:lang w:eastAsia="zh-CN"/>
        </w:rPr>
        <w:t>工作期限</w:t>
      </w:r>
      <w:r>
        <w:rPr>
          <w:rFonts w:hint="eastAsia" w:ascii="宋体" w:hAnsi="宋体" w:eastAsia="宋体" w:cs="宋体"/>
          <w:color w:val="auto"/>
          <w:sz w:val="21"/>
          <w:szCs w:val="21"/>
          <w:highlight w:val="none"/>
          <w:lang w:val="en-US" w:eastAsia="zh-CN"/>
        </w:rPr>
        <w:t>保质保量完成结算审核服务工作</w:t>
      </w:r>
      <w:r>
        <w:rPr>
          <w:rFonts w:hint="eastAsia" w:ascii="宋体" w:hAnsi="宋体" w:eastAsia="宋体" w:cs="宋体"/>
          <w:color w:val="auto"/>
          <w:sz w:val="21"/>
          <w:szCs w:val="21"/>
          <w:highlight w:val="none"/>
          <w:lang w:eastAsia="zh-CN"/>
        </w:rPr>
        <w:t>。</w:t>
      </w:r>
    </w:p>
    <w:p w14:paraId="61A34E17">
      <w:pPr>
        <w:keepNext w:val="0"/>
        <w:keepLines w:val="0"/>
        <w:pageBreakBefore w:val="0"/>
        <w:numPr>
          <w:ilvl w:val="0"/>
          <w:numId w:val="0"/>
        </w:numPr>
        <w:kinsoku/>
        <w:wordWrap/>
        <w:overflowPunct/>
        <w:topLinePunct w:val="0"/>
        <w:autoSpaceDE/>
        <w:autoSpaceDN/>
        <w:bidi w:val="0"/>
        <w:adjustRightInd/>
        <w:snapToGrid w:val="0"/>
        <w:spacing w:beforeAutospacing="0" w:line="360" w:lineRule="auto"/>
        <w:ind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投标人应根据项目实际组建项目团队，项目负责人应具有注册在投标人单位的土建专业的一级造价师执业资格证书；项目组成员（除项目负责人以外）需</w:t>
      </w:r>
      <w:r>
        <w:rPr>
          <w:rFonts w:hint="eastAsia" w:ascii="宋体" w:hAnsi="宋体" w:eastAsia="宋体" w:cs="宋体"/>
          <w:b w:val="0"/>
          <w:bCs w:val="0"/>
          <w:color w:val="auto"/>
          <w:sz w:val="21"/>
          <w:szCs w:val="21"/>
          <w:highlight w:val="none"/>
          <w:lang w:val="en-US" w:eastAsia="zh-CN"/>
        </w:rPr>
        <w:t>具备注册在投标人单位的二级及以上土建、安装等专业的造价工程师证书</w:t>
      </w:r>
      <w:r>
        <w:rPr>
          <w:rFonts w:hint="eastAsia" w:ascii="宋体" w:hAnsi="宋体" w:eastAsia="宋体" w:cs="宋体"/>
          <w:color w:val="auto"/>
          <w:szCs w:val="21"/>
          <w:highlight w:val="none"/>
          <w:lang w:eastAsia="zh-CN"/>
        </w:rPr>
        <w:t>，</w:t>
      </w:r>
      <w:r>
        <w:rPr>
          <w:rFonts w:hint="eastAsia" w:ascii="宋体" w:hAnsi="宋体" w:eastAsia="宋体" w:cs="宋体"/>
          <w:color w:val="auto"/>
          <w:sz w:val="21"/>
          <w:szCs w:val="21"/>
          <w:highlight w:val="none"/>
          <w:lang w:val="en-US" w:eastAsia="zh-CN"/>
        </w:rPr>
        <w:t>成员人数不少于3人，年龄结构及分工合理。</w:t>
      </w:r>
    </w:p>
    <w:p w14:paraId="5DB393F0">
      <w:pPr>
        <w:keepNext w:val="0"/>
        <w:keepLines w:val="0"/>
        <w:pageBreakBefore w:val="0"/>
        <w:numPr>
          <w:ilvl w:val="0"/>
          <w:numId w:val="0"/>
        </w:numPr>
        <w:kinsoku/>
        <w:wordWrap/>
        <w:overflowPunct/>
        <w:topLinePunct w:val="0"/>
        <w:autoSpaceDE/>
        <w:autoSpaceDN/>
        <w:bidi w:val="0"/>
        <w:adjustRightInd/>
        <w:snapToGrid w:val="0"/>
        <w:spacing w:beforeAutospacing="0" w:line="360" w:lineRule="auto"/>
        <w:ind w:firstLine="422"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服务响应时间要求：要求在咨询服务期内，提供7*8小时响应服务，包括受理采购人委托、根据采购人要求进行咨询回复、解答、完善书面审查结果等，在接到采购人咨询或委托电话后1小时内作出响应，如需提供现场服务的，应于</w:t>
      </w: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小时内达到现场。</w:t>
      </w:r>
    </w:p>
    <w:p w14:paraId="154EA062">
      <w:pPr>
        <w:keepNext w:val="0"/>
        <w:keepLines w:val="0"/>
        <w:pageBreakBefore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审计成果偏差率</w:t>
      </w:r>
    </w:p>
    <w:p w14:paraId="7511DA81">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由于中标人审核人员的原因，提供的成果文件中出现漏项、漏量、多算等问题影响造价超过1%以上的，按照漏项、漏量、多算部分的造价/项目总造价百分比扣减该项目的咨询费，最高不超过中标价的2.5%。中标人审核人员应对以上成果文件予以修改、纠正，给采购人造成损失的，还应赔偿相应损失。</w:t>
      </w:r>
    </w:p>
    <w:p w14:paraId="28998A88">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（2）中标人对所提供成果的真实性、准确性、合法性负责，且所提出的各种咨询意见都具有权威性。审核结果与省审计厅、发改委等上级机构抽查、复核结果偏差大于1%的，应予以承担给采购人造成的经济损失。</w:t>
      </w:r>
    </w:p>
    <w:p w14:paraId="21EAFD17">
      <w:pPr>
        <w:keepNext w:val="0"/>
        <w:keepLines w:val="0"/>
        <w:pageBreakBefore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中标人应积极配合采购人的法定审计（含采购人上级各部门的审计）工作，并及时提供相关资料。</w:t>
      </w:r>
    </w:p>
    <w:p w14:paraId="2BBF0420">
      <w:pPr>
        <w:keepNext w:val="0"/>
        <w:keepLines w:val="0"/>
        <w:pageBreakBefore w:val="0"/>
        <w:widowControl/>
        <w:kinsoku/>
        <w:wordWrap/>
        <w:overflowPunct/>
        <w:topLinePunct w:val="0"/>
        <w:autoSpaceDE/>
        <w:autoSpaceDN/>
        <w:bidi w:val="0"/>
        <w:adjustRightInd w:val="0"/>
        <w:spacing w:beforeAutospacing="0" w:line="360" w:lineRule="auto"/>
        <w:ind w:left="0" w:leftChars="0"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kern w:val="2"/>
          <w:sz w:val="21"/>
          <w:szCs w:val="21"/>
          <w:highlight w:val="none"/>
          <w:lang w:val="en-US" w:eastAsia="zh-CN"/>
        </w:rPr>
        <w:t>7.</w:t>
      </w:r>
      <w:r>
        <w:rPr>
          <w:rFonts w:hint="eastAsia" w:ascii="宋体" w:hAnsi="宋体" w:eastAsia="宋体" w:cs="宋体"/>
          <w:color w:val="auto"/>
          <w:kern w:val="2"/>
          <w:sz w:val="21"/>
          <w:szCs w:val="21"/>
          <w:highlight w:val="none"/>
          <w:lang w:eastAsia="zh-CN"/>
        </w:rPr>
        <w:t>对在执行业务中知悉的</w:t>
      </w:r>
      <w:r>
        <w:rPr>
          <w:rFonts w:hint="eastAsia" w:ascii="宋体" w:hAnsi="宋体" w:eastAsia="宋体" w:cs="宋体"/>
          <w:color w:val="auto"/>
          <w:kern w:val="2"/>
          <w:sz w:val="21"/>
          <w:szCs w:val="21"/>
          <w:highlight w:val="none"/>
          <w:lang w:val="en-US" w:eastAsia="zh-CN"/>
        </w:rPr>
        <w:t>采购人</w:t>
      </w:r>
      <w:r>
        <w:rPr>
          <w:rFonts w:hint="eastAsia" w:ascii="宋体" w:hAnsi="宋体" w:eastAsia="宋体" w:cs="宋体"/>
          <w:color w:val="auto"/>
          <w:kern w:val="2"/>
          <w:sz w:val="21"/>
          <w:szCs w:val="21"/>
          <w:highlight w:val="none"/>
          <w:lang w:eastAsia="zh-CN"/>
        </w:rPr>
        <w:t>商业秘密，负有</w:t>
      </w:r>
      <w:r>
        <w:rPr>
          <w:rFonts w:hint="eastAsia" w:ascii="宋体" w:hAnsi="宋体" w:eastAsia="宋体" w:cs="宋体"/>
          <w:color w:val="auto"/>
          <w:kern w:val="2"/>
          <w:sz w:val="21"/>
          <w:szCs w:val="21"/>
          <w:highlight w:val="none"/>
        </w:rPr>
        <w:t>保密义务</w:t>
      </w:r>
      <w:r>
        <w:rPr>
          <w:rFonts w:hint="eastAsia" w:ascii="宋体" w:hAnsi="宋体" w:eastAsia="宋体" w:cs="宋体"/>
          <w:color w:val="auto"/>
          <w:kern w:val="2"/>
          <w:sz w:val="21"/>
          <w:szCs w:val="21"/>
          <w:highlight w:val="none"/>
          <w:lang w:eastAsia="zh-CN"/>
        </w:rPr>
        <w:t>。</w:t>
      </w:r>
    </w:p>
    <w:p w14:paraId="1E337D02">
      <w:pPr>
        <w:keepNext w:val="0"/>
        <w:keepLines w:val="0"/>
        <w:pageBreakBefore w:val="0"/>
        <w:widowControl/>
        <w:kinsoku/>
        <w:wordWrap/>
        <w:overflowPunct/>
        <w:topLinePunct w:val="0"/>
        <w:autoSpaceDE/>
        <w:autoSpaceDN/>
        <w:bidi w:val="0"/>
        <w:adjustRightInd w:val="0"/>
        <w:spacing w:beforeAutospacing="0" w:line="360" w:lineRule="auto"/>
        <w:ind w:left="0" w:leftChars="0" w:firstLine="422" w:firstLineChars="200"/>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（三）</w:t>
      </w:r>
      <w:r>
        <w:rPr>
          <w:rFonts w:hint="eastAsia" w:ascii="宋体" w:hAnsi="宋体" w:eastAsia="宋体" w:cs="宋体"/>
          <w:b/>
          <w:bCs/>
          <w:color w:val="auto"/>
          <w:kern w:val="0"/>
          <w:sz w:val="21"/>
          <w:szCs w:val="21"/>
          <w:highlight w:val="none"/>
        </w:rPr>
        <w:t>时间要求</w:t>
      </w:r>
    </w:p>
    <w:p w14:paraId="78C06B49">
      <w:pPr>
        <w:pStyle w:val="21"/>
        <w:numPr>
          <w:ilvl w:val="0"/>
          <w:numId w:val="0"/>
        </w:numPr>
        <w:spacing w:line="360" w:lineRule="auto"/>
        <w:ind w:firstLine="49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1.审核时限：</w:t>
      </w:r>
    </w:p>
    <w:p w14:paraId="48B790A6">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val="en-US" w:eastAsia="zh-CN"/>
        </w:rPr>
        <w:t>结算审核</w:t>
      </w:r>
      <w:r>
        <w:rPr>
          <w:rFonts w:hint="eastAsia" w:ascii="宋体" w:hAnsi="宋体" w:eastAsia="宋体" w:cs="宋体"/>
          <w:color w:val="auto"/>
          <w:sz w:val="21"/>
          <w:szCs w:val="21"/>
          <w:highlight w:val="none"/>
        </w:rPr>
        <w:t>方案，结合本工程实际，</w:t>
      </w:r>
      <w:r>
        <w:rPr>
          <w:rFonts w:hint="eastAsia" w:ascii="宋体" w:hAnsi="宋体" w:eastAsia="宋体" w:cs="宋体"/>
          <w:color w:val="auto"/>
          <w:sz w:val="21"/>
          <w:szCs w:val="21"/>
          <w:highlight w:val="none"/>
          <w:lang w:val="en-US" w:eastAsia="zh-CN"/>
        </w:rPr>
        <w:t>接收项目送审资料后</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半个月内安排各专业审核人员进行现场踏勘，</w:t>
      </w:r>
      <w:r>
        <w:rPr>
          <w:rFonts w:hint="eastAsia" w:ascii="宋体" w:hAnsi="宋体" w:eastAsia="宋体" w:cs="宋体"/>
          <w:color w:val="auto"/>
          <w:sz w:val="21"/>
          <w:szCs w:val="21"/>
          <w:highlight w:val="none"/>
        </w:rPr>
        <w:t>并</w:t>
      </w:r>
      <w:r>
        <w:rPr>
          <w:rFonts w:hint="eastAsia" w:ascii="宋体" w:hAnsi="宋体" w:eastAsia="宋体" w:cs="宋体"/>
          <w:color w:val="auto"/>
          <w:sz w:val="21"/>
          <w:szCs w:val="21"/>
          <w:highlight w:val="none"/>
          <w:lang w:val="en-US" w:eastAsia="zh-CN"/>
        </w:rPr>
        <w:t>在现场踏勘后30</w:t>
      </w:r>
      <w:r>
        <w:rPr>
          <w:rFonts w:hint="eastAsia" w:ascii="宋体" w:hAnsi="宋体" w:eastAsia="宋体" w:cs="宋体"/>
          <w:color w:val="auto"/>
          <w:sz w:val="21"/>
          <w:szCs w:val="21"/>
          <w:highlight w:val="none"/>
          <w:lang w:eastAsia="zh-CN"/>
        </w:rPr>
        <w:t>个工作日内</w:t>
      </w:r>
      <w:r>
        <w:rPr>
          <w:rFonts w:hint="eastAsia" w:ascii="宋体" w:hAnsi="宋体" w:eastAsia="宋体" w:cs="宋体"/>
          <w:color w:val="auto"/>
          <w:sz w:val="21"/>
          <w:szCs w:val="21"/>
          <w:highlight w:val="none"/>
        </w:rPr>
        <w:t>出具</w:t>
      </w:r>
      <w:r>
        <w:rPr>
          <w:rFonts w:hint="eastAsia" w:ascii="宋体" w:hAnsi="宋体" w:eastAsia="宋体" w:cs="宋体"/>
          <w:color w:val="auto"/>
          <w:sz w:val="21"/>
          <w:szCs w:val="21"/>
          <w:highlight w:val="none"/>
          <w:lang w:val="en-US" w:eastAsia="zh-CN"/>
        </w:rPr>
        <w:t>项目结算审核初稿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审核过程中，及时进行沟通反馈，提供专业意见，积极推进项目结算审核，审核</w:t>
      </w:r>
      <w:r>
        <w:rPr>
          <w:rFonts w:hint="eastAsia" w:ascii="宋体" w:hAnsi="宋体" w:eastAsia="宋体" w:cs="宋体"/>
          <w:color w:val="auto"/>
          <w:sz w:val="21"/>
          <w:szCs w:val="21"/>
          <w:highlight w:val="none"/>
        </w:rPr>
        <w:t>结束后，</w:t>
      </w:r>
      <w:r>
        <w:rPr>
          <w:rFonts w:hint="eastAsia" w:ascii="宋体" w:hAnsi="宋体" w:eastAsia="宋体" w:cs="宋体"/>
          <w:color w:val="auto"/>
          <w:sz w:val="21"/>
          <w:szCs w:val="21"/>
          <w:highlight w:val="none"/>
          <w:lang w:val="en-US" w:eastAsia="zh-CN"/>
        </w:rPr>
        <w:t>及时</w:t>
      </w:r>
      <w:r>
        <w:rPr>
          <w:rFonts w:hint="eastAsia" w:ascii="宋体" w:hAnsi="宋体" w:eastAsia="宋体" w:cs="宋体"/>
          <w:color w:val="auto"/>
          <w:sz w:val="21"/>
          <w:szCs w:val="21"/>
          <w:highlight w:val="none"/>
        </w:rPr>
        <w:t>出具</w:t>
      </w:r>
      <w:r>
        <w:rPr>
          <w:rFonts w:hint="eastAsia" w:ascii="宋体" w:hAnsi="宋体" w:eastAsia="宋体" w:cs="宋体"/>
          <w:color w:val="auto"/>
          <w:sz w:val="21"/>
          <w:szCs w:val="21"/>
          <w:highlight w:val="none"/>
          <w:lang w:val="en-US" w:eastAsia="zh-CN"/>
        </w:rPr>
        <w:t>结算审核</w:t>
      </w:r>
      <w:r>
        <w:rPr>
          <w:rFonts w:hint="eastAsia" w:ascii="宋体" w:hAnsi="宋体" w:eastAsia="宋体" w:cs="宋体"/>
          <w:color w:val="auto"/>
          <w:sz w:val="21"/>
          <w:szCs w:val="21"/>
          <w:highlight w:val="none"/>
        </w:rPr>
        <w:t>报告。</w:t>
      </w:r>
      <w:r>
        <w:rPr>
          <w:rFonts w:hint="eastAsia" w:ascii="宋体" w:hAnsi="宋体" w:eastAsia="宋体" w:cs="宋体"/>
          <w:color w:val="auto"/>
          <w:sz w:val="21"/>
          <w:szCs w:val="21"/>
          <w:highlight w:val="none"/>
          <w:lang w:val="en-US" w:eastAsia="zh-CN"/>
        </w:rPr>
        <w:t>报告格式、报告提交形式、报告份数按照采购</w:t>
      </w:r>
      <w:r>
        <w:rPr>
          <w:rFonts w:hint="eastAsia" w:ascii="宋体" w:hAnsi="宋体" w:eastAsia="宋体" w:cs="宋体"/>
          <w:color w:val="auto"/>
          <w:sz w:val="21"/>
          <w:szCs w:val="21"/>
          <w:highlight w:val="none"/>
          <w:lang w:eastAsia="zh-CN"/>
        </w:rPr>
        <w:t>人</w:t>
      </w:r>
      <w:r>
        <w:rPr>
          <w:rFonts w:hint="eastAsia" w:ascii="宋体" w:hAnsi="宋体" w:eastAsia="宋体" w:cs="宋体"/>
          <w:color w:val="auto"/>
          <w:sz w:val="21"/>
          <w:szCs w:val="21"/>
          <w:highlight w:val="none"/>
          <w:lang w:val="en-US" w:eastAsia="zh-CN"/>
        </w:rPr>
        <w:t>要求提供。</w:t>
      </w:r>
    </w:p>
    <w:p w14:paraId="39B262EB">
      <w:pPr>
        <w:keepNext w:val="0"/>
        <w:keepLines w:val="0"/>
        <w:pageBreakBefore w:val="0"/>
        <w:widowControl/>
        <w:kinsoku/>
        <w:wordWrap/>
        <w:overflowPunct/>
        <w:topLinePunct w:val="0"/>
        <w:autoSpaceDE/>
        <w:autoSpaceDN/>
        <w:bidi w:val="0"/>
        <w:adjustRightInd w:val="0"/>
        <w:spacing w:beforeAutospacing="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如果</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提供的</w:t>
      </w:r>
      <w:r>
        <w:rPr>
          <w:rFonts w:hint="eastAsia" w:ascii="宋体" w:hAnsi="宋体" w:eastAsia="宋体" w:cs="宋体"/>
          <w:color w:val="auto"/>
          <w:kern w:val="0"/>
          <w:sz w:val="21"/>
          <w:szCs w:val="21"/>
          <w:highlight w:val="none"/>
          <w:lang w:val="en-US" w:eastAsia="zh-CN"/>
        </w:rPr>
        <w:t>送审</w:t>
      </w:r>
      <w:r>
        <w:rPr>
          <w:rFonts w:hint="eastAsia" w:ascii="宋体" w:hAnsi="宋体" w:eastAsia="宋体" w:cs="宋体"/>
          <w:color w:val="auto"/>
          <w:kern w:val="0"/>
          <w:sz w:val="21"/>
          <w:szCs w:val="21"/>
          <w:highlight w:val="none"/>
        </w:rPr>
        <w:t>资料不齐全</w:t>
      </w:r>
      <w:r>
        <w:rPr>
          <w:rFonts w:hint="eastAsia" w:ascii="宋体" w:hAnsi="宋体" w:eastAsia="宋体" w:cs="宋体"/>
          <w:color w:val="auto"/>
          <w:kern w:val="0"/>
          <w:sz w:val="21"/>
          <w:szCs w:val="21"/>
          <w:highlight w:val="none"/>
          <w:lang w:val="en-US" w:eastAsia="zh-CN"/>
        </w:rPr>
        <w:t>或存在影响结算的问题</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中标人</w:t>
      </w:r>
      <w:r>
        <w:rPr>
          <w:rFonts w:hint="eastAsia" w:ascii="宋体" w:hAnsi="宋体" w:eastAsia="宋体" w:cs="宋体"/>
          <w:color w:val="auto"/>
          <w:kern w:val="0"/>
          <w:sz w:val="21"/>
          <w:szCs w:val="21"/>
          <w:highlight w:val="none"/>
        </w:rPr>
        <w:t>应在收到资料之日起</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日内提出，否则将视首次资料移交日为工作时间的开始日。</w:t>
      </w:r>
    </w:p>
    <w:p w14:paraId="75008033">
      <w:pPr>
        <w:keepNext w:val="0"/>
        <w:keepLines w:val="0"/>
        <w:pageBreakBefore w:val="0"/>
        <w:widowControl/>
        <w:kinsoku/>
        <w:wordWrap/>
        <w:overflowPunct/>
        <w:topLinePunct w:val="0"/>
        <w:autoSpaceDE/>
        <w:autoSpaceDN/>
        <w:bidi w:val="0"/>
        <w:adjustRightInd w:val="0"/>
        <w:spacing w:beforeAutospacing="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3.中标人</w:t>
      </w:r>
      <w:r>
        <w:rPr>
          <w:rFonts w:hint="eastAsia" w:ascii="宋体" w:hAnsi="宋体" w:eastAsia="宋体" w:cs="宋体"/>
          <w:color w:val="auto"/>
          <w:kern w:val="0"/>
          <w:sz w:val="21"/>
          <w:szCs w:val="21"/>
          <w:highlight w:val="none"/>
        </w:rPr>
        <w:t>由于自身原因超出规定时间</w:t>
      </w:r>
      <w:r>
        <w:rPr>
          <w:rFonts w:hint="eastAsia" w:ascii="宋体" w:hAnsi="宋体" w:eastAsia="宋体" w:cs="宋体"/>
          <w:color w:val="auto"/>
          <w:kern w:val="0"/>
          <w:sz w:val="21"/>
          <w:szCs w:val="21"/>
          <w:highlight w:val="none"/>
          <w:lang w:val="en-US" w:eastAsia="zh-CN"/>
        </w:rPr>
        <w:t>未能按时</w:t>
      </w:r>
      <w:r>
        <w:rPr>
          <w:rFonts w:hint="eastAsia" w:ascii="宋体" w:hAnsi="宋体" w:eastAsia="宋体" w:cs="宋体"/>
          <w:color w:val="auto"/>
          <w:kern w:val="0"/>
          <w:sz w:val="21"/>
          <w:szCs w:val="21"/>
          <w:highlight w:val="none"/>
        </w:rPr>
        <w:t>出具</w:t>
      </w:r>
      <w:r>
        <w:rPr>
          <w:rFonts w:hint="eastAsia" w:ascii="宋体" w:hAnsi="宋体" w:eastAsia="宋体" w:cs="宋体"/>
          <w:color w:val="auto"/>
          <w:kern w:val="0"/>
          <w:sz w:val="21"/>
          <w:szCs w:val="21"/>
          <w:highlight w:val="none"/>
          <w:lang w:val="en-US" w:eastAsia="zh-CN"/>
        </w:rPr>
        <w:t>项目结算审核初稿</w:t>
      </w:r>
      <w:r>
        <w:rPr>
          <w:rFonts w:hint="eastAsia" w:ascii="宋体" w:hAnsi="宋体" w:eastAsia="宋体" w:cs="宋体"/>
          <w:color w:val="auto"/>
          <w:kern w:val="0"/>
          <w:sz w:val="21"/>
          <w:szCs w:val="21"/>
          <w:highlight w:val="none"/>
        </w:rPr>
        <w:t>的</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按500元/</w:t>
      </w:r>
      <w:r>
        <w:rPr>
          <w:rFonts w:hint="eastAsia" w:ascii="宋体" w:hAnsi="宋体" w:eastAsia="宋体" w:cs="宋体"/>
          <w:color w:val="auto"/>
          <w:kern w:val="0"/>
          <w:sz w:val="21"/>
          <w:szCs w:val="21"/>
          <w:highlight w:val="none"/>
          <w:lang w:val="en-US" w:eastAsia="zh-CN"/>
        </w:rPr>
        <w:t>天</w:t>
      </w:r>
      <w:r>
        <w:rPr>
          <w:rFonts w:hint="eastAsia" w:ascii="宋体" w:hAnsi="宋体" w:eastAsia="宋体" w:cs="宋体"/>
          <w:color w:val="auto"/>
          <w:kern w:val="0"/>
          <w:sz w:val="21"/>
          <w:szCs w:val="21"/>
          <w:highlight w:val="none"/>
        </w:rPr>
        <w:t>扣罚，情节严重的</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有权终止合同并索赔损失。</w:t>
      </w:r>
    </w:p>
    <w:p w14:paraId="7631F7B5">
      <w:pPr>
        <w:pageBreakBefore w:val="0"/>
        <w:numPr>
          <w:ilvl w:val="0"/>
          <w:numId w:val="0"/>
        </w:numPr>
        <w:shd w:val="clear"/>
        <w:kinsoku/>
        <w:overflowPunct/>
        <w:topLinePunct w:val="0"/>
        <w:bidi w:val="0"/>
        <w:adjustRightInd w:val="0"/>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highlight w:val="none"/>
          <w:lang w:val="en-US" w:eastAsia="zh-CN"/>
        </w:rPr>
        <w:t xml:space="preserve">                  </w:t>
      </w:r>
    </w:p>
    <w:p w14:paraId="2D5FEC39">
      <w:pPr>
        <w:pStyle w:val="5"/>
        <w:shd w:val="clear"/>
        <w:bidi w:val="0"/>
        <w:spacing w:line="360" w:lineRule="auto"/>
        <w:rPr>
          <w:rFonts w:hint="eastAsia" w:ascii="宋体" w:hAnsi="宋体" w:eastAsia="宋体" w:cs="宋体"/>
          <w:color w:val="auto"/>
          <w:highlight w:val="none"/>
        </w:rPr>
      </w:pPr>
      <w:bookmarkStart w:id="46" w:name="_Toc20111"/>
      <w:r>
        <w:rPr>
          <w:rFonts w:hint="eastAsia" w:ascii="宋体" w:hAnsi="宋体" w:eastAsia="宋体" w:cs="宋体"/>
          <w:color w:val="auto"/>
          <w:highlight w:val="none"/>
          <w:lang w:val="en-US" w:eastAsia="zh-CN"/>
        </w:rPr>
        <w:t>三</w:t>
      </w:r>
      <w:r>
        <w:rPr>
          <w:rFonts w:hint="eastAsia" w:ascii="宋体" w:hAnsi="宋体" w:eastAsia="宋体" w:cs="宋体"/>
          <w:color w:val="auto"/>
          <w:highlight w:val="none"/>
        </w:rPr>
        <w:t>、其他</w:t>
      </w:r>
      <w:bookmarkEnd w:id="46"/>
    </w:p>
    <w:p w14:paraId="084789C5">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1.投标人自2022年1月1日（以合同签订时间为准）以来具有</w:t>
      </w:r>
      <w:r>
        <w:rPr>
          <w:rFonts w:hint="eastAsia" w:ascii="宋体" w:hAnsi="宋体" w:eastAsia="宋体" w:cs="宋体"/>
          <w:color w:val="auto"/>
          <w:sz w:val="21"/>
          <w:szCs w:val="21"/>
          <w:highlight w:val="none"/>
          <w:lang w:val="zh-CN" w:eastAsia="zh-CN"/>
        </w:rPr>
        <w:t>类似</w:t>
      </w:r>
      <w:r>
        <w:rPr>
          <w:rFonts w:hint="eastAsia" w:ascii="宋体" w:hAnsi="宋体" w:eastAsia="宋体" w:cs="宋体"/>
          <w:color w:val="auto"/>
          <w:sz w:val="21"/>
          <w:szCs w:val="21"/>
          <w:highlight w:val="none"/>
          <w:lang w:val="en-US" w:eastAsia="zh-CN"/>
        </w:rPr>
        <w:t>房建</w:t>
      </w:r>
      <w:r>
        <w:rPr>
          <w:rFonts w:hint="eastAsia" w:ascii="宋体" w:hAnsi="宋体" w:eastAsia="宋体" w:cs="宋体"/>
          <w:color w:val="auto"/>
          <w:sz w:val="21"/>
          <w:szCs w:val="21"/>
          <w:highlight w:val="none"/>
          <w:lang w:val="zh-CN" w:eastAsia="zh-CN"/>
        </w:rPr>
        <w:t>项目工程结算审核造价咨询服务</w:t>
      </w:r>
      <w:r>
        <w:rPr>
          <w:rFonts w:hint="eastAsia" w:ascii="宋体" w:hAnsi="宋体" w:eastAsia="宋体" w:cs="宋体"/>
          <w:color w:val="auto"/>
          <w:sz w:val="21"/>
          <w:szCs w:val="21"/>
          <w:highlight w:val="none"/>
          <w:lang w:val="en-US" w:eastAsia="zh-CN"/>
        </w:rPr>
        <w:t>业绩。证明材料：提供合同复印件并加盖公章；</w:t>
      </w:r>
    </w:p>
    <w:p w14:paraId="0CABEB82">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投标人具有有效期内的质量管理体系认证、环境管理体系认证、职业健康安全管理体认证。证明材料：提供有效期内的证书原件扫描件或清晰复印件及全国认证认可信息公共服务平台http://cx.cnca.cn/的查询网页截图并加盖供应商公章；</w:t>
      </w:r>
    </w:p>
    <w:p w14:paraId="1DBDB3FA">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3.投标人提出的适合本项目的的具体审核方案、工作方法，包括前期准备、资料审查、真实性验证等内容；</w:t>
      </w:r>
    </w:p>
    <w:p w14:paraId="4737203B">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4.投标人提出影响项目审核进度问题的主要因素，并提供出相应的解决措施与方案；</w:t>
      </w:r>
    </w:p>
    <w:p w14:paraId="47B3BB45">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5.投标人提出关键项实地抽查方案，包括使用工具复核隐蔽工程、抽样测量、对比竣工图与实际施工差异、影像取证等内容；</w:t>
      </w:r>
    </w:p>
    <w:p w14:paraId="2C9EC1A4">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7.投标人提出针对本项目实施过程中的重点难点分析，且提出相应的解决方案和措施；</w:t>
      </w:r>
    </w:p>
    <w:p w14:paraId="6BA6A4F8">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8.投标人提供本项目审核进程安排及分项活动时间安排；包括计划的合理性，步骤清晰情况，各个实施阶段说明完整情况；</w:t>
      </w:r>
    </w:p>
    <w:p w14:paraId="4AEF7C01">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9.投标人提出针对本项目的质量保障方案的科学合理和有效性，包括项目管理、关键流程管理、监控方法等方面；</w:t>
      </w:r>
    </w:p>
    <w:p w14:paraId="2013622B">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10.投标人针对本项目提出的风险控制方案进行评分，包括风险识别与评估、风险应对预案和控制措施、风险沟通、风险管理经验与案例等内容；</w:t>
      </w:r>
    </w:p>
    <w:p w14:paraId="7206D766">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b w:val="0"/>
          <w:bCs w:val="0"/>
          <w:color w:val="auto"/>
          <w:sz w:val="21"/>
          <w:szCs w:val="21"/>
          <w:highlight w:val="none"/>
          <w:lang w:val="en-US" w:eastAsia="zh-CN"/>
        </w:rPr>
        <w:t>投标人提供拟派的服务团队人员合理组织分工与外部协调方案，包括层级结构与职责划分、协调机制与方法等内容；</w:t>
      </w:r>
    </w:p>
    <w:p w14:paraId="0EC8FB78">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b w:val="0"/>
          <w:bCs w:val="0"/>
          <w:color w:val="auto"/>
          <w:sz w:val="21"/>
          <w:szCs w:val="21"/>
          <w:highlight w:val="none"/>
          <w:lang w:val="en-US" w:eastAsia="zh-CN"/>
        </w:rPr>
        <w:t>投标人提供确保审核成果文件准确性、深度性、完整性的措施及方案；</w:t>
      </w:r>
    </w:p>
    <w:p w14:paraId="10CBB072">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13.标人提供后续咨询配合服务方案及承诺；</w:t>
      </w:r>
    </w:p>
    <w:p w14:paraId="55628EEF">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14.投标人提供对本项目结算审核造价咨询服务过程中的廉政建设方面的措施；</w:t>
      </w:r>
    </w:p>
    <w:p w14:paraId="1F34C39B">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15.投标人提供对服务过程中文件及相关信息的保管及保密措施；</w:t>
      </w:r>
    </w:p>
    <w:p w14:paraId="6E6CE806">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16.投标人提供针对本项目在实施过程中可能出现的突发情况的应对、解决方案。</w:t>
      </w:r>
      <w:r>
        <w:rPr>
          <w:rFonts w:hint="eastAsia" w:ascii="宋体" w:hAnsi="宋体" w:eastAsia="宋体" w:cs="宋体"/>
          <w:color w:val="auto"/>
          <w:sz w:val="21"/>
          <w:szCs w:val="21"/>
          <w:highlight w:val="none"/>
          <w:lang w:val="en-US" w:eastAsia="zh-CN"/>
        </w:rPr>
        <w:br w:type="page"/>
      </w:r>
    </w:p>
    <w:p w14:paraId="79D43717">
      <w:pPr>
        <w:pStyle w:val="4"/>
        <w:pageBreakBefore w:val="0"/>
        <w:shd w:val="clear"/>
        <w:kinsoku/>
        <w:overflowPunct/>
        <w:topLinePunct w:val="0"/>
        <w:bidi w:val="0"/>
        <w:spacing w:line="360" w:lineRule="auto"/>
        <w:jc w:val="center"/>
        <w:rPr>
          <w:rFonts w:hint="eastAsia" w:ascii="宋体" w:hAnsi="宋体" w:eastAsia="宋体" w:cs="宋体"/>
          <w:color w:val="auto"/>
          <w:highlight w:val="none"/>
        </w:rPr>
      </w:pPr>
      <w:bookmarkStart w:id="47" w:name="_Toc1937"/>
      <w:r>
        <w:rPr>
          <w:rFonts w:hint="eastAsia" w:ascii="宋体" w:hAnsi="宋体" w:eastAsia="宋体" w:cs="宋体"/>
          <w:color w:val="auto"/>
          <w:highlight w:val="none"/>
        </w:rPr>
        <w:t>第四部分  合同条款</w:t>
      </w:r>
      <w:bookmarkEnd w:id="39"/>
      <w:bookmarkEnd w:id="40"/>
      <w:bookmarkEnd w:id="47"/>
    </w:p>
    <w:p w14:paraId="4A0F3A12">
      <w:pPr>
        <w:pageBreakBefore w:val="0"/>
        <w:shd w:val="clear"/>
        <w:kinsoku/>
        <w:overflowPunct/>
        <w:topLinePunct w:val="0"/>
        <w:bidi w:val="0"/>
        <w:adjustRightInd w:val="0"/>
        <w:snapToGrid w:val="0"/>
        <w:spacing w:line="360" w:lineRule="auto"/>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（本合同样式供参考）</w:t>
      </w:r>
    </w:p>
    <w:p w14:paraId="426C5515">
      <w:pPr>
        <w:pStyle w:val="5"/>
        <w:jc w:val="center"/>
        <w:rPr>
          <w:rFonts w:hint="eastAsia" w:ascii="宋体" w:hAnsi="宋体" w:eastAsia="宋体" w:cs="宋体"/>
          <w:color w:val="auto"/>
          <w:highlight w:val="none"/>
          <w:lang w:val="en-US" w:eastAsia="zh-CN"/>
        </w:rPr>
      </w:pPr>
      <w:r>
        <w:rPr>
          <w:rFonts w:hint="eastAsia" w:ascii="宋体" w:hAnsi="宋体" w:eastAsia="宋体" w:cs="宋体"/>
          <w:b/>
          <w:color w:val="auto"/>
          <w:kern w:val="0"/>
          <w:sz w:val="21"/>
          <w:szCs w:val="24"/>
          <w:highlight w:val="none"/>
          <w:lang w:val="en-US" w:eastAsia="zh-CN"/>
        </w:rPr>
        <w:t>浙江理工大学采购合同编号：</w:t>
      </w:r>
    </w:p>
    <w:p w14:paraId="24E69F3F">
      <w:pPr>
        <w:shd w:val="clea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浙江理工大学</w:t>
      </w:r>
      <w:r>
        <w:rPr>
          <w:rFonts w:hint="eastAsia" w:ascii="宋体" w:hAnsi="宋体" w:eastAsia="宋体" w:cs="宋体"/>
          <w:b/>
          <w:color w:val="auto"/>
          <w:sz w:val="22"/>
          <w:szCs w:val="22"/>
          <w:highlight w:val="none"/>
          <w:lang w:val="en-US" w:eastAsia="zh-CN"/>
        </w:rPr>
        <w:t>钱塘</w:t>
      </w:r>
      <w:r>
        <w:rPr>
          <w:rFonts w:hint="eastAsia" w:ascii="宋体" w:hAnsi="宋体" w:eastAsia="宋体" w:cs="宋体"/>
          <w:b/>
          <w:color w:val="auto"/>
          <w:sz w:val="22"/>
          <w:szCs w:val="22"/>
          <w:highlight w:val="none"/>
        </w:rPr>
        <w:t>校区教育教学用房及设施提升改造工程结算审核造价咨询服务</w:t>
      </w:r>
      <w:r>
        <w:rPr>
          <w:rFonts w:hint="eastAsia" w:ascii="宋体" w:hAnsi="宋体" w:eastAsia="宋体" w:cs="宋体"/>
          <w:b/>
          <w:color w:val="auto"/>
          <w:sz w:val="22"/>
          <w:szCs w:val="22"/>
          <w:highlight w:val="none"/>
          <w:lang w:val="en-US" w:eastAsia="zh-CN"/>
        </w:rPr>
        <w:t>合同</w:t>
      </w:r>
      <w:r>
        <w:rPr>
          <w:rFonts w:hint="eastAsia" w:ascii="宋体" w:hAnsi="宋体" w:eastAsia="宋体" w:cs="宋体"/>
          <w:b/>
          <w:color w:val="auto"/>
          <w:sz w:val="22"/>
          <w:szCs w:val="22"/>
          <w:highlight w:val="none"/>
        </w:rPr>
        <w:t xml:space="preserve"> </w:t>
      </w:r>
    </w:p>
    <w:p w14:paraId="239F812E">
      <w:pPr>
        <w:shd w:val="clear"/>
        <w:spacing w:line="360" w:lineRule="auto"/>
        <w:jc w:val="righ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采购计划文号：</w:t>
      </w:r>
      <w:r>
        <w:rPr>
          <w:rFonts w:hint="eastAsia" w:ascii="宋体" w:hAnsi="宋体" w:cs="宋体"/>
          <w:b/>
          <w:color w:val="auto"/>
          <w:szCs w:val="21"/>
          <w:highlight w:val="none"/>
          <w:lang w:eastAsia="zh-CN"/>
        </w:rPr>
        <w:t>[2025]37549号</w:t>
      </w:r>
    </w:p>
    <w:p w14:paraId="1ABA4DC5">
      <w:pPr>
        <w:shd w:val="clear"/>
        <w:spacing w:line="360" w:lineRule="auto"/>
        <w:rPr>
          <w:rFonts w:hint="eastAsia" w:ascii="宋体" w:hAnsi="宋体" w:eastAsia="宋体" w:cs="宋体"/>
          <w:b/>
          <w:color w:val="auto"/>
          <w:szCs w:val="21"/>
          <w:highlight w:val="none"/>
        </w:rPr>
      </w:pPr>
    </w:p>
    <w:p w14:paraId="4C21E375">
      <w:pPr>
        <w:shd w:val="clea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甲方(需方):</w:t>
      </w:r>
      <w:r>
        <w:rPr>
          <w:rFonts w:hint="eastAsia" w:ascii="宋体" w:hAnsi="宋体" w:eastAsia="宋体" w:cs="宋体"/>
          <w:color w:val="auto"/>
          <w:szCs w:val="21"/>
          <w:highlight w:val="none"/>
        </w:rPr>
        <w:t xml:space="preserve"> 浙江理工大学</w:t>
      </w:r>
    </w:p>
    <w:p w14:paraId="1A2D6F24">
      <w:pPr>
        <w:shd w:val="clea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乙方(供方): </w:t>
      </w:r>
    </w:p>
    <w:p w14:paraId="725AAD48">
      <w:pPr>
        <w:shd w:val="clea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采购代理机构(鉴证方)：</w:t>
      </w:r>
      <w:r>
        <w:rPr>
          <w:rFonts w:hint="eastAsia" w:ascii="宋体" w:hAnsi="宋体" w:eastAsia="宋体" w:cs="宋体"/>
          <w:color w:val="auto"/>
          <w:szCs w:val="21"/>
          <w:highlight w:val="none"/>
        </w:rPr>
        <w:t>浙江国际招投标有限公司</w:t>
      </w:r>
    </w:p>
    <w:p w14:paraId="4D7A8283">
      <w:pPr>
        <w:shd w:val="clea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为保护供、需双方的合法权益，根据《中华人民共和国政府采购法》、《中华人民共和国民法典》等相关法律法规，浙江理工大学特委托浙江国际招投标有限公司经公开招标，确定</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（中标</w:t>
      </w:r>
      <w:r>
        <w:rPr>
          <w:rFonts w:hint="eastAsia" w:ascii="宋体" w:hAnsi="宋体" w:eastAsia="宋体" w:cs="宋体"/>
          <w:color w:val="auto"/>
          <w:szCs w:val="21"/>
          <w:highlight w:val="none"/>
          <w:lang w:val="en-US" w:eastAsia="zh-CN"/>
        </w:rPr>
        <w:t>人</w:t>
      </w:r>
      <w:r>
        <w:rPr>
          <w:rFonts w:hint="eastAsia" w:ascii="宋体" w:hAnsi="宋体" w:eastAsia="宋体" w:cs="宋体"/>
          <w:color w:val="auto"/>
          <w:szCs w:val="21"/>
          <w:highlight w:val="none"/>
        </w:rPr>
        <w:t>）为项目编号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的中标</w:t>
      </w:r>
      <w:r>
        <w:rPr>
          <w:rFonts w:hint="eastAsia" w:ascii="宋体" w:hAnsi="宋体" w:eastAsia="宋体" w:cs="宋体"/>
          <w:color w:val="auto"/>
          <w:szCs w:val="21"/>
          <w:highlight w:val="none"/>
          <w:lang w:val="en-US" w:eastAsia="zh-CN"/>
        </w:rPr>
        <w:t>人</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本合同为中小企业预留合同。</w:t>
      </w:r>
      <w:r>
        <w:rPr>
          <w:rFonts w:hint="eastAsia" w:ascii="宋体" w:hAnsi="宋体" w:eastAsia="宋体" w:cs="宋体"/>
          <w:color w:val="auto"/>
          <w:szCs w:val="21"/>
          <w:highlight w:val="none"/>
        </w:rPr>
        <w:t>经甲、乙双方协商达成以下协议：</w:t>
      </w:r>
    </w:p>
    <w:p w14:paraId="6140B601">
      <w:pPr>
        <w:keepNext w:val="0"/>
        <w:keepLines w:val="0"/>
        <w:pageBreakBefore w:val="0"/>
        <w:kinsoku/>
        <w:overflowPunct/>
        <w:topLinePunct w:val="0"/>
        <w:bidi w:val="0"/>
        <w:spacing w:line="440" w:lineRule="exact"/>
        <w:ind w:firstLine="422" w:firstLineChars="200"/>
        <w:jc w:val="both"/>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第一条 合同价格</w:t>
      </w:r>
    </w:p>
    <w:p w14:paraId="12B0DF3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440" w:lineRule="exact"/>
        <w:ind w:left="0" w:leftChars="0" w:right="0" w:firstLine="42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Cs w:val="21"/>
          <w:highlight w:val="none"/>
          <w:u w:val="single"/>
        </w:rPr>
        <w:t>浙江理工大学钱塘校区教育教学用房及设施提升改造工程结算审核造价咨询服务项目</w:t>
      </w:r>
      <w:r>
        <w:rPr>
          <w:rFonts w:hint="eastAsia" w:ascii="宋体" w:hAnsi="宋体" w:eastAsia="宋体" w:cs="宋体"/>
          <w:snapToGrid/>
          <w:color w:val="auto"/>
          <w:kern w:val="0"/>
          <w:sz w:val="22"/>
          <w:szCs w:val="22"/>
          <w:highlight w:val="none"/>
          <w:lang w:val="en-US" w:eastAsia="zh-CN" w:bidi="ar"/>
        </w:rPr>
        <w:t>的基本审计费为</w:t>
      </w:r>
      <w:r>
        <w:rPr>
          <w:rFonts w:hint="eastAsia" w:ascii="宋体" w:hAnsi="宋体" w:eastAsia="宋体" w:cs="宋体"/>
          <w:snapToGrid/>
          <w:color w:val="auto"/>
          <w:kern w:val="0"/>
          <w:sz w:val="22"/>
          <w:szCs w:val="22"/>
          <w:highlight w:val="none"/>
          <w:u w:val="single"/>
          <w:lang w:val="en-US" w:eastAsia="zh-CN" w:bidi="ar"/>
        </w:rPr>
        <w:t xml:space="preserve">         </w:t>
      </w:r>
      <w:r>
        <w:rPr>
          <w:rFonts w:hint="eastAsia" w:ascii="宋体" w:hAnsi="宋体" w:eastAsia="宋体" w:cs="宋体"/>
          <w:snapToGrid/>
          <w:color w:val="auto"/>
          <w:kern w:val="0"/>
          <w:sz w:val="22"/>
          <w:szCs w:val="22"/>
          <w:highlight w:val="none"/>
          <w:lang w:val="en-US" w:eastAsia="zh-CN" w:bidi="ar"/>
        </w:rPr>
        <w:t>元，</w:t>
      </w:r>
      <w:r>
        <w:rPr>
          <w:rFonts w:hint="eastAsia" w:ascii="宋体" w:hAnsi="宋体" w:eastAsia="宋体" w:cs="宋体"/>
          <w:color w:val="auto"/>
          <w:szCs w:val="21"/>
          <w:highlight w:val="none"/>
          <w:lang w:eastAsia="zh-CN"/>
        </w:rPr>
        <w:t>追加审计费用按</w:t>
      </w:r>
      <w:r>
        <w:rPr>
          <w:rFonts w:hint="eastAsia" w:ascii="宋体" w:hAnsi="宋体" w:eastAsia="宋体" w:cs="宋体"/>
          <w:color w:val="auto"/>
          <w:szCs w:val="21"/>
          <w:highlight w:val="none"/>
          <w:lang w:val="en-US" w:eastAsia="zh-CN"/>
        </w:rPr>
        <w:t>浙价服【2009】84号文件收取，由</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none"/>
          <w:lang w:val="en-US" w:eastAsia="zh-CN"/>
        </w:rPr>
        <w:t>（支付单位）</w:t>
      </w:r>
      <w:r>
        <w:rPr>
          <w:rFonts w:hint="eastAsia" w:ascii="宋体" w:hAnsi="宋体" w:eastAsia="宋体" w:cs="宋体"/>
          <w:color w:val="auto"/>
          <w:szCs w:val="21"/>
          <w:highlight w:val="none"/>
          <w:lang w:val="en-US" w:eastAsia="zh-CN"/>
        </w:rPr>
        <w:t>支付。</w:t>
      </w:r>
    </w:p>
    <w:p w14:paraId="29387D6E">
      <w:pPr>
        <w:keepNext w:val="0"/>
        <w:keepLines w:val="0"/>
        <w:pageBreakBefore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Cs w:val="21"/>
          <w:highlight w:val="none"/>
          <w:lang w:eastAsia="zh-CN"/>
        </w:rPr>
        <w:t>第二条</w:t>
      </w:r>
      <w:r>
        <w:rPr>
          <w:rFonts w:hint="eastAsia" w:ascii="宋体" w:hAnsi="宋体" w:eastAsia="宋体" w:cs="宋体"/>
          <w:b/>
          <w:bCs/>
          <w:color w:val="auto"/>
          <w:szCs w:val="21"/>
          <w:highlight w:val="none"/>
          <w:lang w:val="en-US" w:eastAsia="zh-CN"/>
        </w:rPr>
        <w:t xml:space="preserve"> </w:t>
      </w:r>
      <w:r>
        <w:rPr>
          <w:rFonts w:hint="eastAsia" w:ascii="宋体" w:hAnsi="宋体" w:eastAsia="宋体" w:cs="宋体"/>
          <w:b/>
          <w:bCs/>
          <w:color w:val="auto"/>
          <w:sz w:val="21"/>
          <w:szCs w:val="21"/>
          <w:highlight w:val="none"/>
        </w:rPr>
        <w:t>服务</w:t>
      </w:r>
      <w:r>
        <w:rPr>
          <w:rFonts w:hint="eastAsia" w:ascii="宋体" w:hAnsi="宋体" w:eastAsia="宋体" w:cs="宋体"/>
          <w:b/>
          <w:bCs/>
          <w:color w:val="auto"/>
          <w:sz w:val="21"/>
          <w:szCs w:val="21"/>
          <w:highlight w:val="none"/>
          <w:lang w:val="en-US" w:eastAsia="zh-CN"/>
        </w:rPr>
        <w:t>内容和</w:t>
      </w:r>
      <w:r>
        <w:rPr>
          <w:rFonts w:hint="eastAsia" w:ascii="宋体" w:hAnsi="宋体" w:eastAsia="宋体" w:cs="宋体"/>
          <w:b/>
          <w:bCs/>
          <w:color w:val="auto"/>
          <w:sz w:val="21"/>
          <w:szCs w:val="21"/>
          <w:highlight w:val="none"/>
        </w:rPr>
        <w:t>要求</w:t>
      </w:r>
    </w:p>
    <w:p w14:paraId="563A1312">
      <w:pPr>
        <w:keepNext w:val="0"/>
        <w:keepLines w:val="0"/>
        <w:pageBreakBefore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具体工作内容</w:t>
      </w:r>
    </w:p>
    <w:p w14:paraId="383EC5A6">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r>
        <w:rPr>
          <w:rFonts w:hint="eastAsia" w:ascii="宋体" w:hAnsi="宋体" w:eastAsia="宋体" w:cs="宋体"/>
          <w:color w:val="auto"/>
          <w:sz w:val="21"/>
          <w:szCs w:val="21"/>
          <w:highlight w:val="none"/>
          <w:lang w:val="en-US" w:eastAsia="zh-CN"/>
        </w:rPr>
        <w:t>竣工</w:t>
      </w:r>
      <w:r>
        <w:rPr>
          <w:rFonts w:hint="eastAsia" w:ascii="宋体" w:hAnsi="宋体" w:eastAsia="宋体" w:cs="宋体"/>
          <w:color w:val="auto"/>
          <w:sz w:val="21"/>
          <w:szCs w:val="21"/>
          <w:highlight w:val="none"/>
        </w:rPr>
        <w:t>结算审核造价咨询服务。主要包括</w:t>
      </w:r>
      <w:r>
        <w:rPr>
          <w:rFonts w:hint="eastAsia" w:ascii="宋体" w:hAnsi="宋体" w:eastAsia="宋体" w:cs="宋体"/>
          <w:color w:val="auto"/>
          <w:sz w:val="21"/>
          <w:szCs w:val="21"/>
          <w:highlight w:val="none"/>
          <w:lang w:eastAsia="zh-CN"/>
        </w:rPr>
        <w:t>钱塘校区</w:t>
      </w:r>
      <w:r>
        <w:rPr>
          <w:rFonts w:hint="eastAsia" w:ascii="宋体" w:hAnsi="宋体" w:eastAsia="宋体" w:cs="宋体"/>
          <w:color w:val="auto"/>
          <w:sz w:val="21"/>
          <w:szCs w:val="21"/>
          <w:highlight w:val="none"/>
        </w:rPr>
        <w:t>教育教学用房及设施提升改造工程</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装饰装修工程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安装工程</w:t>
      </w:r>
      <w:r>
        <w:rPr>
          <w:rFonts w:hint="eastAsia" w:ascii="宋体" w:hAnsi="宋体" w:eastAsia="宋体" w:cs="宋体"/>
          <w:color w:val="auto"/>
          <w:sz w:val="21"/>
          <w:szCs w:val="21"/>
          <w:highlight w:val="none"/>
        </w:rPr>
        <w:t>等竣工结算</w:t>
      </w:r>
      <w:r>
        <w:rPr>
          <w:rFonts w:hint="eastAsia" w:ascii="宋体" w:hAnsi="宋体" w:eastAsia="宋体" w:cs="宋体"/>
          <w:color w:val="auto"/>
          <w:sz w:val="21"/>
          <w:szCs w:val="21"/>
          <w:highlight w:val="none"/>
          <w:lang w:val="en-US" w:eastAsia="zh-CN"/>
        </w:rPr>
        <w:t>审核</w:t>
      </w:r>
      <w:r>
        <w:rPr>
          <w:rFonts w:hint="eastAsia" w:ascii="宋体" w:hAnsi="宋体" w:eastAsia="宋体" w:cs="宋体"/>
          <w:color w:val="auto"/>
          <w:sz w:val="21"/>
          <w:szCs w:val="21"/>
          <w:highlight w:val="none"/>
        </w:rPr>
        <w:t>。包括但不仅限于以下服务内容：</w:t>
      </w:r>
    </w:p>
    <w:p w14:paraId="2361E299">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了解</w:t>
      </w:r>
      <w:r>
        <w:rPr>
          <w:rFonts w:hint="eastAsia" w:ascii="宋体" w:hAnsi="宋体" w:eastAsia="宋体" w:cs="宋体"/>
          <w:color w:val="auto"/>
          <w:sz w:val="21"/>
          <w:szCs w:val="21"/>
          <w:highlight w:val="none"/>
          <w:lang w:val="en-US" w:eastAsia="zh-CN"/>
        </w:rPr>
        <w:t>甲方审核</w:t>
      </w:r>
      <w:r>
        <w:rPr>
          <w:rFonts w:hint="eastAsia" w:ascii="宋体" w:hAnsi="宋体" w:eastAsia="宋体" w:cs="宋体"/>
          <w:color w:val="auto"/>
          <w:sz w:val="21"/>
          <w:szCs w:val="21"/>
          <w:highlight w:val="none"/>
        </w:rPr>
        <w:t>目的和具体要求，提出</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lang w:eastAsia="zh-CN"/>
        </w:rPr>
        <w:t>竣工</w:t>
      </w:r>
      <w:r>
        <w:rPr>
          <w:rFonts w:hint="eastAsia" w:ascii="宋体" w:hAnsi="宋体" w:eastAsia="宋体" w:cs="宋体"/>
          <w:color w:val="auto"/>
          <w:sz w:val="21"/>
          <w:szCs w:val="21"/>
          <w:highlight w:val="none"/>
          <w:lang w:val="en-US" w:eastAsia="zh-CN"/>
        </w:rPr>
        <w:t>结算审核</w:t>
      </w:r>
      <w:r>
        <w:rPr>
          <w:rFonts w:hint="eastAsia" w:ascii="宋体" w:hAnsi="宋体" w:eastAsia="宋体" w:cs="宋体"/>
          <w:color w:val="auto"/>
          <w:sz w:val="21"/>
          <w:szCs w:val="21"/>
          <w:highlight w:val="none"/>
        </w:rPr>
        <w:t>方案，</w:t>
      </w:r>
      <w:r>
        <w:rPr>
          <w:rFonts w:hint="eastAsia" w:ascii="宋体" w:hAnsi="宋体" w:eastAsia="宋体" w:cs="宋体"/>
          <w:color w:val="auto"/>
          <w:sz w:val="21"/>
          <w:szCs w:val="21"/>
          <w:highlight w:val="none"/>
          <w:lang w:val="en-US" w:eastAsia="zh-CN"/>
        </w:rPr>
        <w:t>组建审核</w:t>
      </w:r>
      <w:r>
        <w:rPr>
          <w:rFonts w:hint="eastAsia" w:ascii="宋体" w:hAnsi="宋体" w:eastAsia="宋体" w:cs="宋体"/>
          <w:color w:val="auto"/>
          <w:sz w:val="21"/>
          <w:szCs w:val="21"/>
          <w:highlight w:val="none"/>
        </w:rPr>
        <w:t>项目组，委派项目负责人，并授予其行使本项目</w:t>
      </w:r>
      <w:r>
        <w:rPr>
          <w:rFonts w:hint="eastAsia" w:ascii="宋体" w:hAnsi="宋体" w:eastAsia="宋体" w:cs="宋体"/>
          <w:color w:val="auto"/>
          <w:sz w:val="21"/>
          <w:szCs w:val="21"/>
          <w:highlight w:val="none"/>
          <w:lang w:val="en-US" w:eastAsia="zh-CN"/>
        </w:rPr>
        <w:t>结算审核</w:t>
      </w:r>
      <w:r>
        <w:rPr>
          <w:rFonts w:hint="eastAsia" w:ascii="宋体" w:hAnsi="宋体" w:eastAsia="宋体" w:cs="宋体"/>
          <w:color w:val="auto"/>
          <w:sz w:val="21"/>
          <w:szCs w:val="21"/>
          <w:highlight w:val="none"/>
        </w:rPr>
        <w:t>合同范围内处理</w:t>
      </w:r>
      <w:r>
        <w:rPr>
          <w:rFonts w:hint="eastAsia" w:ascii="宋体" w:hAnsi="宋体" w:eastAsia="宋体" w:cs="宋体"/>
          <w:color w:val="auto"/>
          <w:sz w:val="21"/>
          <w:szCs w:val="21"/>
          <w:highlight w:val="none"/>
          <w:lang w:val="en-US" w:eastAsia="zh-CN"/>
        </w:rPr>
        <w:t>审核</w:t>
      </w:r>
      <w:r>
        <w:rPr>
          <w:rFonts w:hint="eastAsia" w:ascii="宋体" w:hAnsi="宋体" w:eastAsia="宋体" w:cs="宋体"/>
          <w:color w:val="auto"/>
          <w:sz w:val="21"/>
          <w:szCs w:val="21"/>
          <w:highlight w:val="none"/>
        </w:rPr>
        <w:t>业务的全部权力。</w:t>
      </w:r>
    </w:p>
    <w:p w14:paraId="488040E5">
      <w:pPr>
        <w:keepNext w:val="0"/>
        <w:keepLines w:val="0"/>
        <w:pageBreakBefore w:val="0"/>
        <w:kinsoku/>
        <w:wordWrap/>
        <w:overflowPunct/>
        <w:topLinePunct w:val="0"/>
        <w:autoSpaceDE/>
        <w:autoSpaceDN/>
        <w:bidi w:val="0"/>
        <w:snapToGrid w:val="0"/>
        <w:spacing w:beforeAutospacing="0" w:line="360" w:lineRule="auto"/>
        <w:ind w:left="0" w:leftChars="0"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2.服务要求</w:t>
      </w:r>
    </w:p>
    <w:p w14:paraId="3A4815EE">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（1）乙方</w:t>
      </w:r>
      <w:r>
        <w:rPr>
          <w:rFonts w:hint="eastAsia" w:ascii="宋体" w:hAnsi="宋体" w:eastAsia="宋体" w:cs="宋体"/>
          <w:color w:val="auto"/>
          <w:sz w:val="21"/>
          <w:szCs w:val="21"/>
          <w:highlight w:val="none"/>
        </w:rPr>
        <w:t>审核人员应当对遵守廉政纪律作出书面承诺，并依据“公正、公开、科学、合理”的原则</w:t>
      </w:r>
      <w:r>
        <w:rPr>
          <w:rFonts w:hint="eastAsia" w:ascii="宋体" w:hAnsi="宋体" w:eastAsia="宋体" w:cs="宋体"/>
          <w:color w:val="auto"/>
          <w:sz w:val="21"/>
          <w:szCs w:val="21"/>
          <w:highlight w:val="none"/>
          <w:lang w:eastAsia="zh-CN"/>
        </w:rPr>
        <w:t>、严格遵守执业规范和职业道德</w:t>
      </w:r>
      <w:r>
        <w:rPr>
          <w:rFonts w:hint="eastAsia" w:ascii="宋体" w:hAnsi="宋体" w:eastAsia="宋体" w:cs="宋体"/>
          <w:color w:val="auto"/>
          <w:sz w:val="21"/>
          <w:szCs w:val="21"/>
          <w:highlight w:val="none"/>
        </w:rPr>
        <w:t>开展</w:t>
      </w:r>
      <w:r>
        <w:rPr>
          <w:rFonts w:hint="eastAsia" w:ascii="宋体" w:hAnsi="宋体" w:eastAsia="宋体" w:cs="宋体"/>
          <w:color w:val="auto"/>
          <w:sz w:val="21"/>
          <w:szCs w:val="21"/>
          <w:highlight w:val="none"/>
          <w:lang w:val="en-US" w:eastAsia="zh-CN"/>
        </w:rPr>
        <w:t>结算审核咨询服务</w:t>
      </w:r>
      <w:r>
        <w:rPr>
          <w:rFonts w:hint="eastAsia" w:ascii="宋体" w:hAnsi="宋体" w:eastAsia="宋体" w:cs="宋体"/>
          <w:color w:val="auto"/>
          <w:sz w:val="21"/>
          <w:szCs w:val="21"/>
          <w:highlight w:val="none"/>
        </w:rPr>
        <w:t>工作。</w:t>
      </w:r>
    </w:p>
    <w:p w14:paraId="3FB99C61">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（2）乙方</w:t>
      </w:r>
      <w:r>
        <w:rPr>
          <w:rFonts w:hint="eastAsia" w:ascii="宋体" w:hAnsi="宋体" w:eastAsia="宋体" w:cs="宋体"/>
          <w:color w:val="auto"/>
          <w:sz w:val="21"/>
          <w:szCs w:val="21"/>
          <w:highlight w:val="none"/>
          <w:lang w:eastAsia="zh-CN"/>
        </w:rPr>
        <w:t>应制订符合</w:t>
      </w:r>
      <w:r>
        <w:rPr>
          <w:rFonts w:hint="eastAsia" w:ascii="宋体" w:hAnsi="宋体" w:eastAsia="宋体" w:cs="宋体"/>
          <w:color w:val="auto"/>
          <w:sz w:val="21"/>
          <w:szCs w:val="21"/>
          <w:highlight w:val="none"/>
          <w:lang w:val="en-US" w:eastAsia="zh-CN"/>
        </w:rPr>
        <w:t>本项目</w:t>
      </w:r>
      <w:r>
        <w:rPr>
          <w:rFonts w:hint="eastAsia" w:ascii="宋体" w:hAnsi="宋体" w:eastAsia="宋体" w:cs="宋体"/>
          <w:color w:val="auto"/>
          <w:sz w:val="21"/>
          <w:szCs w:val="21"/>
          <w:highlight w:val="none"/>
          <w:lang w:eastAsia="zh-CN"/>
        </w:rPr>
        <w:t>专业性质、规模以及特点的项目审</w:t>
      </w:r>
      <w:r>
        <w:rPr>
          <w:rFonts w:hint="eastAsia" w:ascii="宋体" w:hAnsi="宋体" w:eastAsia="宋体" w:cs="宋体"/>
          <w:color w:val="auto"/>
          <w:sz w:val="21"/>
          <w:szCs w:val="21"/>
          <w:highlight w:val="none"/>
          <w:lang w:val="en-US" w:eastAsia="zh-CN"/>
        </w:rPr>
        <w:t>核</w:t>
      </w:r>
      <w:r>
        <w:rPr>
          <w:rFonts w:hint="eastAsia" w:ascii="宋体" w:hAnsi="宋体" w:eastAsia="宋体" w:cs="宋体"/>
          <w:color w:val="auto"/>
          <w:sz w:val="21"/>
          <w:szCs w:val="21"/>
          <w:highlight w:val="none"/>
          <w:lang w:eastAsia="zh-CN"/>
        </w:rPr>
        <w:t>工作方案，并</w:t>
      </w:r>
      <w:r>
        <w:rPr>
          <w:rFonts w:hint="eastAsia" w:ascii="宋体" w:hAnsi="宋体" w:eastAsia="宋体" w:cs="宋体"/>
          <w:color w:val="auto"/>
          <w:sz w:val="21"/>
          <w:szCs w:val="21"/>
          <w:highlight w:val="none"/>
          <w:lang w:val="en-US" w:eastAsia="zh-CN"/>
        </w:rPr>
        <w:t>根据甲方</w:t>
      </w:r>
      <w:r>
        <w:rPr>
          <w:rFonts w:hint="eastAsia" w:ascii="宋体" w:hAnsi="宋体" w:eastAsia="宋体" w:cs="宋体"/>
          <w:color w:val="auto"/>
          <w:sz w:val="21"/>
          <w:szCs w:val="21"/>
          <w:highlight w:val="none"/>
          <w:lang w:eastAsia="zh-CN"/>
        </w:rPr>
        <w:t>审</w:t>
      </w:r>
      <w:r>
        <w:rPr>
          <w:rFonts w:hint="eastAsia" w:ascii="宋体" w:hAnsi="宋体" w:eastAsia="宋体" w:cs="宋体"/>
          <w:color w:val="auto"/>
          <w:sz w:val="21"/>
          <w:szCs w:val="21"/>
          <w:highlight w:val="none"/>
          <w:lang w:val="en-US" w:eastAsia="zh-CN"/>
        </w:rPr>
        <w:t>核</w:t>
      </w:r>
      <w:r>
        <w:rPr>
          <w:rFonts w:hint="eastAsia" w:ascii="宋体" w:hAnsi="宋体" w:eastAsia="宋体" w:cs="宋体"/>
          <w:color w:val="auto"/>
          <w:sz w:val="21"/>
          <w:szCs w:val="21"/>
          <w:highlight w:val="none"/>
          <w:lang w:eastAsia="zh-CN"/>
        </w:rPr>
        <w:t>工作期限</w:t>
      </w:r>
      <w:r>
        <w:rPr>
          <w:rFonts w:hint="eastAsia" w:ascii="宋体" w:hAnsi="宋体" w:eastAsia="宋体" w:cs="宋体"/>
          <w:color w:val="auto"/>
          <w:sz w:val="21"/>
          <w:szCs w:val="21"/>
          <w:highlight w:val="none"/>
          <w:lang w:val="en-US" w:eastAsia="zh-CN"/>
        </w:rPr>
        <w:t>保质保量完成结算审核服务工作</w:t>
      </w:r>
      <w:r>
        <w:rPr>
          <w:rFonts w:hint="eastAsia" w:ascii="宋体" w:hAnsi="宋体" w:eastAsia="宋体" w:cs="宋体"/>
          <w:color w:val="auto"/>
          <w:sz w:val="21"/>
          <w:szCs w:val="21"/>
          <w:highlight w:val="none"/>
          <w:lang w:eastAsia="zh-CN"/>
        </w:rPr>
        <w:t>。</w:t>
      </w:r>
    </w:p>
    <w:p w14:paraId="4FFB478E">
      <w:pPr>
        <w:keepNext w:val="0"/>
        <w:keepLines w:val="0"/>
        <w:pageBreakBefore w:val="0"/>
        <w:numPr>
          <w:ilvl w:val="0"/>
          <w:numId w:val="0"/>
        </w:numPr>
        <w:kinsoku/>
        <w:wordWrap/>
        <w:overflowPunct/>
        <w:topLinePunct w:val="0"/>
        <w:autoSpaceDE/>
        <w:autoSpaceDN/>
        <w:bidi w:val="0"/>
        <w:adjustRightInd/>
        <w:snapToGrid w:val="0"/>
        <w:spacing w:beforeAutospacing="0" w:line="360" w:lineRule="auto"/>
        <w:ind w:firstLine="422"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color w:val="auto"/>
          <w:kern w:val="2"/>
          <w:sz w:val="21"/>
          <w:szCs w:val="21"/>
          <w:highlight w:val="none"/>
          <w:lang w:val="en-US" w:eastAsia="zh-CN" w:bidi="ar-SA"/>
        </w:rPr>
        <w:t>服务响应时间要求：要求在咨询服务期内，提供7*8小时响应服务，包括受理甲方委托、根据甲方要求进行咨询回复、解答、完善书面审查结果等，在接到甲方咨询或委托电话后1小时内作出响应，如需提供现场服务的，应于</w:t>
      </w: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小时内达到现场。</w:t>
      </w:r>
    </w:p>
    <w:p w14:paraId="571A1009">
      <w:pPr>
        <w:keepNext w:val="0"/>
        <w:keepLines w:val="0"/>
        <w:pageBreakBefore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审计成果偏差率</w:t>
      </w:r>
    </w:p>
    <w:p w14:paraId="1E85B8E7">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由于乙方审核人员的原因，提供的成果文件中出现漏项、漏量、多算等问题影响造价超过1%以上的，按照漏项、漏量、多算部分的造价/项目总造价百分比扣减该项目的咨询费，最高不超过中标价的2.5%。乙方审核人员应对以上成果文件予以修改、纠正，给甲方造成损失的，还应赔偿相应损失，且</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有权终止合同。</w:t>
      </w:r>
    </w:p>
    <w:p w14:paraId="3C053643">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（2）乙方对所提供成果的真实性、准确性、合法性负责，且所提出的各种咨询意见都具有权威性。审核结果与省审计厅、发改委等上级机构抽查、复核结果偏差大于1%的，应予以承担给甲方造成的经济损失。</w:t>
      </w:r>
    </w:p>
    <w:p w14:paraId="42968DCA">
      <w:pPr>
        <w:keepNext w:val="0"/>
        <w:keepLines w:val="0"/>
        <w:pageBreakBefore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乙方应积极配合甲方的法定审计（含甲方上级各部门的审计）工作，并及时提供相关资料。</w:t>
      </w:r>
    </w:p>
    <w:p w14:paraId="43A52901">
      <w:pPr>
        <w:keepNext w:val="0"/>
        <w:keepLines w:val="0"/>
        <w:pageBreakBefore w:val="0"/>
        <w:widowControl/>
        <w:kinsoku/>
        <w:wordWrap/>
        <w:overflowPunct/>
        <w:topLinePunct w:val="0"/>
        <w:autoSpaceDE/>
        <w:autoSpaceDN/>
        <w:bidi w:val="0"/>
        <w:adjustRightInd w:val="0"/>
        <w:spacing w:beforeAutospacing="0" w:line="360" w:lineRule="auto"/>
        <w:ind w:left="0" w:leftChars="0"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kern w:val="2"/>
          <w:sz w:val="21"/>
          <w:szCs w:val="21"/>
          <w:highlight w:val="none"/>
          <w:lang w:val="en-US" w:eastAsia="zh-CN"/>
        </w:rPr>
        <w:t>6.</w:t>
      </w:r>
      <w:r>
        <w:rPr>
          <w:rFonts w:hint="eastAsia" w:ascii="宋体" w:hAnsi="宋体" w:eastAsia="宋体" w:cs="宋体"/>
          <w:color w:val="auto"/>
          <w:kern w:val="2"/>
          <w:sz w:val="21"/>
          <w:szCs w:val="21"/>
          <w:highlight w:val="none"/>
          <w:lang w:eastAsia="zh-CN"/>
        </w:rPr>
        <w:t>对在执行业务中知悉的</w:t>
      </w:r>
      <w:r>
        <w:rPr>
          <w:rFonts w:hint="eastAsia" w:ascii="宋体" w:hAnsi="宋体" w:eastAsia="宋体" w:cs="宋体"/>
          <w:color w:val="auto"/>
          <w:kern w:val="2"/>
          <w:sz w:val="21"/>
          <w:szCs w:val="21"/>
          <w:highlight w:val="none"/>
          <w:lang w:val="en-US" w:eastAsia="zh-CN"/>
        </w:rPr>
        <w:t>甲方</w:t>
      </w:r>
      <w:r>
        <w:rPr>
          <w:rFonts w:hint="eastAsia" w:ascii="宋体" w:hAnsi="宋体" w:eastAsia="宋体" w:cs="宋体"/>
          <w:color w:val="auto"/>
          <w:kern w:val="2"/>
          <w:sz w:val="21"/>
          <w:szCs w:val="21"/>
          <w:highlight w:val="none"/>
          <w:lang w:eastAsia="zh-CN"/>
        </w:rPr>
        <w:t>商业秘密，负有</w:t>
      </w:r>
      <w:r>
        <w:rPr>
          <w:rFonts w:hint="eastAsia" w:ascii="宋体" w:hAnsi="宋体" w:eastAsia="宋体" w:cs="宋体"/>
          <w:color w:val="auto"/>
          <w:kern w:val="2"/>
          <w:sz w:val="21"/>
          <w:szCs w:val="21"/>
          <w:highlight w:val="none"/>
        </w:rPr>
        <w:t>保密义务</w:t>
      </w:r>
      <w:r>
        <w:rPr>
          <w:rFonts w:hint="eastAsia" w:ascii="宋体" w:hAnsi="宋体" w:eastAsia="宋体" w:cs="宋体"/>
          <w:color w:val="auto"/>
          <w:kern w:val="2"/>
          <w:sz w:val="21"/>
          <w:szCs w:val="21"/>
          <w:highlight w:val="none"/>
          <w:lang w:eastAsia="zh-CN"/>
        </w:rPr>
        <w:t>。</w:t>
      </w:r>
    </w:p>
    <w:p w14:paraId="2F4A7DCD">
      <w:pPr>
        <w:keepNext w:val="0"/>
        <w:keepLines w:val="0"/>
        <w:pageBreakBefore w:val="0"/>
        <w:widowControl/>
        <w:kinsoku/>
        <w:wordWrap/>
        <w:overflowPunct/>
        <w:topLinePunct w:val="0"/>
        <w:autoSpaceDE/>
        <w:autoSpaceDN/>
        <w:bidi w:val="0"/>
        <w:adjustRightInd w:val="0"/>
        <w:spacing w:beforeAutospacing="0" w:line="360" w:lineRule="auto"/>
        <w:ind w:left="0" w:leftChars="0" w:firstLine="422" w:firstLineChars="200"/>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7.</w:t>
      </w:r>
      <w:r>
        <w:rPr>
          <w:rFonts w:hint="eastAsia" w:ascii="宋体" w:hAnsi="宋体" w:eastAsia="宋体" w:cs="宋体"/>
          <w:b w:val="0"/>
          <w:bCs w:val="0"/>
          <w:color w:val="auto"/>
          <w:kern w:val="0"/>
          <w:sz w:val="21"/>
          <w:szCs w:val="21"/>
          <w:highlight w:val="none"/>
        </w:rPr>
        <w:t>时间要求</w:t>
      </w:r>
    </w:p>
    <w:p w14:paraId="5AA0D3EA">
      <w:pPr>
        <w:pStyle w:val="21"/>
        <w:numPr>
          <w:ilvl w:val="0"/>
          <w:numId w:val="0"/>
        </w:numPr>
        <w:spacing w:line="360" w:lineRule="auto"/>
        <w:ind w:firstLine="490" w:firstLineChars="0"/>
        <w:rPr>
          <w:rFonts w:hint="eastAsia" w:ascii="宋体" w:hAnsi="宋体" w:eastAsia="宋体" w:cs="宋体"/>
          <w:color w:val="auto"/>
          <w:highlight w:val="none"/>
        </w:rPr>
      </w:pPr>
      <w:r>
        <w:rPr>
          <w:rFonts w:hint="eastAsia" w:ascii="宋体" w:hAnsi="宋体" w:eastAsia="宋体" w:cs="宋体"/>
          <w:color w:val="auto"/>
          <w:kern w:val="2"/>
          <w:sz w:val="21"/>
          <w:szCs w:val="21"/>
          <w:highlight w:val="none"/>
          <w:lang w:val="en-US" w:eastAsia="zh-CN" w:bidi="ar-SA"/>
        </w:rPr>
        <w:t>（1）审核时限：</w:t>
      </w: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val="en-US" w:eastAsia="zh-CN"/>
        </w:rPr>
        <w:t>结算审核</w:t>
      </w:r>
      <w:r>
        <w:rPr>
          <w:rFonts w:hint="eastAsia" w:ascii="宋体" w:hAnsi="宋体" w:eastAsia="宋体" w:cs="宋体"/>
          <w:color w:val="auto"/>
          <w:sz w:val="21"/>
          <w:szCs w:val="21"/>
          <w:highlight w:val="none"/>
        </w:rPr>
        <w:t>方案，结合本工程实际，</w:t>
      </w:r>
      <w:r>
        <w:rPr>
          <w:rFonts w:hint="eastAsia" w:ascii="宋体" w:hAnsi="宋体" w:eastAsia="宋体" w:cs="宋体"/>
          <w:color w:val="auto"/>
          <w:sz w:val="21"/>
          <w:szCs w:val="21"/>
          <w:highlight w:val="none"/>
          <w:lang w:val="en-US" w:eastAsia="zh-CN"/>
        </w:rPr>
        <w:t>接收项目送审资料后</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半个月内安排各专业审核人员进行现场踏勘，</w:t>
      </w:r>
      <w:r>
        <w:rPr>
          <w:rFonts w:hint="eastAsia" w:ascii="宋体" w:hAnsi="宋体" w:eastAsia="宋体" w:cs="宋体"/>
          <w:color w:val="auto"/>
          <w:sz w:val="21"/>
          <w:szCs w:val="21"/>
          <w:highlight w:val="none"/>
        </w:rPr>
        <w:t>并</w:t>
      </w:r>
      <w:r>
        <w:rPr>
          <w:rFonts w:hint="eastAsia" w:ascii="宋体" w:hAnsi="宋体" w:eastAsia="宋体" w:cs="宋体"/>
          <w:color w:val="auto"/>
          <w:sz w:val="21"/>
          <w:szCs w:val="21"/>
          <w:highlight w:val="none"/>
          <w:lang w:val="en-US" w:eastAsia="zh-CN"/>
        </w:rPr>
        <w:t>在现场踏勘后30</w:t>
      </w:r>
      <w:r>
        <w:rPr>
          <w:rFonts w:hint="eastAsia" w:ascii="宋体" w:hAnsi="宋体" w:eastAsia="宋体" w:cs="宋体"/>
          <w:color w:val="auto"/>
          <w:sz w:val="21"/>
          <w:szCs w:val="21"/>
          <w:highlight w:val="none"/>
          <w:lang w:eastAsia="zh-CN"/>
        </w:rPr>
        <w:t>个工作日内</w:t>
      </w:r>
      <w:r>
        <w:rPr>
          <w:rFonts w:hint="eastAsia" w:ascii="宋体" w:hAnsi="宋体" w:eastAsia="宋体" w:cs="宋体"/>
          <w:color w:val="auto"/>
          <w:sz w:val="21"/>
          <w:szCs w:val="21"/>
          <w:highlight w:val="none"/>
        </w:rPr>
        <w:t>出具</w:t>
      </w:r>
      <w:r>
        <w:rPr>
          <w:rFonts w:hint="eastAsia" w:ascii="宋体" w:hAnsi="宋体" w:eastAsia="宋体" w:cs="宋体"/>
          <w:color w:val="auto"/>
          <w:sz w:val="21"/>
          <w:szCs w:val="21"/>
          <w:highlight w:val="none"/>
          <w:lang w:val="en-US" w:eastAsia="zh-CN"/>
        </w:rPr>
        <w:t>项目结算审核初稿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审核过程中，及时进行沟通反馈，提供专业意见，积极推进项目结算审核，审核</w:t>
      </w:r>
      <w:r>
        <w:rPr>
          <w:rFonts w:hint="eastAsia" w:ascii="宋体" w:hAnsi="宋体" w:eastAsia="宋体" w:cs="宋体"/>
          <w:color w:val="auto"/>
          <w:sz w:val="21"/>
          <w:szCs w:val="21"/>
          <w:highlight w:val="none"/>
        </w:rPr>
        <w:t>结束后，</w:t>
      </w:r>
      <w:r>
        <w:rPr>
          <w:rFonts w:hint="eastAsia" w:ascii="宋体" w:hAnsi="宋体" w:eastAsia="宋体" w:cs="宋体"/>
          <w:color w:val="auto"/>
          <w:sz w:val="21"/>
          <w:szCs w:val="21"/>
          <w:highlight w:val="none"/>
          <w:lang w:val="en-US" w:eastAsia="zh-CN"/>
        </w:rPr>
        <w:t>及时</w:t>
      </w:r>
      <w:r>
        <w:rPr>
          <w:rFonts w:hint="eastAsia" w:ascii="宋体" w:hAnsi="宋体" w:eastAsia="宋体" w:cs="宋体"/>
          <w:color w:val="auto"/>
          <w:sz w:val="21"/>
          <w:szCs w:val="21"/>
          <w:highlight w:val="none"/>
        </w:rPr>
        <w:t>出具</w:t>
      </w:r>
      <w:r>
        <w:rPr>
          <w:rFonts w:hint="eastAsia" w:ascii="宋体" w:hAnsi="宋体" w:eastAsia="宋体" w:cs="宋体"/>
          <w:color w:val="auto"/>
          <w:sz w:val="21"/>
          <w:szCs w:val="21"/>
          <w:highlight w:val="none"/>
          <w:lang w:val="en-US" w:eastAsia="zh-CN"/>
        </w:rPr>
        <w:t>结算审核</w:t>
      </w:r>
      <w:r>
        <w:rPr>
          <w:rFonts w:hint="eastAsia" w:ascii="宋体" w:hAnsi="宋体" w:eastAsia="宋体" w:cs="宋体"/>
          <w:color w:val="auto"/>
          <w:sz w:val="21"/>
          <w:szCs w:val="21"/>
          <w:highlight w:val="none"/>
        </w:rPr>
        <w:t>报告。</w:t>
      </w:r>
      <w:r>
        <w:rPr>
          <w:rFonts w:hint="eastAsia" w:ascii="宋体" w:hAnsi="宋体" w:eastAsia="宋体" w:cs="宋体"/>
          <w:color w:val="auto"/>
          <w:sz w:val="21"/>
          <w:szCs w:val="21"/>
          <w:highlight w:val="none"/>
          <w:lang w:val="en-US" w:eastAsia="zh-CN"/>
        </w:rPr>
        <w:t>报告格式、报告提交形式、报告份数按照甲方要求提供。</w:t>
      </w:r>
    </w:p>
    <w:p w14:paraId="1EB3781E">
      <w:pPr>
        <w:keepNext w:val="0"/>
        <w:keepLines w:val="0"/>
        <w:pageBreakBefore w:val="0"/>
        <w:widowControl/>
        <w:kinsoku/>
        <w:wordWrap/>
        <w:overflowPunct/>
        <w:topLinePunct w:val="0"/>
        <w:autoSpaceDE/>
        <w:autoSpaceDN/>
        <w:bidi w:val="0"/>
        <w:adjustRightInd w:val="0"/>
        <w:spacing w:beforeAutospacing="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如果</w:t>
      </w:r>
      <w:r>
        <w:rPr>
          <w:rFonts w:hint="eastAsia" w:ascii="宋体" w:hAnsi="宋体" w:eastAsia="宋体" w:cs="宋体"/>
          <w:color w:val="auto"/>
          <w:kern w:val="0"/>
          <w:sz w:val="21"/>
          <w:szCs w:val="21"/>
          <w:highlight w:val="none"/>
          <w:lang w:val="en-US" w:eastAsia="zh-CN"/>
        </w:rPr>
        <w:t>甲方</w:t>
      </w:r>
      <w:r>
        <w:rPr>
          <w:rFonts w:hint="eastAsia" w:ascii="宋体" w:hAnsi="宋体" w:eastAsia="宋体" w:cs="宋体"/>
          <w:color w:val="auto"/>
          <w:kern w:val="0"/>
          <w:sz w:val="21"/>
          <w:szCs w:val="21"/>
          <w:highlight w:val="none"/>
        </w:rPr>
        <w:t>提供的</w:t>
      </w:r>
      <w:r>
        <w:rPr>
          <w:rFonts w:hint="eastAsia" w:ascii="宋体" w:hAnsi="宋体" w:eastAsia="宋体" w:cs="宋体"/>
          <w:color w:val="auto"/>
          <w:kern w:val="0"/>
          <w:sz w:val="21"/>
          <w:szCs w:val="21"/>
          <w:highlight w:val="none"/>
          <w:lang w:val="en-US" w:eastAsia="zh-CN"/>
        </w:rPr>
        <w:t>送审</w:t>
      </w:r>
      <w:r>
        <w:rPr>
          <w:rFonts w:hint="eastAsia" w:ascii="宋体" w:hAnsi="宋体" w:eastAsia="宋体" w:cs="宋体"/>
          <w:color w:val="auto"/>
          <w:kern w:val="0"/>
          <w:sz w:val="21"/>
          <w:szCs w:val="21"/>
          <w:highlight w:val="none"/>
        </w:rPr>
        <w:t>资料不齐全</w:t>
      </w:r>
      <w:r>
        <w:rPr>
          <w:rFonts w:hint="eastAsia" w:ascii="宋体" w:hAnsi="宋体" w:eastAsia="宋体" w:cs="宋体"/>
          <w:color w:val="auto"/>
          <w:kern w:val="0"/>
          <w:sz w:val="21"/>
          <w:szCs w:val="21"/>
          <w:highlight w:val="none"/>
          <w:lang w:val="en-US" w:eastAsia="zh-CN"/>
        </w:rPr>
        <w:t>或存在影响结算的问题</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乙方</w:t>
      </w:r>
      <w:r>
        <w:rPr>
          <w:rFonts w:hint="eastAsia" w:ascii="宋体" w:hAnsi="宋体" w:eastAsia="宋体" w:cs="宋体"/>
          <w:color w:val="auto"/>
          <w:kern w:val="0"/>
          <w:sz w:val="21"/>
          <w:szCs w:val="21"/>
          <w:highlight w:val="none"/>
        </w:rPr>
        <w:t>应在收到资料之日起</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日内提出，否则将视首次资料移交日为工作时间的开始日。</w:t>
      </w:r>
    </w:p>
    <w:p w14:paraId="0DF5255D">
      <w:pPr>
        <w:keepNext w:val="0"/>
        <w:keepLines w:val="0"/>
        <w:pageBreakBefore w:val="0"/>
        <w:widowControl/>
        <w:kinsoku/>
        <w:overflowPunct/>
        <w:topLinePunct w:val="0"/>
        <w:bidi w:val="0"/>
        <w:adjustRightInd w:val="0"/>
        <w:spacing w:line="360" w:lineRule="auto"/>
        <w:ind w:firstLine="420" w:firstLineChars="200"/>
        <w:jc w:val="left"/>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color w:val="auto"/>
          <w:kern w:val="0"/>
          <w:sz w:val="21"/>
          <w:szCs w:val="21"/>
          <w:highlight w:val="none"/>
          <w:lang w:val="en-US" w:eastAsia="zh-CN"/>
        </w:rPr>
        <w:t>（3）乙方</w:t>
      </w:r>
      <w:r>
        <w:rPr>
          <w:rFonts w:hint="eastAsia" w:ascii="宋体" w:hAnsi="宋体" w:eastAsia="宋体" w:cs="宋体"/>
          <w:color w:val="auto"/>
          <w:kern w:val="0"/>
          <w:sz w:val="21"/>
          <w:szCs w:val="21"/>
          <w:highlight w:val="none"/>
        </w:rPr>
        <w:t>由于自身原因超出规定时间</w:t>
      </w:r>
      <w:r>
        <w:rPr>
          <w:rFonts w:hint="eastAsia" w:ascii="宋体" w:hAnsi="宋体" w:eastAsia="宋体" w:cs="宋体"/>
          <w:color w:val="auto"/>
          <w:kern w:val="0"/>
          <w:sz w:val="21"/>
          <w:szCs w:val="21"/>
          <w:highlight w:val="none"/>
          <w:lang w:val="en-US" w:eastAsia="zh-CN"/>
        </w:rPr>
        <w:t>未能按时</w:t>
      </w:r>
      <w:r>
        <w:rPr>
          <w:rFonts w:hint="eastAsia" w:ascii="宋体" w:hAnsi="宋体" w:eastAsia="宋体" w:cs="宋体"/>
          <w:color w:val="auto"/>
          <w:kern w:val="0"/>
          <w:sz w:val="21"/>
          <w:szCs w:val="21"/>
          <w:highlight w:val="none"/>
        </w:rPr>
        <w:t>出具</w:t>
      </w:r>
      <w:r>
        <w:rPr>
          <w:rFonts w:hint="eastAsia" w:ascii="宋体" w:hAnsi="宋体" w:eastAsia="宋体" w:cs="宋体"/>
          <w:color w:val="auto"/>
          <w:kern w:val="0"/>
          <w:sz w:val="21"/>
          <w:szCs w:val="21"/>
          <w:highlight w:val="none"/>
          <w:lang w:val="en-US" w:eastAsia="zh-CN"/>
        </w:rPr>
        <w:t>项目结算审核初稿</w:t>
      </w:r>
      <w:r>
        <w:rPr>
          <w:rFonts w:hint="eastAsia" w:ascii="宋体" w:hAnsi="宋体" w:eastAsia="宋体" w:cs="宋体"/>
          <w:color w:val="auto"/>
          <w:kern w:val="0"/>
          <w:sz w:val="21"/>
          <w:szCs w:val="21"/>
          <w:highlight w:val="none"/>
        </w:rPr>
        <w:t>的</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按500元/</w:t>
      </w:r>
      <w:r>
        <w:rPr>
          <w:rFonts w:hint="eastAsia" w:ascii="宋体" w:hAnsi="宋体" w:eastAsia="宋体" w:cs="宋体"/>
          <w:color w:val="auto"/>
          <w:kern w:val="0"/>
          <w:sz w:val="21"/>
          <w:szCs w:val="21"/>
          <w:highlight w:val="none"/>
          <w:lang w:val="en-US" w:eastAsia="zh-CN"/>
        </w:rPr>
        <w:t>天</w:t>
      </w:r>
      <w:r>
        <w:rPr>
          <w:rFonts w:hint="eastAsia" w:ascii="宋体" w:hAnsi="宋体" w:eastAsia="宋体" w:cs="宋体"/>
          <w:color w:val="auto"/>
          <w:kern w:val="0"/>
          <w:sz w:val="21"/>
          <w:szCs w:val="21"/>
          <w:highlight w:val="none"/>
        </w:rPr>
        <w:t>扣罚，情节严重的</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甲方</w:t>
      </w:r>
      <w:r>
        <w:rPr>
          <w:rFonts w:hint="eastAsia" w:ascii="宋体" w:hAnsi="宋体" w:eastAsia="宋体" w:cs="宋体"/>
          <w:color w:val="auto"/>
          <w:kern w:val="0"/>
          <w:sz w:val="21"/>
          <w:szCs w:val="21"/>
          <w:highlight w:val="none"/>
        </w:rPr>
        <w:t>有权终止合同并索赔损失。</w:t>
      </w:r>
    </w:p>
    <w:p w14:paraId="38C02772">
      <w:pPr>
        <w:keepNext w:val="0"/>
        <w:keepLines w:val="0"/>
        <w:pageBreakBefore w:val="0"/>
        <w:kinsoku/>
        <w:overflowPunct/>
        <w:topLinePunct w:val="0"/>
        <w:bidi w:val="0"/>
        <w:spacing w:line="440" w:lineRule="exact"/>
        <w:ind w:firstLine="422" w:firstLineChars="200"/>
        <w:jc w:val="both"/>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第三条 签约双方的权利和义务</w:t>
      </w:r>
    </w:p>
    <w:p w14:paraId="331C6D10">
      <w:pPr>
        <w:keepNext w:val="0"/>
        <w:keepLines w:val="0"/>
        <w:pageBreakBefore w:val="0"/>
        <w:kinsoku/>
        <w:overflowPunct/>
        <w:topLinePunct w:val="0"/>
        <w:bidi w:val="0"/>
        <w:spacing w:line="440" w:lineRule="exact"/>
        <w:ind w:firstLine="422" w:firstLineChars="200"/>
        <w:jc w:val="both"/>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（一）甲方的权利和义务</w:t>
      </w:r>
    </w:p>
    <w:p w14:paraId="114DFDA5">
      <w:pPr>
        <w:keepNext w:val="0"/>
        <w:keepLines w:val="0"/>
        <w:pageBreakBefore w:val="0"/>
        <w:kinsoku/>
        <w:overflowPunct/>
        <w:topLinePunct w:val="0"/>
        <w:bidi w:val="0"/>
        <w:spacing w:line="440" w:lineRule="exact"/>
        <w:ind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1.确定审计目的和具体要求；</w:t>
      </w:r>
    </w:p>
    <w:p w14:paraId="5BF63363">
      <w:pPr>
        <w:keepNext w:val="0"/>
        <w:keepLines w:val="0"/>
        <w:pageBreakBefore w:val="0"/>
        <w:kinsoku/>
        <w:overflowPunct/>
        <w:topLinePunct w:val="0"/>
        <w:bidi w:val="0"/>
        <w:spacing w:line="440" w:lineRule="exact"/>
        <w:ind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对乙方审计工作质量进行检查，如甲方认为乙方的工作不符合质量标准或相关法律法规规定及甲方要求的，甲方有权要求乙方立即进行改正，如乙方拒不改正的，甲方有权单方面解除本合同，并要求乙方承担人民币</w:t>
      </w:r>
      <w:r>
        <w:rPr>
          <w:rFonts w:hint="eastAsia" w:ascii="宋体" w:hAnsi="宋体" w:eastAsia="宋体" w:cs="宋体"/>
          <w:color w:val="auto"/>
          <w:szCs w:val="21"/>
          <w:highlight w:val="none"/>
          <w:u w:val="single"/>
          <w:lang w:val="en-US" w:eastAsia="zh-CN"/>
        </w:rPr>
        <w:t>叁</w:t>
      </w:r>
      <w:r>
        <w:rPr>
          <w:rFonts w:hint="eastAsia" w:ascii="宋体" w:hAnsi="宋体" w:eastAsia="宋体" w:cs="宋体"/>
          <w:color w:val="auto"/>
          <w:szCs w:val="21"/>
          <w:highlight w:val="none"/>
          <w:u w:val="single"/>
        </w:rPr>
        <w:t>万元</w:t>
      </w:r>
      <w:r>
        <w:rPr>
          <w:rFonts w:hint="eastAsia" w:ascii="宋体" w:hAnsi="宋体" w:eastAsia="宋体" w:cs="宋体"/>
          <w:color w:val="auto"/>
          <w:szCs w:val="21"/>
          <w:highlight w:val="none"/>
        </w:rPr>
        <w:t>的违约金，如违约金不足以弥补甲方损失的，乙方应另行赔偿；</w:t>
      </w:r>
    </w:p>
    <w:p w14:paraId="28C7BF76">
      <w:pPr>
        <w:keepNext w:val="0"/>
        <w:keepLines w:val="0"/>
        <w:pageBreakBefore w:val="0"/>
        <w:kinsoku/>
        <w:overflowPunct/>
        <w:topLinePunct w:val="0"/>
        <w:bidi w:val="0"/>
        <w:spacing w:line="440" w:lineRule="exact"/>
        <w:ind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3.对</w:t>
      </w:r>
      <w:r>
        <w:rPr>
          <w:rFonts w:hint="eastAsia" w:ascii="宋体" w:hAnsi="宋体" w:eastAsia="宋体" w:cs="宋体"/>
          <w:color w:val="auto"/>
          <w:szCs w:val="21"/>
          <w:highlight w:val="none"/>
          <w:u w:val="single"/>
        </w:rPr>
        <w:t>浙江理工大学钱塘校区教育教学用房及设施提升改造项目</w:t>
      </w:r>
      <w:r>
        <w:rPr>
          <w:rFonts w:hint="eastAsia" w:ascii="宋体" w:hAnsi="宋体" w:eastAsia="宋体" w:cs="宋体"/>
          <w:color w:val="auto"/>
          <w:sz w:val="21"/>
          <w:szCs w:val="21"/>
          <w:highlight w:val="none"/>
          <w:u w:val="single"/>
          <w:lang w:eastAsia="zh-CN"/>
        </w:rPr>
        <w:t>工程结算审核造价咨询服务</w:t>
      </w:r>
      <w:r>
        <w:rPr>
          <w:rFonts w:hint="eastAsia" w:ascii="宋体" w:hAnsi="宋体" w:eastAsia="宋体" w:cs="宋体"/>
          <w:color w:val="auto"/>
          <w:szCs w:val="21"/>
          <w:highlight w:val="none"/>
        </w:rPr>
        <w:t>报告进行审核，如经甲方审核发现乙方提供的审计报告存在不符合相关事实、法律的情况或存在侵犯相关方（包括但不限于甲方）合法权益的内容，则甲方有权视情节严重程度要求乙方立即进行改正或单方解除本合同；如甲方单方解除本合同的，有权要求乙方承担人民币</w:t>
      </w:r>
      <w:r>
        <w:rPr>
          <w:rFonts w:hint="eastAsia" w:ascii="宋体" w:hAnsi="宋体" w:eastAsia="宋体" w:cs="宋体"/>
          <w:color w:val="auto"/>
          <w:szCs w:val="21"/>
          <w:highlight w:val="none"/>
          <w:u w:val="single"/>
          <w:lang w:val="en-US" w:eastAsia="zh-CN"/>
        </w:rPr>
        <w:t>叁</w:t>
      </w:r>
      <w:r>
        <w:rPr>
          <w:rFonts w:hint="eastAsia" w:ascii="宋体" w:hAnsi="宋体" w:eastAsia="宋体" w:cs="宋体"/>
          <w:color w:val="auto"/>
          <w:szCs w:val="21"/>
          <w:highlight w:val="none"/>
          <w:u w:val="single"/>
        </w:rPr>
        <w:t>万元</w:t>
      </w:r>
      <w:r>
        <w:rPr>
          <w:rFonts w:hint="eastAsia" w:ascii="宋体" w:hAnsi="宋体" w:eastAsia="宋体" w:cs="宋体"/>
          <w:color w:val="auto"/>
          <w:szCs w:val="21"/>
          <w:highlight w:val="none"/>
        </w:rPr>
        <w:t>的违约金，如违约金不足以弥补甲方损失的，乙方应另行赔偿；甲方的审核并不免除乙方对审计报告应承担的保证责任；</w:t>
      </w:r>
    </w:p>
    <w:p w14:paraId="584F5B21">
      <w:pPr>
        <w:keepNext w:val="0"/>
        <w:keepLines w:val="0"/>
        <w:pageBreakBefore w:val="0"/>
        <w:kinsoku/>
        <w:overflowPunct/>
        <w:topLinePunct w:val="0"/>
        <w:bidi w:val="0"/>
        <w:spacing w:line="440" w:lineRule="exact"/>
        <w:ind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4.在乙方完全履行本合同义务并无任何违约行为的情况下，按合同规定支付审计费用给乙方。</w:t>
      </w:r>
    </w:p>
    <w:p w14:paraId="74416F1A">
      <w:pPr>
        <w:keepNext w:val="0"/>
        <w:keepLines w:val="0"/>
        <w:pageBreakBefore w:val="0"/>
        <w:kinsoku/>
        <w:overflowPunct/>
        <w:topLinePunct w:val="0"/>
        <w:bidi w:val="0"/>
        <w:spacing w:line="440" w:lineRule="exact"/>
        <w:ind w:firstLine="422" w:firstLineChars="200"/>
        <w:jc w:val="both"/>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（二）乙方的权利和义务</w:t>
      </w:r>
    </w:p>
    <w:p w14:paraId="2C2B91FD">
      <w:pPr>
        <w:pStyle w:val="20"/>
        <w:keepNext w:val="0"/>
        <w:keepLines w:val="0"/>
        <w:pageBreakBefore w:val="0"/>
        <w:kinsoku/>
        <w:overflowPunct/>
        <w:topLinePunct w:val="0"/>
        <w:bidi w:val="0"/>
        <w:spacing w:line="440" w:lineRule="exact"/>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1.项目咨询团队及人员</w:t>
      </w:r>
    </w:p>
    <w:p w14:paraId="542F5F04">
      <w:pPr>
        <w:pStyle w:val="109"/>
        <w:keepNext w:val="0"/>
        <w:keepLines w:val="0"/>
        <w:pageBreakBefore w:val="0"/>
        <w:kinsoku/>
        <w:overflowPunct/>
        <w:topLinePunct w:val="0"/>
        <w:bidi w:val="0"/>
        <w:spacing w:line="440" w:lineRule="exact"/>
        <w:ind w:left="0" w:leftChars="0" w:firstLine="420" w:firstLineChars="200"/>
        <w:textAlignment w:val="auto"/>
        <w:rPr>
          <w:rFonts w:hint="eastAsia" w:ascii="宋体" w:hAnsi="宋体" w:eastAsia="宋体" w:cs="宋体"/>
          <w:color w:val="auto"/>
          <w:szCs w:val="21"/>
          <w:highlight w:val="none"/>
          <w:u w:val="none"/>
          <w:lang w:val="en-US" w:eastAsia="zh-CN"/>
        </w:rPr>
      </w:pPr>
      <w:r>
        <w:rPr>
          <w:rFonts w:hint="eastAsia" w:ascii="宋体" w:hAnsi="宋体" w:eastAsia="宋体" w:cs="宋体"/>
          <w:color w:val="auto"/>
          <w:szCs w:val="21"/>
          <w:highlight w:val="none"/>
          <w:lang w:val="en-US" w:eastAsia="zh-CN"/>
        </w:rPr>
        <w:t>1.1 项目咨询团队成员应具有二级及以上造价工程师资格证书，团队人员数量为</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none"/>
          <w:lang w:val="en-US" w:eastAsia="zh-CN"/>
        </w:rPr>
        <w:t>人,团队人员资质、专业、职称等情况如下：</w:t>
      </w:r>
    </w:p>
    <w:tbl>
      <w:tblPr>
        <w:tblStyle w:val="47"/>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2"/>
        <w:gridCol w:w="1440"/>
        <w:gridCol w:w="1905"/>
        <w:gridCol w:w="1335"/>
        <w:gridCol w:w="2675"/>
      </w:tblGrid>
      <w:tr w14:paraId="761F7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82" w:type="dxa"/>
            <w:vAlign w:val="center"/>
          </w:tcPr>
          <w:p w14:paraId="1B83C151">
            <w:pPr>
              <w:pStyle w:val="109"/>
              <w:keepNext w:val="0"/>
              <w:keepLines w:val="0"/>
              <w:widowControl w:val="0"/>
              <w:suppressLineNumbers w:val="0"/>
              <w:snapToGrid w:val="0"/>
              <w:spacing w:before="0" w:beforeAutospacing="0" w:after="0" w:afterAutospacing="0" w:line="240" w:lineRule="auto"/>
              <w:ind w:left="0" w:leftChars="0" w:right="0"/>
              <w:jc w:val="center"/>
              <w:rPr>
                <w:rFonts w:hint="eastAsia" w:ascii="宋体" w:hAnsi="宋体" w:eastAsia="宋体" w:cs="宋体"/>
                <w:color w:val="auto"/>
                <w:sz w:val="21"/>
                <w:szCs w:val="21"/>
                <w:highlight w:val="none"/>
                <w:u w:val="none"/>
                <w:vertAlign w:val="baseline"/>
                <w:lang w:val="en-US" w:eastAsia="zh-CN" w:bidi="ar-SA"/>
              </w:rPr>
            </w:pPr>
            <w:r>
              <w:rPr>
                <w:rFonts w:hint="eastAsia" w:ascii="宋体" w:hAnsi="宋体" w:eastAsia="宋体" w:cs="宋体"/>
                <w:color w:val="auto"/>
                <w:szCs w:val="21"/>
                <w:highlight w:val="none"/>
                <w:u w:val="none"/>
                <w:vertAlign w:val="baseline"/>
                <w:lang w:val="en-US" w:eastAsia="zh-CN"/>
              </w:rPr>
              <w:t>人员姓名</w:t>
            </w:r>
          </w:p>
        </w:tc>
        <w:tc>
          <w:tcPr>
            <w:tcW w:w="1440" w:type="dxa"/>
            <w:vAlign w:val="center"/>
          </w:tcPr>
          <w:p w14:paraId="1EC472F6">
            <w:pPr>
              <w:pStyle w:val="109"/>
              <w:keepNext w:val="0"/>
              <w:keepLines w:val="0"/>
              <w:widowControl w:val="0"/>
              <w:suppressLineNumbers w:val="0"/>
              <w:snapToGrid w:val="0"/>
              <w:spacing w:before="0" w:beforeAutospacing="0" w:after="0" w:afterAutospacing="0" w:line="240" w:lineRule="auto"/>
              <w:ind w:left="0" w:leftChars="0" w:right="0"/>
              <w:jc w:val="center"/>
              <w:rPr>
                <w:rFonts w:hint="eastAsia" w:ascii="宋体" w:hAnsi="宋体" w:eastAsia="宋体" w:cs="宋体"/>
                <w:color w:val="auto"/>
                <w:sz w:val="21"/>
                <w:szCs w:val="21"/>
                <w:highlight w:val="none"/>
                <w:u w:val="none"/>
                <w:vertAlign w:val="baseline"/>
                <w:lang w:val="en-US" w:eastAsia="zh-CN" w:bidi="ar-SA"/>
              </w:rPr>
            </w:pPr>
            <w:r>
              <w:rPr>
                <w:rFonts w:hint="eastAsia" w:ascii="宋体" w:hAnsi="宋体" w:eastAsia="宋体" w:cs="宋体"/>
                <w:color w:val="auto"/>
                <w:szCs w:val="21"/>
                <w:highlight w:val="none"/>
                <w:u w:val="none"/>
                <w:vertAlign w:val="baseline"/>
                <w:lang w:val="en-US" w:eastAsia="zh-CN"/>
              </w:rPr>
              <w:t>专业</w:t>
            </w:r>
          </w:p>
        </w:tc>
        <w:tc>
          <w:tcPr>
            <w:tcW w:w="1905" w:type="dxa"/>
            <w:vAlign w:val="center"/>
          </w:tcPr>
          <w:p w14:paraId="1FC65CFA">
            <w:pPr>
              <w:pStyle w:val="109"/>
              <w:keepNext w:val="0"/>
              <w:keepLines w:val="0"/>
              <w:widowControl w:val="0"/>
              <w:suppressLineNumbers w:val="0"/>
              <w:snapToGrid w:val="0"/>
              <w:spacing w:before="0" w:beforeAutospacing="0" w:after="0" w:afterAutospacing="0" w:line="240" w:lineRule="auto"/>
              <w:ind w:left="0" w:leftChars="0" w:right="0"/>
              <w:jc w:val="center"/>
              <w:rPr>
                <w:rFonts w:hint="eastAsia" w:ascii="宋体" w:hAnsi="宋体" w:eastAsia="宋体" w:cs="宋体"/>
                <w:color w:val="auto"/>
                <w:sz w:val="21"/>
                <w:szCs w:val="21"/>
                <w:highlight w:val="none"/>
                <w:u w:val="none"/>
                <w:vertAlign w:val="baseline"/>
                <w:lang w:val="en-US" w:eastAsia="zh-CN" w:bidi="ar-SA"/>
              </w:rPr>
            </w:pPr>
            <w:r>
              <w:rPr>
                <w:rFonts w:hint="eastAsia" w:ascii="宋体" w:hAnsi="宋体" w:eastAsia="宋体" w:cs="宋体"/>
                <w:color w:val="auto"/>
                <w:szCs w:val="21"/>
                <w:highlight w:val="none"/>
                <w:u w:val="none"/>
                <w:vertAlign w:val="baseline"/>
                <w:lang w:val="en-US" w:eastAsia="zh-CN"/>
              </w:rPr>
              <w:t>职业资格及等级</w:t>
            </w:r>
          </w:p>
        </w:tc>
        <w:tc>
          <w:tcPr>
            <w:tcW w:w="1335" w:type="dxa"/>
            <w:vAlign w:val="center"/>
          </w:tcPr>
          <w:p w14:paraId="74320F33">
            <w:pPr>
              <w:pStyle w:val="109"/>
              <w:keepNext w:val="0"/>
              <w:keepLines w:val="0"/>
              <w:widowControl w:val="0"/>
              <w:suppressLineNumbers w:val="0"/>
              <w:snapToGrid w:val="0"/>
              <w:spacing w:before="0" w:beforeAutospacing="0" w:after="0" w:afterAutospacing="0" w:line="240" w:lineRule="auto"/>
              <w:ind w:left="0" w:leftChars="0" w:right="0"/>
              <w:jc w:val="center"/>
              <w:rPr>
                <w:rFonts w:hint="eastAsia" w:ascii="宋体" w:hAnsi="宋体" w:eastAsia="宋体" w:cs="宋体"/>
                <w:color w:val="auto"/>
                <w:sz w:val="21"/>
                <w:szCs w:val="21"/>
                <w:highlight w:val="none"/>
                <w:u w:val="none"/>
                <w:vertAlign w:val="baseline"/>
                <w:lang w:val="en-US" w:eastAsia="zh-CN" w:bidi="ar-SA"/>
              </w:rPr>
            </w:pPr>
            <w:r>
              <w:rPr>
                <w:rFonts w:hint="eastAsia" w:ascii="宋体" w:hAnsi="宋体" w:eastAsia="宋体" w:cs="宋体"/>
                <w:color w:val="auto"/>
                <w:szCs w:val="21"/>
                <w:highlight w:val="none"/>
                <w:u w:val="none"/>
                <w:vertAlign w:val="baseline"/>
                <w:lang w:val="en-US" w:eastAsia="zh-CN"/>
              </w:rPr>
              <w:t>职称</w:t>
            </w:r>
          </w:p>
        </w:tc>
        <w:tc>
          <w:tcPr>
            <w:tcW w:w="2675" w:type="dxa"/>
            <w:vAlign w:val="center"/>
          </w:tcPr>
          <w:p w14:paraId="1E2A5230">
            <w:pPr>
              <w:pStyle w:val="109"/>
              <w:keepNext w:val="0"/>
              <w:keepLines w:val="0"/>
              <w:widowControl w:val="0"/>
              <w:suppressLineNumbers w:val="0"/>
              <w:snapToGrid w:val="0"/>
              <w:spacing w:before="0" w:beforeAutospacing="0" w:after="0" w:afterAutospacing="0" w:line="240" w:lineRule="auto"/>
              <w:ind w:left="0" w:leftChars="0" w:right="0"/>
              <w:jc w:val="center"/>
              <w:rPr>
                <w:rFonts w:hint="eastAsia" w:ascii="宋体" w:hAnsi="宋体" w:eastAsia="宋体" w:cs="宋体"/>
                <w:color w:val="auto"/>
                <w:sz w:val="21"/>
                <w:szCs w:val="21"/>
                <w:highlight w:val="none"/>
                <w:u w:val="none"/>
                <w:vertAlign w:val="baseline"/>
                <w:lang w:val="en-US" w:eastAsia="zh-CN" w:bidi="ar-SA"/>
              </w:rPr>
            </w:pPr>
            <w:r>
              <w:rPr>
                <w:rFonts w:hint="eastAsia" w:ascii="宋体" w:hAnsi="宋体" w:eastAsia="宋体" w:cs="宋体"/>
                <w:color w:val="auto"/>
                <w:szCs w:val="21"/>
                <w:highlight w:val="none"/>
                <w:u w:val="none"/>
                <w:vertAlign w:val="baseline"/>
                <w:lang w:val="en-US" w:eastAsia="zh-CN"/>
              </w:rPr>
              <w:t>工作职责</w:t>
            </w:r>
          </w:p>
        </w:tc>
      </w:tr>
      <w:tr w14:paraId="7D0AD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82" w:type="dxa"/>
            <w:vAlign w:val="center"/>
          </w:tcPr>
          <w:p w14:paraId="03C177DD">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u w:val="none"/>
                <w:vertAlign w:val="baseline"/>
                <w:lang w:val="en-US" w:eastAsia="zh-CN"/>
              </w:rPr>
            </w:pPr>
          </w:p>
        </w:tc>
        <w:tc>
          <w:tcPr>
            <w:tcW w:w="1440" w:type="dxa"/>
            <w:vAlign w:val="center"/>
          </w:tcPr>
          <w:p w14:paraId="03F3ADA4">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u w:val="none"/>
                <w:vertAlign w:val="baseline"/>
                <w:lang w:val="en-US" w:eastAsia="zh-CN"/>
              </w:rPr>
            </w:pPr>
          </w:p>
        </w:tc>
        <w:tc>
          <w:tcPr>
            <w:tcW w:w="1905" w:type="dxa"/>
            <w:vAlign w:val="center"/>
          </w:tcPr>
          <w:p w14:paraId="312D87F9">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u w:val="none"/>
                <w:vertAlign w:val="baseline"/>
                <w:lang w:val="en-US" w:eastAsia="zh-CN"/>
              </w:rPr>
            </w:pPr>
          </w:p>
        </w:tc>
        <w:tc>
          <w:tcPr>
            <w:tcW w:w="1335" w:type="dxa"/>
            <w:vAlign w:val="center"/>
          </w:tcPr>
          <w:p w14:paraId="0619D3E3">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u w:val="none"/>
                <w:vertAlign w:val="baseline"/>
                <w:lang w:val="en-US" w:eastAsia="zh-CN"/>
              </w:rPr>
            </w:pPr>
          </w:p>
        </w:tc>
        <w:tc>
          <w:tcPr>
            <w:tcW w:w="2675" w:type="dxa"/>
            <w:vAlign w:val="center"/>
          </w:tcPr>
          <w:p w14:paraId="55D7D25E">
            <w:pPr>
              <w:keepNext w:val="0"/>
              <w:keepLines w:val="0"/>
              <w:widowControl w:val="0"/>
              <w:suppressLineNumbers w:val="0"/>
              <w:snapToGrid w:val="0"/>
              <w:spacing w:before="0" w:beforeAutospacing="0" w:after="0" w:afterAutospacing="0"/>
              <w:ind w:left="0" w:leftChars="0" w:right="0" w:rightChars="0"/>
              <w:jc w:val="center"/>
              <w:rPr>
                <w:rFonts w:hint="eastAsia" w:ascii="宋体" w:hAnsi="宋体" w:eastAsia="宋体" w:cs="宋体"/>
                <w:color w:val="auto"/>
                <w:szCs w:val="21"/>
                <w:highlight w:val="none"/>
                <w:u w:val="none"/>
                <w:vertAlign w:val="baseline"/>
                <w:lang w:val="en-US" w:eastAsia="zh-CN"/>
              </w:rPr>
            </w:pPr>
          </w:p>
        </w:tc>
      </w:tr>
      <w:tr w14:paraId="64C73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82" w:type="dxa"/>
            <w:vAlign w:val="center"/>
          </w:tcPr>
          <w:p w14:paraId="6962C899">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u w:val="none"/>
                <w:vertAlign w:val="baseline"/>
                <w:lang w:val="en-US" w:eastAsia="zh-CN"/>
              </w:rPr>
            </w:pPr>
          </w:p>
        </w:tc>
        <w:tc>
          <w:tcPr>
            <w:tcW w:w="1440" w:type="dxa"/>
            <w:vAlign w:val="center"/>
          </w:tcPr>
          <w:p w14:paraId="2515A4B1">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u w:val="none"/>
                <w:vertAlign w:val="baseline"/>
                <w:lang w:val="en-US" w:eastAsia="zh-CN"/>
              </w:rPr>
            </w:pPr>
          </w:p>
        </w:tc>
        <w:tc>
          <w:tcPr>
            <w:tcW w:w="1905" w:type="dxa"/>
            <w:vAlign w:val="center"/>
          </w:tcPr>
          <w:p w14:paraId="0BBDBDA2">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u w:val="none"/>
                <w:vertAlign w:val="baseline"/>
                <w:lang w:val="en-US" w:eastAsia="zh-CN"/>
              </w:rPr>
            </w:pPr>
          </w:p>
        </w:tc>
        <w:tc>
          <w:tcPr>
            <w:tcW w:w="1335" w:type="dxa"/>
            <w:vAlign w:val="center"/>
          </w:tcPr>
          <w:p w14:paraId="275DCDE8">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u w:val="none"/>
                <w:vertAlign w:val="baseline"/>
                <w:lang w:val="en-US" w:eastAsia="zh-CN"/>
              </w:rPr>
            </w:pPr>
          </w:p>
        </w:tc>
        <w:tc>
          <w:tcPr>
            <w:tcW w:w="2675" w:type="dxa"/>
            <w:vAlign w:val="center"/>
          </w:tcPr>
          <w:p w14:paraId="64ED1CB1">
            <w:pPr>
              <w:keepNext w:val="0"/>
              <w:keepLines w:val="0"/>
              <w:widowControl w:val="0"/>
              <w:suppressLineNumbers w:val="0"/>
              <w:snapToGrid w:val="0"/>
              <w:spacing w:before="0" w:beforeAutospacing="0" w:after="0" w:afterAutospacing="0"/>
              <w:ind w:left="0" w:leftChars="0" w:right="0" w:rightChars="0"/>
              <w:jc w:val="center"/>
              <w:rPr>
                <w:rFonts w:hint="eastAsia" w:ascii="宋体" w:hAnsi="宋体" w:eastAsia="宋体" w:cs="宋体"/>
                <w:color w:val="auto"/>
                <w:szCs w:val="21"/>
                <w:highlight w:val="none"/>
                <w:u w:val="none"/>
                <w:vertAlign w:val="baseline"/>
                <w:lang w:val="en-US" w:eastAsia="zh-CN"/>
              </w:rPr>
            </w:pPr>
          </w:p>
        </w:tc>
      </w:tr>
      <w:tr w14:paraId="637C8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82" w:type="dxa"/>
            <w:vAlign w:val="center"/>
          </w:tcPr>
          <w:p w14:paraId="3C869CFC">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u w:val="none"/>
                <w:vertAlign w:val="baseline"/>
                <w:lang w:val="en-US" w:eastAsia="zh-CN"/>
              </w:rPr>
            </w:pPr>
          </w:p>
        </w:tc>
        <w:tc>
          <w:tcPr>
            <w:tcW w:w="1440" w:type="dxa"/>
            <w:vAlign w:val="center"/>
          </w:tcPr>
          <w:p w14:paraId="56EB6E15">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u w:val="none"/>
                <w:vertAlign w:val="baseline"/>
                <w:lang w:val="en-US" w:eastAsia="zh-CN"/>
              </w:rPr>
            </w:pPr>
          </w:p>
        </w:tc>
        <w:tc>
          <w:tcPr>
            <w:tcW w:w="1905" w:type="dxa"/>
            <w:vAlign w:val="center"/>
          </w:tcPr>
          <w:p w14:paraId="62EA09B0">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u w:val="none"/>
                <w:vertAlign w:val="baseline"/>
                <w:lang w:val="en-US" w:eastAsia="zh-CN"/>
              </w:rPr>
            </w:pPr>
          </w:p>
        </w:tc>
        <w:tc>
          <w:tcPr>
            <w:tcW w:w="1335" w:type="dxa"/>
            <w:vAlign w:val="center"/>
          </w:tcPr>
          <w:p w14:paraId="33F1D048">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u w:val="none"/>
                <w:vertAlign w:val="baseline"/>
                <w:lang w:val="en-US" w:eastAsia="zh-CN"/>
              </w:rPr>
            </w:pPr>
          </w:p>
        </w:tc>
        <w:tc>
          <w:tcPr>
            <w:tcW w:w="2675" w:type="dxa"/>
            <w:vAlign w:val="center"/>
          </w:tcPr>
          <w:p w14:paraId="725ABE91">
            <w:pPr>
              <w:keepNext w:val="0"/>
              <w:keepLines w:val="0"/>
              <w:widowControl w:val="0"/>
              <w:suppressLineNumbers w:val="0"/>
              <w:snapToGrid w:val="0"/>
              <w:spacing w:before="0" w:beforeAutospacing="0" w:after="0" w:afterAutospacing="0"/>
              <w:ind w:left="0" w:leftChars="0" w:right="0" w:rightChars="0"/>
              <w:jc w:val="center"/>
              <w:rPr>
                <w:rFonts w:hint="eastAsia" w:ascii="宋体" w:hAnsi="宋体" w:eastAsia="宋体" w:cs="宋体"/>
                <w:color w:val="auto"/>
                <w:szCs w:val="21"/>
                <w:highlight w:val="none"/>
                <w:u w:val="none"/>
                <w:vertAlign w:val="baseline"/>
                <w:lang w:val="en-US" w:eastAsia="zh-CN"/>
              </w:rPr>
            </w:pPr>
          </w:p>
        </w:tc>
      </w:tr>
      <w:tr w14:paraId="2D6DD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82" w:type="dxa"/>
            <w:vAlign w:val="center"/>
          </w:tcPr>
          <w:p w14:paraId="7EF083C4">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u w:val="none"/>
                <w:vertAlign w:val="baseline"/>
                <w:lang w:val="en-US" w:eastAsia="zh-CN"/>
              </w:rPr>
            </w:pPr>
          </w:p>
        </w:tc>
        <w:tc>
          <w:tcPr>
            <w:tcW w:w="1440" w:type="dxa"/>
            <w:vAlign w:val="center"/>
          </w:tcPr>
          <w:p w14:paraId="0B6C25E6">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u w:val="none"/>
                <w:vertAlign w:val="baseline"/>
                <w:lang w:val="en-US" w:eastAsia="zh-CN"/>
              </w:rPr>
            </w:pPr>
          </w:p>
        </w:tc>
        <w:tc>
          <w:tcPr>
            <w:tcW w:w="1905" w:type="dxa"/>
            <w:vAlign w:val="center"/>
          </w:tcPr>
          <w:p w14:paraId="56C4894A">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u w:val="none"/>
                <w:vertAlign w:val="baseline"/>
                <w:lang w:val="en-US" w:eastAsia="zh-CN"/>
              </w:rPr>
            </w:pPr>
          </w:p>
        </w:tc>
        <w:tc>
          <w:tcPr>
            <w:tcW w:w="1335" w:type="dxa"/>
            <w:vAlign w:val="center"/>
          </w:tcPr>
          <w:p w14:paraId="550881A4">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u w:val="none"/>
                <w:vertAlign w:val="baseline"/>
                <w:lang w:val="en-US" w:eastAsia="zh-CN"/>
              </w:rPr>
            </w:pPr>
          </w:p>
        </w:tc>
        <w:tc>
          <w:tcPr>
            <w:tcW w:w="2675" w:type="dxa"/>
            <w:vAlign w:val="center"/>
          </w:tcPr>
          <w:p w14:paraId="724FF5D2">
            <w:pPr>
              <w:keepNext w:val="0"/>
              <w:keepLines w:val="0"/>
              <w:widowControl w:val="0"/>
              <w:suppressLineNumbers w:val="0"/>
              <w:snapToGrid w:val="0"/>
              <w:spacing w:before="0" w:beforeAutospacing="0" w:after="0" w:afterAutospacing="0"/>
              <w:ind w:left="0" w:leftChars="0" w:right="0" w:rightChars="0"/>
              <w:jc w:val="center"/>
              <w:rPr>
                <w:rFonts w:hint="eastAsia" w:ascii="宋体" w:hAnsi="宋体" w:eastAsia="宋体" w:cs="宋体"/>
                <w:color w:val="auto"/>
                <w:szCs w:val="21"/>
                <w:highlight w:val="none"/>
                <w:u w:val="none"/>
                <w:vertAlign w:val="baseline"/>
                <w:lang w:val="en-US" w:eastAsia="zh-CN"/>
              </w:rPr>
            </w:pPr>
          </w:p>
        </w:tc>
      </w:tr>
      <w:tr w14:paraId="3CCA6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82" w:type="dxa"/>
            <w:vAlign w:val="center"/>
          </w:tcPr>
          <w:p w14:paraId="3BB5D7BB">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u w:val="none"/>
                <w:vertAlign w:val="baseline"/>
                <w:lang w:val="en-US" w:eastAsia="zh-CN"/>
              </w:rPr>
            </w:pPr>
          </w:p>
        </w:tc>
        <w:tc>
          <w:tcPr>
            <w:tcW w:w="1440" w:type="dxa"/>
            <w:vAlign w:val="center"/>
          </w:tcPr>
          <w:p w14:paraId="29B10AFB">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u w:val="none"/>
                <w:vertAlign w:val="baseline"/>
                <w:lang w:val="en-US" w:eastAsia="zh-CN"/>
              </w:rPr>
            </w:pPr>
          </w:p>
        </w:tc>
        <w:tc>
          <w:tcPr>
            <w:tcW w:w="1905" w:type="dxa"/>
            <w:vAlign w:val="center"/>
          </w:tcPr>
          <w:p w14:paraId="6FB98B59">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u w:val="none"/>
                <w:vertAlign w:val="baseline"/>
                <w:lang w:val="en-US" w:eastAsia="zh-CN"/>
              </w:rPr>
            </w:pPr>
          </w:p>
        </w:tc>
        <w:tc>
          <w:tcPr>
            <w:tcW w:w="1335" w:type="dxa"/>
            <w:vAlign w:val="center"/>
          </w:tcPr>
          <w:p w14:paraId="16DFEEAE">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u w:val="none"/>
                <w:vertAlign w:val="baseline"/>
                <w:lang w:val="en-US" w:eastAsia="zh-CN"/>
              </w:rPr>
            </w:pPr>
          </w:p>
        </w:tc>
        <w:tc>
          <w:tcPr>
            <w:tcW w:w="2675" w:type="dxa"/>
            <w:vAlign w:val="center"/>
          </w:tcPr>
          <w:p w14:paraId="2DEC9155">
            <w:pPr>
              <w:keepNext w:val="0"/>
              <w:keepLines w:val="0"/>
              <w:widowControl w:val="0"/>
              <w:suppressLineNumbers w:val="0"/>
              <w:snapToGrid w:val="0"/>
              <w:spacing w:before="0" w:beforeAutospacing="0" w:after="0" w:afterAutospacing="0"/>
              <w:ind w:left="0" w:leftChars="0" w:right="0" w:rightChars="0"/>
              <w:jc w:val="center"/>
              <w:rPr>
                <w:rFonts w:hint="eastAsia" w:ascii="宋体" w:hAnsi="宋体" w:eastAsia="宋体" w:cs="宋体"/>
                <w:color w:val="auto"/>
                <w:szCs w:val="21"/>
                <w:highlight w:val="none"/>
                <w:u w:val="none"/>
                <w:vertAlign w:val="baseline"/>
                <w:lang w:val="en-US" w:eastAsia="zh-CN"/>
              </w:rPr>
            </w:pPr>
          </w:p>
        </w:tc>
      </w:tr>
    </w:tbl>
    <w:p w14:paraId="575935DF">
      <w:pPr>
        <w:keepNext w:val="0"/>
        <w:keepLines w:val="0"/>
        <w:pageBreakBefore w:val="0"/>
        <w:widowControl w:val="0"/>
        <w:suppressLineNumbers w:val="0"/>
        <w:kinsoku/>
        <w:overflowPunct/>
        <w:topLinePunct w:val="0"/>
        <w:bidi w:val="0"/>
        <w:spacing w:before="0" w:beforeAutospacing="0" w:after="0" w:afterAutospacing="0" w:line="440" w:lineRule="exact"/>
        <w:ind w:left="0" w:right="0" w:firstLine="420" w:firstLineChars="200"/>
        <w:jc w:val="both"/>
        <w:textAlignment w:val="auto"/>
        <w:rPr>
          <w:rFonts w:hint="eastAsia" w:ascii="宋体" w:hAnsi="宋体" w:eastAsia="宋体" w:cs="宋体"/>
          <w:color w:val="auto"/>
          <w:szCs w:val="21"/>
          <w:highlight w:val="none"/>
          <w:u w:val="none"/>
          <w:lang w:val="en-US" w:eastAsia="zh-CN"/>
        </w:rPr>
      </w:pPr>
      <w:r>
        <w:rPr>
          <w:rFonts w:hint="eastAsia" w:ascii="宋体" w:hAnsi="宋体" w:eastAsia="宋体" w:cs="宋体"/>
          <w:color w:val="auto"/>
          <w:szCs w:val="21"/>
          <w:highlight w:val="none"/>
          <w:u w:val="none"/>
          <w:lang w:val="en-US" w:eastAsia="zh-CN"/>
        </w:rPr>
        <w:t>1.2 项目负责人为：</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none"/>
          <w:lang w:val="en-US" w:eastAsia="zh-CN"/>
        </w:rPr>
        <w:t>，一级造价师执业证书编号为：</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none"/>
          <w:lang w:val="en-US" w:eastAsia="zh-CN"/>
        </w:rPr>
        <w:t>。项目负责人履行本合同的权限为：项目分配、协调、复核等。</w:t>
      </w:r>
    </w:p>
    <w:p w14:paraId="74EA999E">
      <w:pPr>
        <w:pStyle w:val="20"/>
        <w:keepNext w:val="0"/>
        <w:keepLines w:val="0"/>
        <w:pageBreakBefore w:val="0"/>
        <w:kinsoku/>
        <w:overflowPunct/>
        <w:topLinePunct w:val="0"/>
        <w:bidi w:val="0"/>
        <w:spacing w:line="440" w:lineRule="exact"/>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1.3 项目实施过程中，乙方不得更换项目负责人及其他团队成员，确需更换人员的须以书面形式提出，且更换人员的资格条件与技术水平不得低于原团队被更换人员，经委托人同意后方可更换，每更换一次团队成员处以1万元的罚款。</w:t>
      </w:r>
    </w:p>
    <w:p w14:paraId="5D3A2FFE">
      <w:pPr>
        <w:pStyle w:val="109"/>
        <w:keepNext w:val="0"/>
        <w:keepLines w:val="0"/>
        <w:pageBreakBefore w:val="0"/>
        <w:kinsoku/>
        <w:overflowPunct/>
        <w:topLinePunct w:val="0"/>
        <w:bidi w:val="0"/>
        <w:spacing w:line="440" w:lineRule="exact"/>
        <w:ind w:left="0" w:leftChars="0"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kern w:val="2"/>
          <w:sz w:val="21"/>
          <w:szCs w:val="21"/>
          <w:highlight w:val="none"/>
          <w:lang w:val="en-US" w:eastAsia="zh-CN" w:bidi="ar-SA"/>
        </w:rPr>
        <w:t>2.按照浙江省有关造价方面的各种法律、法规、政策、其他相关文件以及乙方</w:t>
      </w:r>
      <w:r>
        <w:rPr>
          <w:rFonts w:hint="eastAsia" w:ascii="宋体" w:hAnsi="宋体" w:eastAsia="宋体" w:cs="宋体"/>
          <w:color w:val="auto"/>
          <w:szCs w:val="21"/>
          <w:highlight w:val="none"/>
        </w:rPr>
        <w:t>的要求进行审计</w:t>
      </w:r>
      <w:r>
        <w:rPr>
          <w:rFonts w:hint="eastAsia" w:ascii="宋体" w:hAnsi="宋体" w:eastAsia="宋体" w:cs="宋体"/>
          <w:color w:val="auto"/>
          <w:szCs w:val="21"/>
          <w:highlight w:val="none"/>
          <w:lang w:eastAsia="zh-CN"/>
        </w:rPr>
        <w:t>。</w:t>
      </w:r>
    </w:p>
    <w:p w14:paraId="2F962656">
      <w:pPr>
        <w:keepNext w:val="0"/>
        <w:keepLines w:val="0"/>
        <w:pageBreakBefore w:val="0"/>
        <w:kinsoku/>
        <w:overflowPunct/>
        <w:topLinePunct w:val="0"/>
        <w:bidi w:val="0"/>
        <w:spacing w:line="440" w:lineRule="exact"/>
        <w:ind w:firstLine="420" w:firstLineChars="200"/>
        <w:jc w:val="both"/>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.按照规定时间完成审计</w:t>
      </w:r>
      <w:r>
        <w:rPr>
          <w:rFonts w:hint="eastAsia" w:ascii="宋体" w:hAnsi="宋体" w:eastAsia="宋体" w:cs="宋体"/>
          <w:color w:val="auto"/>
          <w:szCs w:val="21"/>
          <w:highlight w:val="none"/>
          <w:lang w:val="en-US" w:eastAsia="zh-CN"/>
        </w:rPr>
        <w:t>业务</w:t>
      </w:r>
      <w:r>
        <w:rPr>
          <w:rFonts w:hint="eastAsia" w:ascii="宋体" w:hAnsi="宋体" w:eastAsia="宋体" w:cs="宋体"/>
          <w:color w:val="auto"/>
          <w:szCs w:val="21"/>
          <w:highlight w:val="none"/>
        </w:rPr>
        <w:t>，出具相应报告供甲方确认审核，乙方对审计报告的客观性、准确性、真实性负责，如因审计报告</w:t>
      </w:r>
      <w:r>
        <w:rPr>
          <w:rFonts w:hint="eastAsia" w:ascii="宋体" w:hAnsi="宋体" w:eastAsia="宋体" w:cs="宋体"/>
          <w:color w:val="auto"/>
          <w:szCs w:val="21"/>
          <w:highlight w:val="none"/>
          <w:lang w:val="en-US" w:eastAsia="zh-CN"/>
        </w:rPr>
        <w:t>导</w:t>
      </w:r>
      <w:r>
        <w:rPr>
          <w:rFonts w:hint="eastAsia" w:ascii="宋体" w:hAnsi="宋体" w:eastAsia="宋体" w:cs="宋体"/>
          <w:color w:val="auto"/>
          <w:szCs w:val="21"/>
          <w:highlight w:val="none"/>
        </w:rPr>
        <w:t>致的一切争议及损失（包括但不限于甲方的损失等），均由乙方负责解决、赔偿</w:t>
      </w:r>
      <w:r>
        <w:rPr>
          <w:rFonts w:hint="eastAsia" w:ascii="宋体" w:hAnsi="宋体" w:eastAsia="宋体" w:cs="宋体"/>
          <w:color w:val="auto"/>
          <w:szCs w:val="21"/>
          <w:highlight w:val="none"/>
          <w:lang w:eastAsia="zh-CN"/>
        </w:rPr>
        <w:t>。</w:t>
      </w:r>
    </w:p>
    <w:p w14:paraId="4C7B2EFA">
      <w:pPr>
        <w:keepNext w:val="0"/>
        <w:keepLines w:val="0"/>
        <w:pageBreakBefore w:val="0"/>
        <w:kinsoku/>
        <w:overflowPunct/>
        <w:topLinePunct w:val="0"/>
        <w:bidi w:val="0"/>
        <w:spacing w:line="440" w:lineRule="exact"/>
        <w:ind w:left="0" w:firstLine="420" w:firstLineChars="200"/>
        <w:jc w:val="both"/>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按甲方档案规定办理供审计咨询用资料的借用和归还手续，并妥善保管，若借用资料不符合甲方档案要求（包括但不限于借用及归还手续不符合要求、保管期间资料毁损、灭失的），应按甲方档案要求（包括但不限于赔偿）负责达到</w:t>
      </w:r>
      <w:r>
        <w:rPr>
          <w:rFonts w:hint="eastAsia" w:ascii="宋体" w:hAnsi="宋体" w:eastAsia="宋体" w:cs="宋体"/>
          <w:color w:val="auto"/>
          <w:szCs w:val="21"/>
          <w:highlight w:val="none"/>
          <w:lang w:val="en-US" w:eastAsia="zh-CN"/>
        </w:rPr>
        <w:t>。</w:t>
      </w:r>
    </w:p>
    <w:p w14:paraId="4CF5FE27">
      <w:pPr>
        <w:keepNext w:val="0"/>
        <w:keepLines w:val="0"/>
        <w:pageBreakBefore w:val="0"/>
        <w:kinsoku/>
        <w:overflowPunct/>
        <w:topLinePunct w:val="0"/>
        <w:bidi w:val="0"/>
        <w:spacing w:line="440" w:lineRule="exact"/>
        <w:ind w:left="0" w:firstLine="420" w:firstLineChars="200"/>
        <w:jc w:val="both"/>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.乙方不得将该审计业务转包或分包给其他任何单位或个人，否则甲方有权单方解除本合同并要求乙方支付</w:t>
      </w:r>
      <w:r>
        <w:rPr>
          <w:rFonts w:hint="eastAsia" w:ascii="宋体" w:hAnsi="宋体" w:eastAsia="宋体" w:cs="宋体"/>
          <w:color w:val="auto"/>
          <w:szCs w:val="21"/>
          <w:highlight w:val="none"/>
          <w:u w:val="single"/>
        </w:rPr>
        <w:t>叁万元</w:t>
      </w:r>
      <w:r>
        <w:rPr>
          <w:rFonts w:hint="eastAsia" w:ascii="宋体" w:hAnsi="宋体" w:eastAsia="宋体" w:cs="宋体"/>
          <w:color w:val="auto"/>
          <w:szCs w:val="21"/>
          <w:highlight w:val="none"/>
        </w:rPr>
        <w:t>的违约金，本合同下所涉款项甲方均无需支付给乙方，已经支付的，乙方需全额返还</w:t>
      </w:r>
      <w:r>
        <w:rPr>
          <w:rFonts w:hint="eastAsia" w:ascii="宋体" w:hAnsi="宋体" w:eastAsia="宋体" w:cs="宋体"/>
          <w:color w:val="auto"/>
          <w:szCs w:val="21"/>
          <w:highlight w:val="none"/>
          <w:lang w:eastAsia="zh-CN"/>
        </w:rPr>
        <w:t>。</w:t>
      </w:r>
    </w:p>
    <w:p w14:paraId="43BF5910">
      <w:pPr>
        <w:keepNext w:val="0"/>
        <w:keepLines w:val="0"/>
        <w:pageBreakBefore w:val="0"/>
        <w:kinsoku/>
        <w:overflowPunct/>
        <w:topLinePunct w:val="0"/>
        <w:bidi w:val="0"/>
        <w:spacing w:line="440" w:lineRule="exact"/>
        <w:ind w:left="0" w:firstLine="420" w:firstLineChars="200"/>
        <w:jc w:val="both"/>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.在合同履行期间，乙方对其派出的人员和设备的安全负全部责任，甲方无任何责任，同时乙方工作人员在从事本合同下审计业务时，食宿交通费用由乙方负责，与甲方无关</w:t>
      </w:r>
      <w:r>
        <w:rPr>
          <w:rFonts w:hint="eastAsia" w:ascii="宋体" w:hAnsi="宋体" w:eastAsia="宋体" w:cs="宋体"/>
          <w:color w:val="auto"/>
          <w:szCs w:val="21"/>
          <w:highlight w:val="none"/>
          <w:lang w:eastAsia="zh-CN"/>
        </w:rPr>
        <w:t>。</w:t>
      </w:r>
    </w:p>
    <w:p w14:paraId="4BC04B9F">
      <w:pPr>
        <w:keepNext w:val="0"/>
        <w:keepLines w:val="0"/>
        <w:pageBreakBefore w:val="0"/>
        <w:kinsoku/>
        <w:overflowPunct/>
        <w:topLinePunct w:val="0"/>
        <w:bidi w:val="0"/>
        <w:spacing w:line="440" w:lineRule="exact"/>
        <w:ind w:left="0" w:firstLine="420" w:firstLineChars="200"/>
        <w:jc w:val="both"/>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.乙方按照独立、客观、公正原则及有关审计工作规定，保证审计质量</w:t>
      </w:r>
      <w:r>
        <w:rPr>
          <w:rFonts w:hint="eastAsia" w:ascii="宋体" w:hAnsi="宋体" w:eastAsia="宋体" w:cs="宋体"/>
          <w:color w:val="auto"/>
          <w:szCs w:val="21"/>
          <w:highlight w:val="none"/>
          <w:lang w:eastAsia="zh-CN"/>
        </w:rPr>
        <w:t>。</w:t>
      </w:r>
    </w:p>
    <w:p w14:paraId="201BADF0">
      <w:pPr>
        <w:keepNext w:val="0"/>
        <w:keepLines w:val="0"/>
        <w:pageBreakBefore w:val="0"/>
        <w:kinsoku/>
        <w:overflowPunct/>
        <w:topLinePunct w:val="0"/>
        <w:bidi w:val="0"/>
        <w:spacing w:line="440" w:lineRule="exact"/>
        <w:ind w:left="0" w:firstLine="420" w:firstLineChars="200"/>
        <w:jc w:val="both"/>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乙方不得接受施工单位提供的折让、佣金或礼物等超越工作条件需要的利益，不得接受贵重礼品，不得参加相关单位的宴请和娱乐活动，严禁工作人员单独与承包方进行有碍审计独立性与职业形象的接触；如乙方违反前述保证的，应向甲方承担人民币</w:t>
      </w:r>
      <w:r>
        <w:rPr>
          <w:rFonts w:hint="eastAsia" w:ascii="宋体" w:hAnsi="宋体" w:eastAsia="宋体" w:cs="宋体"/>
          <w:color w:val="auto"/>
          <w:szCs w:val="21"/>
          <w:highlight w:val="none"/>
          <w:u w:val="single"/>
        </w:rPr>
        <w:t>叁万元</w:t>
      </w:r>
      <w:r>
        <w:rPr>
          <w:rFonts w:hint="eastAsia" w:ascii="宋体" w:hAnsi="宋体" w:eastAsia="宋体" w:cs="宋体"/>
          <w:color w:val="auto"/>
          <w:szCs w:val="21"/>
          <w:highlight w:val="none"/>
        </w:rPr>
        <w:t>的违约金，同时甲方有权视情节严重程度要求乙方立即进行改正或单方解除本合同；如前述违约金不足以弥补甲方损失的，乙方应另行赔偿</w:t>
      </w:r>
      <w:r>
        <w:rPr>
          <w:rFonts w:hint="eastAsia" w:ascii="宋体" w:hAnsi="宋体" w:eastAsia="宋体" w:cs="宋体"/>
          <w:color w:val="auto"/>
          <w:szCs w:val="21"/>
          <w:highlight w:val="none"/>
          <w:lang w:eastAsia="zh-CN"/>
        </w:rPr>
        <w:t>。</w:t>
      </w:r>
    </w:p>
    <w:p w14:paraId="23608C97">
      <w:pPr>
        <w:keepNext w:val="0"/>
        <w:keepLines w:val="0"/>
        <w:pageBreakBefore w:val="0"/>
        <w:kinsoku/>
        <w:overflowPunct/>
        <w:topLinePunct w:val="0"/>
        <w:bidi w:val="0"/>
        <w:spacing w:line="440" w:lineRule="exact"/>
        <w:ind w:left="0"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.乙方在完全履行本合同义务且无任何违约行为的情况下按合同规定收取审计费用。</w:t>
      </w:r>
    </w:p>
    <w:p w14:paraId="5153880C">
      <w:pPr>
        <w:keepNext w:val="0"/>
        <w:keepLines w:val="0"/>
        <w:pageBreakBefore w:val="0"/>
        <w:kinsoku/>
        <w:overflowPunct/>
        <w:topLinePunct w:val="0"/>
        <w:bidi w:val="0"/>
        <w:spacing w:line="440" w:lineRule="exact"/>
        <w:ind w:left="0"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.乙方应在审计人员安排上给予保障，乙方派出的审计人员在委托审计期限内能够按时完成审计工作；乙方及其审计人员应当具备与其从事的审计工作相适应的资质和能力。</w:t>
      </w:r>
    </w:p>
    <w:p w14:paraId="769A05A0">
      <w:pPr>
        <w:keepNext w:val="0"/>
        <w:keepLines w:val="0"/>
        <w:pageBreakBefore w:val="0"/>
        <w:kinsoku/>
        <w:overflowPunct/>
        <w:topLinePunct w:val="0"/>
        <w:bidi w:val="0"/>
        <w:spacing w:line="440" w:lineRule="exact"/>
        <w:ind w:left="0"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.乙方对在执行业务中知悉的甲方商业秘密，负有保密义务。</w:t>
      </w:r>
    </w:p>
    <w:p w14:paraId="2E41A20E">
      <w:pPr>
        <w:keepNext w:val="0"/>
        <w:keepLines w:val="0"/>
        <w:pageBreakBefore w:val="0"/>
        <w:kinsoku/>
        <w:overflowPunct/>
        <w:topLinePunct w:val="0"/>
        <w:bidi w:val="0"/>
        <w:spacing w:line="440" w:lineRule="exact"/>
        <w:ind w:left="0" w:firstLine="422" w:firstLineChars="200"/>
        <w:jc w:val="both"/>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第四条  审计费用与支付方式</w:t>
      </w:r>
    </w:p>
    <w:p w14:paraId="396C66C8">
      <w:pPr>
        <w:keepNext w:val="0"/>
        <w:keepLines w:val="0"/>
        <w:pageBreakBefore w:val="0"/>
        <w:kinsoku/>
        <w:overflowPunct/>
        <w:topLinePunct w:val="0"/>
        <w:bidi w:val="0"/>
        <w:spacing w:line="440" w:lineRule="exact"/>
        <w:ind w:left="0"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本合同总额为：（大写）人民币</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元整（小写：</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元 ）。</w:t>
      </w:r>
    </w:p>
    <w:p w14:paraId="61C5B28C">
      <w:pPr>
        <w:keepNext w:val="0"/>
        <w:keepLines w:val="0"/>
        <w:pageBreakBefore w:val="0"/>
        <w:kinsoku/>
        <w:overflowPunct/>
        <w:topLinePunct w:val="0"/>
        <w:bidi w:val="0"/>
        <w:spacing w:line="440" w:lineRule="exact"/>
        <w:ind w:left="0"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合同生效后5个工作日内，供应商应向委托人交合同总价1%的履约保证金：（大写）人民币</w:t>
      </w:r>
      <w:r>
        <w:rPr>
          <w:rFonts w:hint="eastAsia" w:ascii="宋体" w:hAnsi="宋体" w:eastAsia="宋体" w:cs="宋体"/>
          <w:color w:val="auto"/>
          <w:szCs w:val="21"/>
          <w:highlight w:val="none"/>
          <w:lang w:eastAsia="zh-CN"/>
        </w:rPr>
        <w:t xml:space="preserve"> </w:t>
      </w:r>
      <w:r>
        <w:rPr>
          <w:rFonts w:hint="eastAsia" w:ascii="宋体" w:hAnsi="宋体" w:eastAsia="宋体" w:cs="宋体"/>
          <w:color w:val="auto"/>
          <w:szCs w:val="21"/>
          <w:highlight w:val="none"/>
          <w:lang w:val="en-US" w:eastAsia="zh-CN"/>
        </w:rPr>
        <w:t xml:space="preserve">      元整（小写：</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元 ），待上级审计、审核（若有）完成后，</w:t>
      </w:r>
      <w:r>
        <w:rPr>
          <w:rFonts w:hint="eastAsia" w:ascii="宋体" w:hAnsi="宋体" w:eastAsia="宋体" w:cs="宋体"/>
          <w:color w:val="auto"/>
          <w:szCs w:val="21"/>
          <w:highlight w:val="none"/>
        </w:rPr>
        <w:t>由</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退还（不计息）给</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w:t>
      </w:r>
    </w:p>
    <w:p w14:paraId="4086315E">
      <w:pPr>
        <w:keepNext w:val="0"/>
        <w:keepLines w:val="0"/>
        <w:pageBreakBefore w:val="0"/>
        <w:kinsoku/>
        <w:overflowPunct/>
        <w:topLinePunct w:val="0"/>
        <w:bidi w:val="0"/>
        <w:spacing w:line="440" w:lineRule="exact"/>
        <w:ind w:left="0"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（1）整个项目审核完毕，中标人出具正式的审计报告后30天内，一次性支付基本审计费。</w:t>
      </w:r>
    </w:p>
    <w:p w14:paraId="66745132">
      <w:pPr>
        <w:keepNext w:val="0"/>
        <w:keepLines w:val="0"/>
        <w:pageBreakBefore w:val="0"/>
        <w:kinsoku/>
        <w:overflowPunct/>
        <w:topLinePunct w:val="0"/>
        <w:bidi w:val="0"/>
        <w:spacing w:line="440" w:lineRule="exact"/>
        <w:ind w:left="0"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（2）支付前乙方须提交申请资料，经审核后向甲方开具实付款额的增值税专用发票。</w:t>
      </w:r>
    </w:p>
    <w:p w14:paraId="27A1BA7B">
      <w:pPr>
        <w:keepNext w:val="0"/>
        <w:keepLines w:val="0"/>
        <w:pageBreakBefore w:val="0"/>
        <w:kinsoku/>
        <w:overflowPunct/>
        <w:topLinePunct w:val="0"/>
        <w:bidi w:val="0"/>
        <w:spacing w:line="440" w:lineRule="exact"/>
        <w:ind w:left="0"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（3）追加审计费：按浙价服【2009】84号文件收取，由</w:t>
      </w:r>
      <w:r>
        <w:rPr>
          <w:rFonts w:hint="eastAsia" w:ascii="宋体" w:hAnsi="宋体" w:eastAsia="宋体" w:cs="宋体"/>
          <w:color w:val="auto"/>
          <w:szCs w:val="21"/>
          <w:highlight w:val="none"/>
          <w:lang w:eastAsia="zh-CN"/>
        </w:rPr>
        <w:t>钱塘校区</w:t>
      </w:r>
      <w:r>
        <w:rPr>
          <w:rFonts w:hint="eastAsia" w:ascii="宋体" w:hAnsi="宋体" w:eastAsia="宋体" w:cs="宋体"/>
          <w:color w:val="auto"/>
          <w:szCs w:val="21"/>
          <w:highlight w:val="none"/>
        </w:rPr>
        <w:t>教育教学用房及设施提升改造工程</w:t>
      </w:r>
      <w:r>
        <w:rPr>
          <w:rFonts w:hint="eastAsia" w:ascii="宋体" w:hAnsi="宋体" w:eastAsia="宋体" w:cs="宋体"/>
          <w:color w:val="auto"/>
          <w:szCs w:val="21"/>
          <w:highlight w:val="none"/>
          <w:lang w:val="en-US" w:eastAsia="zh-CN"/>
        </w:rPr>
        <w:t>施工单位支付。</w:t>
      </w:r>
    </w:p>
    <w:p w14:paraId="4265298D">
      <w:pPr>
        <w:keepNext w:val="0"/>
        <w:keepLines w:val="0"/>
        <w:pageBreakBefore w:val="0"/>
        <w:kinsoku/>
        <w:overflowPunct/>
        <w:topLinePunct w:val="0"/>
        <w:bidi w:val="0"/>
        <w:spacing w:line="440" w:lineRule="exact"/>
        <w:ind w:left="0" w:firstLine="422" w:firstLineChars="200"/>
        <w:jc w:val="both"/>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第五条 回避</w:t>
      </w:r>
    </w:p>
    <w:p w14:paraId="6F1BBCFB">
      <w:pPr>
        <w:keepNext w:val="0"/>
        <w:keepLines w:val="0"/>
        <w:pageBreakBefore w:val="0"/>
        <w:kinsoku/>
        <w:overflowPunct/>
        <w:topLinePunct w:val="0"/>
        <w:bidi w:val="0"/>
        <w:spacing w:line="440" w:lineRule="exact"/>
        <w:ind w:left="0"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乙方及乙方审计人员有以下情况之一的，应当回避：</w:t>
      </w:r>
    </w:p>
    <w:p w14:paraId="6B4D9AAB">
      <w:pPr>
        <w:keepNext w:val="0"/>
        <w:keepLines w:val="0"/>
        <w:pageBreakBefore w:val="0"/>
        <w:kinsoku/>
        <w:overflowPunct/>
        <w:topLinePunct w:val="0"/>
        <w:bidi w:val="0"/>
        <w:spacing w:line="440" w:lineRule="exact"/>
        <w:ind w:left="0"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1.与被审计单位负责人和有关主管人员之间有夫妻关系、直系血亲关系、三代以内旁系血亲以及近姻亲关系的；</w:t>
      </w:r>
    </w:p>
    <w:p w14:paraId="0B505B24">
      <w:pPr>
        <w:keepNext w:val="0"/>
        <w:keepLines w:val="0"/>
        <w:pageBreakBefore w:val="0"/>
        <w:kinsoku/>
        <w:overflowPunct/>
        <w:topLinePunct w:val="0"/>
        <w:bidi w:val="0"/>
        <w:spacing w:line="440" w:lineRule="exact"/>
        <w:ind w:left="0"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2.与被审计单位或者审计事项有经济利益关系的；</w:t>
      </w:r>
    </w:p>
    <w:p w14:paraId="718C4184">
      <w:pPr>
        <w:keepNext w:val="0"/>
        <w:keepLines w:val="0"/>
        <w:pageBreakBefore w:val="0"/>
        <w:kinsoku/>
        <w:overflowPunct/>
        <w:topLinePunct w:val="0"/>
        <w:bidi w:val="0"/>
        <w:spacing w:line="440" w:lineRule="exact"/>
        <w:ind w:left="0"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3.与被审计单位或者审计事项有其他利害关系，可能影响公正履行职务的</w:t>
      </w:r>
      <w:r>
        <w:rPr>
          <w:rFonts w:hint="eastAsia" w:ascii="宋体" w:hAnsi="宋体" w:eastAsia="宋体" w:cs="宋体"/>
          <w:color w:val="auto"/>
          <w:szCs w:val="21"/>
          <w:highlight w:val="none"/>
          <w:lang w:val="en-US" w:eastAsia="zh-CN"/>
        </w:rPr>
        <w:t>；</w:t>
      </w:r>
    </w:p>
    <w:p w14:paraId="0F789BF1">
      <w:pPr>
        <w:keepNext w:val="0"/>
        <w:keepLines w:val="0"/>
        <w:pageBreakBefore w:val="0"/>
        <w:kinsoku/>
        <w:overflowPunct/>
        <w:topLinePunct w:val="0"/>
        <w:bidi w:val="0"/>
        <w:spacing w:line="440" w:lineRule="exact"/>
        <w:ind w:left="0"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4.参与本项目全过程跟踪审计或前期招标文件或清单编制的</w:t>
      </w:r>
      <w:r>
        <w:rPr>
          <w:rFonts w:hint="eastAsia" w:ascii="宋体" w:hAnsi="宋体" w:eastAsia="宋体" w:cs="宋体"/>
          <w:color w:val="auto"/>
          <w:szCs w:val="21"/>
          <w:highlight w:val="none"/>
        </w:rPr>
        <w:t>。</w:t>
      </w:r>
    </w:p>
    <w:p w14:paraId="3B8B5983">
      <w:pPr>
        <w:keepNext w:val="0"/>
        <w:keepLines w:val="0"/>
        <w:pageBreakBefore w:val="0"/>
        <w:kinsoku/>
        <w:overflowPunct/>
        <w:topLinePunct w:val="0"/>
        <w:bidi w:val="0"/>
        <w:spacing w:line="440" w:lineRule="exact"/>
        <w:ind w:left="0" w:firstLine="422" w:firstLineChars="200"/>
        <w:jc w:val="both"/>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第六条  违约责任</w:t>
      </w:r>
    </w:p>
    <w:p w14:paraId="5526B891">
      <w:pPr>
        <w:keepNext w:val="0"/>
        <w:keepLines w:val="0"/>
        <w:pageBreakBefore w:val="0"/>
        <w:kinsoku/>
        <w:overflowPunct/>
        <w:topLinePunct w:val="0"/>
        <w:bidi w:val="0"/>
        <w:spacing w:line="440" w:lineRule="exact"/>
        <w:ind w:left="0"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甲方无正当理由未按本合同规定及双方另行商定的内容支付审计费用的，乙方有权终止审计工作。</w:t>
      </w:r>
    </w:p>
    <w:p w14:paraId="4F7844C8">
      <w:pPr>
        <w:keepNext w:val="0"/>
        <w:keepLines w:val="0"/>
        <w:pageBreakBefore w:val="0"/>
        <w:kinsoku/>
        <w:overflowPunct/>
        <w:topLinePunct w:val="0"/>
        <w:bidi w:val="0"/>
        <w:spacing w:line="440" w:lineRule="exact"/>
        <w:ind w:left="0"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如因乙方未尽到工程审计及咨询责任等原因，使工程审计出现以下几种情况时，乙方应承担相应的赔偿责任，具体赔偿标准届时由甲方另行确定。</w:t>
      </w:r>
    </w:p>
    <w:p w14:paraId="476BA728">
      <w:pPr>
        <w:pStyle w:val="82"/>
        <w:keepNext w:val="0"/>
        <w:keepLines w:val="0"/>
        <w:pageBreakBefore w:val="0"/>
        <w:numPr>
          <w:ilvl w:val="-1"/>
          <w:numId w:val="0"/>
        </w:numPr>
        <w:kinsoku/>
        <w:overflowPunct/>
        <w:topLinePunct w:val="0"/>
        <w:bidi w:val="0"/>
        <w:spacing w:line="440" w:lineRule="exact"/>
        <w:ind w:left="420" w:leftChars="200" w:firstLine="0" w:firstLineChars="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违反《建设工程工程量清单计价规范》等有关工程计价规定的；</w:t>
      </w:r>
    </w:p>
    <w:p w14:paraId="4B0BE96B">
      <w:pPr>
        <w:pStyle w:val="82"/>
        <w:keepNext w:val="0"/>
        <w:keepLines w:val="0"/>
        <w:pageBreakBefore w:val="0"/>
        <w:numPr>
          <w:ilvl w:val="-1"/>
          <w:numId w:val="0"/>
        </w:numPr>
        <w:kinsoku/>
        <w:overflowPunct/>
        <w:topLinePunct w:val="0"/>
        <w:bidi w:val="0"/>
        <w:spacing w:line="440" w:lineRule="exact"/>
        <w:ind w:left="420" w:leftChars="200" w:firstLine="0" w:firstLineChars="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违反审计工作相关法律法规规定的；</w:t>
      </w:r>
    </w:p>
    <w:p w14:paraId="46E53A26">
      <w:pPr>
        <w:pStyle w:val="82"/>
        <w:keepNext w:val="0"/>
        <w:keepLines w:val="0"/>
        <w:pageBreakBefore w:val="0"/>
        <w:numPr>
          <w:ilvl w:val="-1"/>
          <w:numId w:val="0"/>
        </w:numPr>
        <w:kinsoku/>
        <w:overflowPunct/>
        <w:topLinePunct w:val="0"/>
        <w:bidi w:val="0"/>
        <w:spacing w:line="440" w:lineRule="exact"/>
        <w:ind w:left="420" w:leftChars="200" w:firstLine="0" w:firstLineChars="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提供的成果文件中出现漏项、漏量、多算等问题影响造价超过1%以上的</w:t>
      </w:r>
      <w:r>
        <w:rPr>
          <w:rFonts w:hint="eastAsia" w:ascii="宋体" w:hAnsi="宋体" w:eastAsia="宋体" w:cs="宋体"/>
          <w:color w:val="auto"/>
          <w:szCs w:val="21"/>
          <w:highlight w:val="none"/>
          <w:lang w:eastAsia="zh-CN"/>
        </w:rPr>
        <w:t>；</w:t>
      </w:r>
    </w:p>
    <w:p w14:paraId="32DAE73F">
      <w:pPr>
        <w:pStyle w:val="82"/>
        <w:keepNext w:val="0"/>
        <w:keepLines w:val="0"/>
        <w:pageBreakBefore w:val="0"/>
        <w:numPr>
          <w:ilvl w:val="-1"/>
          <w:numId w:val="0"/>
        </w:numPr>
        <w:kinsoku/>
        <w:overflowPunct/>
        <w:topLinePunct w:val="0"/>
        <w:bidi w:val="0"/>
        <w:spacing w:line="440" w:lineRule="exact"/>
        <w:ind w:left="420" w:leftChars="200" w:firstLine="0" w:firstLineChars="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审计结果与省审计厅等上级机构抽查、复核结果发生重大偏差的；</w:t>
      </w:r>
    </w:p>
    <w:p w14:paraId="5BE11437">
      <w:pPr>
        <w:pStyle w:val="82"/>
        <w:keepNext w:val="0"/>
        <w:keepLines w:val="0"/>
        <w:pageBreakBefore w:val="0"/>
        <w:numPr>
          <w:ilvl w:val="-1"/>
          <w:numId w:val="0"/>
        </w:numPr>
        <w:kinsoku/>
        <w:overflowPunct/>
        <w:topLinePunct w:val="0"/>
        <w:bidi w:val="0"/>
        <w:spacing w:line="440" w:lineRule="exact"/>
        <w:ind w:left="420" w:leftChars="200" w:firstLine="0" w:firstLineChars="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乙方未按合同规定进行审计的</w:t>
      </w:r>
      <w:r>
        <w:rPr>
          <w:rFonts w:hint="eastAsia" w:ascii="宋体" w:hAnsi="宋体" w:eastAsia="宋体" w:cs="宋体"/>
          <w:color w:val="auto"/>
          <w:szCs w:val="21"/>
          <w:highlight w:val="none"/>
          <w:lang w:eastAsia="zh-CN"/>
        </w:rPr>
        <w:t>。</w:t>
      </w:r>
    </w:p>
    <w:p w14:paraId="0D254C3D">
      <w:pPr>
        <w:keepNext w:val="0"/>
        <w:keepLines w:val="0"/>
        <w:pageBreakBefore w:val="0"/>
        <w:kinsoku/>
        <w:overflowPunct/>
        <w:topLinePunct w:val="0"/>
        <w:bidi w:val="0"/>
        <w:spacing w:line="440" w:lineRule="exact"/>
        <w:ind w:left="0" w:firstLine="422" w:firstLineChars="200"/>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eastAsia="zh-CN"/>
        </w:rPr>
        <w:t>第七条</w:t>
      </w:r>
      <w:r>
        <w:rPr>
          <w:rFonts w:hint="eastAsia" w:ascii="宋体" w:hAnsi="宋体" w:eastAsia="宋体" w:cs="宋体"/>
          <w:b/>
          <w:bCs/>
          <w:color w:val="auto"/>
          <w:szCs w:val="21"/>
          <w:highlight w:val="none"/>
          <w:lang w:val="en-US" w:eastAsia="zh-CN"/>
        </w:rPr>
        <w:t xml:space="preserve"> 合同终止条款</w:t>
      </w:r>
    </w:p>
    <w:p w14:paraId="0BB57317">
      <w:pPr>
        <w:pStyle w:val="82"/>
        <w:numPr>
          <w:ilvl w:val="0"/>
          <w:numId w:val="0"/>
        </w:numPr>
        <w:spacing w:line="44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有下列情形之一的，处以合同价10%</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40%的罚款，列入不良行为记录名单，今后禁止参加</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的造价咨询活动，并予以公告，有违法所得的，并处没收违法所得，情节严重的，抄送相关行政主管部门；构成犯罪的，依法追究刑事责任；同时</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有权单方面终止合同并索赔损失：</w:t>
      </w:r>
    </w:p>
    <w:p w14:paraId="6C1413F4">
      <w:pPr>
        <w:pStyle w:val="82"/>
        <w:numPr>
          <w:ilvl w:val="0"/>
          <w:numId w:val="0"/>
        </w:numPr>
        <w:spacing w:line="440" w:lineRule="exact"/>
        <w:ind w:left="420" w:leftChars="20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1）以任何形式向施工单位收受礼金、礼品和有价证券的；</w:t>
      </w:r>
    </w:p>
    <w:p w14:paraId="27EED832">
      <w:pPr>
        <w:pStyle w:val="82"/>
        <w:numPr>
          <w:ilvl w:val="0"/>
          <w:numId w:val="0"/>
        </w:numPr>
        <w:spacing w:line="440" w:lineRule="exact"/>
        <w:ind w:left="420" w:leftChars="20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2）以任何名义向施工单位报销应由个人支付的费用；</w:t>
      </w:r>
    </w:p>
    <w:p w14:paraId="0EC540DA">
      <w:pPr>
        <w:pStyle w:val="82"/>
        <w:numPr>
          <w:ilvl w:val="0"/>
          <w:numId w:val="0"/>
        </w:numPr>
        <w:spacing w:line="440" w:lineRule="exact"/>
        <w:ind w:left="420" w:leftChars="20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3）以任何形式参加施工单位的宴会、旅游和娱乐活动等；</w:t>
      </w:r>
    </w:p>
    <w:p w14:paraId="4C9D2AAF">
      <w:pPr>
        <w:pStyle w:val="82"/>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4）在开展业务工作时，与施工单位私下商谈串通的，要求施工单位虚报送审价以获取审计费的；</w:t>
      </w:r>
    </w:p>
    <w:p w14:paraId="5C6C231D">
      <w:pPr>
        <w:pStyle w:val="82"/>
        <w:numPr>
          <w:ilvl w:val="0"/>
          <w:numId w:val="0"/>
        </w:numPr>
        <w:spacing w:line="440" w:lineRule="exact"/>
        <w:ind w:left="420" w:leftChars="20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5）拒绝委托人监督检查或者提供虚假情况的。</w:t>
      </w:r>
    </w:p>
    <w:p w14:paraId="725E5FCA">
      <w:pPr>
        <w:pStyle w:val="82"/>
        <w:numPr>
          <w:ilvl w:val="0"/>
          <w:numId w:val="0"/>
        </w:numPr>
        <w:spacing w:line="440" w:lineRule="exact"/>
        <w:ind w:left="0" w:leftChars="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接收完整的工程结算资料后，在完成结算审核后，需按</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要求收集、整理、装订成册，包括在结算审计过程中增加的有关结算资料，如果提供的资料不齐全，</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有权处以不超过合同价的罚款，情节严重的，</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有权单方面终止合同并索赔损失。</w:t>
      </w:r>
    </w:p>
    <w:p w14:paraId="6247F76E">
      <w:pPr>
        <w:keepNext w:val="0"/>
        <w:keepLines w:val="0"/>
        <w:pageBreakBefore w:val="0"/>
        <w:kinsoku/>
        <w:overflowPunct/>
        <w:topLinePunct w:val="0"/>
        <w:bidi w:val="0"/>
        <w:spacing w:line="440" w:lineRule="exact"/>
        <w:ind w:left="0"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第</w:t>
      </w:r>
      <w:r>
        <w:rPr>
          <w:rFonts w:hint="eastAsia" w:ascii="宋体" w:hAnsi="宋体" w:eastAsia="宋体" w:cs="宋体"/>
          <w:b/>
          <w:bCs/>
          <w:color w:val="auto"/>
          <w:szCs w:val="21"/>
          <w:highlight w:val="none"/>
          <w:lang w:eastAsia="zh-CN"/>
        </w:rPr>
        <w:t>八</w:t>
      </w:r>
      <w:r>
        <w:rPr>
          <w:rFonts w:hint="eastAsia" w:ascii="宋体" w:hAnsi="宋体" w:eastAsia="宋体" w:cs="宋体"/>
          <w:b/>
          <w:bCs/>
          <w:color w:val="auto"/>
          <w:szCs w:val="21"/>
          <w:highlight w:val="none"/>
        </w:rPr>
        <w:t>条  其他事项</w:t>
      </w:r>
    </w:p>
    <w:p w14:paraId="589E0D67">
      <w:pPr>
        <w:spacing w:line="440" w:lineRule="exact"/>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若有其他未定或特殊事项，可事先在合同中明确，事先在合同中未能明确的，由双方协商签署补充合同确定。补充合同与本合同内容不一致的，以补充合同为准。</w:t>
      </w:r>
    </w:p>
    <w:p w14:paraId="09A7E7E3">
      <w:pPr>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本合同在签订、履行过程中发生的一切争议，均由双方友好协商解决，如协商不成的，任何一方可提请仲裁机构仲裁。</w:t>
      </w:r>
    </w:p>
    <w:p w14:paraId="0137292D">
      <w:pPr>
        <w:adjustRightInd/>
        <w:snapToGrid/>
        <w:spacing w:line="44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eastAsia="zh-CN"/>
        </w:rPr>
        <w:t>第九条</w:t>
      </w:r>
      <w:r>
        <w:rPr>
          <w:rFonts w:hint="eastAsia" w:ascii="宋体" w:hAnsi="宋体" w:eastAsia="宋体" w:cs="宋体"/>
          <w:b/>
          <w:bCs/>
          <w:color w:val="auto"/>
          <w:szCs w:val="21"/>
          <w:highlight w:val="none"/>
          <w:lang w:val="en-US" w:eastAsia="zh-CN"/>
        </w:rPr>
        <w:t xml:space="preserve"> </w:t>
      </w:r>
      <w:r>
        <w:rPr>
          <w:rFonts w:hint="eastAsia" w:ascii="宋体" w:hAnsi="宋体" w:eastAsia="宋体" w:cs="宋体"/>
          <w:b/>
          <w:bCs/>
          <w:color w:val="auto"/>
          <w:szCs w:val="21"/>
          <w:highlight w:val="none"/>
        </w:rPr>
        <w:t>合同的生效</w:t>
      </w:r>
    </w:p>
    <w:p w14:paraId="77095548">
      <w:pPr>
        <w:adjustRightInd/>
        <w:snapToGrid/>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1.本合同经甲、乙</w:t>
      </w:r>
      <w:r>
        <w:rPr>
          <w:rFonts w:hint="eastAsia" w:ascii="宋体" w:hAnsi="宋体" w:eastAsia="宋体" w:cs="宋体"/>
          <w:color w:val="auto"/>
          <w:szCs w:val="21"/>
          <w:highlight w:val="none"/>
          <w:lang w:val="en-US" w:eastAsia="zh-CN"/>
        </w:rPr>
        <w:t>双</w:t>
      </w:r>
      <w:r>
        <w:rPr>
          <w:rFonts w:hint="eastAsia" w:ascii="宋体" w:hAnsi="宋体" w:eastAsia="宋体" w:cs="宋体"/>
          <w:color w:val="auto"/>
          <w:szCs w:val="21"/>
          <w:highlight w:val="none"/>
        </w:rPr>
        <w:t>方单位法定代表人或者经相关单位法定代表人授权的委托代理人签字并加盖公章后生效。</w:t>
      </w:r>
    </w:p>
    <w:p w14:paraId="000FF60E">
      <w:pPr>
        <w:adjustRightInd/>
        <w:snapToGrid/>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2.本合同一式</w:t>
      </w:r>
      <w:r>
        <w:rPr>
          <w:rFonts w:hint="eastAsia" w:ascii="宋体" w:hAnsi="宋体" w:eastAsia="宋体" w:cs="宋体"/>
          <w:color w:val="auto"/>
          <w:szCs w:val="21"/>
          <w:highlight w:val="none"/>
          <w:lang w:val="en-US" w:eastAsia="zh-CN"/>
        </w:rPr>
        <w:t>五</w:t>
      </w:r>
      <w:r>
        <w:rPr>
          <w:rFonts w:hint="eastAsia" w:ascii="宋体" w:hAnsi="宋体" w:eastAsia="宋体" w:cs="宋体"/>
          <w:color w:val="auto"/>
          <w:szCs w:val="21"/>
          <w:highlight w:val="none"/>
        </w:rPr>
        <w:t>份，甲方执三份，乙方和鉴证方</w:t>
      </w:r>
      <w:r>
        <w:rPr>
          <w:rFonts w:hint="eastAsia" w:ascii="宋体" w:hAnsi="宋体" w:eastAsia="宋体" w:cs="宋体"/>
          <w:color w:val="auto"/>
          <w:szCs w:val="21"/>
          <w:highlight w:val="none"/>
          <w:lang w:val="en-US" w:eastAsia="zh-CN"/>
        </w:rPr>
        <w:t>各</w:t>
      </w:r>
      <w:r>
        <w:rPr>
          <w:rFonts w:hint="eastAsia" w:ascii="宋体" w:hAnsi="宋体" w:eastAsia="宋体" w:cs="宋体"/>
          <w:color w:val="auto"/>
          <w:szCs w:val="21"/>
          <w:highlight w:val="none"/>
        </w:rPr>
        <w:t>执一份。</w:t>
      </w:r>
    </w:p>
    <w:p w14:paraId="2201B1EE">
      <w:pPr>
        <w:adjustRightInd/>
        <w:snapToGrid/>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3.相关招标文件、投标文件、投标澄清等与本合同具有同等法律效力。</w:t>
      </w:r>
    </w:p>
    <w:p w14:paraId="709EA86C">
      <w:pPr>
        <w:spacing w:line="440" w:lineRule="exact"/>
        <w:ind w:firstLine="0" w:firstLineChars="0"/>
        <w:rPr>
          <w:rFonts w:hint="eastAsia" w:ascii="宋体" w:hAnsi="宋体" w:eastAsia="宋体" w:cs="宋体"/>
          <w:color w:val="auto"/>
          <w:szCs w:val="21"/>
          <w:highlight w:val="none"/>
        </w:rPr>
      </w:pPr>
    </w:p>
    <w:tbl>
      <w:tblPr>
        <w:tblStyle w:val="46"/>
        <w:tblW w:w="8915" w:type="dxa"/>
        <w:jc w:val="center"/>
        <w:tblLayout w:type="fixed"/>
        <w:tblCellMar>
          <w:top w:w="0" w:type="dxa"/>
          <w:left w:w="108" w:type="dxa"/>
          <w:bottom w:w="0" w:type="dxa"/>
          <w:right w:w="108" w:type="dxa"/>
        </w:tblCellMar>
      </w:tblPr>
      <w:tblGrid>
        <w:gridCol w:w="4547"/>
        <w:gridCol w:w="4368"/>
      </w:tblGrid>
      <w:tr w14:paraId="7E208C71">
        <w:tblPrEx>
          <w:tblCellMar>
            <w:top w:w="0" w:type="dxa"/>
            <w:left w:w="108" w:type="dxa"/>
            <w:bottom w:w="0" w:type="dxa"/>
            <w:right w:w="108" w:type="dxa"/>
          </w:tblCellMar>
        </w:tblPrEx>
        <w:trPr>
          <w:trHeight w:val="793" w:hRule="atLeast"/>
          <w:jc w:val="center"/>
        </w:trPr>
        <w:tc>
          <w:tcPr>
            <w:tcW w:w="4547" w:type="dxa"/>
            <w:tcBorders>
              <w:top w:val="nil"/>
              <w:left w:val="nil"/>
              <w:bottom w:val="nil"/>
              <w:right w:val="nil"/>
            </w:tcBorders>
            <w:noWrap w:val="0"/>
            <w:vAlign w:val="top"/>
          </w:tcPr>
          <w:p w14:paraId="758CAB8D">
            <w:pPr>
              <w:pageBreakBefore w:val="0"/>
              <w:shd w:val="clear"/>
              <w:kinsoku/>
              <w:overflowPunct/>
              <w:topLinePunct w:val="0"/>
              <w:bidi w:val="0"/>
              <w:adjustRightInd w:val="0"/>
              <w:snapToGrid w:val="0"/>
              <w:spacing w:line="360"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甲方（公章）：浙江理工大学</w:t>
            </w:r>
          </w:p>
        </w:tc>
        <w:tc>
          <w:tcPr>
            <w:tcW w:w="4368" w:type="dxa"/>
            <w:tcBorders>
              <w:top w:val="nil"/>
              <w:left w:val="nil"/>
              <w:bottom w:val="nil"/>
              <w:right w:val="nil"/>
            </w:tcBorders>
            <w:noWrap w:val="0"/>
            <w:vAlign w:val="top"/>
          </w:tcPr>
          <w:p w14:paraId="13562EE5">
            <w:pPr>
              <w:pStyle w:val="26"/>
              <w:pageBreakBefore w:val="0"/>
              <w:shd w:val="clear"/>
              <w:kinsoku/>
              <w:overflowPunct/>
              <w:topLinePunct w:val="0"/>
              <w:bidi w:val="0"/>
              <w:adjustRightInd w:val="0"/>
              <w:snapToGrid w:val="0"/>
              <w:spacing w:line="360" w:lineRule="auto"/>
              <w:ind w:left="1386" w:hanging="1386" w:hangingChars="7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 xml:space="preserve">乙方（公章）： </w:t>
            </w:r>
          </w:p>
        </w:tc>
      </w:tr>
      <w:tr w14:paraId="47C6C827">
        <w:tblPrEx>
          <w:tblCellMar>
            <w:top w:w="0" w:type="dxa"/>
            <w:left w:w="108" w:type="dxa"/>
            <w:bottom w:w="0" w:type="dxa"/>
            <w:right w:w="108" w:type="dxa"/>
          </w:tblCellMar>
        </w:tblPrEx>
        <w:trPr>
          <w:trHeight w:val="1028" w:hRule="atLeast"/>
          <w:jc w:val="center"/>
        </w:trPr>
        <w:tc>
          <w:tcPr>
            <w:tcW w:w="4547" w:type="dxa"/>
            <w:tcBorders>
              <w:top w:val="nil"/>
              <w:left w:val="nil"/>
              <w:bottom w:val="nil"/>
              <w:right w:val="nil"/>
            </w:tcBorders>
            <w:noWrap w:val="0"/>
            <w:vAlign w:val="top"/>
          </w:tcPr>
          <w:p w14:paraId="3CB444B0">
            <w:pPr>
              <w:pageBreakBefore w:val="0"/>
              <w:shd w:val="clear"/>
              <w:kinsoku/>
              <w:overflowPunct/>
              <w:topLinePunct w:val="0"/>
              <w:bidi w:val="0"/>
              <w:adjustRightInd w:val="0"/>
              <w:snapToGrid w:val="0"/>
              <w:spacing w:line="360"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法定代表人或受委托人：</w:t>
            </w:r>
          </w:p>
          <w:p w14:paraId="6639E303">
            <w:pPr>
              <w:pageBreakBefore w:val="0"/>
              <w:shd w:val="clear"/>
              <w:kinsoku/>
              <w:overflowPunct/>
              <w:topLinePunct w:val="0"/>
              <w:bidi w:val="0"/>
              <w:adjustRightInd w:val="0"/>
              <w:snapToGrid w:val="0"/>
              <w:spacing w:line="360"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（签字）</w:t>
            </w:r>
          </w:p>
        </w:tc>
        <w:tc>
          <w:tcPr>
            <w:tcW w:w="4368" w:type="dxa"/>
            <w:tcBorders>
              <w:top w:val="nil"/>
              <w:left w:val="nil"/>
              <w:bottom w:val="nil"/>
              <w:right w:val="nil"/>
            </w:tcBorders>
            <w:noWrap w:val="0"/>
            <w:vAlign w:val="top"/>
          </w:tcPr>
          <w:p w14:paraId="34D16866">
            <w:pPr>
              <w:pStyle w:val="26"/>
              <w:pageBreakBefore w:val="0"/>
              <w:shd w:val="clear"/>
              <w:kinsoku/>
              <w:overflowPunct/>
              <w:topLinePunct w:val="0"/>
              <w:bidi w:val="0"/>
              <w:adjustRightInd w:val="0"/>
              <w:snapToGrid w:val="0"/>
              <w:spacing w:line="360"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法定代表人或受委托人：</w:t>
            </w:r>
          </w:p>
          <w:p w14:paraId="1458F1E1">
            <w:pPr>
              <w:pStyle w:val="26"/>
              <w:pageBreakBefore w:val="0"/>
              <w:shd w:val="clear"/>
              <w:kinsoku/>
              <w:overflowPunct/>
              <w:topLinePunct w:val="0"/>
              <w:bidi w:val="0"/>
              <w:adjustRightInd w:val="0"/>
              <w:snapToGrid w:val="0"/>
              <w:spacing w:line="360"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（签字）</w:t>
            </w:r>
          </w:p>
        </w:tc>
      </w:tr>
      <w:tr w14:paraId="378C1802">
        <w:tblPrEx>
          <w:tblCellMar>
            <w:top w:w="0" w:type="dxa"/>
            <w:left w:w="108" w:type="dxa"/>
            <w:bottom w:w="0" w:type="dxa"/>
            <w:right w:w="108" w:type="dxa"/>
          </w:tblCellMar>
        </w:tblPrEx>
        <w:trPr>
          <w:jc w:val="center"/>
        </w:trPr>
        <w:tc>
          <w:tcPr>
            <w:tcW w:w="4547" w:type="dxa"/>
            <w:tcBorders>
              <w:top w:val="nil"/>
              <w:left w:val="nil"/>
              <w:bottom w:val="nil"/>
              <w:right w:val="nil"/>
            </w:tcBorders>
            <w:noWrap w:val="0"/>
            <w:vAlign w:val="top"/>
          </w:tcPr>
          <w:p w14:paraId="595D65DB">
            <w:pPr>
              <w:pageBreakBefore w:val="0"/>
              <w:shd w:val="clear"/>
              <w:kinsoku/>
              <w:overflowPunct/>
              <w:topLinePunct w:val="0"/>
              <w:bidi w:val="0"/>
              <w:adjustRightInd w:val="0"/>
              <w:snapToGrid w:val="0"/>
              <w:spacing w:line="360"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地址：杭州</w:t>
            </w:r>
            <w:r>
              <w:rPr>
                <w:rFonts w:hint="eastAsia" w:ascii="宋体" w:hAnsi="宋体" w:eastAsia="宋体" w:cs="宋体"/>
                <w:color w:val="auto"/>
                <w:spacing w:val="-6"/>
                <w:sz w:val="21"/>
                <w:szCs w:val="21"/>
                <w:highlight w:val="none"/>
                <w:lang w:eastAsia="zh-CN"/>
              </w:rPr>
              <w:t>市钱塘区</w:t>
            </w:r>
            <w:r>
              <w:rPr>
                <w:rFonts w:hint="eastAsia" w:ascii="宋体" w:hAnsi="宋体" w:eastAsia="宋体" w:cs="宋体"/>
                <w:color w:val="auto"/>
                <w:spacing w:val="-6"/>
                <w:sz w:val="21"/>
                <w:szCs w:val="21"/>
                <w:highlight w:val="none"/>
              </w:rPr>
              <w:t xml:space="preserve">2号大街928号 </w:t>
            </w:r>
          </w:p>
        </w:tc>
        <w:tc>
          <w:tcPr>
            <w:tcW w:w="4368" w:type="dxa"/>
            <w:tcBorders>
              <w:top w:val="nil"/>
              <w:left w:val="nil"/>
              <w:bottom w:val="nil"/>
              <w:right w:val="nil"/>
            </w:tcBorders>
            <w:noWrap w:val="0"/>
            <w:vAlign w:val="top"/>
          </w:tcPr>
          <w:p w14:paraId="54392667">
            <w:pPr>
              <w:pStyle w:val="26"/>
              <w:pageBreakBefore w:val="0"/>
              <w:shd w:val="clear"/>
              <w:kinsoku/>
              <w:overflowPunct/>
              <w:topLinePunct w:val="0"/>
              <w:bidi w:val="0"/>
              <w:adjustRightInd w:val="0"/>
              <w:snapToGrid w:val="0"/>
              <w:spacing w:line="360"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地址：</w:t>
            </w:r>
          </w:p>
        </w:tc>
      </w:tr>
      <w:tr w14:paraId="04A4B618">
        <w:tblPrEx>
          <w:tblCellMar>
            <w:top w:w="0" w:type="dxa"/>
            <w:left w:w="108" w:type="dxa"/>
            <w:bottom w:w="0" w:type="dxa"/>
            <w:right w:w="108" w:type="dxa"/>
          </w:tblCellMar>
        </w:tblPrEx>
        <w:trPr>
          <w:jc w:val="center"/>
        </w:trPr>
        <w:tc>
          <w:tcPr>
            <w:tcW w:w="4547" w:type="dxa"/>
            <w:tcBorders>
              <w:top w:val="nil"/>
              <w:left w:val="nil"/>
              <w:bottom w:val="nil"/>
              <w:right w:val="nil"/>
            </w:tcBorders>
            <w:noWrap w:val="0"/>
            <w:vAlign w:val="top"/>
          </w:tcPr>
          <w:p w14:paraId="2B495378">
            <w:pPr>
              <w:pageBreakBefore w:val="0"/>
              <w:shd w:val="clear"/>
              <w:kinsoku/>
              <w:overflowPunct/>
              <w:topLinePunct w:val="0"/>
              <w:bidi w:val="0"/>
              <w:adjustRightInd w:val="0"/>
              <w:snapToGrid w:val="0"/>
              <w:spacing w:line="360"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邮编：310018</w:t>
            </w:r>
          </w:p>
        </w:tc>
        <w:tc>
          <w:tcPr>
            <w:tcW w:w="4368" w:type="dxa"/>
            <w:tcBorders>
              <w:top w:val="nil"/>
              <w:left w:val="nil"/>
              <w:bottom w:val="nil"/>
              <w:right w:val="nil"/>
            </w:tcBorders>
            <w:noWrap w:val="0"/>
            <w:vAlign w:val="top"/>
          </w:tcPr>
          <w:p w14:paraId="2171E50C">
            <w:pPr>
              <w:pStyle w:val="26"/>
              <w:pageBreakBefore w:val="0"/>
              <w:shd w:val="clear"/>
              <w:kinsoku/>
              <w:overflowPunct/>
              <w:topLinePunct w:val="0"/>
              <w:bidi w:val="0"/>
              <w:adjustRightInd w:val="0"/>
              <w:snapToGrid w:val="0"/>
              <w:spacing w:line="360"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邮编：</w:t>
            </w:r>
          </w:p>
        </w:tc>
      </w:tr>
      <w:tr w14:paraId="7CF09253">
        <w:tblPrEx>
          <w:tblCellMar>
            <w:top w:w="0" w:type="dxa"/>
            <w:left w:w="108" w:type="dxa"/>
            <w:bottom w:w="0" w:type="dxa"/>
            <w:right w:w="108" w:type="dxa"/>
          </w:tblCellMar>
        </w:tblPrEx>
        <w:trPr>
          <w:jc w:val="center"/>
        </w:trPr>
        <w:tc>
          <w:tcPr>
            <w:tcW w:w="4547" w:type="dxa"/>
            <w:tcBorders>
              <w:top w:val="nil"/>
              <w:left w:val="nil"/>
              <w:bottom w:val="nil"/>
              <w:right w:val="nil"/>
            </w:tcBorders>
            <w:noWrap w:val="0"/>
            <w:vAlign w:val="center"/>
          </w:tcPr>
          <w:p w14:paraId="636CADC1">
            <w:pPr>
              <w:pageBreakBefore w:val="0"/>
              <w:shd w:val="clear"/>
              <w:kinsoku/>
              <w:overflowPunct/>
              <w:topLinePunct w:val="0"/>
              <w:bidi w:val="0"/>
              <w:adjustRightInd w:val="0"/>
              <w:snapToGrid w:val="0"/>
              <w:spacing w:line="360" w:lineRule="auto"/>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z w:val="21"/>
                <w:szCs w:val="21"/>
                <w:highlight w:val="none"/>
              </w:rPr>
              <w:t>电话：0571-</w:t>
            </w:r>
            <w:r>
              <w:rPr>
                <w:rFonts w:hint="eastAsia" w:ascii="宋体" w:hAnsi="宋体" w:eastAsia="宋体" w:cs="宋体"/>
                <w:color w:val="auto"/>
                <w:highlight w:val="none"/>
                <w:lang w:val="en-US" w:eastAsia="zh-CN"/>
              </w:rPr>
              <w:t>86843273</w:t>
            </w:r>
          </w:p>
        </w:tc>
        <w:tc>
          <w:tcPr>
            <w:tcW w:w="4368" w:type="dxa"/>
            <w:tcBorders>
              <w:top w:val="nil"/>
              <w:left w:val="nil"/>
              <w:bottom w:val="nil"/>
              <w:right w:val="nil"/>
            </w:tcBorders>
            <w:noWrap w:val="0"/>
            <w:vAlign w:val="top"/>
          </w:tcPr>
          <w:p w14:paraId="5C725F31">
            <w:pPr>
              <w:pStyle w:val="26"/>
              <w:pageBreakBefore w:val="0"/>
              <w:shd w:val="clear"/>
              <w:kinsoku/>
              <w:overflowPunct/>
              <w:topLinePunct w:val="0"/>
              <w:bidi w:val="0"/>
              <w:adjustRightInd w:val="0"/>
              <w:snapToGrid w:val="0"/>
              <w:spacing w:line="360"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电话：</w:t>
            </w:r>
          </w:p>
        </w:tc>
      </w:tr>
      <w:tr w14:paraId="0912BFAF">
        <w:tblPrEx>
          <w:tblCellMar>
            <w:top w:w="0" w:type="dxa"/>
            <w:left w:w="108" w:type="dxa"/>
            <w:bottom w:w="0" w:type="dxa"/>
            <w:right w:w="108" w:type="dxa"/>
          </w:tblCellMar>
        </w:tblPrEx>
        <w:trPr>
          <w:jc w:val="center"/>
        </w:trPr>
        <w:tc>
          <w:tcPr>
            <w:tcW w:w="4547" w:type="dxa"/>
            <w:tcBorders>
              <w:top w:val="nil"/>
              <w:left w:val="nil"/>
              <w:bottom w:val="nil"/>
              <w:right w:val="nil"/>
            </w:tcBorders>
            <w:noWrap w:val="0"/>
            <w:vAlign w:val="center"/>
          </w:tcPr>
          <w:p w14:paraId="5442E70B">
            <w:pPr>
              <w:pageBreakBefore w:val="0"/>
              <w:shd w:val="clear"/>
              <w:kinsoku/>
              <w:overflowPunct/>
              <w:topLinePunct w:val="0"/>
              <w:bidi w:val="0"/>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传真：0571-86843156</w:t>
            </w:r>
          </w:p>
          <w:p w14:paraId="33C4B345">
            <w:pPr>
              <w:pageBreakBefore w:val="0"/>
              <w:shd w:val="clear"/>
              <w:kinsoku/>
              <w:overflowPunct/>
              <w:topLinePunct w:val="0"/>
              <w:bidi w:val="0"/>
              <w:adjustRightInd w:val="0"/>
              <w:snapToGrid w:val="0"/>
              <w:spacing w:line="360" w:lineRule="auto"/>
              <w:rPr>
                <w:rFonts w:hint="eastAsia" w:ascii="宋体" w:hAnsi="宋体" w:eastAsia="宋体" w:cs="宋体"/>
                <w:color w:val="auto"/>
                <w:sz w:val="21"/>
                <w:szCs w:val="21"/>
                <w:highlight w:val="none"/>
              </w:rPr>
            </w:pPr>
            <w:r>
              <w:rPr>
                <w:rStyle w:val="71"/>
                <w:rFonts w:hint="eastAsia" w:ascii="宋体" w:hAnsi="宋体" w:eastAsia="宋体" w:cs="宋体"/>
                <w:color w:val="auto"/>
                <w:sz w:val="21"/>
                <w:szCs w:val="21"/>
                <w:highlight w:val="none"/>
              </w:rPr>
              <w:t>统一社会信用代码：12330000470009034M</w:t>
            </w:r>
          </w:p>
        </w:tc>
        <w:tc>
          <w:tcPr>
            <w:tcW w:w="4368" w:type="dxa"/>
            <w:tcBorders>
              <w:top w:val="nil"/>
              <w:left w:val="nil"/>
              <w:bottom w:val="nil"/>
              <w:right w:val="nil"/>
            </w:tcBorders>
            <w:noWrap w:val="0"/>
            <w:vAlign w:val="top"/>
          </w:tcPr>
          <w:p w14:paraId="064CF27F">
            <w:pPr>
              <w:pStyle w:val="26"/>
              <w:pageBreakBefore w:val="0"/>
              <w:shd w:val="clear"/>
              <w:kinsoku/>
              <w:overflowPunct/>
              <w:topLinePunct w:val="0"/>
              <w:bidi w:val="0"/>
              <w:adjustRightInd w:val="0"/>
              <w:snapToGrid w:val="0"/>
              <w:spacing w:line="360"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传真：</w:t>
            </w:r>
          </w:p>
          <w:p w14:paraId="2761DC81">
            <w:pPr>
              <w:pStyle w:val="26"/>
              <w:pageBreakBefore w:val="0"/>
              <w:shd w:val="clear"/>
              <w:kinsoku/>
              <w:overflowPunct/>
              <w:topLinePunct w:val="0"/>
              <w:bidi w:val="0"/>
              <w:adjustRightInd w:val="0"/>
              <w:snapToGrid w:val="0"/>
              <w:spacing w:line="360"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统一社会信用代码：</w:t>
            </w:r>
          </w:p>
        </w:tc>
      </w:tr>
      <w:tr w14:paraId="4BAD9966">
        <w:tblPrEx>
          <w:tblCellMar>
            <w:top w:w="0" w:type="dxa"/>
            <w:left w:w="108" w:type="dxa"/>
            <w:bottom w:w="0" w:type="dxa"/>
            <w:right w:w="108" w:type="dxa"/>
          </w:tblCellMar>
        </w:tblPrEx>
        <w:trPr>
          <w:jc w:val="center"/>
        </w:trPr>
        <w:tc>
          <w:tcPr>
            <w:tcW w:w="4547" w:type="dxa"/>
            <w:tcBorders>
              <w:top w:val="nil"/>
              <w:left w:val="nil"/>
              <w:bottom w:val="nil"/>
              <w:right w:val="nil"/>
            </w:tcBorders>
            <w:noWrap w:val="0"/>
            <w:vAlign w:val="center"/>
          </w:tcPr>
          <w:p w14:paraId="576D4775">
            <w:pPr>
              <w:pageBreakBefore w:val="0"/>
              <w:shd w:val="clear"/>
              <w:kinsoku/>
              <w:overflowPunct/>
              <w:topLinePunct w:val="0"/>
              <w:bidi w:val="0"/>
              <w:adjustRightInd w:val="0"/>
              <w:snapToGrid w:val="0"/>
              <w:spacing w:line="360" w:lineRule="auto"/>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开户银行：</w:t>
            </w:r>
            <w:r>
              <w:rPr>
                <w:rFonts w:hint="eastAsia" w:ascii="宋体" w:hAnsi="宋体" w:eastAsia="宋体" w:cs="宋体"/>
                <w:color w:val="auto"/>
                <w:spacing w:val="-6"/>
                <w:sz w:val="21"/>
                <w:szCs w:val="21"/>
                <w:highlight w:val="none"/>
                <w:lang w:bidi="ar"/>
              </w:rPr>
              <w:t>中国农业银行杭州枫华支行</w:t>
            </w:r>
          </w:p>
        </w:tc>
        <w:tc>
          <w:tcPr>
            <w:tcW w:w="4368" w:type="dxa"/>
            <w:tcBorders>
              <w:top w:val="nil"/>
              <w:left w:val="nil"/>
              <w:bottom w:val="nil"/>
              <w:right w:val="nil"/>
            </w:tcBorders>
            <w:noWrap w:val="0"/>
            <w:vAlign w:val="top"/>
          </w:tcPr>
          <w:p w14:paraId="1F9657DE">
            <w:pPr>
              <w:pStyle w:val="26"/>
              <w:pageBreakBefore w:val="0"/>
              <w:shd w:val="clear"/>
              <w:kinsoku/>
              <w:overflowPunct/>
              <w:topLinePunct w:val="0"/>
              <w:bidi w:val="0"/>
              <w:adjustRightInd w:val="0"/>
              <w:snapToGrid w:val="0"/>
              <w:spacing w:line="360"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开户银行：</w:t>
            </w:r>
          </w:p>
        </w:tc>
      </w:tr>
      <w:tr w14:paraId="046C283C">
        <w:tblPrEx>
          <w:tblCellMar>
            <w:top w:w="0" w:type="dxa"/>
            <w:left w:w="108" w:type="dxa"/>
            <w:bottom w:w="0" w:type="dxa"/>
            <w:right w:w="108" w:type="dxa"/>
          </w:tblCellMar>
        </w:tblPrEx>
        <w:trPr>
          <w:jc w:val="center"/>
        </w:trPr>
        <w:tc>
          <w:tcPr>
            <w:tcW w:w="4547" w:type="dxa"/>
            <w:tcBorders>
              <w:top w:val="nil"/>
              <w:left w:val="nil"/>
              <w:bottom w:val="nil"/>
              <w:right w:val="nil"/>
            </w:tcBorders>
            <w:noWrap w:val="0"/>
            <w:vAlign w:val="center"/>
          </w:tcPr>
          <w:p w14:paraId="16E2F7A0">
            <w:pPr>
              <w:pageBreakBefore w:val="0"/>
              <w:shd w:val="clear"/>
              <w:kinsoku/>
              <w:overflowPunct/>
              <w:topLinePunct w:val="0"/>
              <w:bidi w:val="0"/>
              <w:adjustRightInd w:val="0"/>
              <w:snapToGrid w:val="0"/>
              <w:spacing w:line="360" w:lineRule="auto"/>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帐号：</w:t>
            </w:r>
            <w:r>
              <w:rPr>
                <w:rFonts w:hint="eastAsia" w:ascii="宋体" w:hAnsi="宋体" w:eastAsia="宋体" w:cs="宋体"/>
                <w:color w:val="auto"/>
                <w:spacing w:val="-6"/>
                <w:sz w:val="21"/>
                <w:szCs w:val="21"/>
                <w:highlight w:val="none"/>
                <w:lang w:bidi="ar"/>
              </w:rPr>
              <w:t>19001401040051897</w:t>
            </w:r>
          </w:p>
        </w:tc>
        <w:tc>
          <w:tcPr>
            <w:tcW w:w="4368" w:type="dxa"/>
            <w:tcBorders>
              <w:top w:val="nil"/>
              <w:left w:val="nil"/>
              <w:bottom w:val="nil"/>
              <w:right w:val="nil"/>
            </w:tcBorders>
            <w:noWrap w:val="0"/>
            <w:vAlign w:val="top"/>
          </w:tcPr>
          <w:p w14:paraId="352F734E">
            <w:pPr>
              <w:pStyle w:val="26"/>
              <w:pageBreakBefore w:val="0"/>
              <w:shd w:val="clear"/>
              <w:kinsoku/>
              <w:overflowPunct/>
              <w:topLinePunct w:val="0"/>
              <w:bidi w:val="0"/>
              <w:adjustRightInd w:val="0"/>
              <w:snapToGrid w:val="0"/>
              <w:spacing w:line="360"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帐号：</w:t>
            </w:r>
          </w:p>
        </w:tc>
      </w:tr>
      <w:tr w14:paraId="08226386">
        <w:tblPrEx>
          <w:tblCellMar>
            <w:top w:w="0" w:type="dxa"/>
            <w:left w:w="108" w:type="dxa"/>
            <w:bottom w:w="0" w:type="dxa"/>
            <w:right w:w="108" w:type="dxa"/>
          </w:tblCellMar>
        </w:tblPrEx>
        <w:trPr>
          <w:jc w:val="center"/>
        </w:trPr>
        <w:tc>
          <w:tcPr>
            <w:tcW w:w="4547" w:type="dxa"/>
            <w:tcBorders>
              <w:top w:val="nil"/>
              <w:left w:val="nil"/>
              <w:bottom w:val="nil"/>
              <w:right w:val="nil"/>
            </w:tcBorders>
            <w:noWrap w:val="0"/>
            <w:vAlign w:val="top"/>
          </w:tcPr>
          <w:p w14:paraId="24832925">
            <w:pPr>
              <w:pageBreakBefore w:val="0"/>
              <w:shd w:val="clear"/>
              <w:kinsoku/>
              <w:overflowPunct/>
              <w:topLinePunct w:val="0"/>
              <w:bidi w:val="0"/>
              <w:adjustRightInd w:val="0"/>
              <w:snapToGrid w:val="0"/>
              <w:spacing w:line="360"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签约时间：    年   月   日</w:t>
            </w:r>
          </w:p>
        </w:tc>
        <w:tc>
          <w:tcPr>
            <w:tcW w:w="4368" w:type="dxa"/>
            <w:tcBorders>
              <w:top w:val="nil"/>
              <w:left w:val="nil"/>
              <w:bottom w:val="nil"/>
              <w:right w:val="nil"/>
            </w:tcBorders>
            <w:noWrap w:val="0"/>
            <w:vAlign w:val="top"/>
          </w:tcPr>
          <w:p w14:paraId="211D8342">
            <w:pPr>
              <w:pageBreakBefore w:val="0"/>
              <w:shd w:val="clear"/>
              <w:kinsoku/>
              <w:overflowPunct/>
              <w:topLinePunct w:val="0"/>
              <w:bidi w:val="0"/>
              <w:adjustRightInd w:val="0"/>
              <w:snapToGrid w:val="0"/>
              <w:spacing w:line="360"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签约时间：    年   月   日</w:t>
            </w:r>
          </w:p>
        </w:tc>
      </w:tr>
      <w:tr w14:paraId="5F179A20">
        <w:tblPrEx>
          <w:tblCellMar>
            <w:top w:w="0" w:type="dxa"/>
            <w:left w:w="108" w:type="dxa"/>
            <w:bottom w:w="0" w:type="dxa"/>
            <w:right w:w="108" w:type="dxa"/>
          </w:tblCellMar>
        </w:tblPrEx>
        <w:trPr>
          <w:gridAfter w:val="1"/>
          <w:wAfter w:w="4368" w:type="dxa"/>
          <w:trHeight w:val="801" w:hRule="atLeast"/>
          <w:jc w:val="center"/>
        </w:trPr>
        <w:tc>
          <w:tcPr>
            <w:tcW w:w="4547" w:type="dxa"/>
            <w:tcBorders>
              <w:top w:val="nil"/>
              <w:left w:val="nil"/>
              <w:bottom w:val="nil"/>
              <w:right w:val="nil"/>
            </w:tcBorders>
            <w:noWrap w:val="0"/>
            <w:vAlign w:val="top"/>
          </w:tcPr>
          <w:p w14:paraId="7DD323A9">
            <w:pPr>
              <w:pageBreakBefore w:val="0"/>
              <w:shd w:val="clear"/>
              <w:kinsoku/>
              <w:overflowPunct/>
              <w:topLinePunct w:val="0"/>
              <w:bidi w:val="0"/>
              <w:adjustRightInd w:val="0"/>
              <w:snapToGrid w:val="0"/>
              <w:spacing w:line="360" w:lineRule="auto"/>
              <w:rPr>
                <w:rFonts w:hint="eastAsia" w:ascii="宋体" w:hAnsi="宋体" w:eastAsia="宋体" w:cs="宋体"/>
                <w:color w:val="auto"/>
                <w:spacing w:val="-6"/>
                <w:sz w:val="21"/>
                <w:szCs w:val="21"/>
                <w:highlight w:val="none"/>
              </w:rPr>
            </w:pPr>
          </w:p>
          <w:p w14:paraId="5C8A2B50">
            <w:pPr>
              <w:pageBreakBefore w:val="0"/>
              <w:shd w:val="clear"/>
              <w:kinsoku/>
              <w:overflowPunct/>
              <w:topLinePunct w:val="0"/>
              <w:bidi w:val="0"/>
              <w:adjustRightInd w:val="0"/>
              <w:snapToGrid w:val="0"/>
              <w:spacing w:line="360"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采购代理机构：浙江国际招投标有限公司（公章）</w:t>
            </w:r>
          </w:p>
        </w:tc>
      </w:tr>
      <w:tr w14:paraId="0DBCE291">
        <w:tblPrEx>
          <w:tblCellMar>
            <w:top w:w="0" w:type="dxa"/>
            <w:left w:w="108" w:type="dxa"/>
            <w:bottom w:w="0" w:type="dxa"/>
            <w:right w:w="108" w:type="dxa"/>
          </w:tblCellMar>
        </w:tblPrEx>
        <w:trPr>
          <w:gridAfter w:val="1"/>
          <w:wAfter w:w="4368" w:type="dxa"/>
          <w:trHeight w:val="717" w:hRule="atLeast"/>
          <w:jc w:val="center"/>
        </w:trPr>
        <w:tc>
          <w:tcPr>
            <w:tcW w:w="4547" w:type="dxa"/>
            <w:tcBorders>
              <w:top w:val="nil"/>
              <w:left w:val="nil"/>
              <w:bottom w:val="nil"/>
              <w:right w:val="nil"/>
            </w:tcBorders>
            <w:noWrap w:val="0"/>
            <w:vAlign w:val="top"/>
          </w:tcPr>
          <w:p w14:paraId="37EA4C25">
            <w:pPr>
              <w:pageBreakBefore w:val="0"/>
              <w:shd w:val="clear"/>
              <w:kinsoku/>
              <w:overflowPunct/>
              <w:topLinePunct w:val="0"/>
              <w:bidi w:val="0"/>
              <w:adjustRightInd w:val="0"/>
              <w:snapToGrid w:val="0"/>
              <w:spacing w:line="360"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采购代理机构代表：</w:t>
            </w:r>
          </w:p>
          <w:p w14:paraId="7BA828FB">
            <w:pPr>
              <w:pageBreakBefore w:val="0"/>
              <w:shd w:val="clear"/>
              <w:kinsoku/>
              <w:overflowPunct/>
              <w:topLinePunct w:val="0"/>
              <w:bidi w:val="0"/>
              <w:adjustRightInd w:val="0"/>
              <w:snapToGrid w:val="0"/>
              <w:spacing w:line="360"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（签字）</w:t>
            </w:r>
          </w:p>
        </w:tc>
      </w:tr>
      <w:tr w14:paraId="4BAB9B66">
        <w:tblPrEx>
          <w:tblCellMar>
            <w:top w:w="0" w:type="dxa"/>
            <w:left w:w="108" w:type="dxa"/>
            <w:bottom w:w="0" w:type="dxa"/>
            <w:right w:w="108" w:type="dxa"/>
          </w:tblCellMar>
        </w:tblPrEx>
        <w:trPr>
          <w:gridAfter w:val="1"/>
          <w:wAfter w:w="4368" w:type="dxa"/>
          <w:jc w:val="center"/>
        </w:trPr>
        <w:tc>
          <w:tcPr>
            <w:tcW w:w="4547" w:type="dxa"/>
            <w:tcBorders>
              <w:top w:val="nil"/>
              <w:left w:val="nil"/>
              <w:bottom w:val="nil"/>
              <w:right w:val="nil"/>
            </w:tcBorders>
            <w:noWrap w:val="0"/>
            <w:vAlign w:val="top"/>
          </w:tcPr>
          <w:p w14:paraId="1F0A4022">
            <w:pPr>
              <w:pageBreakBefore w:val="0"/>
              <w:shd w:val="clear"/>
              <w:kinsoku/>
              <w:overflowPunct/>
              <w:topLinePunct w:val="0"/>
              <w:bidi w:val="0"/>
              <w:adjustRightInd w:val="0"/>
              <w:snapToGrid w:val="0"/>
              <w:spacing w:line="360"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地址：杭州市文三路90号东部软件园1号楼3楼</w:t>
            </w:r>
          </w:p>
        </w:tc>
      </w:tr>
      <w:tr w14:paraId="065F2D23">
        <w:tblPrEx>
          <w:tblCellMar>
            <w:top w:w="0" w:type="dxa"/>
            <w:left w:w="108" w:type="dxa"/>
            <w:bottom w:w="0" w:type="dxa"/>
            <w:right w:w="108" w:type="dxa"/>
          </w:tblCellMar>
        </w:tblPrEx>
        <w:trPr>
          <w:gridAfter w:val="1"/>
          <w:wAfter w:w="4368" w:type="dxa"/>
          <w:jc w:val="center"/>
        </w:trPr>
        <w:tc>
          <w:tcPr>
            <w:tcW w:w="4547" w:type="dxa"/>
            <w:tcBorders>
              <w:top w:val="nil"/>
              <w:left w:val="nil"/>
              <w:bottom w:val="nil"/>
              <w:right w:val="nil"/>
            </w:tcBorders>
            <w:noWrap w:val="0"/>
            <w:vAlign w:val="top"/>
          </w:tcPr>
          <w:p w14:paraId="55881893">
            <w:pPr>
              <w:pageBreakBefore w:val="0"/>
              <w:shd w:val="clear"/>
              <w:kinsoku/>
              <w:overflowPunct/>
              <w:topLinePunct w:val="0"/>
              <w:bidi w:val="0"/>
              <w:adjustRightInd w:val="0"/>
              <w:snapToGrid w:val="0"/>
              <w:spacing w:line="360"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邮编：310012</w:t>
            </w:r>
          </w:p>
        </w:tc>
      </w:tr>
      <w:tr w14:paraId="2E8186B8">
        <w:tblPrEx>
          <w:tblCellMar>
            <w:top w:w="0" w:type="dxa"/>
            <w:left w:w="108" w:type="dxa"/>
            <w:bottom w:w="0" w:type="dxa"/>
            <w:right w:w="108" w:type="dxa"/>
          </w:tblCellMar>
        </w:tblPrEx>
        <w:trPr>
          <w:gridAfter w:val="1"/>
          <w:wAfter w:w="4368" w:type="dxa"/>
          <w:jc w:val="center"/>
        </w:trPr>
        <w:tc>
          <w:tcPr>
            <w:tcW w:w="4547" w:type="dxa"/>
            <w:tcBorders>
              <w:top w:val="nil"/>
              <w:left w:val="nil"/>
              <w:bottom w:val="nil"/>
              <w:right w:val="nil"/>
            </w:tcBorders>
            <w:noWrap w:val="0"/>
            <w:vAlign w:val="top"/>
          </w:tcPr>
          <w:p w14:paraId="54F1C99D">
            <w:pPr>
              <w:pageBreakBefore w:val="0"/>
              <w:shd w:val="clear"/>
              <w:kinsoku/>
              <w:overflowPunct/>
              <w:topLinePunct w:val="0"/>
              <w:bidi w:val="0"/>
              <w:adjustRightInd w:val="0"/>
              <w:snapToGrid w:val="0"/>
              <w:spacing w:line="360"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电话：0571-81061809</w:t>
            </w:r>
          </w:p>
        </w:tc>
      </w:tr>
      <w:tr w14:paraId="4D179B99">
        <w:tblPrEx>
          <w:tblCellMar>
            <w:top w:w="0" w:type="dxa"/>
            <w:left w:w="108" w:type="dxa"/>
            <w:bottom w:w="0" w:type="dxa"/>
            <w:right w:w="108" w:type="dxa"/>
          </w:tblCellMar>
        </w:tblPrEx>
        <w:trPr>
          <w:gridAfter w:val="1"/>
          <w:wAfter w:w="4368" w:type="dxa"/>
          <w:jc w:val="center"/>
        </w:trPr>
        <w:tc>
          <w:tcPr>
            <w:tcW w:w="4547" w:type="dxa"/>
            <w:tcBorders>
              <w:top w:val="nil"/>
              <w:left w:val="nil"/>
              <w:bottom w:val="nil"/>
              <w:right w:val="nil"/>
            </w:tcBorders>
            <w:noWrap w:val="0"/>
            <w:vAlign w:val="top"/>
          </w:tcPr>
          <w:p w14:paraId="0FD8BD4D">
            <w:pPr>
              <w:pageBreakBefore w:val="0"/>
              <w:shd w:val="clear"/>
              <w:kinsoku/>
              <w:overflowPunct/>
              <w:topLinePunct w:val="0"/>
              <w:bidi w:val="0"/>
              <w:adjustRightInd w:val="0"/>
              <w:snapToGrid w:val="0"/>
              <w:spacing w:line="360"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传真：0571-88473430</w:t>
            </w:r>
          </w:p>
        </w:tc>
      </w:tr>
      <w:tr w14:paraId="257E6887">
        <w:tblPrEx>
          <w:tblCellMar>
            <w:top w:w="0" w:type="dxa"/>
            <w:left w:w="108" w:type="dxa"/>
            <w:bottom w:w="0" w:type="dxa"/>
            <w:right w:w="108" w:type="dxa"/>
          </w:tblCellMar>
        </w:tblPrEx>
        <w:trPr>
          <w:gridAfter w:val="1"/>
          <w:wAfter w:w="4368" w:type="dxa"/>
          <w:jc w:val="center"/>
        </w:trPr>
        <w:tc>
          <w:tcPr>
            <w:tcW w:w="4547" w:type="dxa"/>
            <w:tcBorders>
              <w:top w:val="nil"/>
              <w:left w:val="nil"/>
              <w:bottom w:val="nil"/>
              <w:right w:val="nil"/>
            </w:tcBorders>
            <w:noWrap w:val="0"/>
            <w:vAlign w:val="top"/>
          </w:tcPr>
          <w:p w14:paraId="6332AA52">
            <w:pPr>
              <w:pageBreakBefore w:val="0"/>
              <w:shd w:val="clear"/>
              <w:kinsoku/>
              <w:overflowPunct/>
              <w:topLinePunct w:val="0"/>
              <w:bidi w:val="0"/>
              <w:adjustRightInd w:val="0"/>
              <w:snapToGrid w:val="0"/>
              <w:spacing w:line="360"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开户银行：</w:t>
            </w:r>
            <w:r>
              <w:rPr>
                <w:rFonts w:hint="eastAsia" w:ascii="宋体" w:hAnsi="宋体" w:eastAsia="宋体" w:cs="宋体"/>
                <w:color w:val="auto"/>
                <w:kern w:val="0"/>
                <w:sz w:val="21"/>
                <w:szCs w:val="21"/>
                <w:highlight w:val="none"/>
              </w:rPr>
              <w:t>中国工商银行杭州武林支行</w:t>
            </w:r>
          </w:p>
        </w:tc>
      </w:tr>
      <w:tr w14:paraId="5598CE0B">
        <w:tblPrEx>
          <w:tblCellMar>
            <w:top w:w="0" w:type="dxa"/>
            <w:left w:w="108" w:type="dxa"/>
            <w:bottom w:w="0" w:type="dxa"/>
            <w:right w:w="108" w:type="dxa"/>
          </w:tblCellMar>
        </w:tblPrEx>
        <w:trPr>
          <w:gridAfter w:val="1"/>
          <w:wAfter w:w="4368" w:type="dxa"/>
          <w:jc w:val="center"/>
        </w:trPr>
        <w:tc>
          <w:tcPr>
            <w:tcW w:w="4547" w:type="dxa"/>
            <w:tcBorders>
              <w:top w:val="nil"/>
              <w:left w:val="nil"/>
              <w:bottom w:val="nil"/>
              <w:right w:val="nil"/>
            </w:tcBorders>
            <w:noWrap w:val="0"/>
            <w:vAlign w:val="top"/>
          </w:tcPr>
          <w:p w14:paraId="415C089C">
            <w:pPr>
              <w:pageBreakBefore w:val="0"/>
              <w:shd w:val="clear"/>
              <w:kinsoku/>
              <w:overflowPunct/>
              <w:topLinePunct w:val="0"/>
              <w:bidi w:val="0"/>
              <w:adjustRightInd w:val="0"/>
              <w:snapToGrid w:val="0"/>
              <w:spacing w:line="360"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帐号：</w:t>
            </w:r>
            <w:r>
              <w:rPr>
                <w:rFonts w:hint="eastAsia" w:ascii="宋体" w:hAnsi="宋体" w:eastAsia="宋体" w:cs="宋体"/>
                <w:color w:val="auto"/>
                <w:kern w:val="0"/>
                <w:sz w:val="21"/>
                <w:szCs w:val="21"/>
                <w:highlight w:val="none"/>
              </w:rPr>
              <w:t>1202 0212 0990 6782 015</w:t>
            </w:r>
          </w:p>
        </w:tc>
      </w:tr>
      <w:tr w14:paraId="129006B6">
        <w:tblPrEx>
          <w:tblCellMar>
            <w:top w:w="0" w:type="dxa"/>
            <w:left w:w="108" w:type="dxa"/>
            <w:bottom w:w="0" w:type="dxa"/>
            <w:right w:w="108" w:type="dxa"/>
          </w:tblCellMar>
        </w:tblPrEx>
        <w:trPr>
          <w:gridAfter w:val="1"/>
          <w:wAfter w:w="4368" w:type="dxa"/>
          <w:jc w:val="center"/>
        </w:trPr>
        <w:tc>
          <w:tcPr>
            <w:tcW w:w="4547" w:type="dxa"/>
            <w:tcBorders>
              <w:top w:val="nil"/>
              <w:left w:val="nil"/>
              <w:bottom w:val="nil"/>
              <w:right w:val="nil"/>
            </w:tcBorders>
            <w:noWrap w:val="0"/>
            <w:vAlign w:val="top"/>
          </w:tcPr>
          <w:p w14:paraId="073A62E6">
            <w:pPr>
              <w:pageBreakBefore w:val="0"/>
              <w:shd w:val="clear"/>
              <w:kinsoku/>
              <w:overflowPunct/>
              <w:topLinePunct w:val="0"/>
              <w:bidi w:val="0"/>
              <w:adjustRightInd w:val="0"/>
              <w:snapToGrid w:val="0"/>
              <w:spacing w:line="360"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签约时间：    年   月   日</w:t>
            </w:r>
          </w:p>
        </w:tc>
      </w:tr>
    </w:tbl>
    <w:p w14:paraId="567889BF">
      <w:pPr>
        <w:pStyle w:val="44"/>
        <w:pageBreakBefore w:val="0"/>
        <w:shd w:val="clear"/>
        <w:kinsoku/>
        <w:overflowPunct/>
        <w:topLinePunct w:val="0"/>
        <w:bidi w:val="0"/>
        <w:adjustRightInd w:val="0"/>
        <w:snapToGrid w:val="0"/>
        <w:spacing w:line="360" w:lineRule="auto"/>
        <w:ind w:left="0" w:leftChars="0" w:firstLine="0" w:firstLineChars="0"/>
        <w:rPr>
          <w:rFonts w:hint="eastAsia" w:ascii="宋体" w:hAnsi="宋体" w:eastAsia="宋体" w:cs="宋体"/>
          <w:color w:val="auto"/>
          <w:sz w:val="21"/>
          <w:szCs w:val="21"/>
          <w:highlight w:val="none"/>
        </w:rPr>
      </w:pPr>
    </w:p>
    <w:p w14:paraId="3BB69DBB">
      <w:pPr>
        <w:pageBreakBefore w:val="0"/>
        <w:numPr>
          <w:ilvl w:val="0"/>
          <w:numId w:val="0"/>
        </w:numPr>
        <w:shd w:val="clear"/>
        <w:kinsoku/>
        <w:overflowPunct/>
        <w:topLinePunct w:val="0"/>
        <w:bidi w:val="0"/>
        <w:adjustRightInd w:val="0"/>
        <w:snapToGrid w:val="0"/>
        <w:spacing w:before="120" w:beforeLines="50" w:after="120" w:afterLines="50" w:line="360" w:lineRule="auto"/>
        <w:jc w:val="center"/>
        <w:outlineLvl w:val="0"/>
        <w:rPr>
          <w:rFonts w:hint="eastAsia" w:ascii="宋体" w:hAnsi="宋体" w:eastAsia="宋体" w:cs="宋体"/>
          <w:b/>
          <w:color w:val="auto"/>
          <w:sz w:val="30"/>
          <w:szCs w:val="30"/>
          <w:highlight w:val="none"/>
        </w:rPr>
      </w:pPr>
      <w:bookmarkStart w:id="48" w:name="_Toc14349"/>
      <w:bookmarkStart w:id="49" w:name="_Toc251566661"/>
      <w:bookmarkStart w:id="50" w:name="_Toc249760790"/>
      <w:r>
        <w:rPr>
          <w:rFonts w:hint="eastAsia" w:ascii="宋体" w:hAnsi="宋体" w:eastAsia="宋体" w:cs="宋体"/>
          <w:b/>
          <w:color w:val="auto"/>
          <w:sz w:val="30"/>
          <w:szCs w:val="30"/>
          <w:highlight w:val="none"/>
        </w:rPr>
        <w:br w:type="page"/>
      </w:r>
      <w:r>
        <w:rPr>
          <w:rFonts w:hint="eastAsia" w:ascii="宋体" w:hAnsi="宋体" w:eastAsia="宋体" w:cs="宋体"/>
          <w:b/>
          <w:color w:val="auto"/>
          <w:sz w:val="30"/>
          <w:szCs w:val="30"/>
          <w:highlight w:val="none"/>
        </w:rPr>
        <w:t xml:space="preserve"> </w:t>
      </w:r>
      <w:bookmarkStart w:id="51" w:name="_Toc9760"/>
      <w:r>
        <w:rPr>
          <w:rStyle w:val="57"/>
          <w:rFonts w:hint="eastAsia" w:ascii="宋体" w:hAnsi="宋体" w:eastAsia="宋体" w:cs="宋体"/>
          <w:color w:val="auto"/>
          <w:highlight w:val="none"/>
          <w:lang w:eastAsia="zh-CN"/>
        </w:rPr>
        <w:t>第五部分</w:t>
      </w:r>
      <w:r>
        <w:rPr>
          <w:rStyle w:val="57"/>
          <w:rFonts w:hint="eastAsia" w:ascii="宋体" w:hAnsi="宋体" w:eastAsia="宋体" w:cs="宋体"/>
          <w:color w:val="auto"/>
          <w:highlight w:val="none"/>
          <w:lang w:val="en-US" w:eastAsia="zh-CN"/>
        </w:rPr>
        <w:t xml:space="preserve">  </w:t>
      </w:r>
      <w:r>
        <w:rPr>
          <w:rStyle w:val="57"/>
          <w:rFonts w:hint="eastAsia" w:ascii="宋体" w:hAnsi="宋体" w:eastAsia="宋体" w:cs="宋体"/>
          <w:color w:val="auto"/>
          <w:highlight w:val="none"/>
        </w:rPr>
        <w:t>评标标准（综合评分法）</w:t>
      </w:r>
      <w:bookmarkEnd w:id="48"/>
      <w:bookmarkEnd w:id="49"/>
      <w:bookmarkEnd w:id="50"/>
      <w:bookmarkEnd w:id="51"/>
    </w:p>
    <w:p w14:paraId="389F82E5">
      <w:pPr>
        <w:pStyle w:val="5"/>
        <w:pageBreakBefore w:val="0"/>
        <w:shd w:val="clear"/>
        <w:kinsoku/>
        <w:overflowPunct/>
        <w:topLinePunct w:val="0"/>
        <w:bidi w:val="0"/>
        <w:spacing w:line="360" w:lineRule="auto"/>
        <w:jc w:val="center"/>
        <w:rPr>
          <w:rFonts w:hint="eastAsia" w:ascii="宋体" w:hAnsi="宋体" w:eastAsia="宋体" w:cs="宋体"/>
          <w:color w:val="auto"/>
          <w:highlight w:val="none"/>
        </w:rPr>
      </w:pPr>
      <w:bookmarkStart w:id="52" w:name="_Toc31202"/>
      <w:r>
        <w:rPr>
          <w:rFonts w:hint="eastAsia" w:ascii="宋体" w:hAnsi="宋体" w:eastAsia="宋体" w:cs="宋体"/>
          <w:color w:val="auto"/>
          <w:highlight w:val="none"/>
          <w:lang w:eastAsia="zh-CN"/>
        </w:rPr>
        <w:t>评标标准</w:t>
      </w:r>
      <w:r>
        <w:rPr>
          <w:rFonts w:hint="eastAsia" w:ascii="宋体" w:hAnsi="宋体" w:eastAsia="宋体" w:cs="宋体"/>
          <w:color w:val="auto"/>
          <w:highlight w:val="none"/>
        </w:rPr>
        <w:t>前附表</w:t>
      </w:r>
      <w:bookmarkEnd w:id="52"/>
    </w:p>
    <w:tbl>
      <w:tblPr>
        <w:tblStyle w:val="46"/>
        <w:tblpPr w:leftFromText="180" w:rightFromText="180" w:vertAnchor="text" w:horzAnchor="page" w:tblpX="1031" w:tblpY="126"/>
        <w:tblW w:w="9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7412"/>
        <w:gridCol w:w="707"/>
        <w:gridCol w:w="996"/>
      </w:tblGrid>
      <w:tr w14:paraId="5DADF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844" w:type="dxa"/>
            <w:vAlign w:val="center"/>
          </w:tcPr>
          <w:p w14:paraId="665E8289">
            <w:pPr>
              <w:spacing w:line="240" w:lineRule="auto"/>
              <w:jc w:val="center"/>
              <w:outlineLvl w:val="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序号</w:t>
            </w:r>
          </w:p>
        </w:tc>
        <w:tc>
          <w:tcPr>
            <w:tcW w:w="7412" w:type="dxa"/>
            <w:vAlign w:val="center"/>
          </w:tcPr>
          <w:p w14:paraId="168F1396">
            <w:pPr>
              <w:spacing w:line="240" w:lineRule="auto"/>
              <w:jc w:val="center"/>
              <w:outlineLvl w:val="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评标标准</w:t>
            </w:r>
          </w:p>
        </w:tc>
        <w:tc>
          <w:tcPr>
            <w:tcW w:w="707" w:type="dxa"/>
            <w:vAlign w:val="center"/>
          </w:tcPr>
          <w:p w14:paraId="5BEC25D2">
            <w:pPr>
              <w:spacing w:line="240" w:lineRule="auto"/>
              <w:jc w:val="center"/>
              <w:outlineLvl w:val="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权重</w:t>
            </w:r>
          </w:p>
        </w:tc>
        <w:tc>
          <w:tcPr>
            <w:tcW w:w="996" w:type="dxa"/>
          </w:tcPr>
          <w:p w14:paraId="199CF0B0">
            <w:pPr>
              <w:spacing w:line="240" w:lineRule="auto"/>
              <w:jc w:val="center"/>
              <w:outlineLvl w:val="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主观分/客观分属性</w:t>
            </w:r>
          </w:p>
        </w:tc>
      </w:tr>
      <w:tr w14:paraId="27A68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44" w:type="dxa"/>
            <w:vAlign w:val="center"/>
          </w:tcPr>
          <w:p w14:paraId="1E2B7B58">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412" w:type="dxa"/>
            <w:vAlign w:val="center"/>
          </w:tcPr>
          <w:p w14:paraId="0BDE277B">
            <w:pPr>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投标人业绩：</w:t>
            </w: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lang w:val="en-US" w:eastAsia="zh-CN"/>
              </w:rPr>
              <w:t>自</w:t>
            </w: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年1月1日（以合同签订时间为准）</w:t>
            </w:r>
            <w:r>
              <w:rPr>
                <w:rFonts w:hint="eastAsia" w:ascii="宋体" w:hAnsi="宋体" w:eastAsia="宋体" w:cs="宋体"/>
                <w:color w:val="auto"/>
                <w:sz w:val="21"/>
                <w:szCs w:val="21"/>
                <w:highlight w:val="none"/>
                <w:lang w:val="en-US" w:eastAsia="zh-CN"/>
              </w:rPr>
              <w:t>以来</w:t>
            </w:r>
            <w:r>
              <w:rPr>
                <w:rFonts w:hint="eastAsia" w:ascii="宋体" w:hAnsi="宋体" w:eastAsia="宋体" w:cs="宋体"/>
                <w:color w:val="auto"/>
                <w:sz w:val="21"/>
                <w:szCs w:val="21"/>
                <w:highlight w:val="none"/>
              </w:rPr>
              <w:t>具有</w:t>
            </w:r>
            <w:r>
              <w:rPr>
                <w:rFonts w:hint="eastAsia" w:ascii="宋体" w:hAnsi="宋体" w:eastAsia="宋体" w:cs="宋体"/>
                <w:color w:val="auto"/>
                <w:sz w:val="21"/>
                <w:szCs w:val="21"/>
                <w:highlight w:val="none"/>
                <w:lang w:val="zh-CN"/>
              </w:rPr>
              <w:t>类似</w:t>
            </w:r>
            <w:r>
              <w:rPr>
                <w:rFonts w:hint="eastAsia" w:ascii="宋体" w:hAnsi="宋体" w:eastAsia="宋体" w:cs="宋体"/>
                <w:color w:val="auto"/>
                <w:sz w:val="21"/>
                <w:szCs w:val="21"/>
                <w:highlight w:val="none"/>
                <w:lang w:val="en-US" w:eastAsia="zh-CN"/>
              </w:rPr>
              <w:t>房建</w:t>
            </w:r>
            <w:r>
              <w:rPr>
                <w:rFonts w:hint="eastAsia" w:ascii="宋体" w:hAnsi="宋体" w:eastAsia="宋体" w:cs="宋体"/>
                <w:color w:val="auto"/>
                <w:sz w:val="21"/>
                <w:szCs w:val="21"/>
                <w:highlight w:val="none"/>
                <w:lang w:val="zh-CN"/>
              </w:rPr>
              <w:t>项目工程结算审核造价咨询服务</w:t>
            </w:r>
            <w:r>
              <w:rPr>
                <w:rFonts w:hint="eastAsia" w:ascii="宋体" w:hAnsi="宋体" w:eastAsia="宋体" w:cs="宋体"/>
                <w:color w:val="auto"/>
                <w:sz w:val="21"/>
                <w:szCs w:val="21"/>
                <w:highlight w:val="none"/>
                <w:lang w:val="en-US" w:eastAsia="zh-CN"/>
              </w:rPr>
              <w:t>业绩</w:t>
            </w:r>
            <w:r>
              <w:rPr>
                <w:rFonts w:hint="eastAsia" w:ascii="宋体" w:hAnsi="宋体" w:eastAsia="宋体" w:cs="宋体"/>
                <w:color w:val="auto"/>
                <w:sz w:val="21"/>
                <w:szCs w:val="21"/>
                <w:highlight w:val="none"/>
                <w:lang w:val="zh-CN"/>
              </w:rPr>
              <w:t>，每提供1份合同业绩得</w:t>
            </w:r>
            <w:r>
              <w:rPr>
                <w:rFonts w:hint="eastAsia" w:ascii="宋体" w:hAnsi="宋体" w:eastAsia="宋体" w:cs="宋体"/>
                <w:color w:val="auto"/>
                <w:sz w:val="21"/>
                <w:szCs w:val="21"/>
                <w:highlight w:val="none"/>
              </w:rPr>
              <w:t>0.5</w:t>
            </w:r>
            <w:r>
              <w:rPr>
                <w:rFonts w:hint="eastAsia" w:ascii="宋体" w:hAnsi="宋体" w:eastAsia="宋体" w:cs="宋体"/>
                <w:color w:val="auto"/>
                <w:sz w:val="21"/>
                <w:szCs w:val="21"/>
                <w:highlight w:val="none"/>
                <w:lang w:val="zh-CN"/>
              </w:rPr>
              <w:t>分，最高得</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zh-CN"/>
              </w:rPr>
              <w:t>分。</w:t>
            </w:r>
          </w:p>
          <w:p w14:paraId="1D35E5EC">
            <w:pPr>
              <w:snapToGrid w:val="0"/>
              <w:spacing w:line="360" w:lineRule="auto"/>
              <w:jc w:val="left"/>
              <w:rPr>
                <w:rFonts w:hint="eastAsia" w:ascii="宋体" w:hAnsi="宋体" w:eastAsia="宋体" w:cs="宋体"/>
                <w:color w:val="auto"/>
                <w:sz w:val="21"/>
                <w:szCs w:val="21"/>
                <w:highlight w:val="none"/>
                <w:lang w:val="zh-CN"/>
              </w:rPr>
            </w:pPr>
            <w:r>
              <w:rPr>
                <w:rFonts w:hint="eastAsia" w:ascii="宋体" w:hAnsi="宋体" w:eastAsia="宋体" w:cs="宋体"/>
                <w:b/>
                <w:bCs/>
                <w:color w:val="auto"/>
                <w:sz w:val="21"/>
                <w:szCs w:val="21"/>
                <w:highlight w:val="none"/>
              </w:rPr>
              <w:t>证明材料：提供合同复印件并加盖公章。</w:t>
            </w:r>
          </w:p>
        </w:tc>
        <w:tc>
          <w:tcPr>
            <w:tcW w:w="707" w:type="dxa"/>
            <w:vAlign w:val="center"/>
          </w:tcPr>
          <w:p w14:paraId="7405B474">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996" w:type="dxa"/>
            <w:vAlign w:val="center"/>
          </w:tcPr>
          <w:p w14:paraId="27A3B669">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w:t>
            </w:r>
          </w:p>
        </w:tc>
      </w:tr>
      <w:tr w14:paraId="5E727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44" w:type="dxa"/>
            <w:vAlign w:val="center"/>
          </w:tcPr>
          <w:p w14:paraId="42EC5692">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7412" w:type="dxa"/>
            <w:vAlign w:val="center"/>
          </w:tcPr>
          <w:p w14:paraId="41846F5E">
            <w:pPr>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投标人具有有效期内的质量管理体系认证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环境管理体系认证、职业健康安全管理体认证，每提供一个得1分，最高得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174CB123">
            <w:pPr>
              <w:snapToGrid w:val="0"/>
              <w:spacing w:line="360" w:lineRule="auto"/>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w:t>
            </w:r>
            <w:r>
              <w:rPr>
                <w:rFonts w:hint="eastAsia" w:ascii="宋体" w:hAnsi="宋体" w:eastAsia="宋体" w:cs="宋体"/>
                <w:b/>
                <w:bCs/>
                <w:color w:val="auto"/>
                <w:sz w:val="21"/>
                <w:szCs w:val="21"/>
                <w:highlight w:val="none"/>
                <w:lang w:val="en-US" w:eastAsia="zh-CN"/>
              </w:rPr>
              <w:t>证明材料：提供有效期内的证书原件扫描件或清晰复印件及全国认证认可信息公共服务平台http://cx.cnca.cn/的查询网页截图并加盖供应商公章，未按要求提供不得分。】</w:t>
            </w:r>
          </w:p>
        </w:tc>
        <w:tc>
          <w:tcPr>
            <w:tcW w:w="707" w:type="dxa"/>
            <w:vAlign w:val="center"/>
          </w:tcPr>
          <w:p w14:paraId="6E581A90">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p>
        </w:tc>
        <w:tc>
          <w:tcPr>
            <w:tcW w:w="996" w:type="dxa"/>
            <w:vAlign w:val="center"/>
          </w:tcPr>
          <w:p w14:paraId="7C441695">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w:t>
            </w:r>
          </w:p>
        </w:tc>
      </w:tr>
      <w:tr w14:paraId="76382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844" w:type="dxa"/>
            <w:vAlign w:val="center"/>
          </w:tcPr>
          <w:p w14:paraId="48B8EAEF">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7412" w:type="dxa"/>
            <w:vAlign w:val="center"/>
          </w:tcPr>
          <w:p w14:paraId="50E96313">
            <w:pPr>
              <w:pStyle w:val="143"/>
              <w:adjustRightInd w:val="0"/>
              <w:spacing w:line="312" w:lineRule="auto"/>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根据投标人提出的具体审核方案、工作方法进行评分，</w:t>
            </w:r>
            <w:r>
              <w:rPr>
                <w:rFonts w:hint="eastAsia" w:ascii="宋体" w:hAnsi="宋体" w:eastAsia="宋体" w:cs="宋体"/>
                <w:snapToGrid/>
                <w:color w:val="auto"/>
                <w:kern w:val="0"/>
                <w:sz w:val="21"/>
                <w:szCs w:val="21"/>
                <w:highlight w:val="none"/>
                <w:lang w:val="en-US" w:eastAsia="zh-CN"/>
              </w:rPr>
              <w:t>包括</w:t>
            </w:r>
            <w:r>
              <w:rPr>
                <w:rFonts w:hint="eastAsia" w:ascii="宋体" w:hAnsi="宋体" w:eastAsia="宋体" w:cs="宋体"/>
                <w:b w:val="0"/>
                <w:bCs w:val="0"/>
                <w:i w:val="0"/>
                <w:iCs w:val="0"/>
                <w:caps w:val="0"/>
                <w:snapToGrid/>
                <w:color w:val="auto"/>
                <w:spacing w:val="0"/>
                <w:kern w:val="0"/>
                <w:sz w:val="21"/>
                <w:szCs w:val="21"/>
                <w:highlight w:val="none"/>
                <w:shd w:val="clear"/>
              </w:rPr>
              <w:t>前期准备</w:t>
            </w:r>
            <w:r>
              <w:rPr>
                <w:rFonts w:hint="eastAsia" w:ascii="宋体" w:hAnsi="宋体" w:eastAsia="宋体" w:cs="宋体"/>
                <w:b w:val="0"/>
                <w:bCs w:val="0"/>
                <w:i w:val="0"/>
                <w:iCs w:val="0"/>
                <w:caps w:val="0"/>
                <w:snapToGrid/>
                <w:color w:val="auto"/>
                <w:spacing w:val="0"/>
                <w:kern w:val="0"/>
                <w:sz w:val="21"/>
                <w:szCs w:val="21"/>
                <w:highlight w:val="none"/>
                <w:shd w:val="clear"/>
                <w:lang w:eastAsia="zh-CN"/>
              </w:rPr>
              <w:t>、资料审查、真实性验证等内容</w:t>
            </w:r>
            <w:r>
              <w:rPr>
                <w:rFonts w:hint="eastAsia" w:ascii="宋体" w:hAnsi="宋体" w:eastAsia="宋体" w:cs="宋体"/>
                <w:color w:val="auto"/>
                <w:sz w:val="21"/>
                <w:szCs w:val="21"/>
                <w:highlight w:val="none"/>
                <w:lang w:val="en-US" w:eastAsia="zh-CN"/>
              </w:rPr>
              <w:t>；（评分范围：5,4,3,2,1,0）</w:t>
            </w:r>
          </w:p>
        </w:tc>
        <w:tc>
          <w:tcPr>
            <w:tcW w:w="707" w:type="dxa"/>
            <w:shd w:val="clear" w:color="auto" w:fill="auto"/>
            <w:vAlign w:val="center"/>
          </w:tcPr>
          <w:p w14:paraId="6D04A502">
            <w:pPr>
              <w:pStyle w:val="143"/>
              <w:keepNext w:val="0"/>
              <w:keepLines w:val="0"/>
              <w:pageBreakBefore w:val="0"/>
              <w:widowControl w:val="0"/>
              <w:kinsoku/>
              <w:wordWrap/>
              <w:overflowPunct/>
              <w:topLinePunct w:val="0"/>
              <w:autoSpaceDE/>
              <w:autoSpaceDN/>
              <w:bidi w:val="0"/>
              <w:adjustRightInd w:val="0"/>
              <w:snapToGrid w:val="0"/>
              <w:spacing w:line="312" w:lineRule="auto"/>
              <w:ind w:firstLine="44" w:firstLineChars="21"/>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996" w:type="dxa"/>
            <w:shd w:val="clear" w:color="auto" w:fill="auto"/>
            <w:vAlign w:val="center"/>
          </w:tcPr>
          <w:p w14:paraId="5FDDB4C2">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主观分</w:t>
            </w:r>
          </w:p>
        </w:tc>
      </w:tr>
      <w:tr w14:paraId="6DAE9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844" w:type="dxa"/>
            <w:vAlign w:val="center"/>
          </w:tcPr>
          <w:p w14:paraId="2F92D52D">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7412" w:type="dxa"/>
            <w:vAlign w:val="center"/>
          </w:tcPr>
          <w:p w14:paraId="4116E822">
            <w:pPr>
              <w:numPr>
                <w:ilvl w:val="0"/>
                <w:numId w:val="0"/>
              </w:numPr>
              <w:snapToGrid w:val="0"/>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根据投标人提出的影响项目审核进度问题的主要因素，并提供出的相应解决措施与方案进行打分；（评分范围：5,4,3,2,1,0）</w:t>
            </w:r>
          </w:p>
        </w:tc>
        <w:tc>
          <w:tcPr>
            <w:tcW w:w="707" w:type="dxa"/>
            <w:shd w:val="clear" w:color="auto" w:fill="auto"/>
            <w:vAlign w:val="center"/>
          </w:tcPr>
          <w:p w14:paraId="3562D2AF">
            <w:pPr>
              <w:pStyle w:val="143"/>
              <w:keepNext w:val="0"/>
              <w:keepLines w:val="0"/>
              <w:pageBreakBefore w:val="0"/>
              <w:widowControl w:val="0"/>
              <w:kinsoku/>
              <w:wordWrap/>
              <w:overflowPunct/>
              <w:topLinePunct w:val="0"/>
              <w:autoSpaceDE/>
              <w:autoSpaceDN/>
              <w:bidi w:val="0"/>
              <w:adjustRightInd w:val="0"/>
              <w:snapToGrid w:val="0"/>
              <w:spacing w:line="312" w:lineRule="auto"/>
              <w:ind w:firstLine="44" w:firstLineChars="21"/>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996" w:type="dxa"/>
            <w:shd w:val="clear" w:color="auto" w:fill="auto"/>
            <w:vAlign w:val="center"/>
          </w:tcPr>
          <w:p w14:paraId="1BEBE119">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主观分</w:t>
            </w:r>
          </w:p>
        </w:tc>
      </w:tr>
      <w:tr w14:paraId="0BF93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844" w:type="dxa"/>
            <w:vAlign w:val="center"/>
          </w:tcPr>
          <w:p w14:paraId="2BFC99A0">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7412" w:type="dxa"/>
            <w:vAlign w:val="center"/>
          </w:tcPr>
          <w:p w14:paraId="50328374">
            <w:pPr>
              <w:numPr>
                <w:ilvl w:val="0"/>
                <w:numId w:val="0"/>
              </w:numPr>
              <w:snapToGrid w:val="0"/>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根据投标人提出的关键项实地抽查方案进行评分，包括使用工具复核隐蔽工程、抽样测量、对比竣工图与实际施工差异、影像取证等内容；（评分范围：5,4,3,2,1,0）</w:t>
            </w:r>
          </w:p>
        </w:tc>
        <w:tc>
          <w:tcPr>
            <w:tcW w:w="707" w:type="dxa"/>
            <w:shd w:val="clear" w:color="auto" w:fill="auto"/>
            <w:vAlign w:val="center"/>
          </w:tcPr>
          <w:p w14:paraId="022AB71A">
            <w:pPr>
              <w:pStyle w:val="143"/>
              <w:keepNext w:val="0"/>
              <w:keepLines w:val="0"/>
              <w:pageBreakBefore w:val="0"/>
              <w:widowControl w:val="0"/>
              <w:kinsoku/>
              <w:wordWrap/>
              <w:overflowPunct/>
              <w:topLinePunct w:val="0"/>
              <w:autoSpaceDE/>
              <w:autoSpaceDN/>
              <w:bidi w:val="0"/>
              <w:adjustRightInd w:val="0"/>
              <w:snapToGrid w:val="0"/>
              <w:spacing w:line="312" w:lineRule="auto"/>
              <w:ind w:firstLine="44" w:firstLineChars="21"/>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996" w:type="dxa"/>
            <w:shd w:val="clear" w:color="auto" w:fill="auto"/>
            <w:vAlign w:val="center"/>
          </w:tcPr>
          <w:p w14:paraId="1712A62B">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主观分</w:t>
            </w:r>
          </w:p>
        </w:tc>
      </w:tr>
      <w:tr w14:paraId="37EB3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844" w:type="dxa"/>
            <w:vAlign w:val="center"/>
          </w:tcPr>
          <w:p w14:paraId="1361592D">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7412" w:type="dxa"/>
            <w:shd w:val="clear" w:color="auto" w:fill="auto"/>
            <w:vAlign w:val="center"/>
          </w:tcPr>
          <w:p w14:paraId="440BE8E9">
            <w:pPr>
              <w:pStyle w:val="143"/>
              <w:keepNext w:val="0"/>
              <w:keepLines w:val="0"/>
              <w:pageBreakBefore w:val="0"/>
              <w:widowControl w:val="0"/>
              <w:kinsoku/>
              <w:wordWrap/>
              <w:overflowPunct/>
              <w:topLinePunct w:val="0"/>
              <w:autoSpaceDE/>
              <w:autoSpaceDN/>
              <w:bidi w:val="0"/>
              <w:adjustRightInd w:val="0"/>
              <w:snapToGrid w:val="0"/>
              <w:spacing w:line="312" w:lineRule="auto"/>
              <w:ind w:left="0" w:leftChars="0" w:firstLine="0"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根据投标人</w:t>
            </w:r>
            <w:r>
              <w:rPr>
                <w:rFonts w:hint="eastAsia" w:ascii="宋体" w:hAnsi="宋体" w:eastAsia="宋体" w:cs="宋体"/>
                <w:color w:val="auto"/>
                <w:sz w:val="21"/>
                <w:szCs w:val="21"/>
                <w:highlight w:val="none"/>
              </w:rPr>
              <w:t>提出</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针对本项目实施过程中的重点难点分析，且提出相应的解决</w:t>
            </w:r>
            <w:r>
              <w:rPr>
                <w:rFonts w:hint="eastAsia" w:ascii="宋体" w:hAnsi="宋体" w:eastAsia="宋体" w:cs="宋体"/>
                <w:color w:val="auto"/>
                <w:kern w:val="2"/>
                <w:sz w:val="21"/>
                <w:szCs w:val="21"/>
                <w:highlight w:val="none"/>
                <w:lang w:val="en-US" w:eastAsia="zh-CN" w:bidi="ar-SA"/>
              </w:rPr>
              <w:t>方案</w:t>
            </w:r>
            <w:r>
              <w:rPr>
                <w:rFonts w:hint="eastAsia" w:ascii="宋体" w:hAnsi="宋体" w:eastAsia="宋体" w:cs="宋体"/>
                <w:color w:val="auto"/>
                <w:sz w:val="21"/>
                <w:szCs w:val="21"/>
                <w:highlight w:val="none"/>
              </w:rPr>
              <w:t>和措施</w:t>
            </w:r>
            <w:r>
              <w:rPr>
                <w:rFonts w:hint="eastAsia" w:ascii="宋体" w:hAnsi="宋体" w:eastAsia="宋体" w:cs="宋体"/>
                <w:color w:val="auto"/>
                <w:sz w:val="21"/>
                <w:szCs w:val="21"/>
                <w:highlight w:val="none"/>
                <w:lang w:val="en-US" w:eastAsia="zh-CN"/>
              </w:rPr>
              <w:t>进行评分</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lang w:val="zh-CN" w:eastAsia="zh-CN"/>
              </w:rPr>
              <w:t>评分范围：</w:t>
            </w:r>
            <w:r>
              <w:rPr>
                <w:rFonts w:hint="eastAsia" w:ascii="宋体" w:hAnsi="宋体" w:eastAsia="宋体" w:cs="宋体"/>
                <w:bCs/>
                <w:color w:val="auto"/>
                <w:sz w:val="21"/>
                <w:szCs w:val="21"/>
                <w:highlight w:val="none"/>
                <w:lang w:val="en-US" w:eastAsia="zh-CN"/>
              </w:rPr>
              <w:t>5,4,3,2,1,0)</w:t>
            </w:r>
          </w:p>
        </w:tc>
        <w:tc>
          <w:tcPr>
            <w:tcW w:w="707" w:type="dxa"/>
            <w:shd w:val="clear" w:color="auto" w:fill="auto"/>
            <w:vAlign w:val="center"/>
          </w:tcPr>
          <w:p w14:paraId="497E3BD2">
            <w:pPr>
              <w:pStyle w:val="143"/>
              <w:keepNext w:val="0"/>
              <w:keepLines w:val="0"/>
              <w:pageBreakBefore w:val="0"/>
              <w:widowControl w:val="0"/>
              <w:kinsoku/>
              <w:wordWrap/>
              <w:overflowPunct/>
              <w:topLinePunct w:val="0"/>
              <w:autoSpaceDE/>
              <w:autoSpaceDN/>
              <w:bidi w:val="0"/>
              <w:adjustRightInd w:val="0"/>
              <w:snapToGrid w:val="0"/>
              <w:spacing w:line="312" w:lineRule="auto"/>
              <w:ind w:firstLine="44" w:firstLineChars="21"/>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996" w:type="dxa"/>
            <w:shd w:val="clear" w:color="auto" w:fill="auto"/>
            <w:vAlign w:val="center"/>
          </w:tcPr>
          <w:p w14:paraId="3D3F046A">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主观分</w:t>
            </w:r>
          </w:p>
        </w:tc>
      </w:tr>
      <w:tr w14:paraId="55E23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844" w:type="dxa"/>
            <w:vAlign w:val="center"/>
          </w:tcPr>
          <w:p w14:paraId="4391B448">
            <w:pPr>
              <w:spacing w:line="24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7</w:t>
            </w:r>
          </w:p>
        </w:tc>
        <w:tc>
          <w:tcPr>
            <w:tcW w:w="7412" w:type="dxa"/>
            <w:shd w:val="clear" w:color="auto" w:fill="auto"/>
            <w:vAlign w:val="center"/>
          </w:tcPr>
          <w:p w14:paraId="167B3FDB">
            <w:pPr>
              <w:widowControl/>
              <w:spacing w:line="360" w:lineRule="auto"/>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投标人需承诺由于审核人员的原因，提供的成果文件中出现漏项、漏量、多算等问题影响造价超过1%以上的，按照漏项、漏量、多算部分的造价/项目总造价百分比扣减该项目的咨询费，最高不超过中标价的2.5%。中标人审核人员应对以上成果文件予以修改、纠正，给采购人造成损失的，还应赔偿相应损失。承诺的得3分，不承诺不得分。</w:t>
            </w:r>
            <w:r>
              <w:rPr>
                <w:rFonts w:hint="eastAsia" w:ascii="宋体" w:hAnsi="宋体" w:eastAsia="宋体" w:cs="宋体"/>
                <w:b/>
                <w:bCs/>
                <w:color w:val="auto"/>
                <w:kern w:val="0"/>
                <w:sz w:val="21"/>
                <w:szCs w:val="21"/>
                <w:highlight w:val="none"/>
                <w:lang w:val="en-US" w:eastAsia="zh-CN" w:bidi="ar-SA"/>
              </w:rPr>
              <w:t>（提供承诺函，并加盖公章。）</w:t>
            </w:r>
          </w:p>
        </w:tc>
        <w:tc>
          <w:tcPr>
            <w:tcW w:w="707" w:type="dxa"/>
            <w:shd w:val="clear" w:color="auto" w:fill="auto"/>
            <w:vAlign w:val="center"/>
          </w:tcPr>
          <w:p w14:paraId="5FDED67E">
            <w:pPr>
              <w:widowControl/>
              <w:spacing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w:t>
            </w:r>
          </w:p>
        </w:tc>
        <w:tc>
          <w:tcPr>
            <w:tcW w:w="996" w:type="dxa"/>
            <w:shd w:val="clear" w:color="auto" w:fill="auto"/>
            <w:vAlign w:val="center"/>
          </w:tcPr>
          <w:p w14:paraId="41A71FD0">
            <w:pPr>
              <w:widowControl/>
              <w:spacing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客观分</w:t>
            </w:r>
          </w:p>
        </w:tc>
      </w:tr>
      <w:tr w14:paraId="70A6F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844" w:type="dxa"/>
            <w:vAlign w:val="center"/>
          </w:tcPr>
          <w:p w14:paraId="1483AF7E">
            <w:pPr>
              <w:spacing w:line="24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8</w:t>
            </w:r>
          </w:p>
        </w:tc>
        <w:tc>
          <w:tcPr>
            <w:tcW w:w="7412" w:type="dxa"/>
            <w:shd w:val="clear" w:color="auto" w:fill="auto"/>
            <w:vAlign w:val="center"/>
          </w:tcPr>
          <w:p w14:paraId="15252D21">
            <w:pPr>
              <w:widowControl/>
              <w:spacing w:line="360" w:lineRule="auto"/>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投标人需承诺对所提供成果的真实性、准确性、合法性负责，且所提出的各种咨询意见都具有权威性。审核结果与省审计厅、发改委等上级机构抽查、复核结果偏差大于1%的，应予以承担给采购人造成的经济损失。承诺的得3分，不承诺不得分。</w:t>
            </w:r>
            <w:r>
              <w:rPr>
                <w:rFonts w:hint="eastAsia" w:ascii="宋体" w:hAnsi="宋体" w:eastAsia="宋体" w:cs="宋体"/>
                <w:b/>
                <w:bCs/>
                <w:color w:val="auto"/>
                <w:kern w:val="0"/>
                <w:sz w:val="21"/>
                <w:szCs w:val="21"/>
                <w:highlight w:val="none"/>
                <w:lang w:val="en-US" w:eastAsia="zh-CN" w:bidi="ar-SA"/>
              </w:rPr>
              <w:t>（提供承诺函，并加盖公章。）</w:t>
            </w:r>
          </w:p>
        </w:tc>
        <w:tc>
          <w:tcPr>
            <w:tcW w:w="707" w:type="dxa"/>
            <w:shd w:val="clear" w:color="auto" w:fill="auto"/>
            <w:vAlign w:val="center"/>
          </w:tcPr>
          <w:p w14:paraId="0B44DF80">
            <w:pPr>
              <w:widowControl/>
              <w:spacing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w:t>
            </w:r>
          </w:p>
        </w:tc>
        <w:tc>
          <w:tcPr>
            <w:tcW w:w="996" w:type="dxa"/>
            <w:shd w:val="clear" w:color="auto" w:fill="auto"/>
            <w:vAlign w:val="center"/>
          </w:tcPr>
          <w:p w14:paraId="0B6427CE">
            <w:pPr>
              <w:widowControl/>
              <w:spacing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客观分</w:t>
            </w:r>
          </w:p>
        </w:tc>
      </w:tr>
      <w:tr w14:paraId="4DECD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844" w:type="dxa"/>
            <w:vAlign w:val="center"/>
          </w:tcPr>
          <w:p w14:paraId="4E475FD6">
            <w:pPr>
              <w:spacing w:line="24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9</w:t>
            </w:r>
          </w:p>
        </w:tc>
        <w:tc>
          <w:tcPr>
            <w:tcW w:w="7412" w:type="dxa"/>
            <w:shd w:val="clear" w:color="auto" w:fill="auto"/>
            <w:vAlign w:val="center"/>
          </w:tcPr>
          <w:p w14:paraId="4D41FFEA">
            <w:pPr>
              <w:widowControl/>
              <w:spacing w:line="360" w:lineRule="auto"/>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投标人需承诺积极配合采购人的法定审计（含采购人上级各部门的审计）工作，并及时提供相关资料。承诺的得3分，不承诺不得分。</w:t>
            </w:r>
            <w:r>
              <w:rPr>
                <w:rFonts w:hint="eastAsia" w:ascii="宋体" w:hAnsi="宋体" w:eastAsia="宋体" w:cs="宋体"/>
                <w:b/>
                <w:bCs/>
                <w:color w:val="auto"/>
                <w:kern w:val="0"/>
                <w:sz w:val="21"/>
                <w:szCs w:val="21"/>
                <w:highlight w:val="none"/>
                <w:lang w:val="en-US" w:eastAsia="zh-CN" w:bidi="ar-SA"/>
              </w:rPr>
              <w:t>（提供承诺函，并加盖公章。）</w:t>
            </w:r>
          </w:p>
        </w:tc>
        <w:tc>
          <w:tcPr>
            <w:tcW w:w="707" w:type="dxa"/>
            <w:shd w:val="clear" w:color="auto" w:fill="auto"/>
            <w:vAlign w:val="center"/>
          </w:tcPr>
          <w:p w14:paraId="0289D0F4">
            <w:pPr>
              <w:widowControl/>
              <w:spacing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w:t>
            </w:r>
          </w:p>
        </w:tc>
        <w:tc>
          <w:tcPr>
            <w:tcW w:w="996" w:type="dxa"/>
            <w:shd w:val="clear" w:color="auto" w:fill="auto"/>
            <w:vAlign w:val="center"/>
          </w:tcPr>
          <w:p w14:paraId="12FD1B0C">
            <w:pPr>
              <w:widowControl/>
              <w:spacing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客观分</w:t>
            </w:r>
          </w:p>
        </w:tc>
      </w:tr>
      <w:tr w14:paraId="75749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44" w:type="dxa"/>
            <w:vAlign w:val="center"/>
          </w:tcPr>
          <w:p w14:paraId="3B6C17B3">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7412" w:type="dxa"/>
            <w:vAlign w:val="center"/>
          </w:tcPr>
          <w:p w14:paraId="18A27B5E">
            <w:pPr>
              <w:pStyle w:val="143"/>
              <w:keepNext w:val="0"/>
              <w:keepLines w:val="0"/>
              <w:pageBreakBefore w:val="0"/>
              <w:widowControl w:val="0"/>
              <w:kinsoku/>
              <w:wordWrap/>
              <w:overflowPunct/>
              <w:topLinePunct w:val="0"/>
              <w:autoSpaceDE/>
              <w:autoSpaceDN/>
              <w:bidi w:val="0"/>
              <w:adjustRightInd w:val="0"/>
              <w:snapToGrid w:val="0"/>
              <w:spacing w:line="312" w:lineRule="auto"/>
              <w:ind w:left="0" w:leftChars="0"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根据</w:t>
            </w:r>
            <w:r>
              <w:rPr>
                <w:rFonts w:hint="eastAsia" w:ascii="宋体" w:hAnsi="宋体" w:eastAsia="宋体" w:cs="宋体"/>
                <w:color w:val="auto"/>
                <w:kern w:val="0"/>
                <w:sz w:val="21"/>
                <w:szCs w:val="21"/>
                <w:highlight w:val="none"/>
                <w:lang w:val="en-US" w:eastAsia="zh-CN" w:bidi="ar-SA"/>
              </w:rPr>
              <w:t>投标人</w:t>
            </w:r>
            <w:r>
              <w:rPr>
                <w:rFonts w:hint="eastAsia" w:ascii="宋体" w:hAnsi="宋体" w:eastAsia="宋体" w:cs="宋体"/>
                <w:color w:val="auto"/>
                <w:sz w:val="21"/>
                <w:szCs w:val="21"/>
                <w:highlight w:val="none"/>
                <w:lang w:val="en-US" w:eastAsia="zh-CN"/>
              </w:rPr>
              <w:t>提供的</w:t>
            </w:r>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lang w:val="en-US" w:eastAsia="zh-CN"/>
              </w:rPr>
              <w:t>审核</w:t>
            </w:r>
            <w:r>
              <w:rPr>
                <w:rFonts w:hint="eastAsia" w:ascii="宋体" w:hAnsi="宋体" w:eastAsia="宋体" w:cs="宋体"/>
                <w:color w:val="auto"/>
                <w:sz w:val="21"/>
                <w:szCs w:val="21"/>
                <w:highlight w:val="none"/>
              </w:rPr>
              <w:t>进程安排</w:t>
            </w:r>
            <w:r>
              <w:rPr>
                <w:rFonts w:hint="eastAsia" w:ascii="宋体" w:hAnsi="宋体" w:eastAsia="宋体" w:cs="宋体"/>
                <w:color w:val="auto"/>
                <w:sz w:val="21"/>
                <w:szCs w:val="21"/>
                <w:highlight w:val="none"/>
                <w:lang w:val="en-US" w:eastAsia="zh-CN"/>
              </w:rPr>
              <w:t>及</w:t>
            </w:r>
            <w:r>
              <w:rPr>
                <w:rFonts w:hint="eastAsia" w:ascii="宋体" w:hAnsi="宋体" w:eastAsia="宋体" w:cs="宋体"/>
                <w:color w:val="auto"/>
                <w:sz w:val="21"/>
                <w:szCs w:val="21"/>
                <w:highlight w:val="none"/>
              </w:rPr>
              <w:t>分项活动</w:t>
            </w:r>
            <w:r>
              <w:rPr>
                <w:rFonts w:hint="eastAsia" w:ascii="宋体" w:hAnsi="宋体" w:eastAsia="宋体" w:cs="宋体"/>
                <w:color w:val="auto"/>
                <w:sz w:val="21"/>
                <w:szCs w:val="21"/>
                <w:highlight w:val="none"/>
                <w:lang w:val="en-US" w:eastAsia="zh-CN"/>
              </w:rPr>
              <w:t>时间安排进行打分</w:t>
            </w:r>
            <w:r>
              <w:rPr>
                <w:rFonts w:hint="eastAsia" w:ascii="宋体" w:hAnsi="宋体" w:eastAsia="宋体" w:cs="宋体"/>
                <w:color w:val="auto"/>
                <w:sz w:val="21"/>
                <w:szCs w:val="21"/>
                <w:highlight w:val="none"/>
              </w:rPr>
              <w:t>评分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包括计划的合理性，步骤清晰情况，各个实施阶段说明完整情况</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zh-CN" w:eastAsia="zh-CN"/>
              </w:rPr>
              <w:t>评分范围：</w:t>
            </w:r>
            <w:r>
              <w:rPr>
                <w:rFonts w:hint="eastAsia" w:ascii="宋体" w:hAnsi="宋体" w:eastAsia="宋体" w:cs="宋体"/>
                <w:color w:val="auto"/>
                <w:sz w:val="21"/>
                <w:szCs w:val="21"/>
                <w:highlight w:val="none"/>
                <w:lang w:val="en-US" w:eastAsia="zh-CN"/>
              </w:rPr>
              <w:t>5,4,3,2,1,0)</w:t>
            </w:r>
          </w:p>
        </w:tc>
        <w:tc>
          <w:tcPr>
            <w:tcW w:w="707" w:type="dxa"/>
            <w:vAlign w:val="center"/>
          </w:tcPr>
          <w:p w14:paraId="79819FB2">
            <w:pPr>
              <w:pStyle w:val="143"/>
              <w:keepNext w:val="0"/>
              <w:keepLines w:val="0"/>
              <w:pageBreakBefore w:val="0"/>
              <w:widowControl w:val="0"/>
              <w:kinsoku/>
              <w:wordWrap/>
              <w:overflowPunct/>
              <w:topLinePunct w:val="0"/>
              <w:autoSpaceDE/>
              <w:autoSpaceDN/>
              <w:bidi w:val="0"/>
              <w:adjustRightInd w:val="0"/>
              <w:snapToGrid w:val="0"/>
              <w:spacing w:line="312" w:lineRule="auto"/>
              <w:ind w:firstLine="44" w:firstLineChars="21"/>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996" w:type="dxa"/>
            <w:vAlign w:val="center"/>
          </w:tcPr>
          <w:p w14:paraId="4E11E7A1">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主观分</w:t>
            </w:r>
          </w:p>
        </w:tc>
      </w:tr>
      <w:tr w14:paraId="428D6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4" w:type="dxa"/>
            <w:vAlign w:val="center"/>
          </w:tcPr>
          <w:p w14:paraId="1F0CC568">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7412" w:type="dxa"/>
            <w:vAlign w:val="center"/>
          </w:tcPr>
          <w:p w14:paraId="6B3A6623">
            <w:pPr>
              <w:pStyle w:val="143"/>
              <w:keepNext w:val="0"/>
              <w:keepLines w:val="0"/>
              <w:pageBreakBefore w:val="0"/>
              <w:widowControl w:val="0"/>
              <w:kinsoku/>
              <w:wordWrap/>
              <w:overflowPunct/>
              <w:topLinePunct w:val="0"/>
              <w:autoSpaceDE/>
              <w:autoSpaceDN/>
              <w:bidi w:val="0"/>
              <w:adjustRightInd w:val="0"/>
              <w:snapToGrid w:val="0"/>
              <w:spacing w:line="312" w:lineRule="auto"/>
              <w:ind w:firstLine="44" w:firstLineChars="21"/>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对</w:t>
            </w:r>
            <w:r>
              <w:rPr>
                <w:rFonts w:hint="eastAsia" w:ascii="宋体" w:hAnsi="宋体" w:eastAsia="宋体" w:cs="宋体"/>
                <w:color w:val="auto"/>
                <w:kern w:val="0"/>
                <w:sz w:val="21"/>
                <w:szCs w:val="21"/>
                <w:highlight w:val="none"/>
                <w:lang w:val="en-US" w:eastAsia="zh-CN" w:bidi="ar-SA"/>
              </w:rPr>
              <w:t>投标人</w:t>
            </w:r>
            <w:r>
              <w:rPr>
                <w:rFonts w:hint="eastAsia" w:ascii="宋体" w:hAnsi="宋体" w:eastAsia="宋体" w:cs="宋体"/>
                <w:color w:val="auto"/>
                <w:sz w:val="21"/>
                <w:szCs w:val="21"/>
                <w:highlight w:val="none"/>
              </w:rPr>
              <w:t>针对本项目的质量保障方案的科学合理和有效性进行评</w:t>
            </w:r>
            <w:r>
              <w:rPr>
                <w:rFonts w:hint="eastAsia" w:ascii="宋体" w:hAnsi="宋体" w:eastAsia="宋体" w:cs="宋体"/>
                <w:color w:val="auto"/>
                <w:sz w:val="21"/>
                <w:szCs w:val="21"/>
                <w:highlight w:val="none"/>
                <w:lang w:eastAsia="zh-CN"/>
              </w:rPr>
              <w:t>分，</w:t>
            </w:r>
            <w:r>
              <w:rPr>
                <w:rFonts w:hint="eastAsia" w:ascii="宋体" w:hAnsi="宋体" w:eastAsia="宋体" w:cs="宋体"/>
                <w:color w:val="auto"/>
                <w:kern w:val="0"/>
                <w:sz w:val="21"/>
                <w:szCs w:val="21"/>
                <w:highlight w:val="none"/>
                <w:lang w:eastAsia="zh-CN"/>
              </w:rPr>
              <w:t>包括</w:t>
            </w:r>
            <w:r>
              <w:rPr>
                <w:rFonts w:hint="eastAsia" w:ascii="宋体" w:hAnsi="宋体" w:eastAsia="宋体" w:cs="宋体"/>
                <w:color w:val="auto"/>
                <w:kern w:val="0"/>
                <w:sz w:val="21"/>
                <w:szCs w:val="21"/>
                <w:highlight w:val="none"/>
              </w:rPr>
              <w:t>项目管理、关键流程管理、监控方法等方面</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lang w:val="zh-CN" w:eastAsia="zh-CN"/>
              </w:rPr>
              <w:t>评分范围：</w:t>
            </w:r>
            <w:r>
              <w:rPr>
                <w:rFonts w:hint="eastAsia" w:ascii="宋体" w:hAnsi="宋体" w:eastAsia="宋体" w:cs="宋体"/>
                <w:bCs/>
                <w:color w:val="auto"/>
                <w:sz w:val="21"/>
                <w:szCs w:val="21"/>
                <w:highlight w:val="none"/>
                <w:lang w:val="en-US" w:eastAsia="zh-CN"/>
              </w:rPr>
              <w:t>5,4,3,2,1,0)</w:t>
            </w:r>
          </w:p>
        </w:tc>
        <w:tc>
          <w:tcPr>
            <w:tcW w:w="707" w:type="dxa"/>
            <w:vAlign w:val="center"/>
          </w:tcPr>
          <w:p w14:paraId="16BFDF2D">
            <w:pPr>
              <w:pStyle w:val="143"/>
              <w:keepNext w:val="0"/>
              <w:keepLines w:val="0"/>
              <w:pageBreakBefore w:val="0"/>
              <w:widowControl w:val="0"/>
              <w:kinsoku/>
              <w:wordWrap/>
              <w:overflowPunct/>
              <w:topLinePunct w:val="0"/>
              <w:autoSpaceDE/>
              <w:autoSpaceDN/>
              <w:bidi w:val="0"/>
              <w:adjustRightInd w:val="0"/>
              <w:snapToGrid w:val="0"/>
              <w:spacing w:line="312" w:lineRule="auto"/>
              <w:ind w:firstLine="44" w:firstLineChars="21"/>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996" w:type="dxa"/>
            <w:vAlign w:val="center"/>
          </w:tcPr>
          <w:p w14:paraId="52B57673">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outlineLvl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主观分</w:t>
            </w:r>
          </w:p>
        </w:tc>
      </w:tr>
      <w:tr w14:paraId="1E648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844" w:type="dxa"/>
            <w:vAlign w:val="center"/>
          </w:tcPr>
          <w:p w14:paraId="43863012">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7412" w:type="dxa"/>
            <w:vAlign w:val="center"/>
          </w:tcPr>
          <w:p w14:paraId="20A6E48C">
            <w:pPr>
              <w:pStyle w:val="143"/>
              <w:keepNext w:val="0"/>
              <w:keepLines w:val="0"/>
              <w:pageBreakBefore w:val="0"/>
              <w:widowControl w:val="0"/>
              <w:kinsoku/>
              <w:wordWrap/>
              <w:overflowPunct/>
              <w:topLinePunct w:val="0"/>
              <w:autoSpaceDE/>
              <w:autoSpaceDN/>
              <w:bidi w:val="0"/>
              <w:adjustRightInd w:val="0"/>
              <w:snapToGrid w:val="0"/>
              <w:spacing w:line="312"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根据</w:t>
            </w:r>
            <w:r>
              <w:rPr>
                <w:rFonts w:hint="eastAsia" w:ascii="宋体" w:hAnsi="宋体" w:eastAsia="宋体" w:cs="宋体"/>
                <w:color w:val="auto"/>
                <w:kern w:val="0"/>
                <w:sz w:val="21"/>
                <w:szCs w:val="21"/>
                <w:highlight w:val="none"/>
                <w:lang w:val="en-US" w:eastAsia="zh-CN" w:bidi="ar-SA"/>
              </w:rPr>
              <w:t>投标人</w:t>
            </w:r>
            <w:r>
              <w:rPr>
                <w:rFonts w:hint="eastAsia" w:ascii="宋体" w:hAnsi="宋体" w:eastAsia="宋体" w:cs="宋体"/>
                <w:color w:val="auto"/>
                <w:sz w:val="21"/>
                <w:szCs w:val="21"/>
                <w:highlight w:val="none"/>
                <w:lang w:val="en-US" w:eastAsia="zh-CN"/>
              </w:rPr>
              <w:t>针对本项目提出的风险控制方案进行评分，包括风险识别与评估、风险应对预案和控制措施、风险沟通、风险管理经验与案例等内容</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lang w:val="zh-CN" w:eastAsia="zh-CN"/>
              </w:rPr>
              <w:t>评分范围：</w:t>
            </w:r>
            <w:r>
              <w:rPr>
                <w:rFonts w:hint="eastAsia" w:ascii="宋体" w:hAnsi="宋体" w:eastAsia="宋体" w:cs="宋体"/>
                <w:bCs/>
                <w:color w:val="auto"/>
                <w:sz w:val="21"/>
                <w:szCs w:val="21"/>
                <w:highlight w:val="none"/>
                <w:lang w:val="en-US" w:eastAsia="zh-CN"/>
              </w:rPr>
              <w:t>5,4,3,2,1,0)</w:t>
            </w:r>
          </w:p>
        </w:tc>
        <w:tc>
          <w:tcPr>
            <w:tcW w:w="707" w:type="dxa"/>
            <w:vAlign w:val="center"/>
          </w:tcPr>
          <w:p w14:paraId="7D384A50">
            <w:pPr>
              <w:pStyle w:val="143"/>
              <w:keepNext w:val="0"/>
              <w:keepLines w:val="0"/>
              <w:pageBreakBefore w:val="0"/>
              <w:widowControl w:val="0"/>
              <w:kinsoku/>
              <w:wordWrap/>
              <w:overflowPunct/>
              <w:topLinePunct w:val="0"/>
              <w:autoSpaceDE/>
              <w:autoSpaceDN/>
              <w:bidi w:val="0"/>
              <w:adjustRightInd w:val="0"/>
              <w:snapToGrid w:val="0"/>
              <w:spacing w:line="312" w:lineRule="auto"/>
              <w:ind w:firstLine="44" w:firstLineChars="21"/>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996" w:type="dxa"/>
            <w:vAlign w:val="center"/>
          </w:tcPr>
          <w:p w14:paraId="277B1E30">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主观分</w:t>
            </w:r>
          </w:p>
        </w:tc>
      </w:tr>
      <w:tr w14:paraId="6893D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844" w:type="dxa"/>
            <w:vAlign w:val="center"/>
          </w:tcPr>
          <w:p w14:paraId="536D9E22">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w:t>
            </w:r>
          </w:p>
        </w:tc>
        <w:tc>
          <w:tcPr>
            <w:tcW w:w="7412" w:type="dxa"/>
            <w:shd w:val="clear" w:color="auto" w:fill="auto"/>
            <w:vAlign w:val="center"/>
          </w:tcPr>
          <w:p w14:paraId="70979F3D">
            <w:pPr>
              <w:snapToGrid w:val="0"/>
              <w:spacing w:line="360" w:lineRule="auto"/>
              <w:jc w:val="left"/>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项目负责人具有注册在投标人单位的土建专业的一级造价师执业资格证书，得3分，没有不得分（需提供完整的证书扫</w:t>
            </w:r>
            <w:r>
              <w:rPr>
                <w:rFonts w:hint="eastAsia" w:ascii="宋体" w:hAnsi="宋体" w:eastAsia="宋体" w:cs="宋体"/>
                <w:b w:val="0"/>
                <w:bCs w:val="0"/>
                <w:color w:val="auto"/>
                <w:sz w:val="21"/>
                <w:szCs w:val="21"/>
                <w:highlight w:val="none"/>
                <w:lang w:val="en-US" w:eastAsia="zh-CN"/>
              </w:rPr>
              <w:t>描件，开标前三个月内任意一个时间点的社保缴纳证明</w:t>
            </w:r>
            <w:r>
              <w:rPr>
                <w:rFonts w:hint="eastAsia" w:ascii="宋体" w:hAnsi="宋体" w:eastAsia="宋体" w:cs="宋体"/>
                <w:b w:val="0"/>
                <w:bCs w:val="0"/>
                <w:color w:val="auto"/>
                <w:sz w:val="21"/>
                <w:szCs w:val="21"/>
                <w:highlight w:val="none"/>
              </w:rPr>
              <w:t>复印件</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加盖投标人公章</w:t>
            </w:r>
            <w:r>
              <w:rPr>
                <w:rFonts w:hint="eastAsia" w:ascii="宋体" w:hAnsi="宋体" w:eastAsia="宋体" w:cs="宋体"/>
                <w:color w:val="auto"/>
                <w:sz w:val="21"/>
                <w:szCs w:val="21"/>
                <w:highlight w:val="none"/>
                <w:lang w:val="en-US" w:eastAsia="zh-CN"/>
              </w:rPr>
              <w:t>）。</w:t>
            </w:r>
          </w:p>
        </w:tc>
        <w:tc>
          <w:tcPr>
            <w:tcW w:w="707" w:type="dxa"/>
            <w:shd w:val="clear" w:color="auto" w:fill="auto"/>
            <w:vAlign w:val="center"/>
          </w:tcPr>
          <w:p w14:paraId="7DA1C1F3">
            <w:pPr>
              <w:snapToGrid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w:t>
            </w:r>
          </w:p>
        </w:tc>
        <w:tc>
          <w:tcPr>
            <w:tcW w:w="996" w:type="dxa"/>
            <w:shd w:val="clear" w:color="auto" w:fill="auto"/>
            <w:vAlign w:val="center"/>
          </w:tcPr>
          <w:p w14:paraId="784C3073">
            <w:pPr>
              <w:snapToGrid w:val="0"/>
              <w:spacing w:line="36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客观分</w:t>
            </w:r>
          </w:p>
        </w:tc>
      </w:tr>
      <w:tr w14:paraId="59B85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844" w:type="dxa"/>
            <w:vAlign w:val="center"/>
          </w:tcPr>
          <w:p w14:paraId="41775049">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w:t>
            </w:r>
          </w:p>
        </w:tc>
        <w:tc>
          <w:tcPr>
            <w:tcW w:w="7412" w:type="dxa"/>
            <w:shd w:val="clear" w:color="auto" w:fill="auto"/>
            <w:vAlign w:val="center"/>
          </w:tcPr>
          <w:p w14:paraId="517C1F57">
            <w:pPr>
              <w:snapToGrid w:val="0"/>
              <w:spacing w:line="36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项目负责人自2022年1月1日</w:t>
            </w:r>
            <w:r>
              <w:rPr>
                <w:rFonts w:hint="eastAsia" w:ascii="宋体" w:hAnsi="宋体" w:eastAsia="宋体" w:cs="宋体"/>
                <w:color w:val="auto"/>
                <w:sz w:val="21"/>
                <w:szCs w:val="21"/>
                <w:highlight w:val="none"/>
              </w:rPr>
              <w:t>（以合同签订时间为准）</w:t>
            </w:r>
            <w:r>
              <w:rPr>
                <w:rFonts w:hint="eastAsia" w:ascii="宋体" w:hAnsi="宋体" w:eastAsia="宋体" w:cs="宋体"/>
                <w:color w:val="auto"/>
                <w:sz w:val="21"/>
                <w:szCs w:val="21"/>
                <w:highlight w:val="none"/>
                <w:lang w:val="en-US" w:eastAsia="zh-CN"/>
              </w:rPr>
              <w:t>以来</w:t>
            </w:r>
            <w:r>
              <w:rPr>
                <w:rFonts w:hint="eastAsia" w:ascii="宋体" w:hAnsi="宋体" w:eastAsia="宋体" w:cs="宋体"/>
                <w:color w:val="auto"/>
                <w:sz w:val="21"/>
                <w:szCs w:val="21"/>
                <w:highlight w:val="none"/>
              </w:rPr>
              <w:t>具有</w:t>
            </w:r>
            <w:r>
              <w:rPr>
                <w:rFonts w:hint="eastAsia" w:ascii="宋体" w:hAnsi="宋体" w:eastAsia="宋体" w:cs="宋体"/>
                <w:color w:val="auto"/>
                <w:sz w:val="21"/>
                <w:szCs w:val="21"/>
                <w:highlight w:val="none"/>
                <w:lang w:val="zh-CN"/>
              </w:rPr>
              <w:t>类似</w:t>
            </w:r>
            <w:r>
              <w:rPr>
                <w:rFonts w:hint="eastAsia" w:ascii="宋体" w:hAnsi="宋体" w:eastAsia="宋体" w:cs="宋体"/>
                <w:color w:val="auto"/>
                <w:sz w:val="21"/>
                <w:szCs w:val="21"/>
                <w:highlight w:val="none"/>
                <w:lang w:val="en-US" w:eastAsia="zh-CN"/>
              </w:rPr>
              <w:t>房建</w:t>
            </w:r>
            <w:r>
              <w:rPr>
                <w:rFonts w:hint="eastAsia" w:ascii="宋体" w:hAnsi="宋体" w:eastAsia="宋体" w:cs="宋体"/>
                <w:color w:val="auto"/>
                <w:sz w:val="21"/>
                <w:szCs w:val="21"/>
                <w:highlight w:val="none"/>
                <w:lang w:val="zh-CN"/>
              </w:rPr>
              <w:t>项目工程结算审核造价咨询服务</w:t>
            </w:r>
            <w:r>
              <w:rPr>
                <w:rFonts w:hint="eastAsia" w:ascii="宋体" w:hAnsi="宋体" w:eastAsia="宋体" w:cs="宋体"/>
                <w:color w:val="auto"/>
                <w:sz w:val="21"/>
                <w:szCs w:val="21"/>
                <w:highlight w:val="none"/>
                <w:lang w:val="en-US" w:eastAsia="zh-CN"/>
              </w:rPr>
              <w:t>经验的</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每一个</w:t>
            </w:r>
            <w:r>
              <w:rPr>
                <w:rFonts w:hint="eastAsia" w:ascii="宋体" w:hAnsi="宋体" w:eastAsia="宋体" w:cs="宋体"/>
                <w:color w:val="auto"/>
                <w:sz w:val="21"/>
                <w:szCs w:val="21"/>
                <w:highlight w:val="none"/>
                <w:lang w:val="zh-CN"/>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分，</w:t>
            </w:r>
            <w:r>
              <w:rPr>
                <w:rFonts w:hint="eastAsia" w:ascii="宋体" w:hAnsi="宋体" w:eastAsia="宋体" w:cs="宋体"/>
                <w:color w:val="auto"/>
                <w:sz w:val="21"/>
                <w:szCs w:val="21"/>
                <w:highlight w:val="none"/>
                <w:lang w:val="en-US" w:eastAsia="zh-CN"/>
              </w:rPr>
              <w:t>满分2分</w:t>
            </w:r>
            <w:r>
              <w:rPr>
                <w:rFonts w:hint="eastAsia" w:ascii="宋体" w:hAnsi="宋体" w:eastAsia="宋体" w:cs="宋体"/>
                <w:color w:val="auto"/>
                <w:sz w:val="21"/>
                <w:szCs w:val="21"/>
                <w:highlight w:val="none"/>
                <w:lang w:val="zh-CN"/>
              </w:rPr>
              <w:t>。（须与</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lang w:val="zh-CN"/>
              </w:rPr>
              <w:t>业绩不重复。）</w:t>
            </w:r>
          </w:p>
          <w:p w14:paraId="56D47A74">
            <w:pPr>
              <w:snapToGrid w:val="0"/>
              <w:spacing w:line="360" w:lineRule="auto"/>
              <w:jc w:val="left"/>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证明材料：提供合同复印件加盖公章，合同中如未体现项目负责人姓名的，需提供业主盖章的证明材料。</w:t>
            </w:r>
          </w:p>
        </w:tc>
        <w:tc>
          <w:tcPr>
            <w:tcW w:w="707" w:type="dxa"/>
            <w:shd w:val="clear" w:color="auto" w:fill="auto"/>
            <w:vAlign w:val="center"/>
          </w:tcPr>
          <w:p w14:paraId="645A450D">
            <w:pPr>
              <w:snapToGrid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p>
        </w:tc>
        <w:tc>
          <w:tcPr>
            <w:tcW w:w="996" w:type="dxa"/>
            <w:shd w:val="clear" w:color="auto" w:fill="auto"/>
            <w:vAlign w:val="center"/>
          </w:tcPr>
          <w:p w14:paraId="2AE13A5E">
            <w:pPr>
              <w:snapToGrid w:val="0"/>
              <w:spacing w:line="36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客观分</w:t>
            </w:r>
          </w:p>
        </w:tc>
      </w:tr>
      <w:tr w14:paraId="675C4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844" w:type="dxa"/>
            <w:vAlign w:val="center"/>
          </w:tcPr>
          <w:p w14:paraId="4F2F647F">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7412" w:type="dxa"/>
            <w:shd w:val="clear" w:color="auto" w:fill="auto"/>
            <w:vAlign w:val="center"/>
          </w:tcPr>
          <w:p w14:paraId="5AF57916">
            <w:pPr>
              <w:snapToGrid w:val="0"/>
              <w:spacing w:line="36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除项目负责人外，拟委派项目组成员3人及以上，成员中具备注册在投标人单位的二级及以上土建、安装等专业的造价工程师证书，一人得1分，最高得4分。</w:t>
            </w:r>
          </w:p>
          <w:p w14:paraId="29DED520">
            <w:pPr>
              <w:snapToGrid w:val="0"/>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证明材料：提供完整的证书扫描件、</w:t>
            </w:r>
            <w:r>
              <w:rPr>
                <w:rFonts w:hint="eastAsia" w:ascii="宋体" w:hAnsi="宋体" w:eastAsia="宋体" w:cs="宋体"/>
                <w:b w:val="0"/>
                <w:bCs w:val="0"/>
                <w:color w:val="auto"/>
                <w:sz w:val="21"/>
                <w:szCs w:val="21"/>
                <w:highlight w:val="none"/>
                <w:lang w:val="en-US" w:eastAsia="zh-CN"/>
              </w:rPr>
              <w:t>开标前三个月内任意一个时间点的社保缴纳证明</w:t>
            </w:r>
            <w:r>
              <w:rPr>
                <w:rFonts w:hint="eastAsia" w:ascii="宋体" w:hAnsi="宋体" w:eastAsia="宋体" w:cs="宋体"/>
                <w:b w:val="0"/>
                <w:bCs w:val="0"/>
                <w:color w:val="auto"/>
                <w:sz w:val="21"/>
                <w:szCs w:val="21"/>
                <w:highlight w:val="none"/>
              </w:rPr>
              <w:t>复印件</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加盖投标人公章</w:t>
            </w:r>
            <w:r>
              <w:rPr>
                <w:rFonts w:hint="eastAsia" w:ascii="宋体" w:hAnsi="宋体" w:eastAsia="宋体" w:cs="宋体"/>
                <w:color w:val="auto"/>
                <w:sz w:val="21"/>
                <w:szCs w:val="21"/>
                <w:highlight w:val="none"/>
                <w:lang w:val="en-US" w:eastAsia="zh-CN"/>
              </w:rPr>
              <w:t>。</w:t>
            </w:r>
          </w:p>
        </w:tc>
        <w:tc>
          <w:tcPr>
            <w:tcW w:w="707" w:type="dxa"/>
            <w:shd w:val="clear" w:color="auto" w:fill="auto"/>
            <w:vAlign w:val="center"/>
          </w:tcPr>
          <w:p w14:paraId="5E92D147">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w:t>
            </w:r>
          </w:p>
        </w:tc>
        <w:tc>
          <w:tcPr>
            <w:tcW w:w="996" w:type="dxa"/>
            <w:shd w:val="clear" w:color="auto" w:fill="auto"/>
            <w:vAlign w:val="center"/>
          </w:tcPr>
          <w:p w14:paraId="6CFA23CE">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 w:val="21"/>
                <w:szCs w:val="21"/>
                <w:highlight w:val="none"/>
              </w:rPr>
              <w:t>客观分</w:t>
            </w:r>
          </w:p>
        </w:tc>
      </w:tr>
      <w:tr w14:paraId="10F1A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844" w:type="dxa"/>
            <w:shd w:val="clear" w:color="auto" w:fill="auto"/>
            <w:vAlign w:val="center"/>
          </w:tcPr>
          <w:p w14:paraId="69B06E8F">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16</w:t>
            </w:r>
          </w:p>
        </w:tc>
        <w:tc>
          <w:tcPr>
            <w:tcW w:w="7412" w:type="dxa"/>
            <w:shd w:val="clear" w:color="auto" w:fill="auto"/>
            <w:vAlign w:val="center"/>
          </w:tcPr>
          <w:p w14:paraId="37C29EEA">
            <w:pPr>
              <w:snapToGrid w:val="0"/>
              <w:spacing w:line="360" w:lineRule="auto"/>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根据投标人拟派的服务团队人员合理组织分工与外部协调方案进行评分，包括；层级结构与职责划分、协调机制与方法等内容。(</w:t>
            </w:r>
            <w:r>
              <w:rPr>
                <w:rFonts w:hint="eastAsia" w:ascii="宋体" w:hAnsi="宋体" w:eastAsia="宋体" w:cs="宋体"/>
                <w:b w:val="0"/>
                <w:bCs w:val="0"/>
                <w:color w:val="auto"/>
                <w:sz w:val="21"/>
                <w:szCs w:val="21"/>
                <w:highlight w:val="none"/>
                <w:lang w:val="zh-CN" w:eastAsia="zh-CN"/>
              </w:rPr>
              <w:t>评分范围：</w:t>
            </w:r>
            <w:r>
              <w:rPr>
                <w:rFonts w:hint="eastAsia" w:ascii="宋体" w:hAnsi="宋体" w:eastAsia="宋体" w:cs="宋体"/>
                <w:b w:val="0"/>
                <w:bCs w:val="0"/>
                <w:color w:val="auto"/>
                <w:sz w:val="21"/>
                <w:szCs w:val="21"/>
                <w:highlight w:val="none"/>
                <w:lang w:val="en-US" w:eastAsia="zh-CN"/>
              </w:rPr>
              <w:t>5,4,3,2,1,0)</w:t>
            </w:r>
          </w:p>
        </w:tc>
        <w:tc>
          <w:tcPr>
            <w:tcW w:w="707" w:type="dxa"/>
            <w:shd w:val="clear" w:color="auto" w:fill="auto"/>
            <w:vAlign w:val="center"/>
          </w:tcPr>
          <w:p w14:paraId="2E9EBF4A">
            <w:pPr>
              <w:snapToGrid w:val="0"/>
              <w:spacing w:line="360" w:lineRule="auto"/>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5</w:t>
            </w:r>
          </w:p>
        </w:tc>
        <w:tc>
          <w:tcPr>
            <w:tcW w:w="996" w:type="dxa"/>
            <w:shd w:val="clear" w:color="auto" w:fill="auto"/>
            <w:vAlign w:val="center"/>
          </w:tcPr>
          <w:p w14:paraId="52BAA761">
            <w:pPr>
              <w:snapToGrid w:val="0"/>
              <w:spacing w:line="360" w:lineRule="auto"/>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主观分</w:t>
            </w:r>
          </w:p>
        </w:tc>
      </w:tr>
      <w:tr w14:paraId="488B7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844" w:type="dxa"/>
            <w:vAlign w:val="center"/>
          </w:tcPr>
          <w:p w14:paraId="1B317687">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w:t>
            </w:r>
          </w:p>
        </w:tc>
        <w:tc>
          <w:tcPr>
            <w:tcW w:w="7412" w:type="dxa"/>
            <w:shd w:val="clear" w:color="auto" w:fill="auto"/>
            <w:vAlign w:val="center"/>
          </w:tcPr>
          <w:p w14:paraId="4EB88026">
            <w:pPr>
              <w:snapToGrid w:val="0"/>
              <w:spacing w:line="36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投标人承诺在咨询服务期内，提供7*8小时响应服务，包括受理采购人委托、根据采购人要求进行咨询回复、解答、完善书面审查结果等，在接到采购人咨询或委托电话后1小时内作出响应，如需提供现场服务的，应于</w:t>
            </w: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小时内达到现场。</w:t>
            </w:r>
            <w:r>
              <w:rPr>
                <w:rFonts w:hint="eastAsia" w:ascii="宋体" w:hAnsi="宋体" w:eastAsia="宋体" w:cs="宋体"/>
                <w:color w:val="auto"/>
                <w:kern w:val="0"/>
                <w:sz w:val="21"/>
                <w:szCs w:val="21"/>
                <w:highlight w:val="none"/>
                <w:lang w:val="en-US" w:eastAsia="zh-CN" w:bidi="ar-SA"/>
              </w:rPr>
              <w:t>承诺的得3分，不承诺不得分。（提供承诺函，并加盖公章。）</w:t>
            </w:r>
          </w:p>
        </w:tc>
        <w:tc>
          <w:tcPr>
            <w:tcW w:w="707" w:type="dxa"/>
            <w:shd w:val="clear" w:color="auto" w:fill="auto"/>
            <w:vAlign w:val="center"/>
          </w:tcPr>
          <w:p w14:paraId="392B03C6">
            <w:pPr>
              <w:snapToGrid/>
              <w:spacing w:line="24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w:t>
            </w:r>
          </w:p>
        </w:tc>
        <w:tc>
          <w:tcPr>
            <w:tcW w:w="996" w:type="dxa"/>
            <w:shd w:val="clear" w:color="auto" w:fill="auto"/>
            <w:vAlign w:val="center"/>
          </w:tcPr>
          <w:p w14:paraId="6DC6BB6A">
            <w:pPr>
              <w:snapToGrid/>
              <w:spacing w:line="24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Cs w:val="0"/>
                <w:color w:val="auto"/>
                <w:sz w:val="21"/>
                <w:szCs w:val="21"/>
                <w:highlight w:val="none"/>
              </w:rPr>
              <w:t>客观分</w:t>
            </w:r>
          </w:p>
        </w:tc>
      </w:tr>
      <w:tr w14:paraId="6BC78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844" w:type="dxa"/>
            <w:vAlign w:val="center"/>
          </w:tcPr>
          <w:p w14:paraId="184E9F4F">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w:t>
            </w:r>
          </w:p>
        </w:tc>
        <w:tc>
          <w:tcPr>
            <w:tcW w:w="7412" w:type="dxa"/>
            <w:shd w:val="clear" w:color="auto" w:fill="auto"/>
            <w:vAlign w:val="center"/>
          </w:tcPr>
          <w:p w14:paraId="7AA9E51A">
            <w:pPr>
              <w:snapToGrid w:val="0"/>
              <w:spacing w:line="360" w:lineRule="auto"/>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根据投标人提供的确保审核成果文件准确性、深度性、完整性的措施及方案进行评分；(</w:t>
            </w:r>
            <w:r>
              <w:rPr>
                <w:rFonts w:hint="eastAsia" w:ascii="宋体" w:hAnsi="宋体" w:eastAsia="宋体" w:cs="宋体"/>
                <w:b w:val="0"/>
                <w:bCs w:val="0"/>
                <w:color w:val="auto"/>
                <w:sz w:val="21"/>
                <w:szCs w:val="21"/>
                <w:highlight w:val="none"/>
                <w:lang w:val="zh-CN" w:eastAsia="zh-CN"/>
              </w:rPr>
              <w:t>评分范围：</w:t>
            </w:r>
            <w:r>
              <w:rPr>
                <w:rFonts w:hint="eastAsia" w:ascii="宋体" w:hAnsi="宋体" w:eastAsia="宋体" w:cs="宋体"/>
                <w:b w:val="0"/>
                <w:bCs w:val="0"/>
                <w:color w:val="auto"/>
                <w:sz w:val="21"/>
                <w:szCs w:val="21"/>
                <w:highlight w:val="none"/>
                <w:lang w:val="en-US" w:eastAsia="zh-CN"/>
              </w:rPr>
              <w:t>5,4,3,2,1,0)</w:t>
            </w:r>
          </w:p>
        </w:tc>
        <w:tc>
          <w:tcPr>
            <w:tcW w:w="707" w:type="dxa"/>
            <w:shd w:val="clear" w:color="auto" w:fill="auto"/>
            <w:vAlign w:val="center"/>
          </w:tcPr>
          <w:p w14:paraId="44AC4592">
            <w:pPr>
              <w:snapToGrid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5</w:t>
            </w:r>
          </w:p>
        </w:tc>
        <w:tc>
          <w:tcPr>
            <w:tcW w:w="996" w:type="dxa"/>
            <w:shd w:val="clear" w:color="auto" w:fill="auto"/>
            <w:vAlign w:val="center"/>
          </w:tcPr>
          <w:p w14:paraId="0EFF69F1">
            <w:pPr>
              <w:snapToGrid w:val="0"/>
              <w:spacing w:line="36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主观分</w:t>
            </w:r>
          </w:p>
        </w:tc>
      </w:tr>
      <w:tr w14:paraId="4F1B6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844" w:type="dxa"/>
            <w:vAlign w:val="center"/>
          </w:tcPr>
          <w:p w14:paraId="2C8FB9C8">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19</w:t>
            </w:r>
          </w:p>
        </w:tc>
        <w:tc>
          <w:tcPr>
            <w:tcW w:w="7412" w:type="dxa"/>
            <w:shd w:val="clear" w:color="auto" w:fill="auto"/>
            <w:vAlign w:val="center"/>
          </w:tcPr>
          <w:p w14:paraId="5035850A">
            <w:pPr>
              <w:snapToGrid w:val="0"/>
              <w:spacing w:line="360" w:lineRule="auto"/>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根据投标人提供的后续咨询配合服务方案及承诺进行评分；(</w:t>
            </w:r>
            <w:r>
              <w:rPr>
                <w:rFonts w:hint="eastAsia" w:ascii="宋体" w:hAnsi="宋体" w:eastAsia="宋体" w:cs="宋体"/>
                <w:b w:val="0"/>
                <w:bCs w:val="0"/>
                <w:color w:val="auto"/>
                <w:sz w:val="21"/>
                <w:szCs w:val="21"/>
                <w:highlight w:val="none"/>
                <w:lang w:val="zh-CN" w:eastAsia="zh-CN"/>
              </w:rPr>
              <w:t>评分范围：</w:t>
            </w:r>
            <w:r>
              <w:rPr>
                <w:rFonts w:hint="eastAsia" w:ascii="宋体" w:hAnsi="宋体" w:eastAsia="宋体" w:cs="宋体"/>
                <w:b w:val="0"/>
                <w:bCs w:val="0"/>
                <w:color w:val="auto"/>
                <w:sz w:val="21"/>
                <w:szCs w:val="21"/>
                <w:highlight w:val="none"/>
                <w:lang w:val="en-US" w:eastAsia="zh-CN"/>
              </w:rPr>
              <w:t>5,4,3,2,1,0)</w:t>
            </w:r>
          </w:p>
        </w:tc>
        <w:tc>
          <w:tcPr>
            <w:tcW w:w="707" w:type="dxa"/>
            <w:shd w:val="clear" w:color="auto" w:fill="auto"/>
            <w:vAlign w:val="center"/>
          </w:tcPr>
          <w:p w14:paraId="00A2BB41">
            <w:pPr>
              <w:snapToGrid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5</w:t>
            </w:r>
          </w:p>
        </w:tc>
        <w:tc>
          <w:tcPr>
            <w:tcW w:w="996" w:type="dxa"/>
            <w:shd w:val="clear" w:color="auto" w:fill="auto"/>
            <w:vAlign w:val="center"/>
          </w:tcPr>
          <w:p w14:paraId="2396B962">
            <w:pPr>
              <w:snapToGrid w:val="0"/>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主观分</w:t>
            </w:r>
          </w:p>
        </w:tc>
      </w:tr>
      <w:tr w14:paraId="2D3F4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844" w:type="dxa"/>
            <w:vAlign w:val="center"/>
          </w:tcPr>
          <w:p w14:paraId="2E4F1C78">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w:t>
            </w:r>
          </w:p>
        </w:tc>
        <w:tc>
          <w:tcPr>
            <w:tcW w:w="7412" w:type="dxa"/>
            <w:shd w:val="clear" w:color="auto" w:fill="auto"/>
            <w:vAlign w:val="center"/>
          </w:tcPr>
          <w:p w14:paraId="0C534CFB">
            <w:pPr>
              <w:snapToGrid w:val="0"/>
              <w:spacing w:line="36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根据投标人提供的对本项目</w:t>
            </w:r>
            <w:r>
              <w:rPr>
                <w:rFonts w:hint="eastAsia" w:ascii="宋体" w:hAnsi="宋体" w:eastAsia="宋体" w:cs="宋体"/>
                <w:color w:val="auto"/>
                <w:sz w:val="21"/>
                <w:szCs w:val="21"/>
                <w:highlight w:val="none"/>
              </w:rPr>
              <w:t>结算审核造价咨询服务</w:t>
            </w:r>
            <w:r>
              <w:rPr>
                <w:rFonts w:hint="eastAsia" w:ascii="宋体" w:hAnsi="宋体" w:eastAsia="宋体" w:cs="宋体"/>
                <w:color w:val="auto"/>
                <w:sz w:val="21"/>
                <w:szCs w:val="21"/>
                <w:highlight w:val="none"/>
                <w:lang w:eastAsia="zh-CN"/>
              </w:rPr>
              <w:t>过程中的</w:t>
            </w:r>
            <w:r>
              <w:rPr>
                <w:rFonts w:hint="eastAsia" w:ascii="宋体" w:hAnsi="宋体" w:eastAsia="宋体" w:cs="宋体"/>
                <w:color w:val="auto"/>
                <w:sz w:val="21"/>
                <w:szCs w:val="21"/>
                <w:highlight w:val="none"/>
              </w:rPr>
              <w:t>廉政建设方面的措施</w:t>
            </w:r>
            <w:r>
              <w:rPr>
                <w:rFonts w:hint="eastAsia" w:ascii="宋体" w:hAnsi="宋体" w:eastAsia="宋体" w:cs="宋体"/>
                <w:color w:val="auto"/>
                <w:sz w:val="21"/>
                <w:szCs w:val="21"/>
                <w:highlight w:val="none"/>
                <w:lang w:eastAsia="zh-CN"/>
              </w:rPr>
              <w:t>进行评分；</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zh-CN" w:eastAsia="zh-CN"/>
              </w:rPr>
              <w:t>评分范围：</w:t>
            </w:r>
            <w:r>
              <w:rPr>
                <w:rFonts w:hint="eastAsia" w:ascii="宋体" w:hAnsi="宋体" w:eastAsia="宋体" w:cs="宋体"/>
                <w:b w:val="0"/>
                <w:bCs w:val="0"/>
                <w:color w:val="auto"/>
                <w:sz w:val="21"/>
                <w:szCs w:val="21"/>
                <w:highlight w:val="none"/>
                <w:lang w:val="en-US" w:eastAsia="zh-CN"/>
              </w:rPr>
              <w:t>5,4,3,2,1,0)</w:t>
            </w:r>
          </w:p>
        </w:tc>
        <w:tc>
          <w:tcPr>
            <w:tcW w:w="707" w:type="dxa"/>
            <w:shd w:val="clear" w:color="auto" w:fill="auto"/>
            <w:vAlign w:val="center"/>
          </w:tcPr>
          <w:p w14:paraId="0B10A0BC">
            <w:pPr>
              <w:snapToGrid w:val="0"/>
              <w:spacing w:line="36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w:t>
            </w:r>
          </w:p>
        </w:tc>
        <w:tc>
          <w:tcPr>
            <w:tcW w:w="996" w:type="dxa"/>
            <w:shd w:val="clear" w:color="auto" w:fill="auto"/>
            <w:vAlign w:val="center"/>
          </w:tcPr>
          <w:p w14:paraId="37861FE5">
            <w:pPr>
              <w:snapToGrid w:val="0"/>
              <w:spacing w:line="36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主观分</w:t>
            </w:r>
          </w:p>
        </w:tc>
      </w:tr>
      <w:tr w14:paraId="51DAA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844" w:type="dxa"/>
            <w:vAlign w:val="center"/>
          </w:tcPr>
          <w:p w14:paraId="5503ACAF">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w:t>
            </w:r>
          </w:p>
        </w:tc>
        <w:tc>
          <w:tcPr>
            <w:tcW w:w="7412" w:type="dxa"/>
            <w:shd w:val="clear" w:color="auto" w:fill="auto"/>
            <w:vAlign w:val="center"/>
          </w:tcPr>
          <w:p w14:paraId="0E86AEAF">
            <w:pPr>
              <w:snapToGrid w:val="0"/>
              <w:spacing w:line="36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Cs w:val="21"/>
                <w:highlight w:val="none"/>
                <w:lang w:eastAsia="zh-CN"/>
              </w:rPr>
              <w:t>根据投标人提供的对</w:t>
            </w:r>
            <w:r>
              <w:rPr>
                <w:rFonts w:hint="eastAsia" w:ascii="宋体" w:hAnsi="宋体" w:eastAsia="宋体" w:cs="宋体"/>
                <w:color w:val="auto"/>
                <w:szCs w:val="21"/>
                <w:highlight w:val="none"/>
              </w:rPr>
              <w:t>服务过程中文件及相关信息的保管及保密措施</w:t>
            </w:r>
            <w:r>
              <w:rPr>
                <w:rFonts w:hint="eastAsia" w:ascii="宋体" w:hAnsi="宋体" w:eastAsia="宋体" w:cs="宋体"/>
                <w:color w:val="auto"/>
                <w:szCs w:val="21"/>
                <w:highlight w:val="none"/>
                <w:lang w:eastAsia="zh-CN"/>
              </w:rPr>
              <w:t>进行评分</w:t>
            </w:r>
            <w:r>
              <w:rPr>
                <w:rFonts w:hint="eastAsia" w:ascii="宋体" w:hAnsi="宋体" w:eastAsia="宋体" w:cs="宋体"/>
                <w:color w:val="auto"/>
                <w:sz w:val="21"/>
                <w:szCs w:val="21"/>
                <w:highlight w:val="none"/>
                <w:lang w:val="en-US" w:eastAsia="zh-CN"/>
              </w:rPr>
              <w:t>；</w:t>
            </w:r>
            <w:r>
              <w:rPr>
                <w:rFonts w:hint="eastAsia" w:ascii="宋体" w:hAnsi="宋体" w:eastAsia="宋体" w:cs="宋体"/>
                <w:bCs w:val="0"/>
                <w:color w:val="auto"/>
                <w:sz w:val="21"/>
                <w:szCs w:val="21"/>
                <w:highlight w:val="none"/>
                <w:lang w:val="en-US" w:eastAsia="zh-CN"/>
              </w:rPr>
              <w:t>(</w:t>
            </w:r>
            <w:r>
              <w:rPr>
                <w:rFonts w:hint="eastAsia" w:ascii="宋体" w:hAnsi="宋体" w:eastAsia="宋体" w:cs="宋体"/>
                <w:bCs w:val="0"/>
                <w:color w:val="auto"/>
                <w:sz w:val="21"/>
                <w:szCs w:val="21"/>
                <w:highlight w:val="none"/>
              </w:rPr>
              <w:t>评分范围</w:t>
            </w:r>
            <w:r>
              <w:rPr>
                <w:rFonts w:hint="eastAsia" w:ascii="宋体" w:hAnsi="宋体" w:eastAsia="宋体" w:cs="宋体"/>
                <w:color w:val="auto"/>
                <w:sz w:val="21"/>
                <w:szCs w:val="21"/>
                <w:highlight w:val="none"/>
                <w:lang w:eastAsia="zh-CN"/>
              </w:rPr>
              <w:t>：</w:t>
            </w:r>
            <w:r>
              <w:rPr>
                <w:rFonts w:hint="eastAsia" w:ascii="宋体" w:hAnsi="宋体" w:eastAsia="宋体" w:cs="宋体"/>
                <w:bCs w:val="0"/>
                <w:color w:val="auto"/>
                <w:sz w:val="21"/>
                <w:szCs w:val="21"/>
                <w:highlight w:val="none"/>
              </w:rPr>
              <w:t>5,4,3,2,1,0</w:t>
            </w:r>
            <w:r>
              <w:rPr>
                <w:rFonts w:hint="eastAsia" w:ascii="宋体" w:hAnsi="宋体" w:eastAsia="宋体" w:cs="宋体"/>
                <w:bCs w:val="0"/>
                <w:color w:val="auto"/>
                <w:sz w:val="21"/>
                <w:szCs w:val="21"/>
                <w:highlight w:val="none"/>
                <w:lang w:val="en-US" w:eastAsia="zh-CN"/>
              </w:rPr>
              <w:t>)</w:t>
            </w:r>
          </w:p>
        </w:tc>
        <w:tc>
          <w:tcPr>
            <w:tcW w:w="707" w:type="dxa"/>
            <w:shd w:val="clear" w:color="auto" w:fill="auto"/>
            <w:vAlign w:val="center"/>
          </w:tcPr>
          <w:p w14:paraId="4FB886DF">
            <w:pPr>
              <w:snapToGrid w:val="0"/>
              <w:spacing w:line="36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w:t>
            </w:r>
          </w:p>
        </w:tc>
        <w:tc>
          <w:tcPr>
            <w:tcW w:w="996" w:type="dxa"/>
            <w:shd w:val="clear" w:color="auto" w:fill="auto"/>
            <w:vAlign w:val="center"/>
          </w:tcPr>
          <w:p w14:paraId="48CFE33C">
            <w:pPr>
              <w:snapToGrid w:val="0"/>
              <w:spacing w:line="36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主观分</w:t>
            </w:r>
          </w:p>
        </w:tc>
      </w:tr>
      <w:tr w14:paraId="466E8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844" w:type="dxa"/>
            <w:vAlign w:val="center"/>
          </w:tcPr>
          <w:p w14:paraId="630BDC9D">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w:t>
            </w:r>
          </w:p>
        </w:tc>
        <w:tc>
          <w:tcPr>
            <w:tcW w:w="7412" w:type="dxa"/>
            <w:shd w:val="clear" w:color="auto" w:fill="auto"/>
            <w:vAlign w:val="center"/>
          </w:tcPr>
          <w:p w14:paraId="7C8C98E4">
            <w:pPr>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根据投标人针对本项目在实施过程中可能出现的突发情况的应对、解决方案进行评分；</w:t>
            </w:r>
            <w:r>
              <w:rPr>
                <w:rFonts w:hint="eastAsia" w:ascii="宋体" w:hAnsi="宋体" w:eastAsia="宋体" w:cs="宋体"/>
                <w:bCs w:val="0"/>
                <w:color w:val="auto"/>
                <w:sz w:val="21"/>
                <w:szCs w:val="21"/>
                <w:highlight w:val="none"/>
                <w:lang w:val="en-US" w:eastAsia="zh-CN"/>
              </w:rPr>
              <w:t>(</w:t>
            </w:r>
            <w:r>
              <w:rPr>
                <w:rFonts w:hint="eastAsia" w:ascii="宋体" w:hAnsi="宋体" w:eastAsia="宋体" w:cs="宋体"/>
                <w:bCs w:val="0"/>
                <w:color w:val="auto"/>
                <w:sz w:val="21"/>
                <w:szCs w:val="21"/>
                <w:highlight w:val="none"/>
              </w:rPr>
              <w:t>评分范围</w:t>
            </w:r>
            <w:r>
              <w:rPr>
                <w:rFonts w:hint="eastAsia" w:ascii="宋体" w:hAnsi="宋体" w:eastAsia="宋体" w:cs="宋体"/>
                <w:color w:val="auto"/>
                <w:sz w:val="21"/>
                <w:szCs w:val="21"/>
                <w:highlight w:val="none"/>
                <w:lang w:eastAsia="zh-CN"/>
              </w:rPr>
              <w:t>：</w:t>
            </w:r>
            <w:r>
              <w:rPr>
                <w:rFonts w:hint="eastAsia" w:ascii="宋体" w:hAnsi="宋体" w:eastAsia="宋体" w:cs="宋体"/>
                <w:bCs w:val="0"/>
                <w:color w:val="auto"/>
                <w:sz w:val="21"/>
                <w:szCs w:val="21"/>
                <w:highlight w:val="none"/>
              </w:rPr>
              <w:t>5,4,3,2,1,0</w:t>
            </w:r>
            <w:r>
              <w:rPr>
                <w:rFonts w:hint="eastAsia" w:ascii="宋体" w:hAnsi="宋体" w:eastAsia="宋体" w:cs="宋体"/>
                <w:bCs w:val="0"/>
                <w:color w:val="auto"/>
                <w:sz w:val="21"/>
                <w:szCs w:val="21"/>
                <w:highlight w:val="none"/>
                <w:lang w:val="en-US" w:eastAsia="zh-CN"/>
              </w:rPr>
              <w:t>)</w:t>
            </w:r>
          </w:p>
        </w:tc>
        <w:tc>
          <w:tcPr>
            <w:tcW w:w="707" w:type="dxa"/>
            <w:shd w:val="clear" w:color="auto" w:fill="auto"/>
            <w:vAlign w:val="center"/>
          </w:tcPr>
          <w:p w14:paraId="17A02B29">
            <w:pPr>
              <w:snapToGrid w:val="0"/>
              <w:spacing w:line="36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w:t>
            </w:r>
          </w:p>
        </w:tc>
        <w:tc>
          <w:tcPr>
            <w:tcW w:w="996" w:type="dxa"/>
            <w:shd w:val="clear" w:color="auto" w:fill="auto"/>
            <w:vAlign w:val="center"/>
          </w:tcPr>
          <w:p w14:paraId="3802550D">
            <w:pPr>
              <w:snapToGrid w:val="0"/>
              <w:spacing w:line="36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主观分</w:t>
            </w:r>
          </w:p>
        </w:tc>
      </w:tr>
      <w:tr w14:paraId="01C9A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844" w:type="dxa"/>
            <w:vAlign w:val="center"/>
          </w:tcPr>
          <w:p w14:paraId="58B853AD">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w:t>
            </w:r>
          </w:p>
        </w:tc>
        <w:tc>
          <w:tcPr>
            <w:tcW w:w="7412" w:type="dxa"/>
          </w:tcPr>
          <w:p w14:paraId="6F36B74A">
            <w:pPr>
              <w:spacing w:line="360" w:lineRule="auto"/>
              <w:outlineLvl w:val="0"/>
              <w:rPr>
                <w:rFonts w:hint="eastAsia" w:ascii="宋体" w:hAnsi="宋体" w:eastAsia="宋体" w:cs="宋体"/>
                <w:bCs/>
                <w:color w:val="auto"/>
                <w:sz w:val="21"/>
                <w:szCs w:val="21"/>
                <w:highlight w:val="none"/>
              </w:rPr>
            </w:pPr>
            <w:bookmarkStart w:id="53" w:name="_Toc12829"/>
            <w:r>
              <w:rPr>
                <w:rFonts w:hint="eastAsia" w:ascii="宋体" w:hAnsi="宋体" w:eastAsia="宋体" w:cs="宋体"/>
                <w:bCs/>
                <w:color w:val="auto"/>
                <w:sz w:val="21"/>
                <w:szCs w:val="21"/>
                <w:highlight w:val="none"/>
              </w:rPr>
              <w:t>有效投标报价的最低价作为评标基准价，其最低报价为满分；按［投标报价得分=（评标基准价/投标报价）*10］的计算公式计算。</w:t>
            </w:r>
            <w:bookmarkEnd w:id="53"/>
            <w:bookmarkStart w:id="54" w:name="_Toc4105"/>
            <w:r>
              <w:rPr>
                <w:rFonts w:hint="eastAsia" w:ascii="宋体" w:hAnsi="宋体" w:eastAsia="宋体" w:cs="宋体"/>
                <w:bCs/>
                <w:color w:val="auto"/>
                <w:sz w:val="21"/>
                <w:szCs w:val="21"/>
                <w:highlight w:val="none"/>
              </w:rPr>
              <w:t>评标过程中，不得去掉报价中的最高报价和最低报价</w:t>
            </w:r>
            <w:bookmarkEnd w:id="54"/>
            <w:r>
              <w:rPr>
                <w:rFonts w:hint="eastAsia" w:ascii="宋体" w:hAnsi="宋体" w:eastAsia="宋体" w:cs="宋体"/>
                <w:bCs/>
                <w:color w:val="auto"/>
                <w:sz w:val="21"/>
                <w:szCs w:val="21"/>
                <w:highlight w:val="none"/>
              </w:rPr>
              <w:t>。</w:t>
            </w:r>
            <w:r>
              <w:rPr>
                <w:rFonts w:hint="eastAsia" w:ascii="宋体" w:hAnsi="宋体" w:eastAsia="宋体" w:cs="宋体"/>
                <w:b/>
                <w:bCs w:val="0"/>
                <w:color w:val="auto"/>
                <w:sz w:val="21"/>
                <w:szCs w:val="21"/>
                <w:highlight w:val="none"/>
              </w:rPr>
              <w:t>本项目专门面向中小企业采购，不再执行价格评审优惠的扶持政策。</w:t>
            </w:r>
          </w:p>
        </w:tc>
        <w:tc>
          <w:tcPr>
            <w:tcW w:w="707" w:type="dxa"/>
            <w:vAlign w:val="center"/>
          </w:tcPr>
          <w:p w14:paraId="565DC5A7">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996" w:type="dxa"/>
            <w:vAlign w:val="center"/>
          </w:tcPr>
          <w:p w14:paraId="261C4A85">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w:t>
            </w:r>
          </w:p>
        </w:tc>
      </w:tr>
    </w:tbl>
    <w:p w14:paraId="2384B900">
      <w:pPr>
        <w:pageBreakBefore w:val="0"/>
        <w:shd w:val="clear"/>
        <w:kinsoku/>
        <w:overflowPunct/>
        <w:topLinePunct w:val="0"/>
        <w:bidi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*备注：投标人编制投标文件（商务技术文件部分）时，建议按此目录（序号和内容）提供评标标</w:t>
      </w:r>
      <w:bookmarkStart w:id="328" w:name="_GoBack"/>
      <w:bookmarkEnd w:id="328"/>
      <w:r>
        <w:rPr>
          <w:rFonts w:hint="eastAsia" w:ascii="宋体" w:hAnsi="宋体" w:eastAsia="宋体" w:cs="宋体"/>
          <w:color w:val="auto"/>
          <w:highlight w:val="none"/>
        </w:rPr>
        <w:t>准相应的商务技术资料。 </w:t>
      </w:r>
    </w:p>
    <w:p w14:paraId="23B91BDE">
      <w:pPr>
        <w:pageBreakBefore w:val="0"/>
        <w:shd w:val="clear"/>
        <w:kinsoku/>
        <w:overflowPunct/>
        <w:topLinePunct w:val="0"/>
        <w:bidi w:val="0"/>
        <w:snapToGrid w:val="0"/>
        <w:spacing w:line="360" w:lineRule="auto"/>
        <w:rPr>
          <w:rFonts w:hint="eastAsia" w:ascii="宋体" w:hAnsi="宋体" w:eastAsia="宋体" w:cs="宋体"/>
          <w:b/>
          <w:color w:val="auto"/>
          <w:sz w:val="21"/>
          <w:szCs w:val="21"/>
          <w:highlight w:val="none"/>
        </w:rPr>
      </w:pPr>
      <w:bookmarkStart w:id="55" w:name="_Toc234764855"/>
      <w:bookmarkStart w:id="56" w:name="_Toc251566668"/>
      <w:bookmarkStart w:id="57" w:name="_Toc1306"/>
      <w:bookmarkStart w:id="58" w:name="_Toc249760797"/>
      <w:r>
        <w:rPr>
          <w:rFonts w:hint="eastAsia" w:ascii="宋体" w:hAnsi="宋体" w:eastAsia="宋体" w:cs="宋体"/>
          <w:b/>
          <w:color w:val="auto"/>
          <w:sz w:val="30"/>
          <w:szCs w:val="30"/>
          <w:highlight w:val="none"/>
        </w:rPr>
        <w:br w:type="page"/>
      </w:r>
      <w:r>
        <w:rPr>
          <w:rStyle w:val="141"/>
          <w:rFonts w:hint="eastAsia" w:ascii="宋体" w:hAnsi="宋体" w:eastAsia="宋体" w:cs="宋体"/>
          <w:color w:val="auto"/>
          <w:highlight w:val="none"/>
        </w:rPr>
        <w:t>一、评标方法</w:t>
      </w:r>
    </w:p>
    <w:p w14:paraId="0EF2CF8C">
      <w:pPr>
        <w:pageBreakBefore w:val="0"/>
        <w:shd w:val="clear"/>
        <w:kinsoku/>
        <w:overflowPunct/>
        <w:topLinePunct w:val="0"/>
        <w:bidi w:val="0"/>
        <w:adjustRightInd/>
        <w:spacing w:line="360" w:lineRule="auto"/>
        <w:ind w:firstLine="413" w:firstLineChars="196"/>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1.本项目采用综合评分法。</w:t>
      </w:r>
      <w:r>
        <w:rPr>
          <w:rFonts w:hint="eastAsia" w:ascii="宋体" w:hAnsi="宋体" w:eastAsia="宋体" w:cs="宋体"/>
          <w:color w:val="auto"/>
          <w:kern w:val="0"/>
          <w:sz w:val="21"/>
          <w:szCs w:val="21"/>
          <w:highlight w:val="none"/>
        </w:rPr>
        <w:t>综合评分法，是指投标文件满足招标文件全部实质性要求，且按照评审因素的量化指标评审得分最高的投标人为中标候选人的评标方法。</w:t>
      </w:r>
    </w:p>
    <w:p w14:paraId="47F2B7B9">
      <w:pPr>
        <w:pStyle w:val="6"/>
        <w:pageBreakBefore w:val="0"/>
        <w:shd w:val="clear"/>
        <w:kinsoku/>
        <w:overflowPunct/>
        <w:topLinePunct w:val="0"/>
        <w:bidi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二、评标标准</w:t>
      </w:r>
    </w:p>
    <w:p w14:paraId="016E8A84">
      <w:pPr>
        <w:pageBreakBefore w:val="0"/>
        <w:shd w:val="clear"/>
        <w:kinsoku/>
        <w:overflowPunct/>
        <w:topLinePunct w:val="0"/>
        <w:bidi w:val="0"/>
        <w:spacing w:line="360" w:lineRule="auto"/>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w:t>
      </w: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rPr>
        <w:t>评标标准：</w:t>
      </w:r>
      <w:r>
        <w:rPr>
          <w:rFonts w:hint="eastAsia" w:ascii="宋体" w:hAnsi="宋体" w:eastAsia="宋体" w:cs="宋体"/>
          <w:color w:val="auto"/>
          <w:kern w:val="0"/>
          <w:sz w:val="21"/>
          <w:szCs w:val="21"/>
          <w:highlight w:val="none"/>
        </w:rPr>
        <w:t>见</w:t>
      </w:r>
      <w:r>
        <w:rPr>
          <w:rFonts w:hint="eastAsia" w:ascii="宋体" w:hAnsi="宋体" w:eastAsia="宋体" w:cs="宋体"/>
          <w:color w:val="auto"/>
          <w:kern w:val="0"/>
          <w:sz w:val="21"/>
          <w:szCs w:val="21"/>
          <w:highlight w:val="none"/>
          <w:lang w:eastAsia="zh-CN"/>
        </w:rPr>
        <w:t>评标标准</w:t>
      </w:r>
      <w:r>
        <w:rPr>
          <w:rFonts w:hint="eastAsia" w:ascii="宋体" w:hAnsi="宋体" w:eastAsia="宋体" w:cs="宋体"/>
          <w:color w:val="auto"/>
          <w:kern w:val="0"/>
          <w:sz w:val="21"/>
          <w:szCs w:val="21"/>
          <w:highlight w:val="none"/>
        </w:rPr>
        <w:t>前附表。</w:t>
      </w:r>
    </w:p>
    <w:p w14:paraId="5D2DDA78">
      <w:pPr>
        <w:pStyle w:val="6"/>
        <w:pageBreakBefore w:val="0"/>
        <w:shd w:val="clear"/>
        <w:kinsoku/>
        <w:overflowPunct/>
        <w:topLinePunct w:val="0"/>
        <w:bidi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三、评标程序</w:t>
      </w:r>
    </w:p>
    <w:p w14:paraId="556493D6">
      <w:pPr>
        <w:pageBreakBefore w:val="0"/>
        <w:shd w:val="clear"/>
        <w:kinsoku/>
        <w:overflowPunct/>
        <w:topLinePunct w:val="0"/>
        <w:bidi w:val="0"/>
        <w:spacing w:line="360" w:lineRule="auto"/>
        <w:ind w:firstLine="413" w:firstLineChars="196"/>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3.1符合性审查。</w:t>
      </w:r>
      <w:r>
        <w:rPr>
          <w:rFonts w:hint="eastAsia" w:ascii="宋体" w:hAnsi="宋体" w:eastAsia="宋体" w:cs="宋体"/>
          <w:color w:val="auto"/>
          <w:kern w:val="0"/>
          <w:sz w:val="21"/>
          <w:szCs w:val="21"/>
          <w:highlight w:val="none"/>
        </w:rPr>
        <w:t>评标委员会应当对符合资格的投标人的投标文件进行符合性审查，以确定其是否满足招标文件的实质性要求。不满足招标文件的实质性要求的，投标无效。</w:t>
      </w:r>
    </w:p>
    <w:p w14:paraId="3C55A4E9">
      <w:pPr>
        <w:pageBreakBefore w:val="0"/>
        <w:shd w:val="clear"/>
        <w:kinsoku/>
        <w:overflowPunct/>
        <w:topLinePunct w:val="0"/>
        <w:bidi w:val="0"/>
        <w:spacing w:line="360" w:lineRule="auto"/>
        <w:ind w:firstLine="413" w:firstLineChars="196"/>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3.2 比较与评价。</w:t>
      </w:r>
      <w:r>
        <w:rPr>
          <w:rFonts w:hint="eastAsia" w:ascii="宋体" w:hAnsi="宋体" w:eastAsia="宋体" w:cs="宋体"/>
          <w:color w:val="auto"/>
          <w:kern w:val="0"/>
          <w:sz w:val="21"/>
          <w:szCs w:val="21"/>
          <w:highlight w:val="none"/>
        </w:rPr>
        <w:t>评标委员会应当按照招标文件中规定的评标方法和标准，对符合性审查合格的投标文件进行商务和技术评估，综合比较与评价。</w:t>
      </w:r>
    </w:p>
    <w:p w14:paraId="140BDF8A">
      <w:pPr>
        <w:pageBreakBefore w:val="0"/>
        <w:shd w:val="clear"/>
        <w:kinsoku/>
        <w:overflowPunct/>
        <w:topLinePunct w:val="0"/>
        <w:bidi w:val="0"/>
        <w:spacing w:line="360" w:lineRule="auto"/>
        <w:ind w:firstLine="413" w:firstLineChars="196"/>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3.3汇总商务技术得分。</w:t>
      </w:r>
      <w:r>
        <w:rPr>
          <w:rFonts w:hint="eastAsia" w:ascii="宋体" w:hAnsi="宋体" w:eastAsia="宋体" w:cs="宋体"/>
          <w:color w:val="auto"/>
          <w:kern w:val="0"/>
          <w:sz w:val="21"/>
          <w:szCs w:val="21"/>
          <w:highlight w:val="none"/>
        </w:rPr>
        <w:t>评标委员会各成员应当独立对每个投标人的商务和技术文件进行评价，并汇总商务技术得分情况。</w:t>
      </w:r>
    </w:p>
    <w:p w14:paraId="06969E4B">
      <w:pPr>
        <w:pageBreakBefore w:val="0"/>
        <w:shd w:val="clear"/>
        <w:kinsoku/>
        <w:overflowPunct/>
        <w:topLinePunct w:val="0"/>
        <w:bidi w:val="0"/>
        <w:spacing w:line="360" w:lineRule="auto"/>
        <w:ind w:firstLine="413" w:firstLineChars="196"/>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3.4报价评审。</w:t>
      </w:r>
    </w:p>
    <w:p w14:paraId="12C29AC5">
      <w:pPr>
        <w:pStyle w:val="63"/>
        <w:pageBreakBefore w:val="0"/>
        <w:shd w:val="clear"/>
        <w:kinsoku/>
        <w:overflowPunct/>
        <w:topLinePunct w:val="0"/>
        <w:bidi w:val="0"/>
        <w:spacing w:before="0" w:line="360" w:lineRule="auto"/>
        <w:ind w:firstLine="445" w:firstLineChars="21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3.4.1投标文件报价出现前后不一致的，按照下列规定修正：</w:t>
      </w:r>
    </w:p>
    <w:p w14:paraId="0AAA2596">
      <w:pPr>
        <w:pStyle w:val="63"/>
        <w:pageBreakBefore w:val="0"/>
        <w:shd w:val="clear"/>
        <w:kinsoku/>
        <w:overflowPunct/>
        <w:topLinePunct w:val="0"/>
        <w:bidi w:val="0"/>
        <w:spacing w:before="0" w:line="360" w:lineRule="auto"/>
        <w:ind w:firstLine="48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3.4.1.1投标文件中开标一览表(报价表)内容与投标文件中相应内容不一致的，以开标一览表(报价表)为准</w:t>
      </w:r>
      <w:r>
        <w:rPr>
          <w:rFonts w:hint="eastAsia" w:ascii="宋体" w:hAnsi="宋体" w:eastAsia="宋体" w:cs="宋体"/>
          <w:color w:val="auto"/>
          <w:kern w:val="0"/>
          <w:sz w:val="21"/>
          <w:szCs w:val="21"/>
          <w:highlight w:val="none"/>
          <w:lang w:eastAsia="zh-CN"/>
        </w:rPr>
        <w:t>；</w:t>
      </w:r>
    </w:p>
    <w:p w14:paraId="21F159E4">
      <w:pPr>
        <w:pStyle w:val="63"/>
        <w:pageBreakBefore w:val="0"/>
        <w:shd w:val="clear"/>
        <w:kinsoku/>
        <w:overflowPunct/>
        <w:topLinePunct w:val="0"/>
        <w:bidi w:val="0"/>
        <w:spacing w:before="0" w:line="360" w:lineRule="auto"/>
        <w:ind w:firstLine="48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3.4.1.2大写金额和小写金额不一致的，以大写金额为准</w:t>
      </w:r>
      <w:r>
        <w:rPr>
          <w:rFonts w:hint="eastAsia" w:ascii="宋体" w:hAnsi="宋体" w:eastAsia="宋体" w:cs="宋体"/>
          <w:color w:val="auto"/>
          <w:kern w:val="0"/>
          <w:sz w:val="21"/>
          <w:szCs w:val="21"/>
          <w:highlight w:val="none"/>
          <w:lang w:eastAsia="zh-CN"/>
        </w:rPr>
        <w:t>；</w:t>
      </w:r>
    </w:p>
    <w:p w14:paraId="296BABD0">
      <w:pPr>
        <w:pStyle w:val="63"/>
        <w:pageBreakBefore w:val="0"/>
        <w:shd w:val="clear"/>
        <w:kinsoku/>
        <w:overflowPunct/>
        <w:topLinePunct w:val="0"/>
        <w:bidi w:val="0"/>
        <w:spacing w:before="0" w:line="360" w:lineRule="auto"/>
        <w:ind w:firstLine="48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3.4.1.3单价金额小数点或者百分比有明显错位的，以开标一览表的总价为准，并修改单价</w:t>
      </w:r>
      <w:r>
        <w:rPr>
          <w:rFonts w:hint="eastAsia" w:ascii="宋体" w:hAnsi="宋体" w:eastAsia="宋体" w:cs="宋体"/>
          <w:color w:val="auto"/>
          <w:kern w:val="0"/>
          <w:sz w:val="21"/>
          <w:szCs w:val="21"/>
          <w:highlight w:val="none"/>
          <w:lang w:eastAsia="zh-CN"/>
        </w:rPr>
        <w:t>；</w:t>
      </w:r>
    </w:p>
    <w:p w14:paraId="1A102828">
      <w:pPr>
        <w:pStyle w:val="63"/>
        <w:pageBreakBefore w:val="0"/>
        <w:shd w:val="clear"/>
        <w:kinsoku/>
        <w:overflowPunct/>
        <w:topLinePunct w:val="0"/>
        <w:bidi w:val="0"/>
        <w:spacing w:before="0" w:line="360" w:lineRule="auto"/>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3.4.1.4总价金额与按单价汇总金额不一致的，以单价金额计算结果为准。</w:t>
      </w:r>
    </w:p>
    <w:p w14:paraId="377CFD2B">
      <w:pPr>
        <w:pStyle w:val="63"/>
        <w:pageBreakBefore w:val="0"/>
        <w:shd w:val="clear"/>
        <w:kinsoku/>
        <w:overflowPunct/>
        <w:topLinePunct w:val="0"/>
        <w:bidi w:val="0"/>
        <w:spacing w:before="0" w:line="360" w:lineRule="auto"/>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5A679267">
      <w:pPr>
        <w:pageBreakBefore w:val="0"/>
        <w:shd w:val="clear"/>
        <w:kinsoku/>
        <w:overflowPunct/>
        <w:topLinePunct w:val="0"/>
        <w:bidi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3.4.2投标文件出现不是唯一的、有选择性投标报价的，投标无效。</w:t>
      </w:r>
    </w:p>
    <w:p w14:paraId="2E094D0E">
      <w:pPr>
        <w:pageBreakBefore w:val="0"/>
        <w:shd w:val="clear"/>
        <w:kinsoku/>
        <w:overflowPunct/>
        <w:topLinePunct w:val="0"/>
        <w:bidi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3.4.3投标报价超过招标文件中规定的预算金额或者最高限价的，投标无效。</w:t>
      </w:r>
    </w:p>
    <w:p w14:paraId="51F98FED">
      <w:pPr>
        <w:pStyle w:val="63"/>
        <w:pageBreakBefore w:val="0"/>
        <w:shd w:val="clear"/>
        <w:kinsoku/>
        <w:overflowPunct/>
        <w:topLinePunct w:val="0"/>
        <w:bidi w:val="0"/>
        <w:spacing w:before="0" w:line="360" w:lineRule="auto"/>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投标人不能证明其报价合理性的，评标委员会应当将其作为无效投标处理。</w:t>
      </w:r>
    </w:p>
    <w:p w14:paraId="1F484836">
      <w:pPr>
        <w:pStyle w:val="63"/>
        <w:pageBreakBefore w:val="0"/>
        <w:shd w:val="clear"/>
        <w:kinsoku/>
        <w:overflowPunct/>
        <w:topLinePunct w:val="0"/>
        <w:bidi w:val="0"/>
        <w:spacing w:before="0" w:line="360" w:lineRule="auto"/>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442B2778">
      <w:pPr>
        <w:pageBreakBefore w:val="0"/>
        <w:shd w:val="clear"/>
        <w:kinsoku/>
        <w:overflowPunct/>
        <w:topLinePunct w:val="0"/>
        <w:bidi w:val="0"/>
        <w:spacing w:line="360" w:lineRule="auto"/>
        <w:ind w:firstLine="422" w:firstLineChars="200"/>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3.5排序与推荐。</w:t>
      </w:r>
      <w:r>
        <w:rPr>
          <w:rFonts w:hint="eastAsia" w:ascii="宋体" w:hAnsi="宋体" w:eastAsia="宋体" w:cs="宋体"/>
          <w:color w:val="auto"/>
          <w:kern w:val="0"/>
          <w:sz w:val="21"/>
          <w:szCs w:val="21"/>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9576443">
      <w:pPr>
        <w:pageBreakBefore w:val="0"/>
        <w:shd w:val="clear"/>
        <w:kinsoku/>
        <w:overflowPunct/>
        <w:topLinePunct w:val="0"/>
        <w:bidi w:val="0"/>
        <w:spacing w:line="360" w:lineRule="auto"/>
        <w:ind w:firstLine="420" w:firstLineChars="200"/>
        <w:rPr>
          <w:rFonts w:hint="eastAsia" w:ascii="宋体" w:hAnsi="宋体" w:eastAsia="宋体" w:cs="宋体"/>
          <w:b/>
          <w:color w:val="auto"/>
          <w:kern w:val="0"/>
          <w:sz w:val="21"/>
          <w:szCs w:val="21"/>
          <w:highlight w:val="none"/>
        </w:rPr>
      </w:pPr>
      <w:r>
        <w:rPr>
          <w:rFonts w:hint="eastAsia" w:ascii="宋体" w:hAnsi="宋体" w:eastAsia="宋体" w:cs="宋体"/>
          <w:color w:val="auto"/>
          <w:kern w:val="0"/>
          <w:sz w:val="21"/>
          <w:szCs w:val="21"/>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评审得分相同的，采取随机抽取方式确定，其他同品牌投标人不作为中标候选人。</w:t>
      </w:r>
    </w:p>
    <w:p w14:paraId="55F3647E">
      <w:pPr>
        <w:pageBreakBefore w:val="0"/>
        <w:shd w:val="clear"/>
        <w:kinsoku/>
        <w:overflowPunct/>
        <w:topLinePunct w:val="0"/>
        <w:bidi w:val="0"/>
        <w:spacing w:line="360" w:lineRule="auto"/>
        <w:ind w:firstLine="413" w:firstLineChars="196"/>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3.6编写评标报告。</w:t>
      </w:r>
      <w:r>
        <w:rPr>
          <w:rFonts w:hint="eastAsia" w:ascii="宋体" w:hAnsi="宋体" w:eastAsia="宋体" w:cs="宋体"/>
          <w:color w:val="auto"/>
          <w:kern w:val="0"/>
          <w:sz w:val="21"/>
          <w:szCs w:val="21"/>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225AC32">
      <w:pPr>
        <w:pStyle w:val="6"/>
        <w:pageBreakBefore w:val="0"/>
        <w:shd w:val="clear"/>
        <w:kinsoku/>
        <w:overflowPunct/>
        <w:topLinePunct w:val="0"/>
        <w:bidi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四、评标中的其他事项</w:t>
      </w:r>
    </w:p>
    <w:p w14:paraId="3D5969B0">
      <w:pPr>
        <w:pStyle w:val="63"/>
        <w:pageBreakBefore w:val="0"/>
        <w:shd w:val="clear"/>
        <w:kinsoku/>
        <w:overflowPunct/>
        <w:topLinePunct w:val="0"/>
        <w:bidi w:val="0"/>
        <w:spacing w:before="0" w:line="360" w:lineRule="auto"/>
        <w:ind w:firstLine="413" w:firstLineChars="196"/>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4.1投标人澄清、说明或者补正。</w:t>
      </w:r>
      <w:r>
        <w:rPr>
          <w:rFonts w:hint="eastAsia" w:ascii="宋体" w:hAnsi="宋体" w:eastAsia="宋体" w:cs="宋体"/>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F1289E8">
      <w:pPr>
        <w:pStyle w:val="21"/>
        <w:pageBreakBefore w:val="0"/>
        <w:shd w:val="clear"/>
        <w:kinsoku/>
        <w:overflowPunct/>
        <w:topLinePunct w:val="0"/>
        <w:bidi w:val="0"/>
        <w:spacing w:line="360" w:lineRule="auto"/>
        <w:ind w:left="0" w:leftChars="0"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4.2投标无效。</w:t>
      </w:r>
      <w:r>
        <w:rPr>
          <w:rFonts w:hint="eastAsia" w:ascii="宋体" w:hAnsi="宋体" w:eastAsia="宋体" w:cs="宋体"/>
          <w:color w:val="auto"/>
          <w:sz w:val="21"/>
          <w:szCs w:val="21"/>
          <w:highlight w:val="none"/>
        </w:rPr>
        <w:t>有下列情形之一的，投标无效：</w:t>
      </w:r>
    </w:p>
    <w:p w14:paraId="7AE34044">
      <w:pPr>
        <w:pageBreakBefore w:val="0"/>
        <w:shd w:val="clear"/>
        <w:kinsoku/>
        <w:overflowPunct/>
        <w:topLinePunct w:val="0"/>
        <w:bidi w:val="0"/>
        <w:spacing w:line="360" w:lineRule="auto"/>
        <w:ind w:firstLine="420" w:firstLineChars="20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4.2.1投标人不具备招标文件中规定的资格要求的（投标人未提供有效的资格文件的，视为投标人不具备招标文件中规定的资格要求）</w:t>
      </w:r>
      <w:r>
        <w:rPr>
          <w:rFonts w:hint="eastAsia" w:ascii="宋体" w:hAnsi="宋体" w:eastAsia="宋体" w:cs="宋体"/>
          <w:color w:val="auto"/>
          <w:kern w:val="0"/>
          <w:sz w:val="21"/>
          <w:szCs w:val="21"/>
          <w:highlight w:val="none"/>
          <w:lang w:eastAsia="zh-CN"/>
        </w:rPr>
        <w:t>；</w:t>
      </w:r>
    </w:p>
    <w:p w14:paraId="028DACC5">
      <w:pPr>
        <w:pageBreakBefore w:val="0"/>
        <w:shd w:val="clear"/>
        <w:kinsoku/>
        <w:overflowPunct/>
        <w:topLinePunct w:val="0"/>
        <w:bidi w:val="0"/>
        <w:spacing w:line="360" w:lineRule="auto"/>
        <w:ind w:firstLine="420" w:firstLineChars="20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4.2.2投标文件未按照招标文件要求签署、盖章的</w:t>
      </w:r>
      <w:r>
        <w:rPr>
          <w:rFonts w:hint="eastAsia" w:ascii="宋体" w:hAnsi="宋体" w:eastAsia="宋体" w:cs="宋体"/>
          <w:color w:val="auto"/>
          <w:kern w:val="0"/>
          <w:sz w:val="21"/>
          <w:szCs w:val="21"/>
          <w:highlight w:val="none"/>
          <w:lang w:eastAsia="zh-CN"/>
        </w:rPr>
        <w:t>；</w:t>
      </w:r>
    </w:p>
    <w:p w14:paraId="1582C5D8">
      <w:pPr>
        <w:pageBreakBefore w:val="0"/>
        <w:shd w:val="clear"/>
        <w:kinsoku/>
        <w:overflowPunct/>
        <w:topLinePunct w:val="0"/>
        <w:bidi w:val="0"/>
        <w:spacing w:line="360" w:lineRule="auto"/>
        <w:ind w:firstLine="420" w:firstLineChars="200"/>
        <w:rPr>
          <w:rFonts w:hint="eastAsia" w:ascii="宋体" w:hAnsi="宋体" w:eastAsia="宋体" w:cs="宋体"/>
          <w:color w:val="auto"/>
          <w:kern w:val="0"/>
          <w:sz w:val="21"/>
          <w:szCs w:val="21"/>
          <w:highlight w:val="none"/>
          <w:lang w:val="en" w:eastAsia="zh-CN"/>
        </w:rPr>
      </w:pPr>
      <w:r>
        <w:rPr>
          <w:rFonts w:hint="eastAsia" w:ascii="宋体" w:hAnsi="宋体" w:eastAsia="宋体" w:cs="宋体"/>
          <w:color w:val="auto"/>
          <w:kern w:val="0"/>
          <w:sz w:val="21"/>
          <w:szCs w:val="21"/>
          <w:highlight w:val="none"/>
          <w:lang w:val="en-US" w:eastAsia="zh-CN"/>
        </w:rPr>
        <w:t>4.2.3</w:t>
      </w:r>
      <w:r>
        <w:rPr>
          <w:rFonts w:hint="eastAsia" w:ascii="宋体" w:hAnsi="宋体" w:eastAsia="宋体" w:cs="宋体"/>
          <w:color w:val="auto"/>
          <w:kern w:val="0"/>
          <w:sz w:val="21"/>
          <w:szCs w:val="21"/>
          <w:highlight w:val="none"/>
          <w:lang w:val="en" w:eastAsia="zh-CN"/>
        </w:rPr>
        <w:t>《中小企业声明函》填写企业类型错误或者未填写企业类型的，投标无效。</w:t>
      </w:r>
    </w:p>
    <w:p w14:paraId="0A21F5EC">
      <w:pPr>
        <w:pageBreakBefore w:val="0"/>
        <w:shd w:val="clear"/>
        <w:kinsoku/>
        <w:overflowPunct/>
        <w:topLinePunct w:val="0"/>
        <w:bidi w:val="0"/>
        <w:spacing w:line="360" w:lineRule="auto"/>
        <w:ind w:firstLine="420" w:firstLineChars="200"/>
        <w:rPr>
          <w:rFonts w:hint="eastAsia" w:ascii="宋体" w:hAnsi="宋体" w:eastAsia="宋体" w:cs="宋体"/>
          <w:color w:val="auto"/>
          <w:kern w:val="0"/>
          <w:sz w:val="21"/>
          <w:szCs w:val="21"/>
          <w:highlight w:val="none"/>
          <w:lang w:val="en" w:eastAsia="zh-CN"/>
        </w:rPr>
      </w:pPr>
      <w:r>
        <w:rPr>
          <w:rFonts w:hint="eastAsia" w:ascii="宋体" w:hAnsi="宋体" w:eastAsia="宋体" w:cs="宋体"/>
          <w:color w:val="auto"/>
          <w:kern w:val="0"/>
          <w:sz w:val="21"/>
          <w:szCs w:val="21"/>
          <w:highlight w:val="none"/>
          <w:lang w:val="en-US" w:eastAsia="zh-CN"/>
        </w:rPr>
        <w:t>4.2.4</w:t>
      </w:r>
      <w:r>
        <w:rPr>
          <w:rFonts w:hint="eastAsia" w:ascii="宋体" w:hAnsi="宋体" w:eastAsia="宋体" w:cs="宋体"/>
          <w:color w:val="auto"/>
          <w:kern w:val="0"/>
          <w:sz w:val="21"/>
          <w:szCs w:val="21"/>
          <w:highlight w:val="none"/>
          <w:lang w:val="en" w:eastAsia="zh-CN"/>
        </w:rPr>
        <w:t>参与同一个采购包（标段）的投标人存在下列情形之一的，其投标（响应）文件无效：</w:t>
      </w:r>
    </w:p>
    <w:p w14:paraId="5DCD3CB5">
      <w:pPr>
        <w:pageBreakBefore w:val="0"/>
        <w:numPr>
          <w:ilvl w:val="0"/>
          <w:numId w:val="4"/>
        </w:numPr>
        <w:shd w:val="clear"/>
        <w:kinsoku/>
        <w:overflowPunct/>
        <w:topLinePunct w:val="0"/>
        <w:bidi w:val="0"/>
        <w:spacing w:line="360" w:lineRule="auto"/>
        <w:ind w:firstLine="420" w:firstLineChars="200"/>
        <w:rPr>
          <w:rFonts w:hint="eastAsia" w:ascii="宋体" w:hAnsi="宋体" w:eastAsia="宋体" w:cs="宋体"/>
          <w:color w:val="auto"/>
          <w:kern w:val="0"/>
          <w:sz w:val="21"/>
          <w:szCs w:val="21"/>
          <w:highlight w:val="none"/>
          <w:lang w:val="en" w:eastAsia="zh-CN"/>
        </w:rPr>
      </w:pPr>
      <w:r>
        <w:rPr>
          <w:rFonts w:hint="eastAsia" w:ascii="宋体" w:hAnsi="宋体" w:eastAsia="宋体" w:cs="宋体"/>
          <w:color w:val="auto"/>
          <w:kern w:val="0"/>
          <w:sz w:val="21"/>
          <w:szCs w:val="21"/>
          <w:highlight w:val="none"/>
          <w:lang w:val="en" w:eastAsia="zh-CN"/>
        </w:rPr>
        <w:t>不同投标人的电子投标（响应）文件上传计算机的MAC地址、CPU序列号和硬盘序列号等硬件信息相同的；</w:t>
      </w:r>
    </w:p>
    <w:p w14:paraId="21ADF1F0">
      <w:pPr>
        <w:pageBreakBefore w:val="0"/>
        <w:numPr>
          <w:ilvl w:val="0"/>
          <w:numId w:val="4"/>
        </w:numPr>
        <w:shd w:val="clear"/>
        <w:kinsoku/>
        <w:overflowPunct/>
        <w:topLinePunct w:val="0"/>
        <w:bidi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 w:eastAsia="zh-CN"/>
        </w:rPr>
        <w:t>上传的电子投标（响应）文件若出现使用本项目其他投标（响应）人的数字证书加密的，或者加盖本项目其他投标（响应）人的电子印章的；</w:t>
      </w:r>
    </w:p>
    <w:p w14:paraId="37837E97">
      <w:pPr>
        <w:pageBreakBefore w:val="0"/>
        <w:numPr>
          <w:ilvl w:val="0"/>
          <w:numId w:val="4"/>
        </w:numPr>
        <w:shd w:val="clear"/>
        <w:kinsoku/>
        <w:overflowPunct/>
        <w:topLinePunct w:val="0"/>
        <w:bidi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 w:eastAsia="zh-CN"/>
        </w:rPr>
        <w:t>不同投标人的投标（响应）文件的内容存在两处以上细节错误一致，且无法合理解释的；</w:t>
      </w:r>
    </w:p>
    <w:p w14:paraId="585A416A">
      <w:pPr>
        <w:pageBreakBefore w:val="0"/>
        <w:numPr>
          <w:ilvl w:val="0"/>
          <w:numId w:val="4"/>
        </w:numPr>
        <w:shd w:val="clear"/>
        <w:kinsoku/>
        <w:overflowPunct/>
        <w:topLinePunct w:val="0"/>
        <w:bidi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 w:eastAsia="zh-CN"/>
        </w:rPr>
        <w:t>不同投标人联系人为同一人或不同联系人的联系电话一致，且无法合理解释的。</w:t>
      </w:r>
    </w:p>
    <w:p w14:paraId="4FCF4BAE">
      <w:pPr>
        <w:pageBreakBefore w:val="0"/>
        <w:shd w:val="clear"/>
        <w:kinsoku/>
        <w:overflowPunct/>
        <w:topLinePunct w:val="0"/>
        <w:bidi w:val="0"/>
        <w:spacing w:line="360" w:lineRule="auto"/>
        <w:ind w:firstLine="420" w:firstLineChars="20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4.2.</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采购人拟采购的产品属于政府强制采购的节能产品品目清单范围的，投标人相应的投标产品未获得国家确定的认证机构出具的、处于有效期之内的节能产品认证证书的</w:t>
      </w:r>
      <w:r>
        <w:rPr>
          <w:rFonts w:hint="eastAsia" w:ascii="宋体" w:hAnsi="宋体" w:eastAsia="宋体" w:cs="宋体"/>
          <w:color w:val="auto"/>
          <w:kern w:val="0"/>
          <w:sz w:val="21"/>
          <w:szCs w:val="21"/>
          <w:highlight w:val="none"/>
          <w:lang w:eastAsia="zh-CN"/>
        </w:rPr>
        <w:t>；</w:t>
      </w:r>
    </w:p>
    <w:p w14:paraId="7ED8E624">
      <w:pPr>
        <w:pageBreakBefore w:val="0"/>
        <w:shd w:val="clear"/>
        <w:kinsoku/>
        <w:overflowPunct/>
        <w:topLinePunct w:val="0"/>
        <w:bidi w:val="0"/>
        <w:spacing w:line="360" w:lineRule="auto"/>
        <w:ind w:firstLine="420" w:firstLineChars="20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4.2.</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投标文件含有采购人不能接受的附加条件的</w:t>
      </w:r>
      <w:r>
        <w:rPr>
          <w:rFonts w:hint="eastAsia" w:ascii="宋体" w:hAnsi="宋体" w:eastAsia="宋体" w:cs="宋体"/>
          <w:color w:val="auto"/>
          <w:kern w:val="0"/>
          <w:sz w:val="21"/>
          <w:szCs w:val="21"/>
          <w:highlight w:val="none"/>
          <w:lang w:eastAsia="zh-CN"/>
        </w:rPr>
        <w:t>；</w:t>
      </w:r>
    </w:p>
    <w:p w14:paraId="6FAB5FD2">
      <w:pPr>
        <w:pageBreakBefore w:val="0"/>
        <w:shd w:val="clear"/>
        <w:kinsoku/>
        <w:overflowPunct/>
        <w:topLinePunct w:val="0"/>
        <w:bidi w:val="0"/>
        <w:spacing w:line="360" w:lineRule="auto"/>
        <w:ind w:firstLine="420" w:firstLineChars="20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4.2.</w:t>
      </w: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投标文件中承诺的投标有效期少于招标文件中载明的投标有效期的</w:t>
      </w:r>
      <w:r>
        <w:rPr>
          <w:rFonts w:hint="eastAsia" w:ascii="宋体" w:hAnsi="宋体" w:eastAsia="宋体" w:cs="宋体"/>
          <w:color w:val="auto"/>
          <w:kern w:val="0"/>
          <w:sz w:val="21"/>
          <w:szCs w:val="21"/>
          <w:highlight w:val="none"/>
          <w:lang w:eastAsia="zh-CN"/>
        </w:rPr>
        <w:t>；</w:t>
      </w:r>
    </w:p>
    <w:p w14:paraId="03F446AA">
      <w:pPr>
        <w:pageBreakBefore w:val="0"/>
        <w:shd w:val="clear"/>
        <w:kinsoku/>
        <w:overflowPunct/>
        <w:topLinePunct w:val="0"/>
        <w:bidi w:val="0"/>
        <w:snapToGrid w:val="0"/>
        <w:spacing w:line="360" w:lineRule="auto"/>
        <w:ind w:firstLine="105" w:firstLineChars="5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 xml:space="preserve">   4.2.</w:t>
      </w: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投标文件出现不是唯一的、有选择性投标报价的</w:t>
      </w:r>
      <w:r>
        <w:rPr>
          <w:rFonts w:hint="eastAsia" w:ascii="宋体" w:hAnsi="宋体" w:eastAsia="宋体" w:cs="宋体"/>
          <w:color w:val="auto"/>
          <w:kern w:val="0"/>
          <w:sz w:val="21"/>
          <w:szCs w:val="21"/>
          <w:highlight w:val="none"/>
          <w:lang w:eastAsia="zh-CN"/>
        </w:rPr>
        <w:t>；</w:t>
      </w:r>
    </w:p>
    <w:p w14:paraId="5DC8D60F">
      <w:pPr>
        <w:pageBreakBefore w:val="0"/>
        <w:shd w:val="clear"/>
        <w:kinsoku/>
        <w:overflowPunct/>
        <w:topLinePunct w:val="0"/>
        <w:bidi w:val="0"/>
        <w:spacing w:line="360" w:lineRule="auto"/>
        <w:ind w:firstLine="420" w:firstLineChars="20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4.2.</w:t>
      </w: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投标报价超过招标文件中规定的预算金额或者最高限价的</w:t>
      </w:r>
      <w:r>
        <w:rPr>
          <w:rFonts w:hint="eastAsia" w:ascii="宋体" w:hAnsi="宋体" w:eastAsia="宋体" w:cs="宋体"/>
          <w:color w:val="auto"/>
          <w:kern w:val="0"/>
          <w:sz w:val="21"/>
          <w:szCs w:val="21"/>
          <w:highlight w:val="none"/>
          <w:lang w:eastAsia="zh-CN"/>
        </w:rPr>
        <w:t>；</w:t>
      </w:r>
    </w:p>
    <w:p w14:paraId="6F5E2C64">
      <w:pPr>
        <w:pageBreakBefore w:val="0"/>
        <w:shd w:val="clear"/>
        <w:kinsoku/>
        <w:overflowPunct/>
        <w:topLinePunct w:val="0"/>
        <w:bidi w:val="0"/>
        <w:spacing w:line="360" w:lineRule="auto"/>
        <w:ind w:firstLine="420" w:firstLineChars="20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4.2.</w:t>
      </w:r>
      <w:r>
        <w:rPr>
          <w:rFonts w:hint="eastAsia" w:ascii="宋体" w:hAnsi="宋体" w:eastAsia="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报价明显低于其他通过符合性审查投标人的报价，有可能影响产品质量或者不能诚信履约的，未能按要求提供书面说明或者提交相关证明材料，不能证明其报价合理性的</w:t>
      </w:r>
      <w:r>
        <w:rPr>
          <w:rFonts w:hint="eastAsia" w:ascii="宋体" w:hAnsi="宋体" w:eastAsia="宋体" w:cs="宋体"/>
          <w:color w:val="auto"/>
          <w:kern w:val="0"/>
          <w:sz w:val="21"/>
          <w:szCs w:val="21"/>
          <w:highlight w:val="none"/>
          <w:lang w:eastAsia="zh-CN"/>
        </w:rPr>
        <w:t>；</w:t>
      </w:r>
    </w:p>
    <w:p w14:paraId="6659805D">
      <w:pPr>
        <w:pageBreakBefore w:val="0"/>
        <w:shd w:val="clear"/>
        <w:kinsoku/>
        <w:overflowPunct/>
        <w:topLinePunct w:val="0"/>
        <w:bidi w:val="0"/>
        <w:spacing w:line="360" w:lineRule="auto"/>
        <w:ind w:firstLine="420" w:firstLineChars="20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4.2.</w:t>
      </w:r>
      <w:r>
        <w:rPr>
          <w:rFonts w:hint="eastAsia" w:ascii="宋体" w:hAnsi="宋体" w:eastAsia="宋体" w:cs="宋体"/>
          <w:color w:val="auto"/>
          <w:kern w:val="0"/>
          <w:sz w:val="21"/>
          <w:szCs w:val="21"/>
          <w:highlight w:val="none"/>
          <w:lang w:val="en-US" w:eastAsia="zh-CN"/>
        </w:rPr>
        <w:t>11</w:t>
      </w:r>
      <w:r>
        <w:rPr>
          <w:rFonts w:hint="eastAsia" w:ascii="宋体" w:hAnsi="宋体" w:eastAsia="宋体" w:cs="宋体"/>
          <w:color w:val="auto"/>
          <w:kern w:val="0"/>
          <w:sz w:val="21"/>
          <w:szCs w:val="21"/>
          <w:highlight w:val="none"/>
        </w:rPr>
        <w:t>投标人对根据修正原则修正后的报价不确认的</w:t>
      </w:r>
      <w:r>
        <w:rPr>
          <w:rFonts w:hint="eastAsia" w:ascii="宋体" w:hAnsi="宋体" w:eastAsia="宋体" w:cs="宋体"/>
          <w:color w:val="auto"/>
          <w:kern w:val="0"/>
          <w:sz w:val="21"/>
          <w:szCs w:val="21"/>
          <w:highlight w:val="none"/>
          <w:lang w:eastAsia="zh-CN"/>
        </w:rPr>
        <w:t>；</w:t>
      </w:r>
    </w:p>
    <w:p w14:paraId="31022E08">
      <w:pPr>
        <w:pageBreakBefore w:val="0"/>
        <w:shd w:val="clear"/>
        <w:kinsoku/>
        <w:overflowPunct/>
        <w:topLinePunct w:val="0"/>
        <w:bidi w:val="0"/>
        <w:spacing w:line="360" w:lineRule="auto"/>
        <w:ind w:firstLine="420" w:firstLineChars="20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4.2.1</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投标人提供虚假材料投标的</w:t>
      </w:r>
      <w:r>
        <w:rPr>
          <w:rFonts w:hint="eastAsia" w:ascii="宋体" w:hAnsi="宋体" w:eastAsia="宋体" w:cs="宋体"/>
          <w:color w:val="auto"/>
          <w:kern w:val="0"/>
          <w:sz w:val="21"/>
          <w:szCs w:val="21"/>
          <w:highlight w:val="none"/>
          <w:lang w:eastAsia="zh-CN"/>
        </w:rPr>
        <w:t>；</w:t>
      </w:r>
    </w:p>
    <w:p w14:paraId="4EEC63A5">
      <w:pPr>
        <w:pageBreakBefore w:val="0"/>
        <w:shd w:val="clear"/>
        <w:kinsoku/>
        <w:overflowPunct/>
        <w:topLinePunct w:val="0"/>
        <w:bidi w:val="0"/>
        <w:spacing w:line="360" w:lineRule="auto"/>
        <w:ind w:firstLine="210" w:firstLineChars="10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 xml:space="preserve">  4.2.1</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投标人有恶意串通、妨碍其他投标人的竞争行为、损害采购人或者其他投标人的合法权益情形的</w:t>
      </w:r>
      <w:r>
        <w:rPr>
          <w:rFonts w:hint="eastAsia" w:ascii="宋体" w:hAnsi="宋体" w:eastAsia="宋体" w:cs="宋体"/>
          <w:color w:val="auto"/>
          <w:kern w:val="0"/>
          <w:sz w:val="21"/>
          <w:szCs w:val="21"/>
          <w:highlight w:val="none"/>
          <w:lang w:eastAsia="zh-CN"/>
        </w:rPr>
        <w:t>；</w:t>
      </w:r>
    </w:p>
    <w:p w14:paraId="68ECF00A">
      <w:pPr>
        <w:pageBreakBefore w:val="0"/>
        <w:shd w:val="clear"/>
        <w:kinsoku/>
        <w:overflowPunct/>
        <w:topLinePunct w:val="0"/>
        <w:bidi w:val="0"/>
        <w:spacing w:line="360" w:lineRule="auto"/>
        <w:ind w:firstLine="420" w:firstLineChars="20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4.2.1</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投标人仅提交备份投标文件，未在电子交易平台传输递交投标文件的，投标无效</w:t>
      </w:r>
      <w:r>
        <w:rPr>
          <w:rFonts w:hint="eastAsia" w:ascii="宋体" w:hAnsi="宋体" w:eastAsia="宋体" w:cs="宋体"/>
          <w:color w:val="auto"/>
          <w:kern w:val="0"/>
          <w:sz w:val="21"/>
          <w:szCs w:val="21"/>
          <w:highlight w:val="none"/>
          <w:lang w:eastAsia="zh-CN"/>
        </w:rPr>
        <w:t>；</w:t>
      </w:r>
    </w:p>
    <w:p w14:paraId="743D76B7">
      <w:pPr>
        <w:pageBreakBefore w:val="0"/>
        <w:shd w:val="clear"/>
        <w:kinsoku/>
        <w:overflowPunct/>
        <w:topLinePunct w:val="0"/>
        <w:bidi w:val="0"/>
        <w:spacing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4.2.15 投标文件不满足招标文件的其它实质性要求的；</w:t>
      </w:r>
    </w:p>
    <w:p w14:paraId="2CA7E2F9">
      <w:pPr>
        <w:pageBreakBefore w:val="0"/>
        <w:shd w:val="clear"/>
        <w:kinsoku/>
        <w:overflowPunct/>
        <w:topLinePunct w:val="0"/>
        <w:bidi w:val="0"/>
        <w:spacing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4.2.16法律、法规、规章（适用本市的）及省级以上规范性文件（适用本市的）规定的其他无效情形。</w:t>
      </w:r>
    </w:p>
    <w:p w14:paraId="48FE7AC9">
      <w:pPr>
        <w:pageBreakBefore w:val="0"/>
        <w:shd w:val="clear"/>
        <w:kinsoku/>
        <w:overflowPunct/>
        <w:topLinePunct w:val="0"/>
        <w:bidi w:val="0"/>
        <w:spacing w:line="360" w:lineRule="auto"/>
        <w:ind w:firstLine="422"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5.废标。</w:t>
      </w:r>
      <w:r>
        <w:rPr>
          <w:rFonts w:hint="eastAsia" w:ascii="宋体" w:hAnsi="宋体" w:eastAsia="宋体" w:cs="宋体"/>
          <w:color w:val="auto"/>
          <w:kern w:val="0"/>
          <w:sz w:val="21"/>
          <w:szCs w:val="21"/>
          <w:highlight w:val="none"/>
          <w:lang w:val="en-US" w:eastAsia="zh-CN"/>
        </w:rPr>
        <w:t>根据《中华人民共和国政府采购法》第三十六条之规定，在采购中，出现下列情形之一的，应予废标：</w:t>
      </w:r>
    </w:p>
    <w:p w14:paraId="1FF4B8E6">
      <w:pPr>
        <w:pageBreakBefore w:val="0"/>
        <w:shd w:val="clear"/>
        <w:kinsoku/>
        <w:overflowPunct/>
        <w:topLinePunct w:val="0"/>
        <w:bidi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rPr>
        <w:t>5.1符合专业条件的</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或者对招标文件作实质响应的</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不足3家的</w:t>
      </w:r>
      <w:r>
        <w:rPr>
          <w:rFonts w:hint="eastAsia" w:ascii="宋体" w:hAnsi="宋体" w:eastAsia="宋体" w:cs="宋体"/>
          <w:color w:val="auto"/>
          <w:sz w:val="21"/>
          <w:szCs w:val="21"/>
          <w:highlight w:val="none"/>
          <w:lang w:eastAsia="zh-CN"/>
        </w:rPr>
        <w:t>；</w:t>
      </w:r>
    </w:p>
    <w:p w14:paraId="2E3D1482">
      <w:pPr>
        <w:pStyle w:val="21"/>
        <w:pageBreakBefore w:val="0"/>
        <w:shd w:val="clear"/>
        <w:kinsoku/>
        <w:overflowPunct/>
        <w:topLinePunct w:val="0"/>
        <w:bidi w:val="0"/>
        <w:snapToGrid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5.2出现影响采购公正的违法、违规行为的</w:t>
      </w:r>
      <w:r>
        <w:rPr>
          <w:rFonts w:hint="eastAsia" w:ascii="宋体" w:hAnsi="宋体" w:eastAsia="宋体" w:cs="宋体"/>
          <w:color w:val="auto"/>
          <w:sz w:val="21"/>
          <w:szCs w:val="21"/>
          <w:highlight w:val="none"/>
          <w:lang w:eastAsia="zh-CN"/>
        </w:rPr>
        <w:t>；</w:t>
      </w:r>
    </w:p>
    <w:p w14:paraId="32840A59">
      <w:pPr>
        <w:pStyle w:val="21"/>
        <w:pageBreakBefore w:val="0"/>
        <w:shd w:val="clear"/>
        <w:kinsoku/>
        <w:overflowPunct/>
        <w:topLinePunct w:val="0"/>
        <w:bidi w:val="0"/>
        <w:snapToGrid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5.3投标人的报价均超过了采购预算，采购人不能支付的</w:t>
      </w:r>
      <w:r>
        <w:rPr>
          <w:rFonts w:hint="eastAsia" w:ascii="宋体" w:hAnsi="宋体" w:eastAsia="宋体" w:cs="宋体"/>
          <w:color w:val="auto"/>
          <w:sz w:val="21"/>
          <w:szCs w:val="21"/>
          <w:highlight w:val="none"/>
          <w:lang w:eastAsia="zh-CN"/>
        </w:rPr>
        <w:t>；</w:t>
      </w:r>
    </w:p>
    <w:p w14:paraId="6DD69A35">
      <w:pPr>
        <w:pStyle w:val="21"/>
        <w:pageBreakBefore w:val="0"/>
        <w:shd w:val="clear"/>
        <w:kinsoku/>
        <w:overflowPunct/>
        <w:topLinePunct w:val="0"/>
        <w:bidi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5.4因重大变故，采购任务取消的。</w:t>
      </w:r>
    </w:p>
    <w:p w14:paraId="654C1E38">
      <w:pPr>
        <w:pStyle w:val="21"/>
        <w:pageBreakBefore w:val="0"/>
        <w:shd w:val="clear"/>
        <w:kinsoku/>
        <w:overflowPunct/>
        <w:topLinePunct w:val="0"/>
        <w:bidi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废标后，</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应当将废标理由通知所有投标人。</w:t>
      </w:r>
    </w:p>
    <w:p w14:paraId="23FBAF08">
      <w:pPr>
        <w:pStyle w:val="21"/>
        <w:pageBreakBefore w:val="0"/>
        <w:shd w:val="clear"/>
        <w:kinsoku/>
        <w:overflowPunct/>
        <w:topLinePunct w:val="0"/>
        <w:bidi w:val="0"/>
        <w:snapToGrid w:val="0"/>
        <w:spacing w:line="360" w:lineRule="auto"/>
        <w:ind w:firstLine="517" w:firstLineChars="245"/>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6.修改招标文件，重新组织采购活动。</w:t>
      </w:r>
      <w:r>
        <w:rPr>
          <w:rFonts w:hint="eastAsia" w:ascii="宋体" w:hAnsi="宋体" w:eastAsia="宋体" w:cs="宋体"/>
          <w:color w:val="auto"/>
          <w:sz w:val="21"/>
          <w:szCs w:val="21"/>
          <w:highlight w:val="none"/>
        </w:rPr>
        <w:t>评标委员会发现招标文件存在歧义、重大缺陷导致评标工作无法进行，或者招标文件内容违反国家有关强制性规定的，将停止评标工作，并与采购人、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沟通并作书面记录。采购人、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确认后，将修改招标文件，重新组织采购活动。</w:t>
      </w:r>
    </w:p>
    <w:p w14:paraId="4FFB620F">
      <w:pPr>
        <w:pStyle w:val="21"/>
        <w:pageBreakBefore w:val="0"/>
        <w:shd w:val="clear"/>
        <w:kinsoku/>
        <w:overflowPunct/>
        <w:topLinePunct w:val="0"/>
        <w:bidi w:val="0"/>
        <w:snapToGrid w:val="0"/>
        <w:spacing w:line="360" w:lineRule="auto"/>
        <w:ind w:firstLine="482"/>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7.重新开展采购。</w:t>
      </w:r>
      <w:r>
        <w:rPr>
          <w:rFonts w:hint="eastAsia" w:ascii="宋体" w:hAnsi="宋体" w:eastAsia="宋体" w:cs="宋体"/>
          <w:color w:val="auto"/>
          <w:sz w:val="21"/>
          <w:szCs w:val="21"/>
          <w:highlight w:val="none"/>
        </w:rPr>
        <w:t>有政府采购法第七十一条、第七十二条规定的违法行为之一，影响或者可能影响中标结果的，依照下列规定处理：</w:t>
      </w:r>
    </w:p>
    <w:p w14:paraId="79350DDA">
      <w:pPr>
        <w:pStyle w:val="21"/>
        <w:pageBreakBefore w:val="0"/>
        <w:shd w:val="clear"/>
        <w:kinsoku/>
        <w:overflowPunct/>
        <w:topLinePunct w:val="0"/>
        <w:bidi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7.1未确定中标</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的，终止本次政府采购活动，重新开展政府采购活动。</w:t>
      </w:r>
    </w:p>
    <w:p w14:paraId="7D34EAD9">
      <w:pPr>
        <w:pStyle w:val="21"/>
        <w:pageBreakBefore w:val="0"/>
        <w:shd w:val="clear"/>
        <w:kinsoku/>
        <w:overflowPunct/>
        <w:topLinePunct w:val="0"/>
        <w:bidi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7.2已确定中标</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但尚未签订政府采购合同的，中标结果无效，从合格的中标候选人中另行确定中标</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没有合格的中标候选人的，重新开展政府采购活动。</w:t>
      </w:r>
    </w:p>
    <w:p w14:paraId="62FE47A6">
      <w:pPr>
        <w:pStyle w:val="21"/>
        <w:pageBreakBefore w:val="0"/>
        <w:shd w:val="clear"/>
        <w:kinsoku/>
        <w:overflowPunct/>
        <w:topLinePunct w:val="0"/>
        <w:bidi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7.3政府采购合同已签订但尚未履行的，撤销合同，从合格的中标候选人中另行确定中标</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没有合格的中标候选人的，重新开展政府采购活动。</w:t>
      </w:r>
    </w:p>
    <w:p w14:paraId="038B7491">
      <w:pPr>
        <w:pStyle w:val="21"/>
        <w:pageBreakBefore w:val="0"/>
        <w:shd w:val="clear"/>
        <w:kinsoku/>
        <w:overflowPunct/>
        <w:topLinePunct w:val="0"/>
        <w:bidi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7.4政府采购合同已经履行，给采购人、</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造成损失的，由责任人承担赔偿责任。</w:t>
      </w:r>
    </w:p>
    <w:p w14:paraId="408883F1">
      <w:pPr>
        <w:pStyle w:val="21"/>
        <w:pageBreakBefore w:val="0"/>
        <w:shd w:val="clear"/>
        <w:kinsoku/>
        <w:overflowPunct/>
        <w:topLinePunct w:val="0"/>
        <w:bidi w:val="0"/>
        <w:snapToGrid w:val="0"/>
        <w:spacing w:line="360" w:lineRule="auto"/>
        <w:rPr>
          <w:rFonts w:hint="eastAsia" w:ascii="宋体" w:hAnsi="宋体" w:eastAsia="宋体" w:cs="宋体"/>
          <w:b/>
          <w:color w:val="auto"/>
          <w:sz w:val="30"/>
          <w:szCs w:val="30"/>
          <w:highlight w:val="none"/>
        </w:rPr>
      </w:pPr>
      <w:r>
        <w:rPr>
          <w:rFonts w:hint="eastAsia" w:ascii="宋体" w:hAnsi="宋体" w:eastAsia="宋体" w:cs="宋体"/>
          <w:color w:val="auto"/>
          <w:sz w:val="21"/>
          <w:szCs w:val="21"/>
          <w:highlight w:val="none"/>
        </w:rPr>
        <w:t>7.5政府采购当事人有其他违反政府采购法或者政府采购法实施条例等法律法规规定的行为，经改正后仍然影响或者可能影响中标结果或者依法被认定为中标无效的，依照7.1-7.4规定处理。</w:t>
      </w:r>
      <w:r>
        <w:rPr>
          <w:rFonts w:hint="eastAsia" w:ascii="宋体" w:hAnsi="宋体" w:eastAsia="宋体" w:cs="宋体"/>
          <w:b/>
          <w:color w:val="auto"/>
          <w:sz w:val="30"/>
          <w:szCs w:val="30"/>
          <w:highlight w:val="none"/>
        </w:rPr>
        <w:br w:type="page"/>
      </w:r>
    </w:p>
    <w:bookmarkEnd w:id="55"/>
    <w:bookmarkEnd w:id="56"/>
    <w:bookmarkEnd w:id="57"/>
    <w:bookmarkEnd w:id="58"/>
    <w:p w14:paraId="4ABDDF69">
      <w:pPr>
        <w:pStyle w:val="4"/>
        <w:pageBreakBefore w:val="0"/>
        <w:shd w:val="clear"/>
        <w:kinsoku/>
        <w:overflowPunct/>
        <w:topLinePunct w:val="0"/>
        <w:bidi w:val="0"/>
        <w:spacing w:line="360" w:lineRule="auto"/>
        <w:jc w:val="center"/>
        <w:rPr>
          <w:rFonts w:hint="eastAsia" w:ascii="宋体" w:hAnsi="宋体" w:eastAsia="宋体" w:cs="宋体"/>
          <w:color w:val="auto"/>
          <w:highlight w:val="none"/>
        </w:rPr>
      </w:pPr>
      <w:bookmarkStart w:id="59" w:name="_Toc3005"/>
      <w:bookmarkStart w:id="60" w:name="_Toc13245"/>
      <w:r>
        <w:rPr>
          <w:rFonts w:hint="eastAsia" w:ascii="宋体" w:hAnsi="宋体" w:eastAsia="宋体" w:cs="宋体"/>
          <w:color w:val="auto"/>
          <w:highlight w:val="none"/>
        </w:rPr>
        <w:t>第六部分  应提交的有关格式范例</w:t>
      </w:r>
      <w:bookmarkEnd w:id="59"/>
      <w:bookmarkEnd w:id="60"/>
    </w:p>
    <w:p w14:paraId="58F9CF0F">
      <w:pPr>
        <w:pageBreakBefore w:val="0"/>
        <w:shd w:val="clear"/>
        <w:kinsoku/>
        <w:overflowPunct/>
        <w:topLinePunct w:val="0"/>
        <w:bidi w:val="0"/>
        <w:spacing w:line="360" w:lineRule="auto"/>
        <w:rPr>
          <w:rFonts w:hint="eastAsia" w:ascii="宋体" w:hAnsi="宋体" w:eastAsia="宋体" w:cs="宋体"/>
          <w:color w:val="auto"/>
          <w:highlight w:val="none"/>
        </w:rPr>
      </w:pPr>
    </w:p>
    <w:p w14:paraId="19277521">
      <w:pPr>
        <w:pageBreakBefore w:val="0"/>
        <w:shd w:val="clear"/>
        <w:kinsoku/>
        <w:overflowPunct/>
        <w:topLinePunct w:val="0"/>
        <w:bidi w:val="0"/>
        <w:spacing w:line="360" w:lineRule="auto"/>
        <w:jc w:val="center"/>
        <w:outlineLvl w:val="1"/>
        <w:rPr>
          <w:rFonts w:hint="eastAsia" w:ascii="宋体" w:hAnsi="宋体" w:eastAsia="宋体" w:cs="宋体"/>
          <w:b/>
          <w:color w:val="auto"/>
          <w:kern w:val="0"/>
          <w:sz w:val="36"/>
          <w:szCs w:val="36"/>
          <w:highlight w:val="none"/>
        </w:rPr>
      </w:pPr>
      <w:bookmarkStart w:id="61" w:name="_Toc7293"/>
      <w:bookmarkStart w:id="62" w:name="_Toc12402"/>
      <w:r>
        <w:rPr>
          <w:rFonts w:hint="eastAsia" w:ascii="宋体" w:hAnsi="宋体" w:eastAsia="宋体" w:cs="宋体"/>
          <w:b/>
          <w:color w:val="auto"/>
          <w:kern w:val="0"/>
          <w:sz w:val="36"/>
          <w:szCs w:val="36"/>
          <w:highlight w:val="none"/>
        </w:rPr>
        <w:t>资格文件部分</w:t>
      </w:r>
      <w:bookmarkEnd w:id="61"/>
      <w:bookmarkEnd w:id="62"/>
    </w:p>
    <w:p w14:paraId="63394932">
      <w:pPr>
        <w:pageBreakBefore w:val="0"/>
        <w:shd w:val="clear"/>
        <w:kinsoku/>
        <w:overflowPunct/>
        <w:topLinePunct w:val="0"/>
        <w:bidi w:val="0"/>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目</w:t>
      </w: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录</w:t>
      </w:r>
    </w:p>
    <w:p w14:paraId="25955F30">
      <w:pPr>
        <w:pageBreakBefore w:val="0"/>
        <w:shd w:val="clear"/>
        <w:kinsoku/>
        <w:overflowPunct/>
        <w:topLinePunct w:val="0"/>
        <w:bidi w:val="0"/>
        <w:spacing w:line="360" w:lineRule="auto"/>
        <w:rPr>
          <w:rFonts w:hint="eastAsia" w:ascii="宋体" w:hAnsi="宋体" w:eastAsia="宋体" w:cs="宋体"/>
          <w:color w:val="auto"/>
          <w:highlight w:val="none"/>
        </w:rPr>
      </w:pPr>
    </w:p>
    <w:p w14:paraId="0490307C">
      <w:pPr>
        <w:pStyle w:val="21"/>
        <w:pageBreakBefore w:val="0"/>
        <w:shd w:val="clear"/>
        <w:kinsoku/>
        <w:overflowPunct/>
        <w:topLinePunct w:val="0"/>
        <w:bidi w:val="0"/>
        <w:spacing w:line="360" w:lineRule="auto"/>
        <w:rPr>
          <w:rFonts w:hint="eastAsia" w:ascii="宋体" w:hAnsi="宋体" w:eastAsia="宋体" w:cs="宋体"/>
          <w:color w:val="auto"/>
          <w:highlight w:val="none"/>
        </w:rPr>
      </w:pPr>
    </w:p>
    <w:p w14:paraId="30A6C44D">
      <w:pPr>
        <w:pageBreakBefore w:val="0"/>
        <w:shd w:val="clear"/>
        <w:kinsoku/>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（1）符合参加政府采购活动应当具备的一般条件的承诺函………………………（页码）</w:t>
      </w:r>
    </w:p>
    <w:p w14:paraId="448B0618">
      <w:pPr>
        <w:pageBreakBefore w:val="0"/>
        <w:shd w:val="clear"/>
        <w:kinsoku/>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（2）联合协议…………………………………………………………………………（页码）</w:t>
      </w:r>
    </w:p>
    <w:p w14:paraId="13606E3F">
      <w:pPr>
        <w:pageBreakBefore w:val="0"/>
        <w:shd w:val="clear"/>
        <w:kinsoku/>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（3）落实政府采购政策需满足的资格要求…………………………………………（页码）</w:t>
      </w:r>
    </w:p>
    <w:p w14:paraId="6BDC88CC">
      <w:pPr>
        <w:pageBreakBefore w:val="0"/>
        <w:shd w:val="clear"/>
        <w:kinsoku/>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（4）本项目的特定资格要求…………………………………………………………（页码）</w:t>
      </w:r>
    </w:p>
    <w:p w14:paraId="402D286A">
      <w:pPr>
        <w:pageBreakBefore w:val="0"/>
        <w:shd w:val="clear"/>
        <w:kinsoku/>
        <w:overflowPunct/>
        <w:topLinePunct w:val="0"/>
        <w:bidi w:val="0"/>
        <w:spacing w:line="360" w:lineRule="auto"/>
        <w:rPr>
          <w:rFonts w:hint="eastAsia" w:ascii="宋体" w:hAnsi="宋体" w:eastAsia="宋体" w:cs="宋体"/>
          <w:color w:val="auto"/>
          <w:sz w:val="24"/>
          <w:szCs w:val="24"/>
          <w:highlight w:val="none"/>
        </w:rPr>
      </w:pPr>
    </w:p>
    <w:p w14:paraId="02C178D0">
      <w:pPr>
        <w:pageBreakBefore w:val="0"/>
        <w:shd w:val="clear"/>
        <w:kinsoku/>
        <w:overflowPunct/>
        <w:topLinePunct w:val="0"/>
        <w:bidi w:val="0"/>
        <w:spacing w:line="360" w:lineRule="auto"/>
        <w:ind w:firstLine="420" w:firstLineChars="200"/>
        <w:rPr>
          <w:rFonts w:hint="eastAsia" w:ascii="宋体" w:hAnsi="宋体" w:eastAsia="宋体" w:cs="宋体"/>
          <w:color w:val="auto"/>
          <w:highlight w:val="none"/>
        </w:rPr>
      </w:pPr>
    </w:p>
    <w:p w14:paraId="09E71967">
      <w:pPr>
        <w:pageBreakBefore w:val="0"/>
        <w:shd w:val="clear"/>
        <w:kinsoku/>
        <w:overflowPunct/>
        <w:topLinePunct w:val="0"/>
        <w:bidi w:val="0"/>
        <w:spacing w:line="360" w:lineRule="auto"/>
        <w:ind w:firstLine="420" w:firstLineChars="200"/>
        <w:rPr>
          <w:rFonts w:hint="eastAsia" w:ascii="宋体" w:hAnsi="宋体" w:eastAsia="宋体" w:cs="宋体"/>
          <w:color w:val="auto"/>
          <w:highlight w:val="none"/>
        </w:rPr>
      </w:pPr>
    </w:p>
    <w:p w14:paraId="7089A6DE">
      <w:pPr>
        <w:pageBreakBefore w:val="0"/>
        <w:shd w:val="clear"/>
        <w:kinsoku/>
        <w:overflowPunct/>
        <w:topLinePunct w:val="0"/>
        <w:bidi w:val="0"/>
        <w:spacing w:line="360" w:lineRule="auto"/>
        <w:ind w:right="48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br w:type="page"/>
      </w:r>
    </w:p>
    <w:p w14:paraId="1674FF82">
      <w:pPr>
        <w:pageBreakBefore w:val="0"/>
        <w:shd w:val="clear"/>
        <w:kinsoku/>
        <w:overflowPunct/>
        <w:topLinePunct w:val="0"/>
        <w:bidi w:val="0"/>
        <w:spacing w:line="360" w:lineRule="auto"/>
        <w:ind w:right="480"/>
        <w:jc w:val="center"/>
        <w:outlineLvl w:val="1"/>
        <w:rPr>
          <w:rFonts w:hint="eastAsia" w:ascii="宋体" w:hAnsi="宋体" w:eastAsia="宋体" w:cs="宋体"/>
          <w:b/>
          <w:color w:val="auto"/>
          <w:kern w:val="0"/>
          <w:sz w:val="32"/>
          <w:szCs w:val="32"/>
          <w:highlight w:val="none"/>
        </w:rPr>
      </w:pPr>
      <w:bookmarkStart w:id="63" w:name="_Toc1416"/>
      <w:bookmarkStart w:id="64" w:name="_Toc8342"/>
      <w:bookmarkStart w:id="65" w:name="_Toc3372"/>
      <w:bookmarkStart w:id="66" w:name="_Toc29749"/>
      <w:bookmarkStart w:id="67" w:name="_Toc22797"/>
      <w:bookmarkStart w:id="68" w:name="_Toc3642"/>
      <w:r>
        <w:rPr>
          <w:rFonts w:hint="eastAsia" w:ascii="宋体" w:hAnsi="宋体" w:eastAsia="宋体" w:cs="宋体"/>
          <w:b/>
          <w:color w:val="auto"/>
          <w:kern w:val="0"/>
          <w:sz w:val="32"/>
          <w:szCs w:val="32"/>
          <w:highlight w:val="none"/>
        </w:rPr>
        <w:t>一、 符合参加政府采购活动应当具备的一般条件的承诺函</w:t>
      </w:r>
      <w:bookmarkEnd w:id="63"/>
      <w:bookmarkEnd w:id="64"/>
      <w:bookmarkEnd w:id="65"/>
      <w:bookmarkEnd w:id="66"/>
      <w:bookmarkEnd w:id="67"/>
      <w:bookmarkEnd w:id="68"/>
    </w:p>
    <w:p w14:paraId="6CE8A910">
      <w:pPr>
        <w:pageBreakBefore w:val="0"/>
        <w:shd w:val="clear"/>
        <w:kinsoku/>
        <w:overflowPunct/>
        <w:topLinePunct w:val="0"/>
        <w:bidi w:val="0"/>
        <w:spacing w:line="360" w:lineRule="auto"/>
        <w:rPr>
          <w:rFonts w:hint="eastAsia" w:ascii="宋体" w:hAnsi="宋体" w:eastAsia="宋体" w:cs="宋体"/>
          <w:color w:val="auto"/>
          <w:sz w:val="21"/>
          <w:szCs w:val="21"/>
          <w:highlight w:val="none"/>
          <w:u w:val="single"/>
        </w:rPr>
      </w:pPr>
    </w:p>
    <w:p w14:paraId="3FA8B653">
      <w:pPr>
        <w:pageBreakBefore w:val="0"/>
        <w:shd w:val="clear"/>
        <w:kinsoku/>
        <w:overflowPunct/>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lang w:eastAsia="zh-CN"/>
        </w:rPr>
        <w:t>浙江理工大学</w:t>
      </w:r>
      <w:r>
        <w:rPr>
          <w:rFonts w:hint="eastAsia" w:ascii="宋体" w:hAnsi="宋体" w:eastAsia="宋体" w:cs="宋体"/>
          <w:color w:val="auto"/>
          <w:sz w:val="21"/>
          <w:szCs w:val="21"/>
          <w:highlight w:val="none"/>
          <w:u w:val="single"/>
        </w:rPr>
        <w:t>、浙江国际招投标有限公司</w:t>
      </w:r>
      <w:r>
        <w:rPr>
          <w:rFonts w:hint="eastAsia" w:ascii="宋体" w:hAnsi="宋体" w:eastAsia="宋体" w:cs="宋体"/>
          <w:color w:val="auto"/>
          <w:sz w:val="21"/>
          <w:szCs w:val="21"/>
          <w:highlight w:val="none"/>
        </w:rPr>
        <w:t>：</w:t>
      </w:r>
    </w:p>
    <w:p w14:paraId="548067F1">
      <w:pPr>
        <w:pageBreakBefore w:val="0"/>
        <w:shd w:val="clear"/>
        <w:kinsoku/>
        <w:overflowPunct/>
        <w:topLinePunct w:val="0"/>
        <w:bidi w:val="0"/>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我方参与</w:t>
      </w: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sz w:val="21"/>
          <w:szCs w:val="21"/>
          <w:highlight w:val="none"/>
        </w:rPr>
        <w:t>编号：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】政府采购活动，郑重承诺：</w:t>
      </w:r>
    </w:p>
    <w:p w14:paraId="13DD39EA">
      <w:pPr>
        <w:pageBreakBefore w:val="0"/>
        <w:shd w:val="clear"/>
        <w:kinsoku/>
        <w:overflowPunct/>
        <w:topLinePunct w:val="0"/>
        <w:bidi w:val="0"/>
        <w:spacing w:line="360" w:lineRule="auto"/>
        <w:ind w:firstLine="315" w:firstLineChars="15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（一）具备《中华人民共和国政府采购法》第二十二条第一款规定的条件：</w:t>
      </w:r>
    </w:p>
    <w:p w14:paraId="67476179">
      <w:pPr>
        <w:pageBreakBefore w:val="0"/>
        <w:shd w:val="clear"/>
        <w:kinsoku/>
        <w:overflowPunct/>
        <w:topLinePunct w:val="0"/>
        <w:bidi w:val="0"/>
        <w:spacing w:line="360" w:lineRule="auto"/>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1、具有独立承担民事责任的能力；</w:t>
      </w:r>
    </w:p>
    <w:p w14:paraId="34A2226B">
      <w:pPr>
        <w:pageBreakBefore w:val="0"/>
        <w:shd w:val="clear"/>
        <w:kinsoku/>
        <w:overflowPunct/>
        <w:topLinePunct w:val="0"/>
        <w:bidi w:val="0"/>
        <w:spacing w:line="360" w:lineRule="auto"/>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 xml:space="preserve">2、具有良好的商业信誉和健全的财务会计制度； </w:t>
      </w:r>
    </w:p>
    <w:p w14:paraId="5740F3AF">
      <w:pPr>
        <w:pageBreakBefore w:val="0"/>
        <w:shd w:val="clear"/>
        <w:kinsoku/>
        <w:overflowPunct/>
        <w:topLinePunct w:val="0"/>
        <w:bidi w:val="0"/>
        <w:spacing w:line="360" w:lineRule="auto"/>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3、具有履行合同所必需的设备和专业技术能力；</w:t>
      </w:r>
    </w:p>
    <w:p w14:paraId="07BD734C">
      <w:pPr>
        <w:pageBreakBefore w:val="0"/>
        <w:shd w:val="clear"/>
        <w:kinsoku/>
        <w:overflowPunct/>
        <w:topLinePunct w:val="0"/>
        <w:bidi w:val="0"/>
        <w:spacing w:line="360" w:lineRule="auto"/>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4、有依法缴纳税收和社会保障资金的良好记录；</w:t>
      </w:r>
    </w:p>
    <w:p w14:paraId="439F2664">
      <w:pPr>
        <w:pageBreakBefore w:val="0"/>
        <w:shd w:val="clear"/>
        <w:kinsoku/>
        <w:overflowPunct/>
        <w:topLinePunct w:val="0"/>
        <w:bidi w:val="0"/>
        <w:spacing w:line="360" w:lineRule="auto"/>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5、参加政府采购活动前三年内，在经营活动中没有重大违法记录；</w:t>
      </w:r>
    </w:p>
    <w:p w14:paraId="4575B99F">
      <w:pPr>
        <w:pageBreakBefore w:val="0"/>
        <w:shd w:val="clear"/>
        <w:kinsoku/>
        <w:overflowPunct/>
        <w:topLinePunct w:val="0"/>
        <w:bidi w:val="0"/>
        <w:spacing w:line="360" w:lineRule="auto"/>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6、具有法律、行政法规规定的其他条件。</w:t>
      </w:r>
    </w:p>
    <w:p w14:paraId="429A890A">
      <w:pPr>
        <w:pageBreakBefore w:val="0"/>
        <w:shd w:val="clear"/>
        <w:kinsoku/>
        <w:overflowPunct/>
        <w:topLinePunct w:val="0"/>
        <w:bidi w:val="0"/>
        <w:spacing w:line="360" w:lineRule="auto"/>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（二）未被信用中国（www.creditchina.gov.cn)、中国政府采购网（www.ccgp.gov.cn）列入失信被执行人、重大税收违法案件当事人名单、政府采购严重违法失信行为记录名单。</w:t>
      </w:r>
    </w:p>
    <w:p w14:paraId="52CDE6B1">
      <w:pPr>
        <w:pageBreakBefore w:val="0"/>
        <w:shd w:val="clear"/>
        <w:kinsoku/>
        <w:overflowPunct/>
        <w:topLinePunct w:val="0"/>
        <w:bidi w:val="0"/>
        <w:spacing w:line="360" w:lineRule="auto"/>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（三）不存在以下情况：</w:t>
      </w:r>
    </w:p>
    <w:p w14:paraId="670725BC">
      <w:pPr>
        <w:pageBreakBefore w:val="0"/>
        <w:shd w:val="clear"/>
        <w:kinsoku/>
        <w:overflowPunct/>
        <w:topLinePunct w:val="0"/>
        <w:bidi w:val="0"/>
        <w:spacing w:line="360" w:lineRule="auto"/>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1、单位负责人为同一人或者存在直接控股、管理关系的不同</w:t>
      </w:r>
      <w:r>
        <w:rPr>
          <w:rFonts w:hint="eastAsia" w:ascii="宋体" w:hAnsi="宋体" w:eastAsia="宋体" w:cs="宋体"/>
          <w:snapToGrid w:val="0"/>
          <w:color w:val="auto"/>
          <w:kern w:val="0"/>
          <w:sz w:val="21"/>
          <w:szCs w:val="21"/>
          <w:highlight w:val="none"/>
          <w:lang w:eastAsia="zh-CN"/>
        </w:rPr>
        <w:t>投标人</w:t>
      </w:r>
      <w:r>
        <w:rPr>
          <w:rFonts w:hint="eastAsia" w:ascii="宋体" w:hAnsi="宋体" w:eastAsia="宋体" w:cs="宋体"/>
          <w:snapToGrid w:val="0"/>
          <w:color w:val="auto"/>
          <w:kern w:val="0"/>
          <w:sz w:val="21"/>
          <w:szCs w:val="21"/>
          <w:highlight w:val="none"/>
        </w:rPr>
        <w:t>参加同一合同项下的政府采购活动的；</w:t>
      </w:r>
    </w:p>
    <w:p w14:paraId="4D6BC655">
      <w:pPr>
        <w:pageBreakBefore w:val="0"/>
        <w:shd w:val="clear"/>
        <w:kinsoku/>
        <w:overflowPunct/>
        <w:topLinePunct w:val="0"/>
        <w:bidi w:val="0"/>
        <w:spacing w:line="360" w:lineRule="auto"/>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2、</w:t>
      </w:r>
      <w:r>
        <w:rPr>
          <w:rFonts w:hint="eastAsia" w:ascii="宋体" w:hAnsi="宋体" w:eastAsia="宋体" w:cs="宋体"/>
          <w:color w:val="auto"/>
          <w:kern w:val="0"/>
          <w:sz w:val="21"/>
          <w:szCs w:val="21"/>
          <w:highlight w:val="none"/>
          <w:lang w:val="en-US" w:eastAsia="zh-CN"/>
        </w:rPr>
        <w:t>为浙江理工大学钱塘校区教育教学用房及设施提升改造工程提供全过程跟踪审计、整体设计、规范编制或者项目管理、监理、施工、检测等服务</w:t>
      </w:r>
      <w:r>
        <w:rPr>
          <w:rFonts w:hint="eastAsia" w:ascii="宋体" w:hAnsi="宋体" w:eastAsia="宋体" w:cs="宋体"/>
          <w:snapToGrid w:val="0"/>
          <w:color w:val="auto"/>
          <w:kern w:val="0"/>
          <w:sz w:val="21"/>
          <w:szCs w:val="21"/>
          <w:highlight w:val="none"/>
        </w:rPr>
        <w:t>后再参加该采购项目的其他采购活动的。</w:t>
      </w:r>
    </w:p>
    <w:p w14:paraId="5260EDD8">
      <w:pPr>
        <w:pStyle w:val="21"/>
        <w:pageBreakBefore w:val="0"/>
        <w:shd w:val="clear"/>
        <w:kinsoku/>
        <w:overflowPunct/>
        <w:topLinePunct w:val="0"/>
        <w:bidi w:val="0"/>
        <w:spacing w:line="360" w:lineRule="auto"/>
        <w:ind w:firstLine="420"/>
        <w:rPr>
          <w:rFonts w:hint="eastAsia" w:ascii="宋体" w:hAnsi="宋体" w:eastAsia="宋体" w:cs="宋体"/>
          <w:snapToGrid w:val="0"/>
          <w:color w:val="auto"/>
          <w:kern w:val="0"/>
          <w:sz w:val="21"/>
          <w:szCs w:val="21"/>
          <w:highlight w:val="none"/>
        </w:rPr>
      </w:pPr>
    </w:p>
    <w:p w14:paraId="2DD820BD">
      <w:pPr>
        <w:pageBreakBefore w:val="0"/>
        <w:shd w:val="clear"/>
        <w:kinsoku/>
        <w:overflowPunct/>
        <w:topLinePunct w:val="0"/>
        <w:bidi w:val="0"/>
        <w:spacing w:line="360" w:lineRule="auto"/>
        <w:rPr>
          <w:rFonts w:hint="eastAsia" w:ascii="宋体" w:hAnsi="宋体" w:eastAsia="宋体" w:cs="宋体"/>
          <w:color w:val="auto"/>
          <w:sz w:val="21"/>
          <w:szCs w:val="21"/>
          <w:highlight w:val="none"/>
        </w:rPr>
      </w:pPr>
    </w:p>
    <w:p w14:paraId="6F63D9AA">
      <w:pPr>
        <w:pageBreakBefore w:val="0"/>
        <w:shd w:val="clear"/>
        <w:kinsoku/>
        <w:overflowPunct/>
        <w:topLinePunct w:val="0"/>
        <w:bidi w:val="0"/>
        <w:spacing w:line="360" w:lineRule="auto"/>
        <w:ind w:firstLine="4830" w:firstLineChars="23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投标人名称(电子签名)：</w:t>
      </w:r>
    </w:p>
    <w:p w14:paraId="0A898044">
      <w:pPr>
        <w:pageBreakBefore w:val="0"/>
        <w:shd w:val="clear"/>
        <w:kinsoku/>
        <w:overflowPunct/>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日期</w:t>
      </w:r>
      <w:r>
        <w:rPr>
          <w:rFonts w:hint="eastAsia" w:ascii="宋体" w:hAnsi="宋体" w:eastAsia="宋体" w:cs="宋体"/>
          <w:color w:val="auto"/>
          <w:kern w:val="0"/>
          <w:sz w:val="21"/>
          <w:szCs w:val="21"/>
          <w:highlight w:val="none"/>
        </w:rPr>
        <w:t>：  年</w:t>
      </w:r>
      <w:r>
        <w:rPr>
          <w:rFonts w:hint="eastAsia" w:ascii="宋体" w:hAnsi="宋体" w:eastAsia="宋体" w:cs="宋体"/>
          <w:color w:val="auto"/>
          <w:kern w:val="0"/>
          <w:sz w:val="21"/>
          <w:szCs w:val="21"/>
          <w:highlight w:val="none"/>
          <w:lang w:val="zh-CN"/>
        </w:rPr>
        <w:t>月日</w:t>
      </w:r>
    </w:p>
    <w:p w14:paraId="009E4487">
      <w:pPr>
        <w:pageBreakBefore w:val="0"/>
        <w:shd w:val="clear"/>
        <w:kinsoku/>
        <w:overflowPunct/>
        <w:topLinePunct w:val="0"/>
        <w:bidi w:val="0"/>
        <w:spacing w:line="360" w:lineRule="auto"/>
        <w:ind w:right="480"/>
        <w:jc w:val="center"/>
        <w:rPr>
          <w:rFonts w:hint="eastAsia" w:ascii="宋体" w:hAnsi="宋体" w:eastAsia="宋体" w:cs="宋体"/>
          <w:b/>
          <w:color w:val="auto"/>
          <w:kern w:val="0"/>
          <w:sz w:val="32"/>
          <w:szCs w:val="32"/>
          <w:highlight w:val="none"/>
        </w:rPr>
      </w:pPr>
    </w:p>
    <w:p w14:paraId="0F5B7D85">
      <w:pPr>
        <w:pageBreakBefore w:val="0"/>
        <w:shd w:val="clear"/>
        <w:kinsoku/>
        <w:overflowPunct/>
        <w:topLinePunct w:val="0"/>
        <w:bidi w:val="0"/>
        <w:spacing w:line="360" w:lineRule="auto"/>
        <w:ind w:right="480"/>
        <w:jc w:val="center"/>
        <w:rPr>
          <w:rFonts w:hint="eastAsia" w:ascii="宋体" w:hAnsi="宋体" w:eastAsia="宋体" w:cs="宋体"/>
          <w:b/>
          <w:color w:val="auto"/>
          <w:kern w:val="0"/>
          <w:sz w:val="32"/>
          <w:szCs w:val="32"/>
          <w:highlight w:val="none"/>
        </w:rPr>
      </w:pPr>
    </w:p>
    <w:p w14:paraId="15D7845A">
      <w:pPr>
        <w:pageBreakBefore w:val="0"/>
        <w:shd w:val="clear"/>
        <w:kinsoku/>
        <w:overflowPunct/>
        <w:topLinePunct w:val="0"/>
        <w:bidi w:val="0"/>
        <w:spacing w:line="360" w:lineRule="auto"/>
        <w:rPr>
          <w:rFonts w:hint="eastAsia" w:ascii="宋体" w:hAnsi="宋体" w:eastAsia="宋体" w:cs="宋体"/>
          <w:color w:val="auto"/>
          <w:highlight w:val="none"/>
        </w:rPr>
      </w:pPr>
    </w:p>
    <w:p w14:paraId="13DB2704">
      <w:pPr>
        <w:pageBreakBefore w:val="0"/>
        <w:shd w:val="clear"/>
        <w:kinsoku/>
        <w:overflowPunct/>
        <w:topLinePunct w:val="0"/>
        <w:bidi w:val="0"/>
        <w:spacing w:line="360" w:lineRule="auto"/>
        <w:ind w:right="480"/>
        <w:jc w:val="center"/>
        <w:rPr>
          <w:rFonts w:hint="eastAsia" w:ascii="宋体" w:hAnsi="宋体" w:eastAsia="宋体" w:cs="宋体"/>
          <w:b/>
          <w:color w:val="auto"/>
          <w:kern w:val="0"/>
          <w:sz w:val="32"/>
          <w:szCs w:val="32"/>
          <w:highlight w:val="none"/>
        </w:rPr>
      </w:pPr>
    </w:p>
    <w:p w14:paraId="5CF30928">
      <w:pPr>
        <w:pageBreakBefore w:val="0"/>
        <w:shd w:val="clear"/>
        <w:kinsoku/>
        <w:overflowPunct/>
        <w:topLinePunct w:val="0"/>
        <w:bidi w:val="0"/>
        <w:spacing w:line="360" w:lineRule="auto"/>
        <w:ind w:right="480"/>
        <w:jc w:val="center"/>
        <w:rPr>
          <w:rFonts w:hint="eastAsia" w:ascii="宋体" w:hAnsi="宋体" w:eastAsia="宋体" w:cs="宋体"/>
          <w:b/>
          <w:color w:val="auto"/>
          <w:kern w:val="0"/>
          <w:sz w:val="32"/>
          <w:szCs w:val="32"/>
          <w:highlight w:val="none"/>
        </w:rPr>
      </w:pPr>
    </w:p>
    <w:p w14:paraId="65409262">
      <w:pPr>
        <w:pageBreakBefore w:val="0"/>
        <w:shd w:val="clear"/>
        <w:kinsoku/>
        <w:overflowPunct/>
        <w:topLinePunct w:val="0"/>
        <w:bidi w:val="0"/>
        <w:spacing w:line="360" w:lineRule="auto"/>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511ABC6D">
      <w:pPr>
        <w:pageBreakBefore w:val="0"/>
        <w:shd w:val="clear"/>
        <w:kinsoku/>
        <w:overflowPunct/>
        <w:topLinePunct w:val="0"/>
        <w:bidi w:val="0"/>
        <w:spacing w:line="360" w:lineRule="auto"/>
        <w:ind w:right="480"/>
        <w:jc w:val="center"/>
        <w:outlineLvl w:val="1"/>
        <w:rPr>
          <w:rFonts w:hint="eastAsia" w:ascii="宋体" w:hAnsi="宋体" w:eastAsia="宋体" w:cs="宋体"/>
          <w:b/>
          <w:color w:val="auto"/>
          <w:kern w:val="0"/>
          <w:sz w:val="32"/>
          <w:szCs w:val="32"/>
          <w:highlight w:val="none"/>
        </w:rPr>
      </w:pPr>
      <w:bookmarkStart w:id="69" w:name="_Toc16513"/>
      <w:bookmarkStart w:id="70" w:name="_Toc29194"/>
      <w:bookmarkStart w:id="71" w:name="_Toc16244"/>
      <w:bookmarkStart w:id="72" w:name="_Toc10299"/>
      <w:bookmarkStart w:id="73" w:name="_Toc28190"/>
      <w:bookmarkStart w:id="74" w:name="_Toc32676"/>
      <w:r>
        <w:rPr>
          <w:rFonts w:hint="eastAsia" w:ascii="宋体" w:hAnsi="宋体" w:eastAsia="宋体" w:cs="宋体"/>
          <w:b/>
          <w:color w:val="auto"/>
          <w:kern w:val="0"/>
          <w:sz w:val="32"/>
          <w:szCs w:val="32"/>
          <w:highlight w:val="none"/>
        </w:rPr>
        <w:t>二、联合协议（如果有）</w:t>
      </w:r>
      <w:bookmarkEnd w:id="69"/>
      <w:bookmarkEnd w:id="70"/>
      <w:bookmarkEnd w:id="71"/>
      <w:bookmarkEnd w:id="72"/>
      <w:bookmarkEnd w:id="73"/>
      <w:bookmarkEnd w:id="74"/>
    </w:p>
    <w:p w14:paraId="166EE2DF">
      <w:pPr>
        <w:pageBreakBefore w:val="0"/>
        <w:widowControl/>
        <w:shd w:val="clear"/>
        <w:kinsoku/>
        <w:overflowPunct/>
        <w:topLinePunct w:val="0"/>
        <w:bidi w:val="0"/>
        <w:spacing w:line="360" w:lineRule="auto"/>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[以联合体形式投标的，提供联合协议（附件5）；本项目不接受联合体投标或者投标人不以联合体形式投标的，则不需要提供]</w:t>
      </w:r>
    </w:p>
    <w:p w14:paraId="424D8163">
      <w:pPr>
        <w:pageBreakBefore w:val="0"/>
        <w:shd w:val="clear"/>
        <w:kinsoku/>
        <w:overflowPunct/>
        <w:topLinePunct w:val="0"/>
        <w:bidi w:val="0"/>
        <w:spacing w:line="360" w:lineRule="auto"/>
        <w:rPr>
          <w:rFonts w:hint="eastAsia" w:ascii="宋体" w:hAnsi="宋体" w:eastAsia="宋体" w:cs="宋体"/>
          <w:b/>
          <w:color w:val="auto"/>
          <w:kern w:val="0"/>
          <w:sz w:val="32"/>
          <w:szCs w:val="32"/>
          <w:highlight w:val="none"/>
        </w:rPr>
      </w:pPr>
    </w:p>
    <w:p w14:paraId="55325ABA">
      <w:pPr>
        <w:pageBreakBefore w:val="0"/>
        <w:shd w:val="clear"/>
        <w:kinsoku/>
        <w:overflowPunct/>
        <w:topLinePunct w:val="0"/>
        <w:bidi w:val="0"/>
        <w:spacing w:line="360" w:lineRule="auto"/>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467159B6">
      <w:pPr>
        <w:pageBreakBefore w:val="0"/>
        <w:shd w:val="clear"/>
        <w:kinsoku/>
        <w:overflowPunct/>
        <w:topLinePunct w:val="0"/>
        <w:bidi w:val="0"/>
        <w:spacing w:line="360" w:lineRule="auto"/>
        <w:ind w:right="480"/>
        <w:jc w:val="center"/>
        <w:outlineLvl w:val="1"/>
        <w:rPr>
          <w:rFonts w:hint="eastAsia" w:ascii="宋体" w:hAnsi="宋体" w:eastAsia="宋体" w:cs="宋体"/>
          <w:b/>
          <w:color w:val="auto"/>
          <w:kern w:val="0"/>
          <w:sz w:val="32"/>
          <w:szCs w:val="32"/>
          <w:highlight w:val="none"/>
        </w:rPr>
      </w:pPr>
      <w:bookmarkStart w:id="75" w:name="_Toc29738"/>
      <w:bookmarkStart w:id="76" w:name="_Toc3476"/>
      <w:bookmarkStart w:id="77" w:name="_Toc1202"/>
      <w:bookmarkStart w:id="78" w:name="_Toc7417"/>
      <w:bookmarkStart w:id="79" w:name="_Toc15102"/>
      <w:bookmarkStart w:id="80" w:name="_Toc13644"/>
      <w:r>
        <w:rPr>
          <w:rFonts w:hint="eastAsia" w:ascii="宋体" w:hAnsi="宋体" w:eastAsia="宋体" w:cs="宋体"/>
          <w:b/>
          <w:color w:val="auto"/>
          <w:kern w:val="0"/>
          <w:sz w:val="32"/>
          <w:szCs w:val="32"/>
          <w:highlight w:val="none"/>
        </w:rPr>
        <w:t>三、落实政府采购政策需满足的资格要求</w:t>
      </w:r>
      <w:bookmarkEnd w:id="75"/>
      <w:bookmarkEnd w:id="76"/>
      <w:bookmarkEnd w:id="77"/>
      <w:bookmarkEnd w:id="78"/>
      <w:bookmarkEnd w:id="79"/>
      <w:bookmarkEnd w:id="80"/>
    </w:p>
    <w:p w14:paraId="37FDFA3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（根据招标公告落实政府采购政策需满足的资格要求选择提供相应的材料；未要求的，无需提供）</w:t>
      </w:r>
    </w:p>
    <w:p w14:paraId="2827D6CC">
      <w:pPr>
        <w:snapToGrid w:val="0"/>
        <w:spacing w:before="50" w:after="50" w:line="360" w:lineRule="auto"/>
        <w:ind w:firstLine="413" w:firstLineChars="196"/>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A</w:t>
      </w:r>
      <w:r>
        <w:rPr>
          <w:rFonts w:hint="eastAsia" w:ascii="宋体" w:hAnsi="宋体" w:eastAsia="宋体" w:cs="宋体"/>
          <w:color w:val="auto"/>
          <w:sz w:val="21"/>
          <w:szCs w:val="21"/>
          <w:highlight w:val="none"/>
        </w:rPr>
        <w:t xml:space="preserve">.专门面向中小企业，服务全部由符合政策要求的中小企业（或小微企业）承接的，提供相应的中小企业声明函（附件7）。 </w:t>
      </w:r>
    </w:p>
    <w:p w14:paraId="5997BAF2">
      <w:pPr>
        <w:widowControl/>
        <w:spacing w:line="360" w:lineRule="auto"/>
        <w:ind w:firstLine="480"/>
        <w:jc w:val="left"/>
        <w:rPr>
          <w:rFonts w:hint="eastAsia" w:ascii="宋体" w:hAnsi="宋体" w:eastAsia="宋体" w:cs="宋体"/>
          <w:color w:val="auto"/>
          <w:sz w:val="21"/>
          <w:szCs w:val="21"/>
          <w:highlight w:val="none"/>
        </w:rPr>
      </w:pPr>
    </w:p>
    <w:p w14:paraId="7A4E72E3">
      <w:pPr>
        <w:widowControl/>
        <w:spacing w:line="360" w:lineRule="auto"/>
        <w:ind w:firstLine="413" w:firstLineChars="196"/>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B.</w:t>
      </w:r>
      <w:r>
        <w:rPr>
          <w:rFonts w:hint="eastAsia" w:ascii="宋体" w:hAnsi="宋体" w:eastAsia="宋体" w:cs="宋体"/>
          <w:color w:val="auto"/>
          <w:sz w:val="21"/>
          <w:szCs w:val="21"/>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eastAsia="宋体" w:cs="宋体"/>
          <w:color w:val="auto"/>
          <w:spacing w:val="8"/>
          <w:kern w:val="0"/>
          <w:sz w:val="21"/>
          <w:szCs w:val="21"/>
          <w:highlight w:val="none"/>
        </w:rPr>
        <w:t>并相应达到了前述比例要求，</w:t>
      </w:r>
      <w:r>
        <w:rPr>
          <w:rFonts w:hint="eastAsia" w:ascii="宋体" w:hAnsi="宋体" w:eastAsia="宋体" w:cs="宋体"/>
          <w:color w:val="auto"/>
          <w:sz w:val="21"/>
          <w:szCs w:val="21"/>
          <w:highlight w:val="none"/>
        </w:rPr>
        <w:t>视同符合了资格条件，无需再与其他中小企业组成联合体参加政府采购活动，无需提供联合协议。</w:t>
      </w:r>
    </w:p>
    <w:p w14:paraId="1CF7FCC0">
      <w:pPr>
        <w:snapToGrid w:val="0"/>
        <w:spacing w:before="50" w:after="50" w:line="360" w:lineRule="auto"/>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    </w:t>
      </w:r>
    </w:p>
    <w:p w14:paraId="1DDEED7A">
      <w:pPr>
        <w:pageBreakBefore w:val="0"/>
        <w:widowControl/>
        <w:shd w:val="clear"/>
        <w:kinsoku/>
        <w:overflowPunct/>
        <w:topLinePunct w:val="0"/>
        <w:bidi w:val="0"/>
        <w:spacing w:line="360" w:lineRule="auto"/>
        <w:ind w:firstLine="480"/>
        <w:jc w:val="left"/>
        <w:rPr>
          <w:rFonts w:hint="eastAsia" w:ascii="宋体" w:hAnsi="宋体" w:eastAsia="宋体" w:cs="宋体"/>
          <w:color w:val="auto"/>
          <w:highlight w:val="none"/>
        </w:rPr>
      </w:pPr>
      <w:r>
        <w:rPr>
          <w:rFonts w:hint="eastAsia" w:ascii="宋体" w:hAnsi="宋体" w:eastAsia="宋体" w:cs="宋体"/>
          <w:b/>
          <w:color w:val="auto"/>
          <w:sz w:val="21"/>
          <w:szCs w:val="21"/>
          <w:highlight w:val="none"/>
        </w:rPr>
        <w:t>C</w:t>
      </w:r>
      <w:r>
        <w:rPr>
          <w:rFonts w:hint="eastAsia" w:ascii="宋体" w:hAnsi="宋体" w:eastAsia="宋体" w:cs="宋体"/>
          <w:color w:val="auto"/>
          <w:sz w:val="21"/>
          <w:szCs w:val="21"/>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eastAsia="宋体" w:cs="宋体"/>
          <w:color w:val="auto"/>
          <w:spacing w:val="8"/>
          <w:kern w:val="0"/>
          <w:sz w:val="21"/>
          <w:szCs w:val="21"/>
          <w:highlight w:val="none"/>
        </w:rPr>
        <w:t>并相应达到了前述比例要求，</w:t>
      </w:r>
      <w:r>
        <w:rPr>
          <w:rFonts w:hint="eastAsia" w:ascii="宋体" w:hAnsi="宋体" w:eastAsia="宋体" w:cs="宋体"/>
          <w:color w:val="auto"/>
          <w:sz w:val="21"/>
          <w:szCs w:val="21"/>
          <w:highlight w:val="none"/>
        </w:rPr>
        <w:t>视同符合了资格条件，无需再向中小企业分包，无需提供分包意向协议。</w:t>
      </w:r>
    </w:p>
    <w:p w14:paraId="38AB2889">
      <w:pPr>
        <w:pageBreakBefore w:val="0"/>
        <w:shd w:val="clear"/>
        <w:kinsoku/>
        <w:overflowPunct/>
        <w:topLinePunct w:val="0"/>
        <w:bidi w:val="0"/>
        <w:spacing w:line="360" w:lineRule="auto"/>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D043351">
      <w:pPr>
        <w:pageBreakBefore w:val="0"/>
        <w:shd w:val="clear"/>
        <w:kinsoku/>
        <w:overflowPunct/>
        <w:topLinePunct w:val="0"/>
        <w:bidi w:val="0"/>
        <w:spacing w:line="360" w:lineRule="auto"/>
        <w:jc w:val="center"/>
        <w:outlineLvl w:val="1"/>
        <w:rPr>
          <w:rFonts w:hint="eastAsia" w:ascii="宋体" w:hAnsi="宋体" w:eastAsia="宋体" w:cs="宋体"/>
          <w:b/>
          <w:color w:val="auto"/>
          <w:kern w:val="0"/>
          <w:sz w:val="32"/>
          <w:szCs w:val="32"/>
          <w:highlight w:val="none"/>
        </w:rPr>
      </w:pPr>
      <w:bookmarkStart w:id="81" w:name="_Toc31050"/>
      <w:bookmarkStart w:id="82" w:name="_Toc5396"/>
      <w:bookmarkStart w:id="83" w:name="_Toc1752"/>
      <w:bookmarkStart w:id="84" w:name="_Toc24474"/>
      <w:bookmarkStart w:id="85" w:name="_Toc20494"/>
      <w:bookmarkStart w:id="86" w:name="_Toc2362"/>
      <w:r>
        <w:rPr>
          <w:rFonts w:hint="eastAsia" w:ascii="宋体" w:hAnsi="宋体" w:eastAsia="宋体" w:cs="宋体"/>
          <w:b/>
          <w:color w:val="auto"/>
          <w:kern w:val="0"/>
          <w:sz w:val="32"/>
          <w:szCs w:val="32"/>
          <w:highlight w:val="none"/>
        </w:rPr>
        <w:t>四、本项目的特定资格要求</w:t>
      </w:r>
      <w:bookmarkEnd w:id="81"/>
      <w:bookmarkEnd w:id="82"/>
      <w:bookmarkEnd w:id="83"/>
      <w:bookmarkEnd w:id="84"/>
      <w:bookmarkEnd w:id="85"/>
      <w:bookmarkEnd w:id="86"/>
    </w:p>
    <w:p w14:paraId="102F70C0">
      <w:pPr>
        <w:pageBreakBefore w:val="0"/>
        <w:shd w:val="clear"/>
        <w:kinsoku/>
        <w:overflowPunct/>
        <w:topLinePunct w:val="0"/>
        <w:bidi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（根据招标公告本项目的特定资格要求提供相应的材料</w:t>
      </w:r>
      <w:r>
        <w:rPr>
          <w:rFonts w:hint="eastAsia" w:ascii="宋体" w:hAnsi="宋体" w:eastAsia="宋体" w:cs="宋体"/>
          <w:color w:val="auto"/>
          <w:highlight w:val="none"/>
          <w:lang w:eastAsia="zh-CN"/>
        </w:rPr>
        <w:t>：无</w:t>
      </w:r>
      <w:r>
        <w:rPr>
          <w:rFonts w:hint="eastAsia" w:ascii="宋体" w:hAnsi="宋体" w:eastAsia="宋体" w:cs="宋体"/>
          <w:color w:val="auto"/>
          <w:highlight w:val="none"/>
        </w:rPr>
        <w:t>）；</w:t>
      </w:r>
    </w:p>
    <w:p w14:paraId="33123846">
      <w:pPr>
        <w:pageBreakBefore w:val="0"/>
        <w:shd w:val="clear"/>
        <w:kinsoku/>
        <w:overflowPunct/>
        <w:topLinePunct w:val="0"/>
        <w:bidi w:val="0"/>
        <w:spacing w:line="360" w:lineRule="auto"/>
        <w:ind w:firstLine="643" w:firstLineChars="2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2"/>
          <w:szCs w:val="32"/>
          <w:highlight w:val="none"/>
        </w:rPr>
        <w:br w:type="page"/>
      </w:r>
    </w:p>
    <w:p w14:paraId="15FCBF5E">
      <w:pPr>
        <w:pageBreakBefore w:val="0"/>
        <w:shd w:val="clear"/>
        <w:kinsoku/>
        <w:overflowPunct/>
        <w:topLinePunct w:val="0"/>
        <w:bidi w:val="0"/>
        <w:spacing w:line="360" w:lineRule="auto"/>
        <w:jc w:val="center"/>
        <w:outlineLvl w:val="1"/>
        <w:rPr>
          <w:rFonts w:hint="eastAsia" w:ascii="宋体" w:hAnsi="宋体" w:eastAsia="宋体" w:cs="宋体"/>
          <w:b/>
          <w:color w:val="auto"/>
          <w:kern w:val="0"/>
          <w:sz w:val="36"/>
          <w:szCs w:val="36"/>
          <w:highlight w:val="none"/>
        </w:rPr>
      </w:pPr>
      <w:bookmarkStart w:id="87" w:name="_Toc17107"/>
      <w:bookmarkStart w:id="88" w:name="_Toc29091"/>
      <w:r>
        <w:rPr>
          <w:rFonts w:hint="eastAsia" w:ascii="宋体" w:hAnsi="宋体" w:eastAsia="宋体" w:cs="宋体"/>
          <w:b/>
          <w:color w:val="auto"/>
          <w:kern w:val="0"/>
          <w:sz w:val="36"/>
          <w:szCs w:val="36"/>
          <w:highlight w:val="none"/>
        </w:rPr>
        <w:t>商务技术文件部分</w:t>
      </w:r>
      <w:bookmarkEnd w:id="87"/>
      <w:bookmarkEnd w:id="88"/>
    </w:p>
    <w:p w14:paraId="1050D686">
      <w:pPr>
        <w:pageBreakBefore w:val="0"/>
        <w:shd w:val="clear"/>
        <w:kinsoku/>
        <w:overflowPunct/>
        <w:topLinePunct w:val="0"/>
        <w:bidi w:val="0"/>
        <w:spacing w:line="360" w:lineRule="auto"/>
        <w:rPr>
          <w:rFonts w:hint="eastAsia" w:ascii="宋体" w:hAnsi="宋体" w:eastAsia="宋体" w:cs="宋体"/>
          <w:color w:val="auto"/>
          <w:highlight w:val="none"/>
        </w:rPr>
      </w:pPr>
    </w:p>
    <w:p w14:paraId="47AEC9B5">
      <w:pPr>
        <w:pageBreakBefore w:val="0"/>
        <w:shd w:val="clear"/>
        <w:kinsoku/>
        <w:overflowPunct/>
        <w:topLinePunct w:val="0"/>
        <w:bidi w:val="0"/>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目</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录</w:t>
      </w:r>
    </w:p>
    <w:p w14:paraId="5DE9423B">
      <w:pPr>
        <w:pageBreakBefore w:val="0"/>
        <w:shd w:val="clear"/>
        <w:kinsoku/>
        <w:overflowPunct/>
        <w:topLinePunct w:val="0"/>
        <w:bidi w:val="0"/>
        <w:spacing w:line="360" w:lineRule="auto"/>
        <w:jc w:val="center"/>
        <w:rPr>
          <w:rFonts w:hint="eastAsia" w:ascii="宋体" w:hAnsi="宋体" w:eastAsia="宋体" w:cs="宋体"/>
          <w:b/>
          <w:bCs/>
          <w:color w:val="auto"/>
          <w:sz w:val="28"/>
          <w:szCs w:val="28"/>
          <w:highlight w:val="none"/>
        </w:rPr>
      </w:pPr>
    </w:p>
    <w:p w14:paraId="006605ED">
      <w:pPr>
        <w:pageBreakBefore w:val="0"/>
        <w:numPr>
          <w:ilvl w:val="0"/>
          <w:numId w:val="5"/>
        </w:numPr>
        <w:shd w:val="clear"/>
        <w:kinsoku/>
        <w:overflowPunct/>
        <w:topLinePunct w:val="0"/>
        <w:bidi w:val="0"/>
        <w:spacing w:line="360" w:lineRule="auto"/>
        <w:ind w:left="0" w:leftChars="0" w:right="42"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投标函……………………………………………………………………………（页码）</w:t>
      </w:r>
    </w:p>
    <w:p w14:paraId="03577319">
      <w:pPr>
        <w:pageBreakBefore w:val="0"/>
        <w:numPr>
          <w:ilvl w:val="0"/>
          <w:numId w:val="5"/>
        </w:numPr>
        <w:shd w:val="clear"/>
        <w:kinsoku/>
        <w:overflowPunct/>
        <w:topLinePunct w:val="0"/>
        <w:bidi w:val="0"/>
        <w:spacing w:line="360" w:lineRule="auto"/>
        <w:ind w:left="0" w:leftChars="0" w:right="42"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授权委托书或法定代表人（单位负责人、自然人本人）身份证明…………（页码）</w:t>
      </w:r>
    </w:p>
    <w:p w14:paraId="274BDA8D">
      <w:pPr>
        <w:pageBreakBefore w:val="0"/>
        <w:numPr>
          <w:ilvl w:val="0"/>
          <w:numId w:val="5"/>
        </w:numPr>
        <w:shd w:val="clear"/>
        <w:kinsoku/>
        <w:overflowPunct/>
        <w:topLinePunct w:val="0"/>
        <w:bidi w:val="0"/>
        <w:spacing w:line="360" w:lineRule="auto"/>
        <w:ind w:left="0" w:leftChars="0" w:right="42"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授权代表近一个月内在投标单位缴纳社保的参保证明………………………（页码）</w:t>
      </w:r>
    </w:p>
    <w:p w14:paraId="28023B35">
      <w:pPr>
        <w:pageBreakBefore w:val="0"/>
        <w:numPr>
          <w:ilvl w:val="0"/>
          <w:numId w:val="5"/>
        </w:numPr>
        <w:shd w:val="clear"/>
        <w:kinsoku/>
        <w:overflowPunct/>
        <w:topLinePunct w:val="0"/>
        <w:bidi w:val="0"/>
        <w:spacing w:line="360" w:lineRule="auto"/>
        <w:ind w:left="0" w:leftChars="0" w:right="42"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投标人基本情况表………………………………………………………………（页码）</w:t>
      </w:r>
    </w:p>
    <w:p w14:paraId="2196F785">
      <w:pPr>
        <w:pageBreakBefore w:val="0"/>
        <w:numPr>
          <w:ilvl w:val="0"/>
          <w:numId w:val="5"/>
        </w:numPr>
        <w:shd w:val="clear"/>
        <w:kinsoku/>
        <w:overflowPunct/>
        <w:topLinePunct w:val="0"/>
        <w:bidi w:val="0"/>
        <w:spacing w:line="360" w:lineRule="auto"/>
        <w:ind w:left="0" w:leftChars="0" w:right="42"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分包意向协议……………………………………………………………………（页码）</w:t>
      </w:r>
    </w:p>
    <w:p w14:paraId="6DA9E75D">
      <w:pPr>
        <w:pageBreakBefore w:val="0"/>
        <w:numPr>
          <w:ilvl w:val="0"/>
          <w:numId w:val="5"/>
        </w:numPr>
        <w:shd w:val="clear"/>
        <w:kinsoku/>
        <w:overflowPunct/>
        <w:topLinePunct w:val="0"/>
        <w:bidi w:val="0"/>
        <w:spacing w:line="360" w:lineRule="auto"/>
        <w:ind w:left="0" w:leftChars="0" w:right="42"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符合性审查资料…………………………………………………………………（页码）</w:t>
      </w:r>
    </w:p>
    <w:p w14:paraId="5461CAFE">
      <w:pPr>
        <w:pageBreakBefore w:val="0"/>
        <w:numPr>
          <w:ilvl w:val="0"/>
          <w:numId w:val="5"/>
        </w:numPr>
        <w:shd w:val="clear"/>
        <w:kinsoku/>
        <w:overflowPunct/>
        <w:topLinePunct w:val="0"/>
        <w:bidi w:val="0"/>
        <w:spacing w:line="360" w:lineRule="auto"/>
        <w:ind w:left="0" w:leftChars="0" w:right="42"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评标标准相应的商务技术资料…………………………………………………（页码）</w:t>
      </w:r>
    </w:p>
    <w:p w14:paraId="02A8DFEC">
      <w:pPr>
        <w:pageBreakBefore w:val="0"/>
        <w:numPr>
          <w:ilvl w:val="0"/>
          <w:numId w:val="5"/>
        </w:numPr>
        <w:shd w:val="clear"/>
        <w:kinsoku/>
        <w:overflowPunct/>
        <w:topLinePunct w:val="0"/>
        <w:bidi w:val="0"/>
        <w:spacing w:line="360" w:lineRule="auto"/>
        <w:ind w:left="0" w:leftChars="0" w:right="42"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商务技术偏离表…………………………………………………………………（页码）</w:t>
      </w:r>
    </w:p>
    <w:p w14:paraId="0DAC37B9">
      <w:pPr>
        <w:pageBreakBefore w:val="0"/>
        <w:numPr>
          <w:ilvl w:val="0"/>
          <w:numId w:val="5"/>
        </w:numPr>
        <w:shd w:val="clear"/>
        <w:kinsoku/>
        <w:overflowPunct/>
        <w:topLinePunct w:val="0"/>
        <w:bidi w:val="0"/>
        <w:spacing w:line="360" w:lineRule="auto"/>
        <w:ind w:left="0" w:leftChars="0" w:right="42"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拟投入</w:t>
      </w:r>
      <w:r>
        <w:rPr>
          <w:rFonts w:hint="eastAsia" w:ascii="宋体" w:hAnsi="宋体" w:eastAsia="宋体" w:cs="宋体"/>
          <w:color w:val="auto"/>
          <w:sz w:val="24"/>
          <w:szCs w:val="24"/>
          <w:highlight w:val="none"/>
          <w:lang w:val="en-US" w:eastAsia="zh-CN"/>
        </w:rPr>
        <w:t>软硬件</w:t>
      </w:r>
      <w:r>
        <w:rPr>
          <w:rFonts w:hint="eastAsia" w:ascii="宋体" w:hAnsi="宋体" w:eastAsia="宋体" w:cs="宋体"/>
          <w:color w:val="auto"/>
          <w:sz w:val="24"/>
          <w:szCs w:val="24"/>
          <w:highlight w:val="none"/>
        </w:rPr>
        <w:t>清单………………………………………………………………（页码）</w:t>
      </w:r>
    </w:p>
    <w:p w14:paraId="6536F3FA">
      <w:pPr>
        <w:pageBreakBefore w:val="0"/>
        <w:numPr>
          <w:ilvl w:val="0"/>
          <w:numId w:val="5"/>
        </w:numPr>
        <w:shd w:val="clear"/>
        <w:kinsoku/>
        <w:overflowPunct/>
        <w:topLinePunct w:val="0"/>
        <w:bidi w:val="0"/>
        <w:spacing w:line="360" w:lineRule="auto"/>
        <w:ind w:left="0" w:leftChars="0" w:right="42"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政府采购投标人廉洁自律承诺书</w:t>
      </w:r>
      <w:r>
        <w:rPr>
          <w:rFonts w:hint="eastAsia" w:ascii="宋体" w:hAnsi="宋体" w:eastAsia="宋体" w:cs="宋体"/>
          <w:color w:val="auto"/>
          <w:sz w:val="24"/>
          <w:szCs w:val="24"/>
          <w:highlight w:val="none"/>
        </w:rPr>
        <w:t xml:space="preserve"> ……………………………………………（页码）</w:t>
      </w:r>
    </w:p>
    <w:p w14:paraId="714B7258">
      <w:pPr>
        <w:pageBreakBefore w:val="0"/>
        <w:shd w:val="clear"/>
        <w:kinsoku/>
        <w:overflowPunct/>
        <w:topLinePunct w:val="0"/>
        <w:bidi w:val="0"/>
        <w:spacing w:line="360" w:lineRule="auto"/>
        <w:rPr>
          <w:rFonts w:hint="eastAsia" w:ascii="宋体" w:hAnsi="宋体" w:eastAsia="宋体" w:cs="宋体"/>
          <w:color w:val="auto"/>
          <w:highlight w:val="none"/>
        </w:rPr>
      </w:pPr>
    </w:p>
    <w:p w14:paraId="25D7FF90">
      <w:pPr>
        <w:pageBreakBefore w:val="0"/>
        <w:shd w:val="clear"/>
        <w:kinsoku/>
        <w:overflowPunct/>
        <w:topLinePunct w:val="0"/>
        <w:bidi w:val="0"/>
        <w:spacing w:line="360" w:lineRule="auto"/>
        <w:rPr>
          <w:rFonts w:hint="eastAsia" w:ascii="宋体" w:hAnsi="宋体" w:eastAsia="宋体" w:cs="宋体"/>
          <w:color w:val="auto"/>
          <w:highlight w:val="none"/>
          <w:lang w:val="zh-CN"/>
        </w:rPr>
      </w:pPr>
    </w:p>
    <w:p w14:paraId="5DDB1946">
      <w:pPr>
        <w:pageBreakBefore w:val="0"/>
        <w:shd w:val="clear"/>
        <w:kinsoku/>
        <w:overflowPunct/>
        <w:topLinePunct w:val="0"/>
        <w:bidi w:val="0"/>
        <w:spacing w:line="360" w:lineRule="auto"/>
        <w:rPr>
          <w:rFonts w:hint="eastAsia" w:ascii="宋体" w:hAnsi="宋体" w:eastAsia="宋体" w:cs="宋体"/>
          <w:color w:val="auto"/>
          <w:highlight w:val="none"/>
          <w:lang w:val="zh-CN"/>
        </w:rPr>
      </w:pPr>
    </w:p>
    <w:p w14:paraId="7A5CD049">
      <w:pPr>
        <w:pageBreakBefore w:val="0"/>
        <w:shd w:val="clear"/>
        <w:kinsoku/>
        <w:overflowPunct/>
        <w:topLinePunct w:val="0"/>
        <w:bidi w:val="0"/>
        <w:spacing w:line="360" w:lineRule="auto"/>
        <w:rPr>
          <w:rFonts w:hint="eastAsia" w:ascii="宋体" w:hAnsi="宋体" w:eastAsia="宋体" w:cs="宋体"/>
          <w:color w:val="auto"/>
          <w:highlight w:val="none"/>
          <w:lang w:val="zh-CN"/>
        </w:rPr>
      </w:pPr>
    </w:p>
    <w:p w14:paraId="1C623282">
      <w:pPr>
        <w:pageBreakBefore w:val="0"/>
        <w:shd w:val="clear"/>
        <w:kinsoku/>
        <w:overflowPunct/>
        <w:topLinePunct w:val="0"/>
        <w:bidi w:val="0"/>
        <w:spacing w:line="360" w:lineRule="auto"/>
        <w:rPr>
          <w:rFonts w:hint="eastAsia" w:ascii="宋体" w:hAnsi="宋体" w:eastAsia="宋体" w:cs="宋体"/>
          <w:color w:val="auto"/>
          <w:highlight w:val="none"/>
          <w:lang w:val="zh-CN"/>
        </w:rPr>
      </w:pPr>
    </w:p>
    <w:p w14:paraId="7B7C6B15">
      <w:pPr>
        <w:pageBreakBefore w:val="0"/>
        <w:shd w:val="clear"/>
        <w:kinsoku/>
        <w:overflowPunct/>
        <w:topLinePunct w:val="0"/>
        <w:bidi w:val="0"/>
        <w:spacing w:line="360" w:lineRule="auto"/>
        <w:rPr>
          <w:rFonts w:hint="eastAsia" w:ascii="宋体" w:hAnsi="宋体" w:eastAsia="宋体" w:cs="宋体"/>
          <w:color w:val="auto"/>
          <w:highlight w:val="none"/>
          <w:lang w:val="zh-CN"/>
        </w:rPr>
      </w:pPr>
    </w:p>
    <w:p w14:paraId="20F13C8A">
      <w:pPr>
        <w:pageBreakBefore w:val="0"/>
        <w:shd w:val="clear"/>
        <w:kinsoku/>
        <w:overflowPunct/>
        <w:topLinePunct w:val="0"/>
        <w:bidi w:val="0"/>
        <w:spacing w:line="360" w:lineRule="auto"/>
        <w:rPr>
          <w:rFonts w:hint="eastAsia" w:ascii="宋体" w:hAnsi="宋体" w:eastAsia="宋体" w:cs="宋体"/>
          <w:color w:val="auto"/>
          <w:highlight w:val="none"/>
        </w:rPr>
      </w:pPr>
    </w:p>
    <w:p w14:paraId="26549D02">
      <w:pPr>
        <w:pageBreakBefore w:val="0"/>
        <w:shd w:val="clear"/>
        <w:kinsoku/>
        <w:overflowPunct/>
        <w:topLinePunct w:val="0"/>
        <w:bidi w:val="0"/>
        <w:spacing w:line="360" w:lineRule="auto"/>
        <w:rPr>
          <w:rFonts w:hint="eastAsia" w:ascii="宋体" w:hAnsi="宋体" w:eastAsia="宋体" w:cs="宋体"/>
          <w:color w:val="auto"/>
          <w:highlight w:val="none"/>
        </w:rPr>
      </w:pPr>
    </w:p>
    <w:p w14:paraId="202503BC">
      <w:pPr>
        <w:pageBreakBefore w:val="0"/>
        <w:shd w:val="clear"/>
        <w:kinsoku/>
        <w:overflowPunct/>
        <w:topLinePunct w:val="0"/>
        <w:bidi w:val="0"/>
        <w:spacing w:line="360" w:lineRule="auto"/>
        <w:rPr>
          <w:rFonts w:hint="eastAsia" w:ascii="宋体" w:hAnsi="宋体" w:eastAsia="宋体" w:cs="宋体"/>
          <w:color w:val="auto"/>
          <w:highlight w:val="none"/>
        </w:rPr>
      </w:pPr>
    </w:p>
    <w:p w14:paraId="5BA5EBAF">
      <w:pPr>
        <w:pageBreakBefore w:val="0"/>
        <w:shd w:val="clear"/>
        <w:kinsoku/>
        <w:overflowPunct/>
        <w:topLinePunct w:val="0"/>
        <w:bidi w:val="0"/>
        <w:spacing w:line="360" w:lineRule="auto"/>
        <w:rPr>
          <w:rFonts w:hint="eastAsia" w:ascii="宋体" w:hAnsi="宋体" w:eastAsia="宋体" w:cs="宋体"/>
          <w:color w:val="auto"/>
          <w:highlight w:val="none"/>
        </w:rPr>
      </w:pPr>
    </w:p>
    <w:p w14:paraId="2925C3DF">
      <w:pPr>
        <w:pageBreakBefore w:val="0"/>
        <w:shd w:val="clear"/>
        <w:kinsoku/>
        <w:overflowPunct/>
        <w:topLinePunct w:val="0"/>
        <w:bidi w:val="0"/>
        <w:spacing w:line="360" w:lineRule="auto"/>
        <w:rPr>
          <w:rFonts w:hint="eastAsia" w:ascii="宋体" w:hAnsi="宋体" w:eastAsia="宋体" w:cs="宋体"/>
          <w:color w:val="auto"/>
          <w:highlight w:val="none"/>
        </w:rPr>
      </w:pPr>
    </w:p>
    <w:p w14:paraId="06D9E77C">
      <w:pPr>
        <w:pageBreakBefore w:val="0"/>
        <w:shd w:val="clear"/>
        <w:kinsoku/>
        <w:overflowPunct/>
        <w:topLinePunct w:val="0"/>
        <w:bidi w:val="0"/>
        <w:spacing w:line="360" w:lineRule="auto"/>
        <w:rPr>
          <w:rFonts w:hint="eastAsia" w:ascii="宋体" w:hAnsi="宋体" w:eastAsia="宋体" w:cs="宋体"/>
          <w:color w:val="auto"/>
          <w:highlight w:val="none"/>
        </w:rPr>
      </w:pPr>
    </w:p>
    <w:p w14:paraId="3C0AC667">
      <w:pPr>
        <w:pageBreakBefore w:val="0"/>
        <w:shd w:val="clear"/>
        <w:kinsoku/>
        <w:overflowPunct/>
        <w:topLinePunct w:val="0"/>
        <w:bidi w:val="0"/>
        <w:spacing w:line="360" w:lineRule="auto"/>
        <w:rPr>
          <w:rFonts w:hint="eastAsia" w:ascii="宋体" w:hAnsi="宋体" w:eastAsia="宋体" w:cs="宋体"/>
          <w:color w:val="auto"/>
          <w:highlight w:val="none"/>
        </w:rPr>
      </w:pPr>
    </w:p>
    <w:p w14:paraId="6851E76C">
      <w:pPr>
        <w:pageBreakBefore w:val="0"/>
        <w:shd w:val="clear"/>
        <w:kinsoku/>
        <w:overflowPunct/>
        <w:topLinePunct w:val="0"/>
        <w:bidi w:val="0"/>
        <w:spacing w:line="360" w:lineRule="auto"/>
        <w:rPr>
          <w:rFonts w:hint="eastAsia" w:ascii="宋体" w:hAnsi="宋体" w:eastAsia="宋体" w:cs="宋体"/>
          <w:color w:val="auto"/>
          <w:highlight w:val="none"/>
        </w:rPr>
      </w:pPr>
    </w:p>
    <w:p w14:paraId="31B6761E">
      <w:pPr>
        <w:pageBreakBefore w:val="0"/>
        <w:shd w:val="clear"/>
        <w:kinsoku/>
        <w:overflowPunct/>
        <w:topLinePunct w:val="0"/>
        <w:bidi w:val="0"/>
        <w:spacing w:line="360" w:lineRule="auto"/>
        <w:rPr>
          <w:rFonts w:hint="eastAsia" w:ascii="宋体" w:hAnsi="宋体" w:eastAsia="宋体" w:cs="宋体"/>
          <w:color w:val="auto"/>
          <w:highlight w:val="none"/>
        </w:rPr>
      </w:pPr>
    </w:p>
    <w:p w14:paraId="3B8D0655">
      <w:pPr>
        <w:pageBreakBefore w:val="0"/>
        <w:shd w:val="clear"/>
        <w:kinsoku/>
        <w:overflowPunct/>
        <w:topLinePunct w:val="0"/>
        <w:bidi w:val="0"/>
        <w:spacing w:line="360" w:lineRule="auto"/>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7AECC5E4">
      <w:pPr>
        <w:pageBreakBefore w:val="0"/>
        <w:shd w:val="clear"/>
        <w:kinsoku/>
        <w:overflowPunct/>
        <w:topLinePunct w:val="0"/>
        <w:bidi w:val="0"/>
        <w:spacing w:line="360" w:lineRule="auto"/>
        <w:jc w:val="center"/>
        <w:outlineLvl w:val="1"/>
        <w:rPr>
          <w:rFonts w:hint="eastAsia" w:ascii="宋体" w:hAnsi="宋体" w:eastAsia="宋体" w:cs="宋体"/>
          <w:b/>
          <w:color w:val="auto"/>
          <w:sz w:val="32"/>
          <w:szCs w:val="32"/>
          <w:highlight w:val="none"/>
        </w:rPr>
      </w:pPr>
      <w:bookmarkStart w:id="89" w:name="_Toc21352"/>
      <w:bookmarkStart w:id="90" w:name="_Toc30132"/>
      <w:bookmarkStart w:id="91" w:name="_Toc12772"/>
      <w:bookmarkStart w:id="92" w:name="_Toc6795"/>
      <w:bookmarkStart w:id="93" w:name="_Toc28324"/>
      <w:bookmarkStart w:id="94" w:name="_Toc31341"/>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bookmarkEnd w:id="89"/>
      <w:bookmarkEnd w:id="90"/>
      <w:bookmarkEnd w:id="91"/>
      <w:bookmarkEnd w:id="92"/>
      <w:bookmarkEnd w:id="93"/>
      <w:bookmarkEnd w:id="94"/>
    </w:p>
    <w:p w14:paraId="772333CA">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lang w:eastAsia="zh-CN"/>
        </w:rPr>
        <w:t>浙江理工大学</w:t>
      </w:r>
      <w:r>
        <w:rPr>
          <w:rFonts w:hint="eastAsia" w:ascii="宋体" w:hAnsi="宋体" w:eastAsia="宋体" w:cs="宋体"/>
          <w:color w:val="auto"/>
          <w:sz w:val="21"/>
          <w:szCs w:val="21"/>
          <w:highlight w:val="none"/>
          <w:u w:val="single"/>
        </w:rPr>
        <w:t>、浙江国际招投标有限公司</w:t>
      </w:r>
      <w:r>
        <w:rPr>
          <w:rFonts w:hint="eastAsia" w:ascii="宋体" w:hAnsi="宋体" w:eastAsia="宋体" w:cs="宋体"/>
          <w:color w:val="auto"/>
          <w:sz w:val="21"/>
          <w:szCs w:val="21"/>
          <w:highlight w:val="none"/>
        </w:rPr>
        <w:t>：</w:t>
      </w:r>
    </w:p>
    <w:p w14:paraId="2DFC79AA">
      <w:pPr>
        <w:keepNext w:val="0"/>
        <w:keepLines w:val="0"/>
        <w:pageBreakBefore w:val="0"/>
        <w:widowControl w:val="0"/>
        <w:shd w:val="clea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我方参加你方组织的（项目名称）【</w:t>
      </w: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sz w:val="21"/>
          <w:szCs w:val="21"/>
          <w:highlight w:val="none"/>
        </w:rPr>
        <w:t>编号：】</w:t>
      </w:r>
      <w:r>
        <w:rPr>
          <w:rFonts w:hint="eastAsia" w:ascii="宋体" w:hAnsi="宋体" w:eastAsia="宋体" w:cs="宋体"/>
          <w:color w:val="auto"/>
          <w:kern w:val="0"/>
          <w:sz w:val="21"/>
          <w:szCs w:val="21"/>
          <w:highlight w:val="none"/>
          <w:lang w:val="zh-CN"/>
        </w:rPr>
        <w:t>【标项号：</w:t>
      </w:r>
      <w:r>
        <w:rPr>
          <w:rFonts w:hint="eastAsia" w:ascii="宋体" w:hAnsi="宋体" w:eastAsia="宋体" w:cs="宋体"/>
          <w:color w:val="auto"/>
          <w:sz w:val="21"/>
          <w:szCs w:val="21"/>
          <w:highlight w:val="none"/>
        </w:rPr>
        <w:t>】招标的有关活动，并对此项目进行投标。为此：</w:t>
      </w:r>
    </w:p>
    <w:p w14:paraId="143A7C23">
      <w:pPr>
        <w:keepNext w:val="0"/>
        <w:keepLines w:val="0"/>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1、我方承诺投标有效期从提交投标文件的截止之日起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天（不少于90天），本投标文件在投标有效期满之前均具有约束力。</w:t>
      </w:r>
    </w:p>
    <w:p w14:paraId="326FD2BF">
      <w:pPr>
        <w:keepNext w:val="0"/>
        <w:keepLines w:val="0"/>
        <w:pageBreakBefore w:val="0"/>
        <w:widowControl w:val="0"/>
        <w:shd w:val="clea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2、我方的投标文件包括以下内容：</w:t>
      </w:r>
    </w:p>
    <w:p w14:paraId="63345036">
      <w:pPr>
        <w:keepNext w:val="0"/>
        <w:keepLines w:val="0"/>
        <w:pageBreakBefore w:val="0"/>
        <w:widowControl w:val="0"/>
        <w:shd w:val="clear"/>
        <w:kinsoku/>
        <w:wordWrap/>
        <w:overflowPunct/>
        <w:topLinePunct w:val="0"/>
        <w:autoSpaceDE/>
        <w:autoSpaceDN/>
        <w:bidi w:val="0"/>
        <w:adjustRightInd/>
        <w:snapToGrid/>
        <w:spacing w:line="360" w:lineRule="auto"/>
        <w:ind w:left="210" w:leftChars="10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2.1资格文件：</w:t>
      </w:r>
    </w:p>
    <w:p w14:paraId="57B60CC2">
      <w:pPr>
        <w:keepNext w:val="0"/>
        <w:keepLines w:val="0"/>
        <w:pageBreakBefore w:val="0"/>
        <w:widowControl w:val="0"/>
        <w:shd w:val="clear"/>
        <w:kinsoku/>
        <w:wordWrap/>
        <w:overflowPunct/>
        <w:topLinePunct w:val="0"/>
        <w:autoSpaceDE/>
        <w:autoSpaceDN/>
        <w:bidi w:val="0"/>
        <w:adjustRightInd/>
        <w:snapToGrid/>
        <w:spacing w:line="360" w:lineRule="auto"/>
        <w:ind w:left="420" w:leftChars="20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2.1.1承诺函；</w:t>
      </w:r>
    </w:p>
    <w:p w14:paraId="1647388F">
      <w:pPr>
        <w:keepNext w:val="0"/>
        <w:keepLines w:val="0"/>
        <w:pageBreakBefore w:val="0"/>
        <w:widowControl w:val="0"/>
        <w:shd w:val="clear"/>
        <w:kinsoku/>
        <w:wordWrap/>
        <w:overflowPunct/>
        <w:topLinePunct w:val="0"/>
        <w:autoSpaceDE/>
        <w:autoSpaceDN/>
        <w:bidi w:val="0"/>
        <w:adjustRightInd/>
        <w:snapToGrid/>
        <w:spacing w:line="360" w:lineRule="auto"/>
        <w:ind w:left="420" w:leftChars="20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2.1.2联合协议（如果有)；</w:t>
      </w:r>
    </w:p>
    <w:p w14:paraId="7BCF6DAC">
      <w:pPr>
        <w:keepNext w:val="0"/>
        <w:keepLines w:val="0"/>
        <w:pageBreakBefore w:val="0"/>
        <w:widowControl w:val="0"/>
        <w:shd w:val="clear"/>
        <w:kinsoku/>
        <w:wordWrap/>
        <w:overflowPunct/>
        <w:topLinePunct w:val="0"/>
        <w:autoSpaceDE/>
        <w:autoSpaceDN/>
        <w:bidi w:val="0"/>
        <w:adjustRightInd/>
        <w:snapToGrid/>
        <w:spacing w:line="360" w:lineRule="auto"/>
        <w:ind w:left="420" w:leftChars="20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2.1.3落实政府采购政策需满足的资格要求：</w:t>
      </w:r>
      <w:r>
        <w:rPr>
          <w:rFonts w:hint="eastAsia" w:ascii="宋体" w:hAnsi="宋体" w:eastAsia="宋体" w:cs="宋体"/>
          <w:color w:val="auto"/>
          <w:sz w:val="21"/>
          <w:szCs w:val="21"/>
          <w:highlight w:val="none"/>
          <w:lang w:eastAsia="zh-CN"/>
        </w:rPr>
        <w:t>中小企业声明函</w:t>
      </w:r>
      <w:r>
        <w:rPr>
          <w:rFonts w:hint="eastAsia" w:ascii="宋体" w:hAnsi="宋体" w:eastAsia="宋体" w:cs="宋体"/>
          <w:bCs/>
          <w:color w:val="auto"/>
          <w:sz w:val="21"/>
          <w:szCs w:val="21"/>
          <w:highlight w:val="none"/>
        </w:rPr>
        <w:t>；</w:t>
      </w:r>
    </w:p>
    <w:p w14:paraId="3945A7BD">
      <w:pPr>
        <w:keepNext w:val="0"/>
        <w:keepLines w:val="0"/>
        <w:pageBreakBefore w:val="0"/>
        <w:widowControl w:val="0"/>
        <w:shd w:val="clear"/>
        <w:kinsoku/>
        <w:wordWrap/>
        <w:overflowPunct/>
        <w:topLinePunct w:val="0"/>
        <w:autoSpaceDE/>
        <w:autoSpaceDN/>
        <w:bidi w:val="0"/>
        <w:adjustRightInd/>
        <w:snapToGrid/>
        <w:spacing w:line="360" w:lineRule="auto"/>
        <w:ind w:left="420" w:leftChars="20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2.1.4本项目的特定资格要求：</w:t>
      </w:r>
      <w:r>
        <w:rPr>
          <w:rFonts w:hint="eastAsia" w:ascii="宋体" w:hAnsi="宋体" w:eastAsia="宋体" w:cs="宋体"/>
          <w:snapToGrid w:val="0"/>
          <w:color w:val="auto"/>
          <w:kern w:val="28"/>
          <w:sz w:val="21"/>
          <w:szCs w:val="21"/>
          <w:highlight w:val="none"/>
          <w:lang w:eastAsia="zh-CN"/>
        </w:rPr>
        <w:t>无</w:t>
      </w:r>
      <w:r>
        <w:rPr>
          <w:rFonts w:hint="eastAsia" w:ascii="宋体" w:hAnsi="宋体" w:eastAsia="宋体" w:cs="宋体"/>
          <w:bCs/>
          <w:color w:val="auto"/>
          <w:sz w:val="21"/>
          <w:szCs w:val="21"/>
          <w:highlight w:val="none"/>
        </w:rPr>
        <w:t>。</w:t>
      </w:r>
    </w:p>
    <w:p w14:paraId="6C55AF61">
      <w:pPr>
        <w:keepNext w:val="0"/>
        <w:keepLines w:val="0"/>
        <w:pageBreakBefore w:val="0"/>
        <w:widowControl w:val="0"/>
        <w:shd w:val="clear"/>
        <w:kinsoku/>
        <w:wordWrap/>
        <w:overflowPunct/>
        <w:topLinePunct w:val="0"/>
        <w:autoSpaceDE/>
        <w:autoSpaceDN/>
        <w:bidi w:val="0"/>
        <w:adjustRightInd/>
        <w:snapToGrid/>
        <w:spacing w:line="360" w:lineRule="auto"/>
        <w:ind w:left="210" w:leftChars="10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2商务技术</w:t>
      </w:r>
      <w:r>
        <w:rPr>
          <w:rFonts w:hint="eastAsia" w:ascii="宋体" w:hAnsi="宋体" w:eastAsia="宋体" w:cs="宋体"/>
          <w:color w:val="auto"/>
          <w:sz w:val="21"/>
          <w:szCs w:val="21"/>
          <w:highlight w:val="none"/>
          <w:lang w:val="zh-CN"/>
        </w:rPr>
        <w:t>文件：</w:t>
      </w:r>
    </w:p>
    <w:p w14:paraId="47FBD535">
      <w:pPr>
        <w:keepNext w:val="0"/>
        <w:keepLines w:val="0"/>
        <w:pageBreakBefore w:val="0"/>
        <w:widowControl w:val="0"/>
        <w:shd w:val="clear"/>
        <w:kinsoku/>
        <w:wordWrap/>
        <w:overflowPunct/>
        <w:topLinePunct w:val="0"/>
        <w:autoSpaceDE/>
        <w:autoSpaceDN/>
        <w:bidi w:val="0"/>
        <w:adjustRightInd/>
        <w:snapToGrid/>
        <w:spacing w:line="360" w:lineRule="auto"/>
        <w:ind w:left="210" w:leftChars="100" w:firstLine="630" w:firstLineChars="3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2.2.1投标函</w:t>
      </w:r>
      <w:r>
        <w:rPr>
          <w:rFonts w:hint="eastAsia" w:ascii="宋体" w:hAnsi="宋体" w:eastAsia="宋体" w:cs="宋体"/>
          <w:color w:val="auto"/>
          <w:sz w:val="21"/>
          <w:szCs w:val="21"/>
          <w:highlight w:val="none"/>
          <w:lang w:eastAsia="zh-CN"/>
        </w:rPr>
        <w:t>；</w:t>
      </w:r>
    </w:p>
    <w:p w14:paraId="4E61CCF6">
      <w:pPr>
        <w:keepNext w:val="0"/>
        <w:keepLines w:val="0"/>
        <w:pageBreakBefore w:val="0"/>
        <w:widowControl w:val="0"/>
        <w:shd w:val="clear"/>
        <w:kinsoku/>
        <w:wordWrap/>
        <w:overflowPunct/>
        <w:topLinePunct w:val="0"/>
        <w:autoSpaceDE/>
        <w:autoSpaceDN/>
        <w:bidi w:val="0"/>
        <w:adjustRightInd/>
        <w:snapToGrid/>
        <w:spacing w:line="360" w:lineRule="auto"/>
        <w:ind w:left="210" w:leftChars="100" w:firstLine="630" w:firstLineChars="3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2.2.2授权委托书或法定代表人（单位负责人、自然人本人）身份证明</w:t>
      </w:r>
      <w:r>
        <w:rPr>
          <w:rFonts w:hint="eastAsia" w:ascii="宋体" w:hAnsi="宋体" w:eastAsia="宋体" w:cs="宋体"/>
          <w:color w:val="auto"/>
          <w:sz w:val="21"/>
          <w:szCs w:val="21"/>
          <w:highlight w:val="none"/>
          <w:lang w:eastAsia="zh-CN"/>
        </w:rPr>
        <w:t>；</w:t>
      </w:r>
    </w:p>
    <w:p w14:paraId="459120E0">
      <w:pPr>
        <w:keepNext w:val="0"/>
        <w:keepLines w:val="0"/>
        <w:pageBreakBefore w:val="0"/>
        <w:widowControl w:val="0"/>
        <w:shd w:val="clear"/>
        <w:kinsoku/>
        <w:wordWrap/>
        <w:overflowPunct/>
        <w:topLinePunct w:val="0"/>
        <w:autoSpaceDE/>
        <w:autoSpaceDN/>
        <w:bidi w:val="0"/>
        <w:adjustRightInd/>
        <w:snapToGrid/>
        <w:spacing w:line="360" w:lineRule="auto"/>
        <w:ind w:left="210" w:leftChars="100" w:firstLine="630" w:firstLineChars="3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2.2.3授权代表近一个月内在投标单位缴纳社保的参保证明</w:t>
      </w:r>
      <w:r>
        <w:rPr>
          <w:rFonts w:hint="eastAsia" w:ascii="宋体" w:hAnsi="宋体" w:eastAsia="宋体" w:cs="宋体"/>
          <w:color w:val="auto"/>
          <w:sz w:val="21"/>
          <w:szCs w:val="21"/>
          <w:highlight w:val="none"/>
          <w:lang w:eastAsia="zh-CN"/>
        </w:rPr>
        <w:t>；</w:t>
      </w:r>
    </w:p>
    <w:p w14:paraId="02845463">
      <w:pPr>
        <w:keepNext w:val="0"/>
        <w:keepLines w:val="0"/>
        <w:pageBreakBefore w:val="0"/>
        <w:widowControl w:val="0"/>
        <w:shd w:val="clear"/>
        <w:kinsoku/>
        <w:wordWrap/>
        <w:overflowPunct/>
        <w:topLinePunct w:val="0"/>
        <w:autoSpaceDE/>
        <w:autoSpaceDN/>
        <w:bidi w:val="0"/>
        <w:adjustRightInd/>
        <w:snapToGrid/>
        <w:spacing w:line="360" w:lineRule="auto"/>
        <w:ind w:left="210" w:leftChars="100" w:firstLine="630" w:firstLineChars="3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2.2.4投标人基本情况表</w:t>
      </w:r>
      <w:r>
        <w:rPr>
          <w:rFonts w:hint="eastAsia" w:ascii="宋体" w:hAnsi="宋体" w:eastAsia="宋体" w:cs="宋体"/>
          <w:color w:val="auto"/>
          <w:sz w:val="21"/>
          <w:szCs w:val="21"/>
          <w:highlight w:val="none"/>
          <w:lang w:eastAsia="zh-CN"/>
        </w:rPr>
        <w:t>；</w:t>
      </w:r>
    </w:p>
    <w:p w14:paraId="043A967C">
      <w:pPr>
        <w:keepNext w:val="0"/>
        <w:keepLines w:val="0"/>
        <w:pageBreakBefore w:val="0"/>
        <w:widowControl w:val="0"/>
        <w:shd w:val="clear"/>
        <w:kinsoku/>
        <w:wordWrap/>
        <w:overflowPunct/>
        <w:topLinePunct w:val="0"/>
        <w:autoSpaceDE/>
        <w:autoSpaceDN/>
        <w:bidi w:val="0"/>
        <w:adjustRightInd/>
        <w:snapToGrid/>
        <w:spacing w:line="360" w:lineRule="auto"/>
        <w:ind w:left="210" w:leftChars="100" w:firstLine="630" w:firstLineChars="3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2.2.5分包意向协议</w:t>
      </w:r>
      <w:r>
        <w:rPr>
          <w:rFonts w:hint="eastAsia" w:ascii="宋体" w:hAnsi="宋体" w:eastAsia="宋体" w:cs="宋体"/>
          <w:color w:val="auto"/>
          <w:sz w:val="21"/>
          <w:szCs w:val="21"/>
          <w:highlight w:val="none"/>
          <w:lang w:eastAsia="zh-CN"/>
        </w:rPr>
        <w:t>；</w:t>
      </w:r>
    </w:p>
    <w:p w14:paraId="735DA46C">
      <w:pPr>
        <w:keepNext w:val="0"/>
        <w:keepLines w:val="0"/>
        <w:pageBreakBefore w:val="0"/>
        <w:widowControl w:val="0"/>
        <w:shd w:val="clear"/>
        <w:kinsoku/>
        <w:wordWrap/>
        <w:overflowPunct/>
        <w:topLinePunct w:val="0"/>
        <w:autoSpaceDE/>
        <w:autoSpaceDN/>
        <w:bidi w:val="0"/>
        <w:adjustRightInd/>
        <w:snapToGrid/>
        <w:spacing w:line="360" w:lineRule="auto"/>
        <w:ind w:left="210" w:leftChars="100" w:firstLine="630" w:firstLineChars="3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2.2.6符合性审查资</w:t>
      </w:r>
      <w:r>
        <w:rPr>
          <w:rFonts w:hint="eastAsia" w:ascii="宋体" w:hAnsi="宋体" w:eastAsia="宋体" w:cs="宋体"/>
          <w:color w:val="auto"/>
          <w:sz w:val="21"/>
          <w:szCs w:val="21"/>
          <w:highlight w:val="none"/>
          <w:lang w:eastAsia="zh-CN"/>
        </w:rPr>
        <w:t>；</w:t>
      </w:r>
    </w:p>
    <w:p w14:paraId="317A7C98">
      <w:pPr>
        <w:keepNext w:val="0"/>
        <w:keepLines w:val="0"/>
        <w:pageBreakBefore w:val="0"/>
        <w:widowControl w:val="0"/>
        <w:shd w:val="clear"/>
        <w:kinsoku/>
        <w:wordWrap/>
        <w:overflowPunct/>
        <w:topLinePunct w:val="0"/>
        <w:autoSpaceDE/>
        <w:autoSpaceDN/>
        <w:bidi w:val="0"/>
        <w:adjustRightInd/>
        <w:snapToGrid/>
        <w:spacing w:line="360" w:lineRule="auto"/>
        <w:ind w:left="210" w:leftChars="100" w:firstLine="630" w:firstLineChars="3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2.2.7评标标准相应的商务技术资料</w:t>
      </w:r>
      <w:r>
        <w:rPr>
          <w:rFonts w:hint="eastAsia" w:ascii="宋体" w:hAnsi="宋体" w:eastAsia="宋体" w:cs="宋体"/>
          <w:color w:val="auto"/>
          <w:sz w:val="21"/>
          <w:szCs w:val="21"/>
          <w:highlight w:val="none"/>
          <w:lang w:eastAsia="zh-CN"/>
        </w:rPr>
        <w:t>；</w:t>
      </w:r>
    </w:p>
    <w:p w14:paraId="3AB2CB4F">
      <w:pPr>
        <w:keepNext w:val="0"/>
        <w:keepLines w:val="0"/>
        <w:pageBreakBefore w:val="0"/>
        <w:widowControl w:val="0"/>
        <w:shd w:val="clear"/>
        <w:kinsoku/>
        <w:wordWrap/>
        <w:overflowPunct/>
        <w:topLinePunct w:val="0"/>
        <w:autoSpaceDE/>
        <w:autoSpaceDN/>
        <w:bidi w:val="0"/>
        <w:adjustRightInd/>
        <w:snapToGrid/>
        <w:spacing w:line="360" w:lineRule="auto"/>
        <w:ind w:left="210" w:leftChars="100" w:firstLine="630" w:firstLineChars="3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2.2.8商务技术偏离表</w:t>
      </w:r>
      <w:r>
        <w:rPr>
          <w:rFonts w:hint="eastAsia" w:ascii="宋体" w:hAnsi="宋体" w:eastAsia="宋体" w:cs="宋体"/>
          <w:color w:val="auto"/>
          <w:sz w:val="21"/>
          <w:szCs w:val="21"/>
          <w:highlight w:val="none"/>
          <w:lang w:eastAsia="zh-CN"/>
        </w:rPr>
        <w:t>；</w:t>
      </w:r>
    </w:p>
    <w:p w14:paraId="60C8C0BA">
      <w:pPr>
        <w:keepNext w:val="0"/>
        <w:keepLines w:val="0"/>
        <w:pageBreakBefore w:val="0"/>
        <w:widowControl w:val="0"/>
        <w:shd w:val="clear"/>
        <w:kinsoku/>
        <w:wordWrap/>
        <w:overflowPunct/>
        <w:topLinePunct w:val="0"/>
        <w:autoSpaceDE/>
        <w:autoSpaceDN/>
        <w:bidi w:val="0"/>
        <w:adjustRightInd/>
        <w:snapToGrid/>
        <w:spacing w:line="360" w:lineRule="auto"/>
        <w:ind w:left="210" w:leftChars="100"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2.2.9</w:t>
      </w:r>
      <w:r>
        <w:rPr>
          <w:rFonts w:hint="eastAsia" w:ascii="宋体" w:hAnsi="宋体" w:eastAsia="宋体" w:cs="宋体"/>
          <w:color w:val="auto"/>
          <w:sz w:val="21"/>
          <w:szCs w:val="21"/>
          <w:highlight w:val="none"/>
          <w:lang w:eastAsia="zh-CN"/>
        </w:rPr>
        <w:t>演示视频；</w:t>
      </w:r>
    </w:p>
    <w:p w14:paraId="15B70239">
      <w:pPr>
        <w:keepNext w:val="0"/>
        <w:keepLines w:val="0"/>
        <w:pageBreakBefore w:val="0"/>
        <w:widowControl w:val="0"/>
        <w:shd w:val="clear"/>
        <w:kinsoku/>
        <w:wordWrap/>
        <w:overflowPunct/>
        <w:topLinePunct w:val="0"/>
        <w:autoSpaceDE/>
        <w:autoSpaceDN/>
        <w:bidi w:val="0"/>
        <w:adjustRightInd/>
        <w:snapToGrid/>
        <w:spacing w:line="360" w:lineRule="auto"/>
        <w:ind w:left="420" w:leftChars="200"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2.2.10政府采购投标人廉洁自律承诺书</w:t>
      </w:r>
      <w:r>
        <w:rPr>
          <w:rFonts w:hint="eastAsia" w:ascii="宋体" w:hAnsi="宋体" w:eastAsia="宋体" w:cs="宋体"/>
          <w:color w:val="auto"/>
          <w:sz w:val="21"/>
          <w:szCs w:val="21"/>
          <w:highlight w:val="none"/>
          <w:lang w:eastAsia="zh-CN"/>
        </w:rPr>
        <w:t>；</w:t>
      </w:r>
    </w:p>
    <w:p w14:paraId="4F7C0788">
      <w:pPr>
        <w:keepNext w:val="0"/>
        <w:keepLines w:val="0"/>
        <w:pageBreakBefore w:val="0"/>
        <w:widowControl w:val="0"/>
        <w:shd w:val="clear"/>
        <w:kinsoku/>
        <w:wordWrap/>
        <w:overflowPunct/>
        <w:topLinePunct w:val="0"/>
        <w:autoSpaceDE/>
        <w:autoSpaceDN/>
        <w:bidi w:val="0"/>
        <w:adjustRightInd/>
        <w:snapToGrid/>
        <w:spacing w:line="360" w:lineRule="auto"/>
        <w:ind w:left="210" w:leftChars="10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3报价文件</w:t>
      </w:r>
    </w:p>
    <w:p w14:paraId="7E8C9864">
      <w:pPr>
        <w:keepNext w:val="0"/>
        <w:keepLines w:val="0"/>
        <w:pageBreakBefore w:val="0"/>
        <w:widowControl w:val="0"/>
        <w:shd w:val="clear"/>
        <w:kinsoku/>
        <w:wordWrap/>
        <w:overflowPunct/>
        <w:topLinePunct w:val="0"/>
        <w:autoSpaceDE/>
        <w:autoSpaceDN/>
        <w:bidi w:val="0"/>
        <w:adjustRightInd/>
        <w:snapToGrid/>
        <w:spacing w:line="360" w:lineRule="auto"/>
        <w:ind w:left="420" w:leftChars="20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2.3.1开标一览表（报价表）；</w:t>
      </w:r>
    </w:p>
    <w:p w14:paraId="3415D8D1">
      <w:pPr>
        <w:keepNext w:val="0"/>
        <w:keepLines w:val="0"/>
        <w:pageBreakBefore w:val="0"/>
        <w:widowControl w:val="0"/>
        <w:shd w:val="clear"/>
        <w:kinsoku/>
        <w:wordWrap/>
        <w:overflowPunct/>
        <w:topLinePunct w:val="0"/>
        <w:autoSpaceDE/>
        <w:autoSpaceDN/>
        <w:bidi w:val="0"/>
        <w:adjustRightInd/>
        <w:snapToGrid/>
        <w:spacing w:line="360" w:lineRule="auto"/>
        <w:ind w:left="420" w:leftChars="20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2.3.2报价情况说明</w:t>
      </w:r>
      <w:r>
        <w:rPr>
          <w:rFonts w:hint="eastAsia" w:ascii="宋体" w:hAnsi="宋体" w:eastAsia="宋体" w:cs="宋体"/>
          <w:color w:val="auto"/>
          <w:sz w:val="21"/>
          <w:szCs w:val="21"/>
          <w:highlight w:val="none"/>
          <w:lang w:eastAsia="zh-CN"/>
        </w:rPr>
        <w:t>（如有）</w:t>
      </w:r>
      <w:r>
        <w:rPr>
          <w:rFonts w:hint="eastAsia" w:ascii="宋体" w:hAnsi="宋体" w:eastAsia="宋体" w:cs="宋体"/>
          <w:color w:val="auto"/>
          <w:sz w:val="21"/>
          <w:szCs w:val="21"/>
          <w:highlight w:val="none"/>
        </w:rPr>
        <w:t>；</w:t>
      </w:r>
    </w:p>
    <w:p w14:paraId="5A584C4B">
      <w:pPr>
        <w:keepNext w:val="0"/>
        <w:keepLines w:val="0"/>
        <w:pageBreakBefore w:val="0"/>
        <w:widowControl w:val="0"/>
        <w:shd w:val="clear"/>
        <w:kinsoku/>
        <w:wordWrap/>
        <w:overflowPunct/>
        <w:topLinePunct w:val="0"/>
        <w:autoSpaceDE/>
        <w:autoSpaceDN/>
        <w:bidi w:val="0"/>
        <w:adjustRightInd/>
        <w:snapToGrid/>
        <w:spacing w:line="360" w:lineRule="auto"/>
        <w:ind w:left="420" w:leftChars="20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中标服务费支付承诺书。</w:t>
      </w:r>
    </w:p>
    <w:p w14:paraId="0371FB47">
      <w:pPr>
        <w:keepNext w:val="0"/>
        <w:keepLines w:val="0"/>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3、我方承诺除商务技术偏离表列出的偏离外，我方响应招标文件的全部要求。</w:t>
      </w:r>
    </w:p>
    <w:p w14:paraId="7CB9B02F">
      <w:pPr>
        <w:keepNext w:val="0"/>
        <w:keepLines w:val="0"/>
        <w:pageBreakBefore w:val="0"/>
        <w:widowControl w:val="0"/>
        <w:shd w:val="clear"/>
        <w:tabs>
          <w:tab w:val="left" w:pos="6621"/>
        </w:tabs>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4、如我方中标，我方承诺：</w:t>
      </w:r>
      <w:r>
        <w:rPr>
          <w:rFonts w:hint="eastAsia" w:ascii="宋体" w:hAnsi="宋体" w:eastAsia="宋体" w:cs="宋体"/>
          <w:color w:val="auto"/>
          <w:sz w:val="21"/>
          <w:szCs w:val="21"/>
          <w:highlight w:val="none"/>
          <w:lang w:eastAsia="zh-CN"/>
        </w:rPr>
        <w:tab/>
      </w:r>
    </w:p>
    <w:p w14:paraId="5F4E4A75">
      <w:pPr>
        <w:keepNext w:val="0"/>
        <w:keepLines w:val="0"/>
        <w:pageBreakBefore w:val="0"/>
        <w:widowControl w:val="0"/>
        <w:shd w:val="clear"/>
        <w:kinsoku/>
        <w:wordWrap/>
        <w:overflowPunct/>
        <w:topLinePunct w:val="0"/>
        <w:autoSpaceDE/>
        <w:autoSpaceDN/>
        <w:bidi w:val="0"/>
        <w:adjustRightInd/>
        <w:snapToGrid/>
        <w:spacing w:line="360" w:lineRule="auto"/>
        <w:ind w:left="210" w:leftChars="10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4.1在收到中标通知书后，在中标通知书规定的期限内与你方签订合同； </w:t>
      </w:r>
    </w:p>
    <w:p w14:paraId="2132B075">
      <w:pPr>
        <w:keepNext w:val="0"/>
        <w:keepLines w:val="0"/>
        <w:pageBreakBefore w:val="0"/>
        <w:widowControl w:val="0"/>
        <w:shd w:val="clear"/>
        <w:kinsoku/>
        <w:wordWrap/>
        <w:overflowPunct/>
        <w:topLinePunct w:val="0"/>
        <w:autoSpaceDE/>
        <w:autoSpaceDN/>
        <w:bidi w:val="0"/>
        <w:adjustRightInd/>
        <w:snapToGrid/>
        <w:spacing w:line="360" w:lineRule="auto"/>
        <w:ind w:left="210" w:leftChars="10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4.2在签订合同时不向你方提出附加条件； </w:t>
      </w:r>
    </w:p>
    <w:p w14:paraId="4F8ED804">
      <w:pPr>
        <w:keepNext w:val="0"/>
        <w:keepLines w:val="0"/>
        <w:pageBreakBefore w:val="0"/>
        <w:widowControl w:val="0"/>
        <w:shd w:val="clear"/>
        <w:kinsoku/>
        <w:wordWrap/>
        <w:overflowPunct/>
        <w:topLinePunct w:val="0"/>
        <w:autoSpaceDE/>
        <w:autoSpaceDN/>
        <w:bidi w:val="0"/>
        <w:adjustRightInd/>
        <w:snapToGrid/>
        <w:spacing w:line="360" w:lineRule="auto"/>
        <w:ind w:left="210" w:leftChars="10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4.3按照招标文件要求提交履约保证金； </w:t>
      </w:r>
    </w:p>
    <w:p w14:paraId="245EBB4D">
      <w:pPr>
        <w:keepNext w:val="0"/>
        <w:keepLines w:val="0"/>
        <w:pageBreakBefore w:val="0"/>
        <w:widowControl w:val="0"/>
        <w:shd w:val="clear"/>
        <w:kinsoku/>
        <w:wordWrap/>
        <w:overflowPunct/>
        <w:topLinePunct w:val="0"/>
        <w:autoSpaceDE/>
        <w:autoSpaceDN/>
        <w:bidi w:val="0"/>
        <w:adjustRightInd/>
        <w:snapToGrid/>
        <w:spacing w:line="360" w:lineRule="auto"/>
        <w:ind w:left="210" w:leftChars="10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4.4在合同约定的期限内完成合同规定的全部义务。 </w:t>
      </w:r>
    </w:p>
    <w:p w14:paraId="3D607328">
      <w:pPr>
        <w:keepNext w:val="0"/>
        <w:keepLines w:val="0"/>
        <w:pageBreakBefore w:val="0"/>
        <w:widowControl w:val="0"/>
        <w:numPr>
          <w:ilvl w:val="0"/>
          <w:numId w:val="6"/>
        </w:numPr>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0B1427A9">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p>
    <w:p w14:paraId="74D052BE">
      <w:pPr>
        <w:keepNext w:val="0"/>
        <w:keepLines w:val="0"/>
        <w:pageBreakBefore w:val="0"/>
        <w:widowControl w:val="0"/>
        <w:shd w:val="clear"/>
        <w:kinsoku/>
        <w:wordWrap/>
        <w:overflowPunct/>
        <w:topLinePunct w:val="0"/>
        <w:autoSpaceDE/>
        <w:autoSpaceDN/>
        <w:bidi w:val="0"/>
        <w:adjustRightInd/>
        <w:snapToGrid/>
        <w:spacing w:line="360" w:lineRule="auto"/>
        <w:ind w:firstLine="4830" w:firstLineChars="2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投标人名称（电子签名）：</w:t>
      </w:r>
    </w:p>
    <w:p w14:paraId="095B07CC">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u w:val="single"/>
        </w:rPr>
      </w:pPr>
      <w:r>
        <w:rPr>
          <w:rFonts w:hint="eastAsia" w:ascii="宋体" w:hAnsi="宋体" w:eastAsia="宋体" w:cs="宋体"/>
          <w:color w:val="auto"/>
          <w:sz w:val="21"/>
          <w:szCs w:val="21"/>
          <w:highlight w:val="none"/>
        </w:rPr>
        <w:t xml:space="preserve">                                         日期：  </w:t>
      </w:r>
      <w:r>
        <w:rPr>
          <w:rFonts w:hint="eastAsia" w:ascii="宋体" w:hAnsi="宋体" w:eastAsia="宋体" w:cs="宋体"/>
          <w:color w:val="auto"/>
          <w:kern w:val="0"/>
          <w:sz w:val="21"/>
          <w:szCs w:val="21"/>
          <w:highlight w:val="none"/>
          <w:lang w:val="zh-CN"/>
        </w:rPr>
        <w:t>年</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月</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日</w:t>
      </w:r>
    </w:p>
    <w:p w14:paraId="38C1CA45">
      <w:pPr>
        <w:keepNext w:val="0"/>
        <w:keepLines w:val="0"/>
        <w:pageBreakBefore w:val="0"/>
        <w:widowControl w:val="0"/>
        <w:shd w:val="clear"/>
        <w:kinsoku/>
        <w:wordWrap/>
        <w:overflowPunct/>
        <w:topLinePunct w:val="0"/>
        <w:autoSpaceDE/>
        <w:autoSpaceDN/>
        <w:bidi w:val="0"/>
        <w:adjustRightInd/>
        <w:snapToGrid/>
        <w:spacing w:line="360" w:lineRule="auto"/>
        <w:ind w:right="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注：按本格式和要求提供。</w:t>
      </w:r>
    </w:p>
    <w:p w14:paraId="73AD2CF7">
      <w:pPr>
        <w:pageBreakBefore w:val="0"/>
        <w:shd w:val="clear"/>
        <w:kinsoku/>
        <w:overflowPunct/>
        <w:topLinePunct w:val="0"/>
        <w:bidi w:val="0"/>
        <w:spacing w:line="360" w:lineRule="auto"/>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45A8E51E">
      <w:pPr>
        <w:pageBreakBefore w:val="0"/>
        <w:shd w:val="clear"/>
        <w:kinsoku/>
        <w:overflowPunct/>
        <w:topLinePunct w:val="0"/>
        <w:bidi w:val="0"/>
        <w:spacing w:line="360" w:lineRule="auto"/>
        <w:jc w:val="center"/>
        <w:outlineLvl w:val="1"/>
        <w:rPr>
          <w:rFonts w:hint="eastAsia" w:ascii="宋体" w:hAnsi="宋体" w:eastAsia="宋体" w:cs="宋体"/>
          <w:b/>
          <w:color w:val="auto"/>
          <w:kern w:val="0"/>
          <w:sz w:val="32"/>
          <w:szCs w:val="32"/>
          <w:highlight w:val="none"/>
          <w:lang w:val="zh-CN"/>
        </w:rPr>
      </w:pPr>
      <w:bookmarkStart w:id="95" w:name="_Toc5925"/>
      <w:bookmarkStart w:id="96" w:name="_Toc28825"/>
      <w:bookmarkStart w:id="97" w:name="_Toc24715"/>
      <w:bookmarkStart w:id="98" w:name="_Toc14639"/>
      <w:bookmarkStart w:id="99" w:name="_Toc19895"/>
      <w:bookmarkStart w:id="100" w:name="_Toc654"/>
      <w:r>
        <w:rPr>
          <w:rFonts w:hint="eastAsia" w:ascii="宋体" w:hAnsi="宋体" w:eastAsia="宋体" w:cs="宋体"/>
          <w:b/>
          <w:color w:val="auto"/>
          <w:kern w:val="0"/>
          <w:sz w:val="32"/>
          <w:szCs w:val="32"/>
          <w:highlight w:val="none"/>
          <w:lang w:val="zh-CN"/>
        </w:rPr>
        <w:t>二、授权委托书或法定代表人（单位负责人、自然人本人）身份证明</w:t>
      </w:r>
      <w:bookmarkEnd w:id="95"/>
      <w:bookmarkEnd w:id="96"/>
      <w:bookmarkEnd w:id="97"/>
      <w:bookmarkEnd w:id="98"/>
      <w:bookmarkEnd w:id="99"/>
      <w:bookmarkEnd w:id="100"/>
    </w:p>
    <w:p w14:paraId="78C23789">
      <w:pPr>
        <w:pageBreakBefore w:val="0"/>
        <w:shd w:val="clear"/>
        <w:kinsoku/>
        <w:overflowPunct/>
        <w:topLinePunct w:val="0"/>
        <w:bidi w:val="0"/>
        <w:spacing w:line="360" w:lineRule="auto"/>
        <w:rPr>
          <w:rFonts w:hint="eastAsia" w:ascii="宋体" w:hAnsi="宋体" w:eastAsia="宋体" w:cs="宋体"/>
          <w:color w:val="auto"/>
          <w:highlight w:val="none"/>
        </w:rPr>
      </w:pPr>
    </w:p>
    <w:p w14:paraId="3D33F43A">
      <w:pPr>
        <w:pageBreakBefore w:val="0"/>
        <w:shd w:val="clear"/>
        <w:kinsoku/>
        <w:overflowPunct/>
        <w:topLinePunct w:val="0"/>
        <w:bidi w:val="0"/>
        <w:spacing w:line="360" w:lineRule="auto"/>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p>
    <w:p w14:paraId="2306A59E">
      <w:pPr>
        <w:pageBreakBefore w:val="0"/>
        <w:shd w:val="clear"/>
        <w:kinsoku/>
        <w:overflowPunct/>
        <w:topLinePunct w:val="0"/>
        <w:bidi w:val="0"/>
        <w:spacing w:line="360" w:lineRule="auto"/>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u w:val="single"/>
          <w:lang w:eastAsia="zh-CN"/>
        </w:rPr>
        <w:t>浙江理工大学</w:t>
      </w:r>
      <w:r>
        <w:rPr>
          <w:rFonts w:hint="eastAsia" w:ascii="宋体" w:hAnsi="宋体" w:eastAsia="宋体" w:cs="宋体"/>
          <w:color w:val="auto"/>
          <w:kern w:val="0"/>
          <w:sz w:val="21"/>
          <w:szCs w:val="21"/>
          <w:highlight w:val="none"/>
          <w:u w:val="single"/>
        </w:rPr>
        <w:t>、浙江国际招投标有限公司：</w:t>
      </w:r>
    </w:p>
    <w:p w14:paraId="28A469C1">
      <w:pPr>
        <w:pageBreakBefore w:val="0"/>
        <w:shd w:val="clear"/>
        <w:kinsoku/>
        <w:overflowPunct/>
        <w:topLinePunct w:val="0"/>
        <w:bidi w:val="0"/>
        <w:spacing w:line="360" w:lineRule="auto"/>
        <w:ind w:firstLine="576"/>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现</w:t>
      </w:r>
      <w:r>
        <w:rPr>
          <w:rFonts w:hint="eastAsia" w:ascii="宋体" w:hAnsi="宋体" w:eastAsia="宋体" w:cs="宋体"/>
          <w:color w:val="auto"/>
          <w:kern w:val="0"/>
          <w:sz w:val="21"/>
          <w:szCs w:val="21"/>
          <w:highlight w:val="none"/>
          <w:lang w:val="zh-CN"/>
        </w:rPr>
        <w:t>委托（姓名）为我方代理人（身份证号码：，手机：），以我方名义处理</w:t>
      </w: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sz w:val="21"/>
          <w:szCs w:val="21"/>
          <w:highlight w:val="none"/>
        </w:rPr>
        <w:t>编号：</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val="zh-CN"/>
        </w:rPr>
        <w:t>【标项号：</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val="zh-CN"/>
        </w:rPr>
        <w:t>政府采购投标的一切事项，其法律后果由我方承担。</w:t>
      </w:r>
    </w:p>
    <w:p w14:paraId="39FA13E9">
      <w:pPr>
        <w:pageBreakBefore w:val="0"/>
        <w:shd w:val="clear"/>
        <w:kinsoku/>
        <w:overflowPunct/>
        <w:topLinePunct w:val="0"/>
        <w:bidi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委托期限</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zh-CN"/>
        </w:rPr>
        <w:t>自</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年</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月</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日起至</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年</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月</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日止。</w:t>
      </w:r>
    </w:p>
    <w:p w14:paraId="046CE667">
      <w:pPr>
        <w:pageBreakBefore w:val="0"/>
        <w:shd w:val="clear"/>
        <w:kinsoku/>
        <w:overflowPunct/>
        <w:topLinePunct w:val="0"/>
        <w:bidi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特此告知。</w:t>
      </w:r>
    </w:p>
    <w:p w14:paraId="475E6CCC">
      <w:pPr>
        <w:pageBreakBefore w:val="0"/>
        <w:shd w:val="clear"/>
        <w:kinsoku/>
        <w:overflowPunct/>
        <w:topLinePunct w:val="0"/>
        <w:bidi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 xml:space="preserve">                                                 投标人名称(电子签名)：</w:t>
      </w:r>
    </w:p>
    <w:p w14:paraId="32301B25">
      <w:pPr>
        <w:pageBreakBefore w:val="0"/>
        <w:shd w:val="clear"/>
        <w:kinsoku/>
        <w:overflowPunct/>
        <w:topLinePunct w:val="0"/>
        <w:bidi w:val="0"/>
        <w:spacing w:line="360" w:lineRule="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签发日期：年月日</w:t>
      </w:r>
    </w:p>
    <w:p w14:paraId="5D5CD2A6">
      <w:pPr>
        <w:pageBreakBefore w:val="0"/>
        <w:shd w:val="clear"/>
        <w:kinsoku/>
        <w:overflowPunct/>
        <w:topLinePunct w:val="0"/>
        <w:bidi w:val="0"/>
        <w:spacing w:line="360" w:lineRule="auto"/>
        <w:rPr>
          <w:rFonts w:hint="eastAsia" w:ascii="宋体" w:hAnsi="宋体" w:eastAsia="宋体" w:cs="宋体"/>
          <w:color w:val="auto"/>
          <w:highlight w:val="none"/>
        </w:rPr>
      </w:pPr>
    </w:p>
    <w:p w14:paraId="7508D6EF">
      <w:pPr>
        <w:pageBreakBefore w:val="0"/>
        <w:shd w:val="clear"/>
        <w:kinsoku/>
        <w:overflowPunct/>
        <w:topLinePunct w:val="0"/>
        <w:bidi w:val="0"/>
        <w:spacing w:line="360" w:lineRule="auto"/>
        <w:rPr>
          <w:rFonts w:hint="eastAsia" w:ascii="宋体" w:hAnsi="宋体" w:eastAsia="宋体" w:cs="宋体"/>
          <w:color w:val="auto"/>
          <w:highlight w:val="none"/>
        </w:rPr>
      </w:pPr>
    </w:p>
    <w:p w14:paraId="7A5B839B">
      <w:pPr>
        <w:pageBreakBefore w:val="0"/>
        <w:shd w:val="clear"/>
        <w:kinsoku/>
        <w:overflowPunct/>
        <w:topLinePunct w:val="0"/>
        <w:bidi w:val="0"/>
        <w:spacing w:line="360" w:lineRule="auto"/>
        <w:rPr>
          <w:rFonts w:hint="eastAsia" w:ascii="宋体" w:hAnsi="宋体" w:eastAsia="宋体" w:cs="宋体"/>
          <w:color w:val="auto"/>
          <w:highlight w:val="none"/>
        </w:rPr>
      </w:pPr>
    </w:p>
    <w:p w14:paraId="60BB8AED">
      <w:pPr>
        <w:pageBreakBefore w:val="0"/>
        <w:shd w:val="clear"/>
        <w:kinsoku/>
        <w:overflowPunct/>
        <w:topLinePunct w:val="0"/>
        <w:bidi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授权委托书（适用于联合体投标）</w:t>
      </w:r>
    </w:p>
    <w:p w14:paraId="0BC9B8B0">
      <w:pPr>
        <w:pageBreakBefore w:val="0"/>
        <w:shd w:val="clear"/>
        <w:kinsoku/>
        <w:overflowPunct/>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lang w:eastAsia="zh-CN"/>
        </w:rPr>
        <w:t>浙江理工大学</w:t>
      </w:r>
      <w:r>
        <w:rPr>
          <w:rFonts w:hint="eastAsia" w:ascii="宋体" w:hAnsi="宋体" w:eastAsia="宋体" w:cs="宋体"/>
          <w:color w:val="auto"/>
          <w:sz w:val="21"/>
          <w:szCs w:val="21"/>
          <w:highlight w:val="none"/>
          <w:u w:val="single"/>
        </w:rPr>
        <w:t>、浙江国际招投标有限公司</w:t>
      </w:r>
      <w:r>
        <w:rPr>
          <w:rFonts w:hint="eastAsia" w:ascii="宋体" w:hAnsi="宋体" w:eastAsia="宋体" w:cs="宋体"/>
          <w:color w:val="auto"/>
          <w:sz w:val="21"/>
          <w:szCs w:val="21"/>
          <w:highlight w:val="none"/>
        </w:rPr>
        <w:t>：</w:t>
      </w:r>
    </w:p>
    <w:p w14:paraId="63512EDE">
      <w:pPr>
        <w:pageBreakBefore w:val="0"/>
        <w:shd w:val="clear"/>
        <w:kinsoku/>
        <w:overflowPunct/>
        <w:topLinePunct w:val="0"/>
        <w:bidi w:val="0"/>
        <w:spacing w:line="360" w:lineRule="auto"/>
        <w:ind w:firstLine="576"/>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现</w:t>
      </w:r>
      <w:r>
        <w:rPr>
          <w:rFonts w:hint="eastAsia" w:ascii="宋体" w:hAnsi="宋体" w:eastAsia="宋体" w:cs="宋体"/>
          <w:color w:val="auto"/>
          <w:kern w:val="0"/>
          <w:sz w:val="21"/>
          <w:szCs w:val="21"/>
          <w:highlight w:val="none"/>
          <w:lang w:val="zh-CN"/>
        </w:rPr>
        <w:t>委托（姓名）为我方代理人（身份证号码：，手机：），以我方名义处理</w:t>
      </w: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sz w:val="21"/>
          <w:szCs w:val="21"/>
          <w:highlight w:val="none"/>
        </w:rPr>
        <w:t>编号：</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val="zh-CN"/>
        </w:rPr>
        <w:t>【标项号：</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val="zh-CN"/>
        </w:rPr>
        <w:t>政府采购投标的一切事项，其法律后果由我方承担。</w:t>
      </w:r>
    </w:p>
    <w:p w14:paraId="5D99A5F5">
      <w:pPr>
        <w:pageBreakBefore w:val="0"/>
        <w:shd w:val="clear"/>
        <w:kinsoku/>
        <w:overflowPunct/>
        <w:topLinePunct w:val="0"/>
        <w:bidi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委托期限：</w:t>
      </w:r>
      <w:r>
        <w:rPr>
          <w:rFonts w:hint="eastAsia" w:ascii="宋体" w:hAnsi="宋体" w:eastAsia="宋体" w:cs="宋体"/>
          <w:color w:val="auto"/>
          <w:kern w:val="0"/>
          <w:sz w:val="21"/>
          <w:szCs w:val="21"/>
          <w:highlight w:val="none"/>
          <w:lang w:val="zh-CN"/>
        </w:rPr>
        <w:t>自</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年</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月</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日起至</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年</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月</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日止。</w:t>
      </w:r>
    </w:p>
    <w:p w14:paraId="0415A77F">
      <w:pPr>
        <w:pageBreakBefore w:val="0"/>
        <w:shd w:val="clear"/>
        <w:kinsoku/>
        <w:overflowPunct/>
        <w:topLinePunct w:val="0"/>
        <w:bidi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特此告知。</w:t>
      </w:r>
    </w:p>
    <w:p w14:paraId="3034DC32">
      <w:pPr>
        <w:pageBreakBefore w:val="0"/>
        <w:shd w:val="clear"/>
        <w:kinsoku/>
        <w:overflowPunct/>
        <w:topLinePunct w:val="0"/>
        <w:bidi w:val="0"/>
        <w:spacing w:line="360" w:lineRule="auto"/>
        <w:rPr>
          <w:rFonts w:hint="eastAsia" w:ascii="宋体" w:hAnsi="宋体" w:eastAsia="宋体" w:cs="宋体"/>
          <w:color w:val="auto"/>
          <w:sz w:val="21"/>
          <w:szCs w:val="21"/>
          <w:highlight w:val="none"/>
        </w:rPr>
      </w:pPr>
    </w:p>
    <w:p w14:paraId="36BD7905">
      <w:pPr>
        <w:pageBreakBefore w:val="0"/>
        <w:shd w:val="clear"/>
        <w:kinsoku/>
        <w:overflowPunct/>
        <w:topLinePunct w:val="0"/>
        <w:bidi w:val="0"/>
        <w:spacing w:line="360" w:lineRule="auto"/>
        <w:ind w:firstLine="4410" w:firstLineChars="210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联合体成员名称(电子签名/公章)：</w:t>
      </w:r>
    </w:p>
    <w:p w14:paraId="7C3EBC2E">
      <w:pPr>
        <w:pageBreakBefore w:val="0"/>
        <w:shd w:val="clear"/>
        <w:kinsoku/>
        <w:overflowPunct/>
        <w:topLinePunct w:val="0"/>
        <w:bidi w:val="0"/>
        <w:spacing w:line="360" w:lineRule="auto"/>
        <w:ind w:firstLine="4410" w:firstLineChars="210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联合体成员名称(电子签名/公章)：</w:t>
      </w:r>
    </w:p>
    <w:p w14:paraId="26D23D8A">
      <w:pPr>
        <w:pageBreakBefore w:val="0"/>
        <w:shd w:val="clear"/>
        <w:kinsoku/>
        <w:overflowPunct/>
        <w:topLinePunct w:val="0"/>
        <w:bidi w:val="0"/>
        <w:spacing w:line="360" w:lineRule="auto"/>
        <w:ind w:firstLine="5040" w:firstLineChars="24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w:t>
      </w:r>
    </w:p>
    <w:p w14:paraId="778F65AF">
      <w:pPr>
        <w:pageBreakBefore w:val="0"/>
        <w:shd w:val="clear"/>
        <w:kinsoku/>
        <w:overflowPunct/>
        <w:topLinePunct w:val="0"/>
        <w:bidi w:val="0"/>
        <w:spacing w:line="360" w:lineRule="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日期：年月日</w:t>
      </w:r>
    </w:p>
    <w:p w14:paraId="3E0A71E0">
      <w:pPr>
        <w:pageBreakBefore w:val="0"/>
        <w:shd w:val="clear"/>
        <w:kinsoku/>
        <w:overflowPunct/>
        <w:topLinePunct w:val="0"/>
        <w:bidi w:val="0"/>
        <w:spacing w:line="360" w:lineRule="auto"/>
        <w:rPr>
          <w:rFonts w:hint="eastAsia" w:ascii="宋体" w:hAnsi="宋体" w:eastAsia="宋体" w:cs="宋体"/>
          <w:b/>
          <w:color w:val="auto"/>
          <w:kern w:val="0"/>
          <w:sz w:val="28"/>
          <w:szCs w:val="28"/>
          <w:highlight w:val="none"/>
        </w:rPr>
      </w:pPr>
    </w:p>
    <w:p w14:paraId="22D43658">
      <w:pPr>
        <w:pageBreakBefore w:val="0"/>
        <w:shd w:val="clear"/>
        <w:kinsoku/>
        <w:overflowPunct/>
        <w:topLinePunct w:val="0"/>
        <w:bidi w:val="0"/>
        <w:spacing w:line="360" w:lineRule="auto"/>
        <w:rPr>
          <w:rFonts w:hint="eastAsia" w:ascii="宋体" w:hAnsi="宋体" w:eastAsia="宋体" w:cs="宋体"/>
          <w:b/>
          <w:color w:val="auto"/>
          <w:kern w:val="0"/>
          <w:sz w:val="28"/>
          <w:szCs w:val="28"/>
          <w:highlight w:val="none"/>
        </w:rPr>
      </w:pPr>
    </w:p>
    <w:p w14:paraId="40B75559">
      <w:pPr>
        <w:pageBreakBefore w:val="0"/>
        <w:shd w:val="clear"/>
        <w:kinsoku/>
        <w:overflowPunct/>
        <w:topLinePunct w:val="0"/>
        <w:bidi w:val="0"/>
        <w:spacing w:line="360" w:lineRule="auto"/>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28"/>
          <w:szCs w:val="28"/>
          <w:highlight w:val="none"/>
        </w:rPr>
        <w:br w:type="page"/>
      </w:r>
    </w:p>
    <w:p w14:paraId="1C27C191">
      <w:pPr>
        <w:pageBreakBefore w:val="0"/>
        <w:shd w:val="clear"/>
        <w:kinsoku/>
        <w:overflowPunct/>
        <w:topLinePunct w:val="0"/>
        <w:autoSpaceDE w:val="0"/>
        <w:autoSpaceDN w:val="0"/>
        <w:bidi w:val="0"/>
        <w:spacing w:line="360" w:lineRule="auto"/>
        <w:rPr>
          <w:rFonts w:hint="eastAsia" w:ascii="宋体" w:hAnsi="宋体" w:eastAsia="宋体" w:cs="宋体"/>
          <w:b/>
          <w:color w:val="auto"/>
          <w:kern w:val="0"/>
          <w:sz w:val="32"/>
          <w:szCs w:val="32"/>
          <w:highlight w:val="none"/>
          <w:lang w:val="zh-CN"/>
        </w:rPr>
        <w:sectPr>
          <w:footerReference r:id="rId11" w:type="first"/>
          <w:footerReference r:id="rId10" w:type="default"/>
          <w:pgSz w:w="11906" w:h="16838"/>
          <w:pgMar w:top="1417" w:right="1418" w:bottom="1417" w:left="1587" w:header="851" w:footer="567" w:gutter="0"/>
          <w:pgNumType w:fmt="decimal" w:start="1"/>
          <w:cols w:space="0" w:num="1"/>
          <w:titlePg/>
          <w:docGrid w:linePitch="312" w:charSpace="0"/>
        </w:sectPr>
      </w:pPr>
    </w:p>
    <w:p w14:paraId="6D3E3E4D">
      <w:pPr>
        <w:pageBreakBefore w:val="0"/>
        <w:shd w:val="clear"/>
        <w:kinsoku/>
        <w:overflowPunct/>
        <w:topLinePunct w:val="0"/>
        <w:bidi w:val="0"/>
        <w:spacing w:line="360" w:lineRule="auto"/>
        <w:jc w:val="center"/>
        <w:outlineLvl w:val="1"/>
        <w:rPr>
          <w:rFonts w:hint="eastAsia" w:ascii="宋体" w:hAnsi="宋体" w:eastAsia="宋体" w:cs="宋体"/>
          <w:b/>
          <w:color w:val="auto"/>
          <w:kern w:val="0"/>
          <w:sz w:val="32"/>
          <w:szCs w:val="32"/>
          <w:highlight w:val="none"/>
          <w:lang w:val="zh-CN"/>
        </w:rPr>
      </w:pPr>
      <w:bookmarkStart w:id="101" w:name="_Toc32232"/>
      <w:bookmarkStart w:id="102" w:name="_Toc10537"/>
      <w:bookmarkStart w:id="103" w:name="_Toc5690"/>
      <w:bookmarkStart w:id="104" w:name="_Toc19563"/>
      <w:bookmarkStart w:id="105" w:name="_Toc31061"/>
      <w:bookmarkStart w:id="106" w:name="_Toc17593"/>
      <w:r>
        <w:rPr>
          <w:rFonts w:hint="eastAsia" w:ascii="宋体" w:hAnsi="宋体" w:eastAsia="宋体" w:cs="宋体"/>
          <w:b/>
          <w:color w:val="auto"/>
          <w:kern w:val="0"/>
          <w:sz w:val="32"/>
          <w:szCs w:val="32"/>
          <w:highlight w:val="none"/>
          <w:lang w:val="zh-CN"/>
        </w:rPr>
        <w:t>三、需提供授权代表近一个月内在投标单位缴纳社保的参保证明（适用于法定代表人授权代表参加投标活动）</w:t>
      </w:r>
      <w:bookmarkEnd w:id="101"/>
      <w:bookmarkEnd w:id="102"/>
      <w:bookmarkEnd w:id="103"/>
      <w:bookmarkEnd w:id="104"/>
      <w:bookmarkEnd w:id="105"/>
      <w:bookmarkEnd w:id="106"/>
    </w:p>
    <w:p w14:paraId="711ADD04">
      <w:pPr>
        <w:pageBreakBefore w:val="0"/>
        <w:shd w:val="clear"/>
        <w:kinsoku/>
        <w:overflowPunct/>
        <w:topLinePunct w:val="0"/>
        <w:autoSpaceDE w:val="0"/>
        <w:autoSpaceDN w:val="0"/>
        <w:bidi w:val="0"/>
        <w:spacing w:line="360" w:lineRule="auto"/>
        <w:rPr>
          <w:rFonts w:hint="eastAsia" w:ascii="宋体" w:hAnsi="宋体" w:eastAsia="宋体" w:cs="宋体"/>
          <w:b/>
          <w:color w:val="auto"/>
          <w:kern w:val="0"/>
          <w:sz w:val="32"/>
          <w:szCs w:val="32"/>
          <w:highlight w:val="none"/>
          <w:lang w:val="zh-CN"/>
        </w:rPr>
        <w:sectPr>
          <w:pgSz w:w="11906" w:h="16838"/>
          <w:pgMar w:top="1276" w:right="1418" w:bottom="1134" w:left="1587" w:header="851" w:footer="850" w:gutter="0"/>
          <w:pgNumType w:fmt="decimal"/>
          <w:cols w:space="0" w:num="1"/>
          <w:titlePg/>
          <w:docGrid w:linePitch="312" w:charSpace="0"/>
        </w:sectPr>
      </w:pPr>
    </w:p>
    <w:p w14:paraId="60A43BA6">
      <w:pPr>
        <w:pageBreakBefore w:val="0"/>
        <w:shd w:val="clear"/>
        <w:kinsoku/>
        <w:overflowPunct/>
        <w:topLinePunct w:val="0"/>
        <w:autoSpaceDE w:val="0"/>
        <w:autoSpaceDN w:val="0"/>
        <w:bidi w:val="0"/>
        <w:spacing w:line="360" w:lineRule="auto"/>
        <w:rPr>
          <w:rFonts w:hint="eastAsia" w:ascii="宋体" w:hAnsi="宋体" w:eastAsia="宋体" w:cs="宋体"/>
          <w:b/>
          <w:color w:val="auto"/>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14:paraId="159574F4">
      <w:pPr>
        <w:pStyle w:val="137"/>
        <w:pageBreakBefore w:val="0"/>
        <w:shd w:val="clear"/>
        <w:kinsoku/>
        <w:overflowPunct/>
        <w:topLinePunct w:val="0"/>
        <w:bidi w:val="0"/>
        <w:adjustRightInd w:val="0"/>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7FAD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E56462D">
            <w:pPr>
              <w:pStyle w:val="137"/>
              <w:pageBreakBefore w:val="0"/>
              <w:shd w:val="clear"/>
              <w:kinsoku/>
              <w:overflowPunct/>
              <w:topLinePunct w:val="0"/>
              <w:bidi w:val="0"/>
              <w:adjustRightInd w:val="0"/>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w:t>
            </w:r>
          </w:p>
          <w:p w14:paraId="4A27DF75">
            <w:pPr>
              <w:pStyle w:val="137"/>
              <w:pageBreakBefore w:val="0"/>
              <w:shd w:val="clear"/>
              <w:kinsoku/>
              <w:overflowPunct/>
              <w:topLinePunct w:val="0"/>
              <w:bidi w:val="0"/>
              <w:adjustRightInd w:val="0"/>
              <w:snapToGrid w:val="0"/>
              <w:spacing w:line="360" w:lineRule="auto"/>
              <w:rPr>
                <w:rFonts w:hint="eastAsia" w:ascii="宋体" w:hAnsi="宋体" w:eastAsia="宋体" w:cs="宋体"/>
                <w:bCs/>
                <w:color w:val="auto"/>
                <w:sz w:val="24"/>
                <w:highlight w:val="none"/>
              </w:rPr>
            </w:pPr>
          </w:p>
          <w:p w14:paraId="7AC3DB25">
            <w:pPr>
              <w:pStyle w:val="137"/>
              <w:pageBreakBefore w:val="0"/>
              <w:shd w:val="clear"/>
              <w:kinsoku/>
              <w:overflowPunct/>
              <w:topLinePunct w:val="0"/>
              <w:bidi w:val="0"/>
              <w:adjustRightInd w:val="0"/>
              <w:snapToGrid w:val="0"/>
              <w:spacing w:line="360" w:lineRule="auto"/>
              <w:rPr>
                <w:rFonts w:hint="eastAsia" w:ascii="宋体" w:hAnsi="宋体" w:eastAsia="宋体" w:cs="宋体"/>
                <w:bCs/>
                <w:color w:val="auto"/>
                <w:sz w:val="24"/>
                <w:highlight w:val="none"/>
              </w:rPr>
            </w:pPr>
          </w:p>
          <w:p w14:paraId="4F6B1099">
            <w:pPr>
              <w:pStyle w:val="137"/>
              <w:pageBreakBefore w:val="0"/>
              <w:shd w:val="clear"/>
              <w:kinsoku/>
              <w:overflowPunct/>
              <w:topLinePunct w:val="0"/>
              <w:bidi w:val="0"/>
              <w:adjustRightInd w:val="0"/>
              <w:snapToGrid w:val="0"/>
              <w:spacing w:line="360" w:lineRule="auto"/>
              <w:rPr>
                <w:rFonts w:hint="eastAsia" w:ascii="宋体" w:hAnsi="宋体" w:eastAsia="宋体" w:cs="宋体"/>
                <w:bCs/>
                <w:color w:val="auto"/>
                <w:sz w:val="24"/>
                <w:highlight w:val="none"/>
              </w:rPr>
            </w:pPr>
          </w:p>
          <w:p w14:paraId="56A7EF1B">
            <w:pPr>
              <w:pStyle w:val="137"/>
              <w:pageBreakBefore w:val="0"/>
              <w:shd w:val="clear"/>
              <w:kinsoku/>
              <w:overflowPunct/>
              <w:topLinePunct w:val="0"/>
              <w:bidi w:val="0"/>
              <w:adjustRightInd w:val="0"/>
              <w:snapToGrid w:val="0"/>
              <w:spacing w:line="360" w:lineRule="auto"/>
              <w:rPr>
                <w:rFonts w:hint="eastAsia" w:ascii="宋体" w:hAnsi="宋体" w:eastAsia="宋体" w:cs="宋体"/>
                <w:bCs/>
                <w:color w:val="auto"/>
                <w:sz w:val="24"/>
                <w:highlight w:val="none"/>
              </w:rPr>
            </w:pPr>
          </w:p>
          <w:p w14:paraId="6AC27493">
            <w:pPr>
              <w:pStyle w:val="137"/>
              <w:pageBreakBefore w:val="0"/>
              <w:shd w:val="clear"/>
              <w:kinsoku/>
              <w:overflowPunct/>
              <w:topLinePunct w:val="0"/>
              <w:bidi w:val="0"/>
              <w:adjustRightInd w:val="0"/>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反面：</w:t>
            </w:r>
          </w:p>
          <w:p w14:paraId="11023BDD">
            <w:pPr>
              <w:pStyle w:val="137"/>
              <w:pageBreakBefore w:val="0"/>
              <w:shd w:val="clear"/>
              <w:kinsoku/>
              <w:overflowPunct/>
              <w:topLinePunct w:val="0"/>
              <w:bidi w:val="0"/>
              <w:adjustRightInd w:val="0"/>
              <w:snapToGrid w:val="0"/>
              <w:spacing w:line="360" w:lineRule="auto"/>
              <w:rPr>
                <w:rFonts w:hint="eastAsia" w:ascii="宋体" w:hAnsi="宋体" w:eastAsia="宋体" w:cs="宋体"/>
                <w:bCs/>
                <w:color w:val="auto"/>
                <w:sz w:val="24"/>
                <w:highlight w:val="none"/>
              </w:rPr>
            </w:pPr>
          </w:p>
        </w:tc>
      </w:tr>
    </w:tbl>
    <w:p w14:paraId="3FACFF35">
      <w:pPr>
        <w:pageBreakBefore w:val="0"/>
        <w:shd w:val="clear"/>
        <w:kinsoku/>
        <w:overflowPunct/>
        <w:topLinePunct w:val="0"/>
        <w:bidi w:val="0"/>
        <w:spacing w:line="360" w:lineRule="auto"/>
        <w:ind w:firstLine="576"/>
        <w:jc w:val="center"/>
        <w:rPr>
          <w:rFonts w:hint="eastAsia" w:ascii="宋体" w:hAnsi="宋体" w:eastAsia="宋体" w:cs="宋体"/>
          <w:color w:val="auto"/>
          <w:kern w:val="0"/>
          <w:highlight w:val="none"/>
          <w:lang w:val="zh-CN"/>
        </w:rPr>
      </w:pPr>
    </w:p>
    <w:p w14:paraId="2C13B9D6">
      <w:pPr>
        <w:pageBreakBefore w:val="0"/>
        <w:shd w:val="clear"/>
        <w:kinsoku/>
        <w:overflowPunct/>
        <w:topLinePunct w:val="0"/>
        <w:bidi w:val="0"/>
        <w:spacing w:line="360" w:lineRule="auto"/>
        <w:ind w:firstLine="576"/>
        <w:jc w:val="center"/>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 xml:space="preserve">                  投标人名称(电子签名)：                              </w:t>
      </w:r>
    </w:p>
    <w:p w14:paraId="4C3D4489">
      <w:pPr>
        <w:pageBreakBefore w:val="0"/>
        <w:shd w:val="clear"/>
        <w:kinsoku/>
        <w:overflowPunct/>
        <w:topLinePunct w:val="0"/>
        <w:bidi w:val="0"/>
        <w:spacing w:line="360" w:lineRule="auto"/>
        <w:jc w:val="center"/>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 xml:space="preserve">                   日期：年月日</w:t>
      </w:r>
    </w:p>
    <w:p w14:paraId="1192214D">
      <w:pPr>
        <w:pageBreakBefore w:val="0"/>
        <w:shd w:val="clear"/>
        <w:kinsoku/>
        <w:overflowPunct/>
        <w:topLinePunct w:val="0"/>
        <w:bidi w:val="0"/>
        <w:spacing w:line="360" w:lineRule="auto"/>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br w:type="page"/>
      </w:r>
    </w:p>
    <w:p w14:paraId="15CB0DA7">
      <w:pPr>
        <w:pageBreakBefore w:val="0"/>
        <w:shd w:val="clear"/>
        <w:kinsoku/>
        <w:overflowPunct/>
        <w:topLinePunct w:val="0"/>
        <w:bidi w:val="0"/>
        <w:spacing w:line="360" w:lineRule="auto"/>
        <w:jc w:val="center"/>
        <w:outlineLvl w:val="1"/>
        <w:rPr>
          <w:rFonts w:hint="eastAsia" w:ascii="宋体" w:hAnsi="宋体" w:eastAsia="宋体" w:cs="宋体"/>
          <w:b/>
          <w:color w:val="auto"/>
          <w:kern w:val="0"/>
          <w:sz w:val="32"/>
          <w:szCs w:val="32"/>
          <w:highlight w:val="none"/>
          <w:lang w:val="zh-CN"/>
        </w:rPr>
      </w:pPr>
      <w:bookmarkStart w:id="107" w:name="_Toc8068"/>
      <w:bookmarkStart w:id="108" w:name="_Toc12832"/>
      <w:bookmarkStart w:id="109" w:name="_Toc1310"/>
      <w:bookmarkStart w:id="110" w:name="_Toc14637"/>
      <w:bookmarkStart w:id="111" w:name="_Toc17724"/>
      <w:bookmarkStart w:id="112" w:name="_Toc12650"/>
      <w:r>
        <w:rPr>
          <w:rFonts w:hint="eastAsia" w:ascii="宋体" w:hAnsi="宋体" w:eastAsia="宋体" w:cs="宋体"/>
          <w:b/>
          <w:color w:val="auto"/>
          <w:kern w:val="0"/>
          <w:sz w:val="32"/>
          <w:szCs w:val="32"/>
          <w:highlight w:val="none"/>
          <w:lang w:val="zh-CN"/>
        </w:rPr>
        <w:t>三、投标人基本情况表</w:t>
      </w:r>
      <w:bookmarkEnd w:id="107"/>
      <w:bookmarkEnd w:id="108"/>
      <w:bookmarkEnd w:id="109"/>
      <w:bookmarkEnd w:id="110"/>
      <w:bookmarkEnd w:id="111"/>
      <w:bookmarkEnd w:id="112"/>
    </w:p>
    <w:tbl>
      <w:tblPr>
        <w:tblStyle w:val="46"/>
        <w:tblW w:w="0" w:type="auto"/>
        <w:tblInd w:w="2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344"/>
        <w:gridCol w:w="2465"/>
        <w:gridCol w:w="1559"/>
        <w:gridCol w:w="2391"/>
      </w:tblGrid>
      <w:tr w14:paraId="154D5A3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cantSplit/>
          <w:trHeight w:val="1140" w:hRule="atLeast"/>
        </w:trPr>
        <w:tc>
          <w:tcPr>
            <w:tcW w:w="2344" w:type="dxa"/>
            <w:tcBorders>
              <w:tl2br w:val="nil"/>
              <w:tr2bl w:val="nil"/>
            </w:tcBorders>
            <w:vAlign w:val="center"/>
          </w:tcPr>
          <w:p w14:paraId="37A40453">
            <w:pPr>
              <w:pageBreakBefore w:val="0"/>
              <w:widowControl/>
              <w:shd w:val="clear"/>
              <w:kinsoku/>
              <w:overflowPunct/>
              <w:topLinePunct w:val="0"/>
              <w:autoSpaceDE w:val="0"/>
              <w:autoSpaceDN w:val="0"/>
              <w:bidi w:val="0"/>
              <w:spacing w:line="360" w:lineRule="auto"/>
              <w:ind w:left="105"/>
              <w:jc w:val="center"/>
              <w:textAlignment w:val="bottom"/>
              <w:rPr>
                <w:rFonts w:hint="eastAsia" w:ascii="宋体" w:hAnsi="宋体" w:eastAsia="宋体" w:cs="宋体"/>
                <w:color w:val="auto"/>
                <w:highlight w:val="none"/>
              </w:rPr>
            </w:pPr>
            <w:r>
              <w:rPr>
                <w:rFonts w:hint="eastAsia" w:ascii="宋体" w:hAnsi="宋体" w:eastAsia="宋体" w:cs="宋体"/>
                <w:color w:val="auto"/>
                <w:highlight w:val="none"/>
              </w:rPr>
              <w:t>投标人全称</w:t>
            </w:r>
          </w:p>
        </w:tc>
        <w:tc>
          <w:tcPr>
            <w:tcW w:w="6415" w:type="dxa"/>
            <w:gridSpan w:val="3"/>
            <w:tcBorders>
              <w:tl2br w:val="nil"/>
              <w:tr2bl w:val="nil"/>
            </w:tcBorders>
            <w:vAlign w:val="center"/>
          </w:tcPr>
          <w:p w14:paraId="4D8FE8ED">
            <w:pPr>
              <w:pageBreakBefore w:val="0"/>
              <w:widowControl/>
              <w:shd w:val="clear"/>
              <w:kinsoku/>
              <w:overflowPunct/>
              <w:topLinePunct w:val="0"/>
              <w:autoSpaceDE w:val="0"/>
              <w:autoSpaceDN w:val="0"/>
              <w:bidi w:val="0"/>
              <w:spacing w:line="360" w:lineRule="auto"/>
              <w:jc w:val="left"/>
              <w:textAlignment w:val="bottom"/>
              <w:rPr>
                <w:rFonts w:hint="eastAsia" w:ascii="宋体" w:hAnsi="宋体" w:eastAsia="宋体" w:cs="宋体"/>
                <w:color w:val="auto"/>
                <w:highlight w:val="none"/>
              </w:rPr>
            </w:pPr>
          </w:p>
        </w:tc>
      </w:tr>
      <w:tr w14:paraId="54600D6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cantSplit/>
          <w:trHeight w:val="1724" w:hRule="atLeast"/>
        </w:trPr>
        <w:tc>
          <w:tcPr>
            <w:tcW w:w="2344" w:type="dxa"/>
            <w:tcBorders>
              <w:tl2br w:val="nil"/>
              <w:tr2bl w:val="nil"/>
            </w:tcBorders>
            <w:vAlign w:val="center"/>
          </w:tcPr>
          <w:p w14:paraId="04F71375">
            <w:pPr>
              <w:pageBreakBefore w:val="0"/>
              <w:widowControl/>
              <w:shd w:val="clear"/>
              <w:kinsoku/>
              <w:overflowPunct/>
              <w:topLinePunct w:val="0"/>
              <w:autoSpaceDE w:val="0"/>
              <w:autoSpaceDN w:val="0"/>
              <w:bidi w:val="0"/>
              <w:spacing w:line="360" w:lineRule="auto"/>
              <w:ind w:left="105"/>
              <w:jc w:val="center"/>
              <w:textAlignment w:val="bottom"/>
              <w:rPr>
                <w:rFonts w:hint="eastAsia" w:ascii="宋体" w:hAnsi="宋体" w:eastAsia="宋体" w:cs="宋体"/>
                <w:color w:val="auto"/>
                <w:highlight w:val="none"/>
              </w:rPr>
            </w:pPr>
            <w:r>
              <w:rPr>
                <w:rFonts w:hint="eastAsia" w:ascii="宋体" w:hAnsi="宋体" w:eastAsia="宋体" w:cs="宋体"/>
                <w:color w:val="auto"/>
                <w:highlight w:val="none"/>
              </w:rPr>
              <w:t>营业执照</w:t>
            </w:r>
          </w:p>
        </w:tc>
        <w:tc>
          <w:tcPr>
            <w:tcW w:w="6415" w:type="dxa"/>
            <w:gridSpan w:val="3"/>
            <w:tcBorders>
              <w:tl2br w:val="nil"/>
              <w:tr2bl w:val="nil"/>
            </w:tcBorders>
            <w:vAlign w:val="center"/>
          </w:tcPr>
          <w:p w14:paraId="4E8FAD95">
            <w:pPr>
              <w:pageBreakBefore w:val="0"/>
              <w:widowControl/>
              <w:numPr>
                <w:ilvl w:val="0"/>
                <w:numId w:val="0"/>
              </w:numPr>
              <w:shd w:val="clear"/>
              <w:kinsoku/>
              <w:overflowPunct/>
              <w:topLinePunct w:val="0"/>
              <w:autoSpaceDE w:val="0"/>
              <w:autoSpaceDN w:val="0"/>
              <w:bidi w:val="0"/>
              <w:spacing w:line="360" w:lineRule="auto"/>
              <w:jc w:val="left"/>
              <w:textAlignment w:val="bottom"/>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1.</w:t>
            </w:r>
            <w:r>
              <w:rPr>
                <w:rFonts w:hint="eastAsia" w:ascii="宋体" w:hAnsi="宋体" w:eastAsia="宋体" w:cs="宋体"/>
                <w:color w:val="auto"/>
                <w:highlight w:val="none"/>
              </w:rPr>
              <w:t>社会统一信用代码：</w:t>
            </w:r>
          </w:p>
          <w:p w14:paraId="34B981E6">
            <w:pPr>
              <w:pageBreakBefore w:val="0"/>
              <w:widowControl/>
              <w:shd w:val="clear"/>
              <w:kinsoku/>
              <w:overflowPunct/>
              <w:topLinePunct w:val="0"/>
              <w:autoSpaceDE w:val="0"/>
              <w:autoSpaceDN w:val="0"/>
              <w:bidi w:val="0"/>
              <w:spacing w:line="360" w:lineRule="auto"/>
              <w:jc w:val="left"/>
              <w:textAlignment w:val="bottom"/>
              <w:rPr>
                <w:rFonts w:hint="eastAsia" w:ascii="宋体" w:hAnsi="宋体" w:eastAsia="宋体" w:cs="宋体"/>
                <w:color w:val="auto"/>
                <w:highlight w:val="none"/>
              </w:rPr>
            </w:pPr>
          </w:p>
          <w:p w14:paraId="798F390C">
            <w:pPr>
              <w:pageBreakBefore w:val="0"/>
              <w:widowControl/>
              <w:shd w:val="clear"/>
              <w:kinsoku/>
              <w:overflowPunct/>
              <w:topLinePunct w:val="0"/>
              <w:autoSpaceDE w:val="0"/>
              <w:autoSpaceDN w:val="0"/>
              <w:bidi w:val="0"/>
              <w:spacing w:line="360" w:lineRule="auto"/>
              <w:jc w:val="left"/>
              <w:textAlignment w:val="bottom"/>
              <w:rPr>
                <w:rFonts w:hint="eastAsia" w:ascii="宋体" w:hAnsi="宋体" w:eastAsia="宋体" w:cs="宋体"/>
                <w:color w:val="auto"/>
                <w:highlight w:val="none"/>
              </w:rPr>
            </w:pPr>
            <w:r>
              <w:rPr>
                <w:rFonts w:hint="eastAsia" w:ascii="宋体" w:hAnsi="宋体" w:eastAsia="宋体" w:cs="宋体"/>
                <w:color w:val="auto"/>
                <w:highlight w:val="none"/>
              </w:rPr>
              <w:t>2.营业范围：</w:t>
            </w:r>
          </w:p>
        </w:tc>
      </w:tr>
      <w:tr w14:paraId="565592B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cantSplit/>
          <w:trHeight w:val="924" w:hRule="atLeast"/>
        </w:trPr>
        <w:tc>
          <w:tcPr>
            <w:tcW w:w="2344" w:type="dxa"/>
            <w:tcBorders>
              <w:tl2br w:val="nil"/>
              <w:tr2bl w:val="nil"/>
            </w:tcBorders>
            <w:vAlign w:val="center"/>
          </w:tcPr>
          <w:p w14:paraId="4F7C174C">
            <w:pPr>
              <w:pageBreakBefore w:val="0"/>
              <w:widowControl/>
              <w:shd w:val="clear"/>
              <w:kinsoku/>
              <w:overflowPunct/>
              <w:topLinePunct w:val="0"/>
              <w:autoSpaceDE w:val="0"/>
              <w:autoSpaceDN w:val="0"/>
              <w:bidi w:val="0"/>
              <w:spacing w:line="360" w:lineRule="auto"/>
              <w:ind w:left="105"/>
              <w:jc w:val="center"/>
              <w:textAlignment w:val="bottom"/>
              <w:rPr>
                <w:rFonts w:hint="eastAsia" w:ascii="宋体" w:hAnsi="宋体" w:eastAsia="宋体" w:cs="宋体"/>
                <w:color w:val="auto"/>
                <w:highlight w:val="none"/>
              </w:rPr>
            </w:pPr>
            <w:r>
              <w:rPr>
                <w:rFonts w:hint="eastAsia" w:ascii="宋体" w:hAnsi="宋体" w:eastAsia="宋体" w:cs="宋体"/>
                <w:color w:val="auto"/>
                <w:highlight w:val="none"/>
              </w:rPr>
              <w:t>建立日期</w:t>
            </w:r>
          </w:p>
        </w:tc>
        <w:tc>
          <w:tcPr>
            <w:tcW w:w="2465" w:type="dxa"/>
            <w:tcBorders>
              <w:tl2br w:val="nil"/>
              <w:tr2bl w:val="nil"/>
            </w:tcBorders>
            <w:vAlign w:val="center"/>
          </w:tcPr>
          <w:p w14:paraId="2244D9BE">
            <w:pPr>
              <w:pageBreakBefore w:val="0"/>
              <w:widowControl/>
              <w:shd w:val="clear"/>
              <w:kinsoku/>
              <w:overflowPunct/>
              <w:topLinePunct w:val="0"/>
              <w:autoSpaceDE w:val="0"/>
              <w:autoSpaceDN w:val="0"/>
              <w:bidi w:val="0"/>
              <w:spacing w:line="360" w:lineRule="auto"/>
              <w:jc w:val="left"/>
              <w:textAlignment w:val="bottom"/>
              <w:rPr>
                <w:rFonts w:hint="eastAsia" w:ascii="宋体" w:hAnsi="宋体" w:eastAsia="宋体" w:cs="宋体"/>
                <w:color w:val="auto"/>
                <w:highlight w:val="none"/>
              </w:rPr>
            </w:pPr>
          </w:p>
        </w:tc>
        <w:tc>
          <w:tcPr>
            <w:tcW w:w="1559" w:type="dxa"/>
            <w:tcBorders>
              <w:tl2br w:val="nil"/>
              <w:tr2bl w:val="nil"/>
            </w:tcBorders>
            <w:vAlign w:val="center"/>
          </w:tcPr>
          <w:p w14:paraId="6EA20045">
            <w:pPr>
              <w:pageBreakBefore w:val="0"/>
              <w:widowControl/>
              <w:shd w:val="clear"/>
              <w:kinsoku/>
              <w:overflowPunct/>
              <w:topLinePunct w:val="0"/>
              <w:autoSpaceDE w:val="0"/>
              <w:autoSpaceDN w:val="0"/>
              <w:bidi w:val="0"/>
              <w:spacing w:line="360" w:lineRule="auto"/>
              <w:jc w:val="center"/>
              <w:textAlignment w:val="bottom"/>
              <w:rPr>
                <w:rFonts w:hint="eastAsia" w:ascii="宋体" w:hAnsi="宋体" w:eastAsia="宋体" w:cs="宋体"/>
                <w:color w:val="auto"/>
                <w:highlight w:val="none"/>
              </w:rPr>
            </w:pPr>
            <w:r>
              <w:rPr>
                <w:rFonts w:hint="eastAsia" w:ascii="宋体" w:hAnsi="宋体" w:eastAsia="宋体" w:cs="宋体"/>
                <w:color w:val="auto"/>
                <w:highlight w:val="none"/>
              </w:rPr>
              <w:t>现有职工</w:t>
            </w:r>
          </w:p>
        </w:tc>
        <w:tc>
          <w:tcPr>
            <w:tcW w:w="2391" w:type="dxa"/>
            <w:tcBorders>
              <w:tl2br w:val="nil"/>
              <w:tr2bl w:val="nil"/>
            </w:tcBorders>
            <w:vAlign w:val="center"/>
          </w:tcPr>
          <w:p w14:paraId="2BFCCDFC">
            <w:pPr>
              <w:pageBreakBefore w:val="0"/>
              <w:widowControl/>
              <w:shd w:val="clear"/>
              <w:kinsoku/>
              <w:overflowPunct/>
              <w:topLinePunct w:val="0"/>
              <w:autoSpaceDE w:val="0"/>
              <w:autoSpaceDN w:val="0"/>
              <w:bidi w:val="0"/>
              <w:spacing w:line="360" w:lineRule="auto"/>
              <w:jc w:val="left"/>
              <w:textAlignment w:val="bottom"/>
              <w:rPr>
                <w:rFonts w:hint="eastAsia" w:ascii="宋体" w:hAnsi="宋体" w:eastAsia="宋体" w:cs="宋体"/>
                <w:color w:val="auto"/>
                <w:highlight w:val="none"/>
              </w:rPr>
            </w:pPr>
          </w:p>
        </w:tc>
      </w:tr>
      <w:tr w14:paraId="7C21B5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cantSplit/>
          <w:trHeight w:val="785" w:hRule="atLeast"/>
        </w:trPr>
        <w:tc>
          <w:tcPr>
            <w:tcW w:w="2344" w:type="dxa"/>
            <w:tcBorders>
              <w:tl2br w:val="nil"/>
              <w:tr2bl w:val="nil"/>
            </w:tcBorders>
            <w:vAlign w:val="center"/>
          </w:tcPr>
          <w:p w14:paraId="3DBD146C">
            <w:pPr>
              <w:pageBreakBefore w:val="0"/>
              <w:widowControl/>
              <w:shd w:val="clear"/>
              <w:kinsoku/>
              <w:overflowPunct/>
              <w:topLinePunct w:val="0"/>
              <w:autoSpaceDE w:val="0"/>
              <w:autoSpaceDN w:val="0"/>
              <w:bidi w:val="0"/>
              <w:spacing w:line="360" w:lineRule="auto"/>
              <w:jc w:val="center"/>
              <w:textAlignment w:val="bottom"/>
              <w:rPr>
                <w:rFonts w:hint="eastAsia" w:ascii="宋体" w:hAnsi="宋体" w:eastAsia="宋体" w:cs="宋体"/>
                <w:color w:val="auto"/>
                <w:highlight w:val="none"/>
              </w:rPr>
            </w:pPr>
            <w:r>
              <w:rPr>
                <w:rFonts w:hint="eastAsia" w:ascii="宋体" w:hAnsi="宋体" w:eastAsia="宋体" w:cs="宋体"/>
                <w:color w:val="auto"/>
                <w:highlight w:val="none"/>
              </w:rPr>
              <w:t>固定资产净值(万元)</w:t>
            </w:r>
          </w:p>
        </w:tc>
        <w:tc>
          <w:tcPr>
            <w:tcW w:w="6415" w:type="dxa"/>
            <w:gridSpan w:val="3"/>
            <w:tcBorders>
              <w:tl2br w:val="nil"/>
              <w:tr2bl w:val="nil"/>
            </w:tcBorders>
            <w:vAlign w:val="center"/>
          </w:tcPr>
          <w:p w14:paraId="33417EB3">
            <w:pPr>
              <w:pageBreakBefore w:val="0"/>
              <w:widowControl/>
              <w:shd w:val="clear"/>
              <w:kinsoku/>
              <w:overflowPunct/>
              <w:topLinePunct w:val="0"/>
              <w:autoSpaceDE w:val="0"/>
              <w:autoSpaceDN w:val="0"/>
              <w:bidi w:val="0"/>
              <w:spacing w:line="360" w:lineRule="auto"/>
              <w:jc w:val="left"/>
              <w:textAlignment w:val="bottom"/>
              <w:rPr>
                <w:rFonts w:hint="eastAsia" w:ascii="宋体" w:hAnsi="宋体" w:eastAsia="宋体" w:cs="宋体"/>
                <w:color w:val="auto"/>
                <w:highlight w:val="none"/>
              </w:rPr>
            </w:pPr>
          </w:p>
        </w:tc>
      </w:tr>
      <w:tr w14:paraId="32C28F1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cantSplit/>
          <w:trHeight w:val="845" w:hRule="atLeast"/>
        </w:trPr>
        <w:tc>
          <w:tcPr>
            <w:tcW w:w="2344" w:type="dxa"/>
            <w:tcBorders>
              <w:tl2br w:val="nil"/>
              <w:tr2bl w:val="nil"/>
            </w:tcBorders>
            <w:vAlign w:val="center"/>
          </w:tcPr>
          <w:p w14:paraId="09765348">
            <w:pPr>
              <w:pageBreakBefore w:val="0"/>
              <w:widowControl/>
              <w:shd w:val="clear"/>
              <w:kinsoku/>
              <w:overflowPunct/>
              <w:topLinePunct w:val="0"/>
              <w:autoSpaceDE w:val="0"/>
              <w:autoSpaceDN w:val="0"/>
              <w:bidi w:val="0"/>
              <w:spacing w:line="360" w:lineRule="auto"/>
              <w:ind w:left="105"/>
              <w:jc w:val="center"/>
              <w:textAlignment w:val="bottom"/>
              <w:rPr>
                <w:rFonts w:hint="eastAsia" w:ascii="宋体" w:hAnsi="宋体" w:eastAsia="宋体" w:cs="宋体"/>
                <w:color w:val="auto"/>
                <w:highlight w:val="none"/>
              </w:rPr>
            </w:pPr>
            <w:r>
              <w:rPr>
                <w:rFonts w:hint="eastAsia" w:ascii="宋体" w:hAnsi="宋体" w:eastAsia="宋体" w:cs="宋体"/>
                <w:color w:val="auto"/>
                <w:highlight w:val="none"/>
              </w:rPr>
              <w:t>法人代表</w:t>
            </w:r>
          </w:p>
        </w:tc>
        <w:tc>
          <w:tcPr>
            <w:tcW w:w="6415" w:type="dxa"/>
            <w:gridSpan w:val="3"/>
            <w:tcBorders>
              <w:tl2br w:val="nil"/>
              <w:tr2bl w:val="nil"/>
            </w:tcBorders>
            <w:vAlign w:val="center"/>
          </w:tcPr>
          <w:p w14:paraId="509037F0">
            <w:pPr>
              <w:pageBreakBefore w:val="0"/>
              <w:widowControl/>
              <w:shd w:val="clear"/>
              <w:kinsoku/>
              <w:overflowPunct/>
              <w:topLinePunct w:val="0"/>
              <w:autoSpaceDE w:val="0"/>
              <w:autoSpaceDN w:val="0"/>
              <w:bidi w:val="0"/>
              <w:spacing w:line="360" w:lineRule="auto"/>
              <w:jc w:val="left"/>
              <w:textAlignment w:val="bottom"/>
              <w:rPr>
                <w:rFonts w:hint="eastAsia" w:ascii="宋体" w:hAnsi="宋体" w:eastAsia="宋体" w:cs="宋体"/>
                <w:color w:val="auto"/>
                <w:highlight w:val="none"/>
              </w:rPr>
            </w:pPr>
            <w:r>
              <w:rPr>
                <w:rFonts w:hint="eastAsia" w:ascii="宋体" w:hAnsi="宋体" w:eastAsia="宋体" w:cs="宋体"/>
                <w:color w:val="auto"/>
                <w:highlight w:val="none"/>
              </w:rPr>
              <w:t>姓名:             职务:             职称:</w:t>
            </w:r>
          </w:p>
        </w:tc>
      </w:tr>
      <w:tr w14:paraId="70639F3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cantSplit/>
          <w:trHeight w:val="924" w:hRule="atLeast"/>
        </w:trPr>
        <w:tc>
          <w:tcPr>
            <w:tcW w:w="2344" w:type="dxa"/>
            <w:tcBorders>
              <w:tl2br w:val="nil"/>
              <w:tr2bl w:val="nil"/>
            </w:tcBorders>
            <w:vAlign w:val="center"/>
          </w:tcPr>
          <w:p w14:paraId="112A5D4F">
            <w:pPr>
              <w:pageBreakBefore w:val="0"/>
              <w:widowControl/>
              <w:shd w:val="clear"/>
              <w:kinsoku/>
              <w:overflowPunct/>
              <w:topLinePunct w:val="0"/>
              <w:autoSpaceDE w:val="0"/>
              <w:autoSpaceDN w:val="0"/>
              <w:bidi w:val="0"/>
              <w:spacing w:line="360" w:lineRule="auto"/>
              <w:ind w:left="105"/>
              <w:jc w:val="center"/>
              <w:textAlignment w:val="bottom"/>
              <w:rPr>
                <w:rFonts w:hint="eastAsia" w:ascii="宋体" w:hAnsi="宋体" w:eastAsia="宋体" w:cs="宋体"/>
                <w:color w:val="auto"/>
                <w:highlight w:val="none"/>
              </w:rPr>
            </w:pPr>
            <w:r>
              <w:rPr>
                <w:rFonts w:hint="eastAsia" w:ascii="宋体" w:hAnsi="宋体" w:eastAsia="宋体" w:cs="宋体"/>
                <w:color w:val="auto"/>
                <w:highlight w:val="none"/>
              </w:rPr>
              <w:t>本项目负责人</w:t>
            </w:r>
          </w:p>
        </w:tc>
        <w:tc>
          <w:tcPr>
            <w:tcW w:w="6415" w:type="dxa"/>
            <w:gridSpan w:val="3"/>
            <w:tcBorders>
              <w:tl2br w:val="nil"/>
              <w:tr2bl w:val="nil"/>
            </w:tcBorders>
            <w:vAlign w:val="center"/>
          </w:tcPr>
          <w:p w14:paraId="444FE29E">
            <w:pPr>
              <w:pageBreakBefore w:val="0"/>
              <w:widowControl/>
              <w:shd w:val="clear"/>
              <w:kinsoku/>
              <w:overflowPunct/>
              <w:topLinePunct w:val="0"/>
              <w:autoSpaceDE w:val="0"/>
              <w:autoSpaceDN w:val="0"/>
              <w:bidi w:val="0"/>
              <w:spacing w:line="360" w:lineRule="auto"/>
              <w:jc w:val="left"/>
              <w:textAlignment w:val="bottom"/>
              <w:rPr>
                <w:rFonts w:hint="eastAsia" w:ascii="宋体" w:hAnsi="宋体" w:eastAsia="宋体" w:cs="宋体"/>
                <w:color w:val="auto"/>
                <w:highlight w:val="none"/>
              </w:rPr>
            </w:pPr>
            <w:r>
              <w:rPr>
                <w:rFonts w:hint="eastAsia" w:ascii="宋体" w:hAnsi="宋体" w:eastAsia="宋体" w:cs="宋体"/>
                <w:color w:val="auto"/>
                <w:highlight w:val="none"/>
              </w:rPr>
              <w:t>姓名:             职务:             职称:</w:t>
            </w:r>
          </w:p>
        </w:tc>
      </w:tr>
      <w:tr w14:paraId="22B0F1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cantSplit/>
          <w:trHeight w:val="2519" w:hRule="atLeast"/>
        </w:trPr>
        <w:tc>
          <w:tcPr>
            <w:tcW w:w="2344" w:type="dxa"/>
            <w:tcBorders>
              <w:tl2br w:val="nil"/>
              <w:tr2bl w:val="nil"/>
            </w:tcBorders>
            <w:vAlign w:val="center"/>
          </w:tcPr>
          <w:p w14:paraId="554DE1B2">
            <w:pPr>
              <w:pageBreakBefore w:val="0"/>
              <w:widowControl/>
              <w:shd w:val="clear"/>
              <w:kinsoku/>
              <w:overflowPunct/>
              <w:topLinePunct w:val="0"/>
              <w:autoSpaceDE w:val="0"/>
              <w:autoSpaceDN w:val="0"/>
              <w:bidi w:val="0"/>
              <w:spacing w:line="360" w:lineRule="auto"/>
              <w:ind w:left="105"/>
              <w:jc w:val="center"/>
              <w:textAlignment w:val="bottom"/>
              <w:rPr>
                <w:rFonts w:hint="eastAsia" w:ascii="宋体" w:hAnsi="宋体" w:eastAsia="宋体" w:cs="宋体"/>
                <w:color w:val="auto"/>
                <w:highlight w:val="none"/>
              </w:rPr>
            </w:pPr>
            <w:r>
              <w:rPr>
                <w:rFonts w:hint="eastAsia" w:ascii="宋体" w:hAnsi="宋体" w:eastAsia="宋体" w:cs="宋体"/>
                <w:color w:val="auto"/>
                <w:highlight w:val="none"/>
              </w:rPr>
              <w:t>项目负责人联系方式</w:t>
            </w:r>
          </w:p>
        </w:tc>
        <w:tc>
          <w:tcPr>
            <w:tcW w:w="6415" w:type="dxa"/>
            <w:gridSpan w:val="3"/>
            <w:tcBorders>
              <w:tl2br w:val="nil"/>
              <w:tr2bl w:val="nil"/>
            </w:tcBorders>
            <w:vAlign w:val="center"/>
          </w:tcPr>
          <w:p w14:paraId="6C91F964">
            <w:pPr>
              <w:pageBreakBefore w:val="0"/>
              <w:widowControl/>
              <w:shd w:val="clear"/>
              <w:kinsoku/>
              <w:overflowPunct/>
              <w:topLinePunct w:val="0"/>
              <w:autoSpaceDE w:val="0"/>
              <w:autoSpaceDN w:val="0"/>
              <w:bidi w:val="0"/>
              <w:spacing w:line="360" w:lineRule="auto"/>
              <w:jc w:val="left"/>
              <w:textAlignment w:val="bottom"/>
              <w:rPr>
                <w:rFonts w:hint="eastAsia" w:ascii="宋体" w:hAnsi="宋体" w:eastAsia="宋体" w:cs="宋体"/>
                <w:color w:val="auto"/>
                <w:highlight w:val="none"/>
              </w:rPr>
            </w:pPr>
            <w:r>
              <w:rPr>
                <w:rFonts w:hint="eastAsia" w:ascii="宋体" w:hAnsi="宋体" w:eastAsia="宋体" w:cs="宋体"/>
                <w:color w:val="auto"/>
                <w:highlight w:val="none"/>
              </w:rPr>
              <w:t>地址：</w:t>
            </w:r>
          </w:p>
          <w:p w14:paraId="30B707AF">
            <w:pPr>
              <w:pageBreakBefore w:val="0"/>
              <w:widowControl/>
              <w:shd w:val="clear"/>
              <w:kinsoku/>
              <w:overflowPunct/>
              <w:topLinePunct w:val="0"/>
              <w:autoSpaceDE w:val="0"/>
              <w:autoSpaceDN w:val="0"/>
              <w:bidi w:val="0"/>
              <w:spacing w:line="360" w:lineRule="auto"/>
              <w:jc w:val="left"/>
              <w:textAlignment w:val="bottom"/>
              <w:rPr>
                <w:rFonts w:hint="eastAsia" w:ascii="宋体" w:hAnsi="宋体" w:eastAsia="宋体" w:cs="宋体"/>
                <w:color w:val="auto"/>
                <w:highlight w:val="none"/>
              </w:rPr>
            </w:pPr>
            <w:r>
              <w:rPr>
                <w:rFonts w:hint="eastAsia" w:ascii="宋体" w:hAnsi="宋体" w:eastAsia="宋体" w:cs="宋体"/>
                <w:color w:val="auto"/>
                <w:highlight w:val="none"/>
              </w:rPr>
              <w:t>邮编：</w:t>
            </w:r>
          </w:p>
          <w:p w14:paraId="467CC75F">
            <w:pPr>
              <w:pageBreakBefore w:val="0"/>
              <w:widowControl/>
              <w:shd w:val="clear"/>
              <w:kinsoku/>
              <w:overflowPunct/>
              <w:topLinePunct w:val="0"/>
              <w:autoSpaceDE w:val="0"/>
              <w:autoSpaceDN w:val="0"/>
              <w:bidi w:val="0"/>
              <w:spacing w:line="360" w:lineRule="auto"/>
              <w:jc w:val="left"/>
              <w:textAlignment w:val="bottom"/>
              <w:rPr>
                <w:rFonts w:hint="eastAsia" w:ascii="宋体" w:hAnsi="宋体" w:eastAsia="宋体" w:cs="宋体"/>
                <w:color w:val="auto"/>
                <w:highlight w:val="none"/>
              </w:rPr>
            </w:pPr>
            <w:r>
              <w:rPr>
                <w:rFonts w:hint="eastAsia" w:ascii="宋体" w:hAnsi="宋体" w:eastAsia="宋体" w:cs="宋体"/>
                <w:color w:val="auto"/>
                <w:highlight w:val="none"/>
              </w:rPr>
              <w:t>电话：</w:t>
            </w:r>
          </w:p>
          <w:p w14:paraId="03F84EED">
            <w:pPr>
              <w:pageBreakBefore w:val="0"/>
              <w:widowControl/>
              <w:shd w:val="clear"/>
              <w:kinsoku/>
              <w:overflowPunct/>
              <w:topLinePunct w:val="0"/>
              <w:autoSpaceDE w:val="0"/>
              <w:autoSpaceDN w:val="0"/>
              <w:bidi w:val="0"/>
              <w:spacing w:line="360" w:lineRule="auto"/>
              <w:jc w:val="left"/>
              <w:textAlignment w:val="bottom"/>
              <w:rPr>
                <w:rFonts w:hint="eastAsia" w:ascii="宋体" w:hAnsi="宋体" w:eastAsia="宋体" w:cs="宋体"/>
                <w:color w:val="auto"/>
                <w:highlight w:val="none"/>
              </w:rPr>
            </w:pPr>
            <w:r>
              <w:rPr>
                <w:rFonts w:hint="eastAsia" w:ascii="宋体" w:hAnsi="宋体" w:eastAsia="宋体" w:cs="宋体"/>
                <w:color w:val="auto"/>
                <w:highlight w:val="none"/>
              </w:rPr>
              <w:t>传真：</w:t>
            </w:r>
          </w:p>
          <w:p w14:paraId="409FECE0">
            <w:pPr>
              <w:pStyle w:val="21"/>
              <w:pageBreakBefore w:val="0"/>
              <w:shd w:val="clear"/>
              <w:kinsoku/>
              <w:overflowPunct/>
              <w:topLinePunct w:val="0"/>
              <w:bidi w:val="0"/>
              <w:spacing w:line="36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邮箱：</w:t>
            </w:r>
          </w:p>
        </w:tc>
      </w:tr>
      <w:tr w14:paraId="2C12C1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cantSplit/>
          <w:trHeight w:val="1938" w:hRule="atLeast"/>
        </w:trPr>
        <w:tc>
          <w:tcPr>
            <w:tcW w:w="2344" w:type="dxa"/>
            <w:tcBorders>
              <w:tl2br w:val="nil"/>
              <w:tr2bl w:val="nil"/>
            </w:tcBorders>
            <w:vAlign w:val="center"/>
          </w:tcPr>
          <w:p w14:paraId="47DC541E">
            <w:pPr>
              <w:pageBreakBefore w:val="0"/>
              <w:widowControl/>
              <w:shd w:val="clear"/>
              <w:kinsoku/>
              <w:overflowPunct/>
              <w:topLinePunct w:val="0"/>
              <w:autoSpaceDE w:val="0"/>
              <w:autoSpaceDN w:val="0"/>
              <w:bidi w:val="0"/>
              <w:spacing w:line="360" w:lineRule="auto"/>
              <w:jc w:val="center"/>
              <w:textAlignment w:val="bottom"/>
              <w:rPr>
                <w:rFonts w:hint="eastAsia" w:ascii="宋体" w:hAnsi="宋体" w:eastAsia="宋体" w:cs="宋体"/>
                <w:color w:val="auto"/>
                <w:highlight w:val="none"/>
              </w:rPr>
            </w:pPr>
            <w:r>
              <w:rPr>
                <w:rFonts w:hint="eastAsia" w:ascii="宋体" w:hAnsi="宋体" w:eastAsia="宋体" w:cs="宋体"/>
                <w:color w:val="auto"/>
                <w:highlight w:val="none"/>
              </w:rPr>
              <w:t>开户银行</w:t>
            </w:r>
          </w:p>
        </w:tc>
        <w:tc>
          <w:tcPr>
            <w:tcW w:w="6415" w:type="dxa"/>
            <w:gridSpan w:val="3"/>
            <w:tcBorders>
              <w:tl2br w:val="nil"/>
              <w:tr2bl w:val="nil"/>
            </w:tcBorders>
            <w:vAlign w:val="center"/>
          </w:tcPr>
          <w:p w14:paraId="5256C0AD">
            <w:pPr>
              <w:pageBreakBefore w:val="0"/>
              <w:widowControl/>
              <w:shd w:val="clear"/>
              <w:kinsoku/>
              <w:overflowPunct/>
              <w:topLinePunct w:val="0"/>
              <w:autoSpaceDE w:val="0"/>
              <w:autoSpaceDN w:val="0"/>
              <w:bidi w:val="0"/>
              <w:spacing w:line="360" w:lineRule="auto"/>
              <w:jc w:val="left"/>
              <w:textAlignment w:val="bottom"/>
              <w:rPr>
                <w:rFonts w:hint="eastAsia" w:ascii="宋体" w:hAnsi="宋体" w:eastAsia="宋体" w:cs="宋体"/>
                <w:color w:val="auto"/>
                <w:highlight w:val="none"/>
              </w:rPr>
            </w:pPr>
            <w:r>
              <w:rPr>
                <w:rFonts w:hint="eastAsia" w:ascii="宋体" w:hAnsi="宋体" w:eastAsia="宋体" w:cs="宋体"/>
                <w:color w:val="auto"/>
                <w:highlight w:val="none"/>
              </w:rPr>
              <w:t>收款人户名：</w:t>
            </w:r>
          </w:p>
          <w:p w14:paraId="174CB671">
            <w:pPr>
              <w:pageBreakBefore w:val="0"/>
              <w:widowControl/>
              <w:shd w:val="clear"/>
              <w:kinsoku/>
              <w:overflowPunct/>
              <w:topLinePunct w:val="0"/>
              <w:autoSpaceDE w:val="0"/>
              <w:autoSpaceDN w:val="0"/>
              <w:bidi w:val="0"/>
              <w:spacing w:line="360" w:lineRule="auto"/>
              <w:jc w:val="left"/>
              <w:textAlignment w:val="bottom"/>
              <w:rPr>
                <w:rFonts w:hint="eastAsia" w:ascii="宋体" w:hAnsi="宋体" w:eastAsia="宋体" w:cs="宋体"/>
                <w:color w:val="auto"/>
                <w:highlight w:val="none"/>
              </w:rPr>
            </w:pPr>
            <w:r>
              <w:rPr>
                <w:rFonts w:hint="eastAsia" w:ascii="宋体" w:hAnsi="宋体" w:eastAsia="宋体" w:cs="宋体"/>
                <w:color w:val="auto"/>
                <w:highlight w:val="none"/>
              </w:rPr>
              <w:t>收款开户银行：</w:t>
            </w:r>
          </w:p>
          <w:p w14:paraId="6282D33A">
            <w:pPr>
              <w:pageBreakBefore w:val="0"/>
              <w:widowControl/>
              <w:shd w:val="clear"/>
              <w:kinsoku/>
              <w:overflowPunct/>
              <w:topLinePunct w:val="0"/>
              <w:autoSpaceDE w:val="0"/>
              <w:autoSpaceDN w:val="0"/>
              <w:bidi w:val="0"/>
              <w:spacing w:line="360" w:lineRule="auto"/>
              <w:jc w:val="left"/>
              <w:textAlignment w:val="bottom"/>
              <w:rPr>
                <w:rFonts w:hint="eastAsia" w:ascii="宋体" w:hAnsi="宋体" w:eastAsia="宋体" w:cs="宋体"/>
                <w:color w:val="auto"/>
                <w:highlight w:val="none"/>
              </w:rPr>
            </w:pPr>
            <w:r>
              <w:rPr>
                <w:rFonts w:hint="eastAsia" w:ascii="宋体" w:hAnsi="宋体" w:eastAsia="宋体" w:cs="宋体"/>
                <w:color w:val="auto"/>
                <w:highlight w:val="none"/>
              </w:rPr>
              <w:t>收款账号：</w:t>
            </w:r>
          </w:p>
          <w:p w14:paraId="0784A035">
            <w:pPr>
              <w:pageBreakBefore w:val="0"/>
              <w:widowControl/>
              <w:shd w:val="clear"/>
              <w:kinsoku/>
              <w:overflowPunct/>
              <w:topLinePunct w:val="0"/>
              <w:autoSpaceDE w:val="0"/>
              <w:autoSpaceDN w:val="0"/>
              <w:bidi w:val="0"/>
              <w:spacing w:line="360" w:lineRule="auto"/>
              <w:jc w:val="left"/>
              <w:textAlignment w:val="bottom"/>
              <w:rPr>
                <w:rFonts w:hint="eastAsia" w:ascii="宋体" w:hAnsi="宋体" w:eastAsia="宋体" w:cs="宋体"/>
                <w:color w:val="auto"/>
                <w:highlight w:val="none"/>
              </w:rPr>
            </w:pPr>
            <w:r>
              <w:rPr>
                <w:rFonts w:hint="eastAsia" w:ascii="宋体" w:hAnsi="宋体" w:eastAsia="宋体" w:cs="宋体"/>
                <w:color w:val="auto"/>
                <w:highlight w:val="none"/>
              </w:rPr>
              <w:t>联行号：</w:t>
            </w:r>
          </w:p>
        </w:tc>
      </w:tr>
    </w:tbl>
    <w:p w14:paraId="0D8C7D05">
      <w:pPr>
        <w:pageBreakBefore w:val="0"/>
        <w:shd w:val="clear"/>
        <w:kinsoku/>
        <w:overflowPunct/>
        <w:topLinePunct w:val="0"/>
        <w:bidi w:val="0"/>
        <w:spacing w:line="360" w:lineRule="auto"/>
        <w:ind w:left="720" w:hanging="630" w:hangingChars="300"/>
        <w:rPr>
          <w:rFonts w:hint="eastAsia" w:ascii="宋体" w:hAnsi="宋体" w:eastAsia="宋体" w:cs="宋体"/>
          <w:color w:val="auto"/>
          <w:highlight w:val="none"/>
        </w:rPr>
      </w:pPr>
    </w:p>
    <w:p w14:paraId="63F4E18A">
      <w:pPr>
        <w:pageBreakBefore w:val="0"/>
        <w:shd w:val="clear"/>
        <w:kinsoku/>
        <w:overflowPunct/>
        <w:topLinePunct w:val="0"/>
        <w:bidi w:val="0"/>
        <w:spacing w:line="360" w:lineRule="auto"/>
        <w:ind w:left="42" w:right="42"/>
        <w:jc w:val="center"/>
        <w:rPr>
          <w:rFonts w:hint="eastAsia" w:ascii="宋体" w:hAnsi="宋体" w:eastAsia="宋体" w:cs="宋体"/>
          <w:color w:val="auto"/>
          <w:kern w:val="0"/>
          <w:highlight w:val="none"/>
          <w:lang w:val="zh-CN"/>
        </w:rPr>
      </w:pPr>
    </w:p>
    <w:p w14:paraId="35DB7750">
      <w:pPr>
        <w:pageBreakBefore w:val="0"/>
        <w:shd w:val="clear"/>
        <w:kinsoku/>
        <w:overflowPunct/>
        <w:topLinePunct w:val="0"/>
        <w:bidi w:val="0"/>
        <w:spacing w:line="360" w:lineRule="auto"/>
        <w:ind w:left="42" w:right="42" w:firstLine="640"/>
        <w:jc w:val="center"/>
        <w:rPr>
          <w:rFonts w:hint="eastAsia" w:ascii="宋体" w:hAnsi="宋体" w:eastAsia="宋体" w:cs="宋体"/>
          <w:b/>
          <w:color w:val="auto"/>
          <w:kern w:val="0"/>
          <w:sz w:val="32"/>
          <w:szCs w:val="32"/>
          <w:highlight w:val="none"/>
        </w:rPr>
      </w:pPr>
    </w:p>
    <w:p w14:paraId="04CE4FFD">
      <w:pPr>
        <w:pStyle w:val="20"/>
        <w:pageBreakBefore w:val="0"/>
        <w:shd w:val="clear"/>
        <w:kinsoku/>
        <w:overflowPunct/>
        <w:topLinePunct w:val="0"/>
        <w:bidi w:val="0"/>
        <w:spacing w:line="360" w:lineRule="auto"/>
        <w:rPr>
          <w:rFonts w:hint="eastAsia" w:ascii="宋体" w:hAnsi="宋体" w:eastAsia="宋体" w:cs="宋体"/>
          <w:color w:val="auto"/>
          <w:highlight w:val="none"/>
          <w:lang w:val="zh-CN"/>
        </w:rPr>
      </w:pPr>
    </w:p>
    <w:p w14:paraId="38125C31">
      <w:pPr>
        <w:pageBreakBefore w:val="0"/>
        <w:shd w:val="clear"/>
        <w:kinsoku/>
        <w:overflowPunct/>
        <w:topLinePunct w:val="0"/>
        <w:bidi w:val="0"/>
        <w:spacing w:line="360" w:lineRule="auto"/>
        <w:jc w:val="center"/>
        <w:rPr>
          <w:rFonts w:hint="eastAsia" w:ascii="宋体" w:hAnsi="宋体" w:eastAsia="宋体" w:cs="宋体"/>
          <w:b/>
          <w:color w:val="auto"/>
          <w:kern w:val="0"/>
          <w:sz w:val="32"/>
          <w:szCs w:val="32"/>
          <w:highlight w:val="none"/>
        </w:rPr>
      </w:pPr>
    </w:p>
    <w:p w14:paraId="448AE9D2">
      <w:pPr>
        <w:pageBreakBefore w:val="0"/>
        <w:shd w:val="clear"/>
        <w:kinsoku/>
        <w:overflowPunct/>
        <w:topLinePunct w:val="0"/>
        <w:bidi w:val="0"/>
        <w:spacing w:line="360" w:lineRule="auto"/>
        <w:rPr>
          <w:rFonts w:hint="eastAsia" w:ascii="宋体" w:hAnsi="宋体" w:eastAsia="宋体" w:cs="宋体"/>
          <w:b/>
          <w:color w:val="auto"/>
          <w:kern w:val="0"/>
          <w:sz w:val="32"/>
          <w:szCs w:val="32"/>
          <w:highlight w:val="none"/>
          <w:lang w:val="zh-CN"/>
        </w:rPr>
      </w:pPr>
      <w:bookmarkStart w:id="113" w:name="_Toc21072"/>
      <w:bookmarkStart w:id="114" w:name="_Toc29013"/>
      <w:bookmarkStart w:id="115" w:name="_Toc23990"/>
      <w:bookmarkStart w:id="116" w:name="_Toc8451"/>
      <w:bookmarkStart w:id="117" w:name="_Toc32470"/>
      <w:r>
        <w:rPr>
          <w:rFonts w:hint="eastAsia" w:ascii="宋体" w:hAnsi="宋体" w:eastAsia="宋体" w:cs="宋体"/>
          <w:b/>
          <w:color w:val="auto"/>
          <w:kern w:val="0"/>
          <w:sz w:val="32"/>
          <w:szCs w:val="32"/>
          <w:highlight w:val="none"/>
          <w:lang w:val="zh-CN"/>
        </w:rPr>
        <w:br w:type="page"/>
      </w:r>
    </w:p>
    <w:p w14:paraId="5A970D47">
      <w:pPr>
        <w:pageBreakBefore w:val="0"/>
        <w:shd w:val="clear"/>
        <w:kinsoku/>
        <w:overflowPunct/>
        <w:topLinePunct w:val="0"/>
        <w:bidi w:val="0"/>
        <w:spacing w:line="360" w:lineRule="auto"/>
        <w:jc w:val="center"/>
        <w:outlineLvl w:val="1"/>
        <w:rPr>
          <w:rFonts w:hint="eastAsia" w:ascii="宋体" w:hAnsi="宋体" w:eastAsia="宋体" w:cs="宋体"/>
          <w:b/>
          <w:color w:val="auto"/>
          <w:kern w:val="0"/>
          <w:sz w:val="32"/>
          <w:szCs w:val="32"/>
          <w:highlight w:val="none"/>
          <w:lang w:val="zh-CN"/>
        </w:rPr>
      </w:pPr>
      <w:bookmarkStart w:id="118" w:name="_Toc22753"/>
      <w:r>
        <w:rPr>
          <w:rFonts w:hint="eastAsia" w:ascii="宋体" w:hAnsi="宋体" w:eastAsia="宋体" w:cs="宋体"/>
          <w:b/>
          <w:color w:val="auto"/>
          <w:kern w:val="0"/>
          <w:sz w:val="32"/>
          <w:szCs w:val="32"/>
          <w:highlight w:val="none"/>
          <w:lang w:val="zh-CN"/>
        </w:rPr>
        <w:t>四、分包意向协议（如果有）</w:t>
      </w:r>
      <w:bookmarkEnd w:id="113"/>
      <w:bookmarkEnd w:id="114"/>
      <w:bookmarkEnd w:id="115"/>
      <w:bookmarkEnd w:id="116"/>
      <w:bookmarkEnd w:id="117"/>
      <w:bookmarkEnd w:id="118"/>
    </w:p>
    <w:p w14:paraId="258A3130">
      <w:pPr>
        <w:pageBreakBefore w:val="0"/>
        <w:widowControl/>
        <w:shd w:val="clear"/>
        <w:kinsoku/>
        <w:overflowPunct/>
        <w:topLinePunct w:val="0"/>
        <w:bidi w:val="0"/>
        <w:spacing w:line="360" w:lineRule="auto"/>
        <w:ind w:firstLine="105" w:firstLineChars="50"/>
        <w:jc w:val="left"/>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b/>
          <w:color w:val="auto"/>
          <w:highlight w:val="none"/>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highlight w:val="none"/>
        </w:rPr>
        <w:t>】</w:t>
      </w:r>
    </w:p>
    <w:p w14:paraId="2557193C">
      <w:pPr>
        <w:pageBreakBefore w:val="0"/>
        <w:shd w:val="clear"/>
        <w:kinsoku/>
        <w:overflowPunct/>
        <w:topLinePunct w:val="0"/>
        <w:bidi w:val="0"/>
        <w:spacing w:line="360" w:lineRule="auto"/>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br w:type="page"/>
      </w:r>
    </w:p>
    <w:p w14:paraId="565BB13C">
      <w:pPr>
        <w:pageBreakBefore w:val="0"/>
        <w:shd w:val="clear"/>
        <w:kinsoku/>
        <w:overflowPunct/>
        <w:topLinePunct w:val="0"/>
        <w:bidi w:val="0"/>
        <w:spacing w:line="360" w:lineRule="auto"/>
        <w:jc w:val="center"/>
        <w:outlineLvl w:val="1"/>
        <w:rPr>
          <w:rFonts w:hint="eastAsia" w:ascii="宋体" w:hAnsi="宋体" w:eastAsia="宋体" w:cs="宋体"/>
          <w:b/>
          <w:color w:val="auto"/>
          <w:kern w:val="0"/>
          <w:sz w:val="32"/>
          <w:szCs w:val="32"/>
          <w:highlight w:val="none"/>
          <w:lang w:val="zh-CN"/>
        </w:rPr>
      </w:pPr>
      <w:bookmarkStart w:id="119" w:name="_Toc25541"/>
      <w:bookmarkStart w:id="120" w:name="_Toc31696"/>
      <w:bookmarkStart w:id="121" w:name="_Toc23541"/>
      <w:bookmarkStart w:id="122" w:name="_Toc27709"/>
      <w:bookmarkStart w:id="123" w:name="_Toc29696"/>
      <w:bookmarkStart w:id="124" w:name="_Toc7185"/>
      <w:r>
        <w:rPr>
          <w:rFonts w:hint="eastAsia" w:ascii="宋体" w:hAnsi="宋体" w:eastAsia="宋体" w:cs="宋体"/>
          <w:b/>
          <w:color w:val="auto"/>
          <w:kern w:val="0"/>
          <w:sz w:val="32"/>
          <w:szCs w:val="32"/>
          <w:highlight w:val="none"/>
          <w:lang w:val="zh-CN"/>
        </w:rPr>
        <w:t>五、符合性审查资料</w:t>
      </w:r>
      <w:bookmarkEnd w:id="119"/>
      <w:bookmarkEnd w:id="120"/>
      <w:bookmarkEnd w:id="121"/>
      <w:bookmarkEnd w:id="122"/>
      <w:bookmarkEnd w:id="123"/>
      <w:bookmarkEnd w:id="124"/>
    </w:p>
    <w:p w14:paraId="289367B7">
      <w:pPr>
        <w:pageBreakBefore w:val="0"/>
        <w:shd w:val="clear"/>
        <w:kinsoku/>
        <w:overflowPunct/>
        <w:topLinePunct w:val="0"/>
        <w:bidi w:val="0"/>
        <w:spacing w:line="360" w:lineRule="auto"/>
        <w:jc w:val="center"/>
        <w:rPr>
          <w:rFonts w:hint="eastAsia" w:ascii="宋体" w:hAnsi="宋体" w:eastAsia="宋体" w:cs="宋体"/>
          <w:b/>
          <w:color w:val="auto"/>
          <w:kern w:val="0"/>
          <w:sz w:val="32"/>
          <w:szCs w:val="32"/>
          <w:highlight w:val="none"/>
        </w:rPr>
      </w:pPr>
    </w:p>
    <w:tbl>
      <w:tblPr>
        <w:tblStyle w:val="46"/>
        <w:tblW w:w="907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3562"/>
        <w:gridCol w:w="3207"/>
        <w:gridCol w:w="1665"/>
      </w:tblGrid>
      <w:tr w14:paraId="076073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643" w:type="dxa"/>
            <w:tcBorders>
              <w:tl2br w:val="nil"/>
              <w:tr2bl w:val="nil"/>
            </w:tcBorders>
            <w:vAlign w:val="center"/>
          </w:tcPr>
          <w:p w14:paraId="1AB7C0EB">
            <w:pPr>
              <w:pageBreakBefore w:val="0"/>
              <w:shd w:val="clear"/>
              <w:kinsoku/>
              <w:overflowPunct/>
              <w:topLinePunct w:val="0"/>
              <w:bidi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3562" w:type="dxa"/>
            <w:tcBorders>
              <w:tl2br w:val="nil"/>
              <w:tr2bl w:val="nil"/>
            </w:tcBorders>
            <w:vAlign w:val="center"/>
          </w:tcPr>
          <w:p w14:paraId="073F4FCA">
            <w:pPr>
              <w:pageBreakBefore w:val="0"/>
              <w:shd w:val="clear"/>
              <w:kinsoku/>
              <w:overflowPunct/>
              <w:topLinePunct w:val="0"/>
              <w:bidi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实质性要求</w:t>
            </w:r>
          </w:p>
        </w:tc>
        <w:tc>
          <w:tcPr>
            <w:tcW w:w="3207" w:type="dxa"/>
            <w:tcBorders>
              <w:tl2br w:val="nil"/>
              <w:tr2bl w:val="nil"/>
            </w:tcBorders>
            <w:vAlign w:val="center"/>
          </w:tcPr>
          <w:p w14:paraId="3EF3D953">
            <w:pPr>
              <w:pageBreakBefore w:val="0"/>
              <w:shd w:val="clear"/>
              <w:kinsoku/>
              <w:overflowPunct/>
              <w:topLinePunct w:val="0"/>
              <w:bidi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需要提供的符合性审查资料</w:t>
            </w:r>
          </w:p>
        </w:tc>
        <w:tc>
          <w:tcPr>
            <w:tcW w:w="1665" w:type="dxa"/>
            <w:tcBorders>
              <w:tl2br w:val="nil"/>
              <w:tr2bl w:val="nil"/>
            </w:tcBorders>
            <w:vAlign w:val="center"/>
          </w:tcPr>
          <w:p w14:paraId="45DF1723">
            <w:pPr>
              <w:pageBreakBefore w:val="0"/>
              <w:shd w:val="clear"/>
              <w:kinsoku/>
              <w:overflowPunct/>
              <w:topLinePunct w:val="0"/>
              <w:bidi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投标文件中的页码位置</w:t>
            </w:r>
          </w:p>
        </w:tc>
      </w:tr>
      <w:tr w14:paraId="435FE8E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jc w:val="center"/>
        </w:trPr>
        <w:tc>
          <w:tcPr>
            <w:tcW w:w="643" w:type="dxa"/>
            <w:tcBorders>
              <w:tl2br w:val="nil"/>
              <w:tr2bl w:val="nil"/>
            </w:tcBorders>
            <w:vAlign w:val="center"/>
          </w:tcPr>
          <w:p w14:paraId="31C3ABBA">
            <w:pPr>
              <w:pageBreakBefore w:val="0"/>
              <w:shd w:val="clear"/>
              <w:kinsoku/>
              <w:overflowPunct/>
              <w:topLinePunct w:val="0"/>
              <w:bidi w:val="0"/>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3562" w:type="dxa"/>
            <w:tcBorders>
              <w:tl2br w:val="nil"/>
              <w:tr2bl w:val="nil"/>
            </w:tcBorders>
            <w:vAlign w:val="center"/>
          </w:tcPr>
          <w:p w14:paraId="2D7F895E">
            <w:pPr>
              <w:pageBreakBefore w:val="0"/>
              <w:shd w:val="clear"/>
              <w:kinsoku/>
              <w:overflowPunct/>
              <w:topLinePunct w:val="0"/>
              <w:bidi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投标文件按照招标文件要求签署、盖章。</w:t>
            </w:r>
          </w:p>
        </w:tc>
        <w:tc>
          <w:tcPr>
            <w:tcW w:w="3207" w:type="dxa"/>
            <w:tcBorders>
              <w:tl2br w:val="nil"/>
              <w:tr2bl w:val="nil"/>
            </w:tcBorders>
            <w:vAlign w:val="center"/>
          </w:tcPr>
          <w:p w14:paraId="35531934">
            <w:pPr>
              <w:pageBreakBefore w:val="0"/>
              <w:shd w:val="clear"/>
              <w:kinsoku/>
              <w:overflowPunct/>
              <w:topLinePunct w:val="0"/>
              <w:bidi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需要使用电子签名或者签字盖章的投标文件的组成部分</w:t>
            </w:r>
          </w:p>
        </w:tc>
        <w:tc>
          <w:tcPr>
            <w:tcW w:w="1665" w:type="dxa"/>
            <w:tcBorders>
              <w:tl2br w:val="nil"/>
              <w:tr2bl w:val="nil"/>
            </w:tcBorders>
            <w:vAlign w:val="center"/>
          </w:tcPr>
          <w:p w14:paraId="386B4FDD">
            <w:pPr>
              <w:pageBreakBefore w:val="0"/>
              <w:shd w:val="clear"/>
              <w:kinsoku/>
              <w:overflowPunct/>
              <w:topLinePunct w:val="0"/>
              <w:bidi w:val="0"/>
              <w:spacing w:line="360" w:lineRule="auto"/>
              <w:jc w:val="left"/>
              <w:rPr>
                <w:rFonts w:hint="eastAsia" w:ascii="宋体" w:hAnsi="宋体" w:eastAsia="宋体" w:cs="宋体"/>
                <w:color w:val="auto"/>
                <w:sz w:val="21"/>
                <w:szCs w:val="21"/>
                <w:highlight w:val="none"/>
              </w:rPr>
            </w:pPr>
          </w:p>
          <w:p w14:paraId="06E047D8">
            <w:pPr>
              <w:pageBreakBefore w:val="0"/>
              <w:shd w:val="clear"/>
              <w:kinsoku/>
              <w:overflowPunct/>
              <w:topLinePunct w:val="0"/>
              <w:bidi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见投标文件</w:t>
            </w:r>
          </w:p>
          <w:p w14:paraId="27AF8304">
            <w:pPr>
              <w:pageBreakBefore w:val="0"/>
              <w:shd w:val="clear"/>
              <w:kinsoku/>
              <w:overflowPunct/>
              <w:topLinePunct w:val="0"/>
              <w:bidi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第页</w:t>
            </w:r>
          </w:p>
        </w:tc>
      </w:tr>
      <w:tr w14:paraId="275854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643" w:type="dxa"/>
            <w:tcBorders>
              <w:tl2br w:val="nil"/>
              <w:tr2bl w:val="nil"/>
            </w:tcBorders>
            <w:vAlign w:val="center"/>
          </w:tcPr>
          <w:p w14:paraId="68242BDA">
            <w:pPr>
              <w:pageBreakBefore w:val="0"/>
              <w:shd w:val="clear"/>
              <w:kinsoku/>
              <w:overflowPunct/>
              <w:topLinePunct w:val="0"/>
              <w:bidi w:val="0"/>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3562" w:type="dxa"/>
            <w:tcBorders>
              <w:tl2br w:val="nil"/>
              <w:tr2bl w:val="nil"/>
            </w:tcBorders>
            <w:vAlign w:val="center"/>
          </w:tcPr>
          <w:p w14:paraId="3D53847C">
            <w:pPr>
              <w:pageBreakBefore w:val="0"/>
              <w:shd w:val="clear"/>
              <w:kinsoku/>
              <w:overflowPunct/>
              <w:topLinePunct w:val="0"/>
              <w:bidi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投标文件中承诺的投标有效期不少于招标文件中载明的投标有效期。</w:t>
            </w:r>
          </w:p>
        </w:tc>
        <w:tc>
          <w:tcPr>
            <w:tcW w:w="3207" w:type="dxa"/>
            <w:tcBorders>
              <w:tl2br w:val="nil"/>
              <w:tr2bl w:val="nil"/>
            </w:tcBorders>
            <w:vAlign w:val="center"/>
          </w:tcPr>
          <w:p w14:paraId="6B0AE185">
            <w:pPr>
              <w:pageBreakBefore w:val="0"/>
              <w:shd w:val="clear"/>
              <w:kinsoku/>
              <w:overflowPunct/>
              <w:topLinePunct w:val="0"/>
              <w:bidi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投标函</w:t>
            </w:r>
          </w:p>
        </w:tc>
        <w:tc>
          <w:tcPr>
            <w:tcW w:w="1665" w:type="dxa"/>
            <w:tcBorders>
              <w:tl2br w:val="nil"/>
              <w:tr2bl w:val="nil"/>
            </w:tcBorders>
            <w:vAlign w:val="center"/>
          </w:tcPr>
          <w:p w14:paraId="798EE1AE">
            <w:pPr>
              <w:pageBreakBefore w:val="0"/>
              <w:shd w:val="clear"/>
              <w:kinsoku/>
              <w:overflowPunct/>
              <w:topLinePunct w:val="0"/>
              <w:bidi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见投标文件</w:t>
            </w:r>
          </w:p>
          <w:p w14:paraId="0A478450">
            <w:pPr>
              <w:pageBreakBefore w:val="0"/>
              <w:shd w:val="clear"/>
              <w:kinsoku/>
              <w:overflowPunct/>
              <w:topLinePunct w:val="0"/>
              <w:bidi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第页</w:t>
            </w:r>
          </w:p>
        </w:tc>
      </w:tr>
      <w:tr w14:paraId="5A2CD5F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jc w:val="center"/>
        </w:trPr>
        <w:tc>
          <w:tcPr>
            <w:tcW w:w="643" w:type="dxa"/>
            <w:tcBorders>
              <w:tl2br w:val="nil"/>
              <w:tr2bl w:val="nil"/>
            </w:tcBorders>
            <w:vAlign w:val="center"/>
          </w:tcPr>
          <w:p w14:paraId="5538E178">
            <w:pPr>
              <w:pageBreakBefore w:val="0"/>
              <w:shd w:val="clear"/>
              <w:kinsoku/>
              <w:overflowPunct/>
              <w:topLinePunct w:val="0"/>
              <w:bidi w:val="0"/>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p>
        </w:tc>
        <w:tc>
          <w:tcPr>
            <w:tcW w:w="3562" w:type="dxa"/>
            <w:tcBorders>
              <w:tl2br w:val="nil"/>
              <w:tr2bl w:val="nil"/>
            </w:tcBorders>
            <w:vAlign w:val="center"/>
          </w:tcPr>
          <w:p w14:paraId="2B564286">
            <w:pPr>
              <w:pageBreakBefore w:val="0"/>
              <w:shd w:val="clear"/>
              <w:kinsoku/>
              <w:overflowPunct/>
              <w:topLinePunct w:val="0"/>
              <w:bidi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投标文件满足招标文件的其它实质性要求。</w:t>
            </w:r>
          </w:p>
        </w:tc>
        <w:tc>
          <w:tcPr>
            <w:tcW w:w="3207" w:type="dxa"/>
            <w:tcBorders>
              <w:tl2br w:val="nil"/>
              <w:tr2bl w:val="nil"/>
            </w:tcBorders>
            <w:vAlign w:val="center"/>
          </w:tcPr>
          <w:p w14:paraId="41DB4BAB">
            <w:pPr>
              <w:pageBreakBefore w:val="0"/>
              <w:shd w:val="clear"/>
              <w:kinsoku/>
              <w:overflowPunct/>
              <w:topLinePunct w:val="0"/>
              <w:bidi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招标文件其它实质性要求相应的材料（“▲”系指实质性要求条款，招标文件无其它实质性要求的，无需提供）</w:t>
            </w:r>
          </w:p>
        </w:tc>
        <w:tc>
          <w:tcPr>
            <w:tcW w:w="1665" w:type="dxa"/>
            <w:tcBorders>
              <w:tl2br w:val="nil"/>
              <w:tr2bl w:val="nil"/>
            </w:tcBorders>
            <w:vAlign w:val="center"/>
          </w:tcPr>
          <w:p w14:paraId="256E5457">
            <w:pPr>
              <w:pageBreakBefore w:val="0"/>
              <w:shd w:val="clear"/>
              <w:kinsoku/>
              <w:overflowPunct/>
              <w:topLinePunct w:val="0"/>
              <w:bidi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见投标文件</w:t>
            </w:r>
          </w:p>
          <w:p w14:paraId="19CE6C03">
            <w:pPr>
              <w:pageBreakBefore w:val="0"/>
              <w:shd w:val="clear"/>
              <w:kinsoku/>
              <w:overflowPunct/>
              <w:topLinePunct w:val="0"/>
              <w:bidi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第页</w:t>
            </w:r>
          </w:p>
        </w:tc>
      </w:tr>
    </w:tbl>
    <w:p w14:paraId="7BA65DF9">
      <w:pPr>
        <w:pageBreakBefore w:val="0"/>
        <w:shd w:val="clear"/>
        <w:kinsoku/>
        <w:overflowPunct/>
        <w:topLinePunct w:val="0"/>
        <w:bidi w:val="0"/>
        <w:spacing w:line="360" w:lineRule="auto"/>
        <w:ind w:right="420"/>
        <w:rPr>
          <w:rFonts w:hint="eastAsia" w:ascii="宋体" w:hAnsi="宋体" w:eastAsia="宋体" w:cs="宋体"/>
          <w:color w:val="auto"/>
          <w:highlight w:val="none"/>
        </w:rPr>
      </w:pPr>
      <w:r>
        <w:rPr>
          <w:rFonts w:hint="eastAsia" w:ascii="宋体" w:hAnsi="宋体" w:eastAsia="宋体" w:cs="宋体"/>
          <w:color w:val="auto"/>
          <w:highlight w:val="none"/>
        </w:rPr>
        <w:t>注：</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按本格式和要求提供。</w:t>
      </w:r>
    </w:p>
    <w:p w14:paraId="4C70D31D">
      <w:pPr>
        <w:pageBreakBefore w:val="0"/>
        <w:shd w:val="clear"/>
        <w:kinsoku/>
        <w:overflowPunct/>
        <w:topLinePunct w:val="0"/>
        <w:bidi w:val="0"/>
        <w:spacing w:line="360" w:lineRule="auto"/>
        <w:ind w:right="420" w:firstLine="420" w:firstLineChars="200"/>
        <w:rPr>
          <w:rFonts w:hint="eastAsia" w:ascii="宋体" w:hAnsi="宋体" w:eastAsia="宋体" w:cs="宋体"/>
          <w:color w:val="auto"/>
          <w:highlight w:val="none"/>
          <w:lang w:val="en" w:eastAsia="zh-CN"/>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val="en" w:eastAsia="zh-CN"/>
        </w:rPr>
        <w:t>招标文件中实质性要求必须明确响应。</w:t>
      </w:r>
    </w:p>
    <w:p w14:paraId="58444471">
      <w:pPr>
        <w:pageBreakBefore w:val="0"/>
        <w:shd w:val="clear"/>
        <w:kinsoku/>
        <w:overflowPunct/>
        <w:topLinePunct w:val="0"/>
        <w:bidi w:val="0"/>
        <w:spacing w:line="360" w:lineRule="auto"/>
        <w:jc w:val="center"/>
        <w:rPr>
          <w:rFonts w:hint="eastAsia" w:ascii="宋体" w:hAnsi="宋体" w:eastAsia="宋体" w:cs="宋体"/>
          <w:b/>
          <w:color w:val="auto"/>
          <w:kern w:val="0"/>
          <w:sz w:val="32"/>
          <w:szCs w:val="32"/>
          <w:highlight w:val="none"/>
        </w:rPr>
      </w:pPr>
    </w:p>
    <w:p w14:paraId="3324E72C">
      <w:pPr>
        <w:pageBreakBefore w:val="0"/>
        <w:shd w:val="clear"/>
        <w:kinsoku/>
        <w:overflowPunct/>
        <w:topLinePunct w:val="0"/>
        <w:bidi w:val="0"/>
        <w:spacing w:line="360" w:lineRule="auto"/>
        <w:jc w:val="center"/>
        <w:rPr>
          <w:rFonts w:hint="eastAsia" w:ascii="宋体" w:hAnsi="宋体" w:eastAsia="宋体" w:cs="宋体"/>
          <w:b/>
          <w:color w:val="auto"/>
          <w:kern w:val="0"/>
          <w:sz w:val="32"/>
          <w:szCs w:val="32"/>
          <w:highlight w:val="none"/>
        </w:rPr>
      </w:pPr>
    </w:p>
    <w:p w14:paraId="6FA9DE4D">
      <w:pPr>
        <w:pageBreakBefore w:val="0"/>
        <w:shd w:val="clear"/>
        <w:kinsoku/>
        <w:overflowPunct/>
        <w:topLinePunct w:val="0"/>
        <w:bidi w:val="0"/>
        <w:spacing w:line="360" w:lineRule="auto"/>
        <w:jc w:val="center"/>
        <w:rPr>
          <w:rFonts w:hint="eastAsia" w:ascii="宋体" w:hAnsi="宋体" w:eastAsia="宋体" w:cs="宋体"/>
          <w:b/>
          <w:color w:val="auto"/>
          <w:kern w:val="0"/>
          <w:sz w:val="32"/>
          <w:szCs w:val="32"/>
          <w:highlight w:val="none"/>
        </w:rPr>
      </w:pPr>
    </w:p>
    <w:p w14:paraId="564638DB">
      <w:pPr>
        <w:pageBreakBefore w:val="0"/>
        <w:shd w:val="clear"/>
        <w:kinsoku/>
        <w:overflowPunct/>
        <w:topLinePunct w:val="0"/>
        <w:bidi w:val="0"/>
        <w:spacing w:line="360" w:lineRule="auto"/>
        <w:jc w:val="center"/>
        <w:rPr>
          <w:rFonts w:hint="eastAsia" w:ascii="宋体" w:hAnsi="宋体" w:eastAsia="宋体" w:cs="宋体"/>
          <w:b/>
          <w:color w:val="auto"/>
          <w:kern w:val="0"/>
          <w:sz w:val="32"/>
          <w:szCs w:val="32"/>
          <w:highlight w:val="none"/>
        </w:rPr>
      </w:pPr>
    </w:p>
    <w:p w14:paraId="7DA9262C">
      <w:pPr>
        <w:pageBreakBefore w:val="0"/>
        <w:shd w:val="clear"/>
        <w:kinsoku/>
        <w:overflowPunct/>
        <w:topLinePunct w:val="0"/>
        <w:bidi w:val="0"/>
        <w:spacing w:line="360" w:lineRule="auto"/>
        <w:jc w:val="center"/>
        <w:rPr>
          <w:rFonts w:hint="eastAsia" w:ascii="宋体" w:hAnsi="宋体" w:eastAsia="宋体" w:cs="宋体"/>
          <w:b/>
          <w:color w:val="auto"/>
          <w:kern w:val="0"/>
          <w:sz w:val="32"/>
          <w:szCs w:val="32"/>
          <w:highlight w:val="none"/>
        </w:rPr>
      </w:pPr>
    </w:p>
    <w:p w14:paraId="2DC034CF">
      <w:pPr>
        <w:pageBreakBefore w:val="0"/>
        <w:shd w:val="clear"/>
        <w:kinsoku/>
        <w:overflowPunct/>
        <w:topLinePunct w:val="0"/>
        <w:bidi w:val="0"/>
        <w:spacing w:line="360" w:lineRule="auto"/>
        <w:jc w:val="center"/>
        <w:rPr>
          <w:rFonts w:hint="eastAsia" w:ascii="宋体" w:hAnsi="宋体" w:eastAsia="宋体" w:cs="宋体"/>
          <w:b/>
          <w:color w:val="auto"/>
          <w:kern w:val="0"/>
          <w:sz w:val="32"/>
          <w:szCs w:val="32"/>
          <w:highlight w:val="none"/>
        </w:rPr>
      </w:pPr>
    </w:p>
    <w:p w14:paraId="75CDAC09">
      <w:pPr>
        <w:pageBreakBefore w:val="0"/>
        <w:shd w:val="clear"/>
        <w:kinsoku/>
        <w:overflowPunct/>
        <w:topLinePunct w:val="0"/>
        <w:bidi w:val="0"/>
        <w:spacing w:line="360" w:lineRule="auto"/>
        <w:jc w:val="center"/>
        <w:rPr>
          <w:rFonts w:hint="eastAsia" w:ascii="宋体" w:hAnsi="宋体" w:eastAsia="宋体" w:cs="宋体"/>
          <w:b/>
          <w:color w:val="auto"/>
          <w:kern w:val="0"/>
          <w:sz w:val="32"/>
          <w:szCs w:val="32"/>
          <w:highlight w:val="none"/>
        </w:rPr>
      </w:pPr>
    </w:p>
    <w:p w14:paraId="238E2477">
      <w:pPr>
        <w:pageBreakBefore w:val="0"/>
        <w:shd w:val="clear"/>
        <w:kinsoku/>
        <w:overflowPunct/>
        <w:topLinePunct w:val="0"/>
        <w:bidi w:val="0"/>
        <w:spacing w:line="360" w:lineRule="auto"/>
        <w:jc w:val="center"/>
        <w:rPr>
          <w:rFonts w:hint="eastAsia" w:ascii="宋体" w:hAnsi="宋体" w:eastAsia="宋体" w:cs="宋体"/>
          <w:b/>
          <w:color w:val="auto"/>
          <w:kern w:val="0"/>
          <w:sz w:val="32"/>
          <w:szCs w:val="32"/>
          <w:highlight w:val="none"/>
        </w:rPr>
      </w:pPr>
    </w:p>
    <w:p w14:paraId="0BF49C49">
      <w:pPr>
        <w:pageBreakBefore w:val="0"/>
        <w:shd w:val="clear"/>
        <w:kinsoku/>
        <w:overflowPunct/>
        <w:topLinePunct w:val="0"/>
        <w:bidi w:val="0"/>
        <w:spacing w:line="360" w:lineRule="auto"/>
        <w:jc w:val="center"/>
        <w:rPr>
          <w:rFonts w:hint="eastAsia" w:ascii="宋体" w:hAnsi="宋体" w:eastAsia="宋体" w:cs="宋体"/>
          <w:b/>
          <w:color w:val="auto"/>
          <w:kern w:val="0"/>
          <w:sz w:val="32"/>
          <w:szCs w:val="32"/>
          <w:highlight w:val="none"/>
        </w:rPr>
      </w:pPr>
    </w:p>
    <w:p w14:paraId="1A011485">
      <w:pPr>
        <w:pageBreakBefore w:val="0"/>
        <w:shd w:val="clear"/>
        <w:kinsoku/>
        <w:overflowPunct/>
        <w:topLinePunct w:val="0"/>
        <w:bidi w:val="0"/>
        <w:spacing w:line="360" w:lineRule="auto"/>
        <w:jc w:val="center"/>
        <w:rPr>
          <w:rFonts w:hint="eastAsia" w:ascii="宋体" w:hAnsi="宋体" w:eastAsia="宋体" w:cs="宋体"/>
          <w:b/>
          <w:color w:val="auto"/>
          <w:kern w:val="0"/>
          <w:sz w:val="32"/>
          <w:szCs w:val="32"/>
          <w:highlight w:val="none"/>
        </w:rPr>
      </w:pPr>
    </w:p>
    <w:p w14:paraId="3EC7F802">
      <w:pPr>
        <w:pageBreakBefore w:val="0"/>
        <w:shd w:val="clear"/>
        <w:kinsoku/>
        <w:overflowPunct/>
        <w:topLinePunct w:val="0"/>
        <w:bidi w:val="0"/>
        <w:spacing w:line="360" w:lineRule="auto"/>
        <w:jc w:val="center"/>
        <w:rPr>
          <w:rFonts w:hint="eastAsia" w:ascii="宋体" w:hAnsi="宋体" w:eastAsia="宋体" w:cs="宋体"/>
          <w:b/>
          <w:color w:val="auto"/>
          <w:kern w:val="0"/>
          <w:sz w:val="32"/>
          <w:szCs w:val="32"/>
          <w:highlight w:val="none"/>
        </w:rPr>
      </w:pPr>
    </w:p>
    <w:p w14:paraId="0FF3EF9D">
      <w:pPr>
        <w:pageBreakBefore w:val="0"/>
        <w:shd w:val="clear"/>
        <w:kinsoku/>
        <w:overflowPunct/>
        <w:topLinePunct w:val="0"/>
        <w:bidi w:val="0"/>
        <w:spacing w:line="360" w:lineRule="auto"/>
        <w:jc w:val="center"/>
        <w:outlineLvl w:val="1"/>
        <w:rPr>
          <w:rFonts w:hint="eastAsia" w:ascii="宋体" w:hAnsi="宋体" w:eastAsia="宋体" w:cs="宋体"/>
          <w:b/>
          <w:color w:val="auto"/>
          <w:kern w:val="0"/>
          <w:sz w:val="32"/>
          <w:szCs w:val="32"/>
          <w:highlight w:val="none"/>
          <w:lang w:val="zh-CN"/>
        </w:rPr>
      </w:pPr>
      <w:bookmarkStart w:id="125" w:name="_Toc8115"/>
      <w:bookmarkStart w:id="126" w:name="_Toc24683"/>
      <w:bookmarkStart w:id="127" w:name="_Toc16272"/>
      <w:bookmarkStart w:id="128" w:name="_Toc8723"/>
      <w:bookmarkStart w:id="129" w:name="_Toc15553"/>
      <w:bookmarkStart w:id="130" w:name="_Toc24281"/>
      <w:r>
        <w:rPr>
          <w:rFonts w:hint="eastAsia" w:ascii="宋体" w:hAnsi="宋体" w:eastAsia="宋体" w:cs="宋体"/>
          <w:b/>
          <w:color w:val="auto"/>
          <w:kern w:val="0"/>
          <w:sz w:val="32"/>
          <w:szCs w:val="32"/>
          <w:highlight w:val="none"/>
          <w:lang w:val="zh-CN"/>
        </w:rPr>
        <w:t>六、评标标准相应的商务技术资料</w:t>
      </w:r>
      <w:bookmarkEnd w:id="125"/>
      <w:bookmarkEnd w:id="126"/>
      <w:bookmarkEnd w:id="127"/>
      <w:bookmarkEnd w:id="128"/>
      <w:bookmarkEnd w:id="129"/>
      <w:bookmarkEnd w:id="130"/>
    </w:p>
    <w:p w14:paraId="27BD27FA">
      <w:pPr>
        <w:pageBreakBefore w:val="0"/>
        <w:shd w:val="clear"/>
        <w:kinsoku/>
        <w:overflowPunct/>
        <w:topLinePunct w:val="0"/>
        <w:bidi w:val="0"/>
        <w:spacing w:line="360" w:lineRule="auto"/>
        <w:jc w:val="left"/>
        <w:rPr>
          <w:rFonts w:hint="eastAsia" w:ascii="宋体" w:hAnsi="宋体" w:eastAsia="宋体" w:cs="宋体"/>
          <w:b/>
          <w:color w:val="auto"/>
          <w:highlight w:val="none"/>
        </w:rPr>
      </w:pPr>
    </w:p>
    <w:p w14:paraId="2AA6BC7F">
      <w:pPr>
        <w:pageBreakBefore w:val="0"/>
        <w:shd w:val="clear"/>
        <w:kinsoku/>
        <w:overflowPunct/>
        <w:topLinePunct w:val="0"/>
        <w:bidi w:val="0"/>
        <w:spacing w:line="360" w:lineRule="auto"/>
        <w:jc w:val="left"/>
        <w:rPr>
          <w:rFonts w:hint="eastAsia" w:ascii="宋体" w:hAnsi="宋体" w:eastAsia="宋体" w:cs="宋体"/>
          <w:b/>
          <w:color w:val="auto"/>
          <w:highlight w:val="none"/>
        </w:rPr>
      </w:pPr>
      <w:r>
        <w:rPr>
          <w:rFonts w:hint="eastAsia" w:ascii="宋体" w:hAnsi="宋体" w:eastAsia="宋体" w:cs="宋体"/>
          <w:b/>
          <w:color w:val="auto"/>
          <w:highlight w:val="none"/>
        </w:rPr>
        <w:t>（按招标文件第</w:t>
      </w:r>
      <w:r>
        <w:rPr>
          <w:rFonts w:hint="eastAsia" w:ascii="宋体" w:hAnsi="宋体" w:eastAsia="宋体" w:cs="宋体"/>
          <w:b/>
          <w:color w:val="auto"/>
          <w:highlight w:val="none"/>
          <w:lang w:eastAsia="zh-CN"/>
        </w:rPr>
        <w:t>五</w:t>
      </w:r>
      <w:r>
        <w:rPr>
          <w:rFonts w:hint="eastAsia" w:ascii="宋体" w:hAnsi="宋体" w:eastAsia="宋体" w:cs="宋体"/>
          <w:b/>
          <w:color w:val="auto"/>
          <w:highlight w:val="none"/>
        </w:rPr>
        <w:t>部分</w:t>
      </w:r>
      <w:r>
        <w:rPr>
          <w:rFonts w:hint="eastAsia" w:ascii="宋体" w:hAnsi="宋体" w:eastAsia="宋体" w:cs="宋体"/>
          <w:b/>
          <w:color w:val="auto"/>
          <w:highlight w:val="none"/>
          <w:lang w:eastAsia="zh-CN"/>
        </w:rPr>
        <w:t>评标标准</w:t>
      </w:r>
      <w:r>
        <w:rPr>
          <w:rFonts w:hint="eastAsia" w:ascii="宋体" w:hAnsi="宋体" w:eastAsia="宋体" w:cs="宋体"/>
          <w:b/>
          <w:color w:val="auto"/>
          <w:highlight w:val="none"/>
        </w:rPr>
        <w:t>前附表中“投标文件中评标标准相应的商务技术资料目录”提供资料）</w:t>
      </w:r>
    </w:p>
    <w:p w14:paraId="3C654721">
      <w:pPr>
        <w:pageBreakBefore w:val="0"/>
        <w:shd w:val="clear"/>
        <w:kinsoku/>
        <w:overflowPunct/>
        <w:topLinePunct w:val="0"/>
        <w:bidi w:val="0"/>
        <w:spacing w:line="360" w:lineRule="auto"/>
        <w:jc w:val="center"/>
        <w:rPr>
          <w:rFonts w:hint="eastAsia" w:ascii="宋体" w:hAnsi="宋体" w:eastAsia="宋体" w:cs="宋体"/>
          <w:b/>
          <w:color w:val="auto"/>
          <w:kern w:val="0"/>
          <w:sz w:val="32"/>
          <w:szCs w:val="32"/>
          <w:highlight w:val="none"/>
        </w:rPr>
      </w:pPr>
    </w:p>
    <w:p w14:paraId="2E3AC313">
      <w:pPr>
        <w:pageBreakBefore w:val="0"/>
        <w:shd w:val="clear"/>
        <w:kinsoku/>
        <w:overflowPunct/>
        <w:topLinePunct w:val="0"/>
        <w:bidi w:val="0"/>
        <w:spacing w:line="360" w:lineRule="auto"/>
        <w:jc w:val="center"/>
        <w:rPr>
          <w:rFonts w:hint="eastAsia" w:ascii="宋体" w:hAnsi="宋体" w:eastAsia="宋体" w:cs="宋体"/>
          <w:b/>
          <w:color w:val="auto"/>
          <w:kern w:val="0"/>
          <w:sz w:val="32"/>
          <w:szCs w:val="32"/>
          <w:highlight w:val="none"/>
        </w:rPr>
      </w:pPr>
    </w:p>
    <w:p w14:paraId="39E1F3A6">
      <w:pPr>
        <w:pageBreakBefore w:val="0"/>
        <w:shd w:val="clear"/>
        <w:kinsoku/>
        <w:overflowPunct/>
        <w:topLinePunct w:val="0"/>
        <w:bidi w:val="0"/>
        <w:spacing w:line="360" w:lineRule="auto"/>
        <w:jc w:val="center"/>
        <w:rPr>
          <w:rFonts w:hint="eastAsia" w:ascii="宋体" w:hAnsi="宋体" w:eastAsia="宋体" w:cs="宋体"/>
          <w:b/>
          <w:color w:val="auto"/>
          <w:kern w:val="0"/>
          <w:sz w:val="32"/>
          <w:szCs w:val="32"/>
          <w:highlight w:val="none"/>
        </w:rPr>
      </w:pPr>
    </w:p>
    <w:p w14:paraId="23570FA6">
      <w:pPr>
        <w:pageBreakBefore w:val="0"/>
        <w:shd w:val="clear"/>
        <w:kinsoku/>
        <w:overflowPunct/>
        <w:topLinePunct w:val="0"/>
        <w:bidi w:val="0"/>
        <w:spacing w:line="360" w:lineRule="auto"/>
        <w:jc w:val="center"/>
        <w:rPr>
          <w:rFonts w:hint="eastAsia" w:ascii="宋体" w:hAnsi="宋体" w:eastAsia="宋体" w:cs="宋体"/>
          <w:b/>
          <w:color w:val="auto"/>
          <w:kern w:val="0"/>
          <w:sz w:val="32"/>
          <w:szCs w:val="32"/>
          <w:highlight w:val="none"/>
        </w:rPr>
      </w:pPr>
    </w:p>
    <w:p w14:paraId="18BA85C0">
      <w:pPr>
        <w:pageBreakBefore w:val="0"/>
        <w:shd w:val="clear"/>
        <w:kinsoku/>
        <w:overflowPunct/>
        <w:topLinePunct w:val="0"/>
        <w:bidi w:val="0"/>
        <w:spacing w:line="360" w:lineRule="auto"/>
        <w:jc w:val="center"/>
        <w:rPr>
          <w:rFonts w:hint="eastAsia" w:ascii="宋体" w:hAnsi="宋体" w:eastAsia="宋体" w:cs="宋体"/>
          <w:b/>
          <w:color w:val="auto"/>
          <w:kern w:val="0"/>
          <w:sz w:val="32"/>
          <w:szCs w:val="32"/>
          <w:highlight w:val="none"/>
        </w:rPr>
      </w:pPr>
    </w:p>
    <w:p w14:paraId="53B9F379">
      <w:pPr>
        <w:pageBreakBefore w:val="0"/>
        <w:shd w:val="clear"/>
        <w:kinsoku/>
        <w:overflowPunct/>
        <w:topLinePunct w:val="0"/>
        <w:bidi w:val="0"/>
        <w:spacing w:line="360" w:lineRule="auto"/>
        <w:jc w:val="center"/>
        <w:rPr>
          <w:rFonts w:hint="eastAsia" w:ascii="宋体" w:hAnsi="宋体" w:eastAsia="宋体" w:cs="宋体"/>
          <w:b/>
          <w:color w:val="auto"/>
          <w:kern w:val="0"/>
          <w:sz w:val="32"/>
          <w:szCs w:val="32"/>
          <w:highlight w:val="none"/>
        </w:rPr>
      </w:pPr>
    </w:p>
    <w:p w14:paraId="71E20733">
      <w:pPr>
        <w:pageBreakBefore w:val="0"/>
        <w:shd w:val="clear"/>
        <w:kinsoku/>
        <w:overflowPunct/>
        <w:topLinePunct w:val="0"/>
        <w:bidi w:val="0"/>
        <w:spacing w:line="360" w:lineRule="auto"/>
        <w:jc w:val="center"/>
        <w:rPr>
          <w:rFonts w:hint="eastAsia" w:ascii="宋体" w:hAnsi="宋体" w:eastAsia="宋体" w:cs="宋体"/>
          <w:b/>
          <w:color w:val="auto"/>
          <w:kern w:val="0"/>
          <w:sz w:val="32"/>
          <w:szCs w:val="32"/>
          <w:highlight w:val="none"/>
        </w:rPr>
      </w:pPr>
    </w:p>
    <w:p w14:paraId="687E8D94">
      <w:pPr>
        <w:pageBreakBefore w:val="0"/>
        <w:shd w:val="clear"/>
        <w:kinsoku/>
        <w:overflowPunct/>
        <w:topLinePunct w:val="0"/>
        <w:bidi w:val="0"/>
        <w:spacing w:line="360" w:lineRule="auto"/>
        <w:jc w:val="center"/>
        <w:rPr>
          <w:rFonts w:hint="eastAsia" w:ascii="宋体" w:hAnsi="宋体" w:eastAsia="宋体" w:cs="宋体"/>
          <w:b/>
          <w:color w:val="auto"/>
          <w:kern w:val="0"/>
          <w:sz w:val="32"/>
          <w:szCs w:val="32"/>
          <w:highlight w:val="none"/>
        </w:rPr>
      </w:pPr>
    </w:p>
    <w:p w14:paraId="09EFC6F8">
      <w:pPr>
        <w:pageBreakBefore w:val="0"/>
        <w:shd w:val="clear"/>
        <w:kinsoku/>
        <w:overflowPunct/>
        <w:topLinePunct w:val="0"/>
        <w:bidi w:val="0"/>
        <w:spacing w:line="360" w:lineRule="auto"/>
        <w:jc w:val="center"/>
        <w:rPr>
          <w:rFonts w:hint="eastAsia" w:ascii="宋体" w:hAnsi="宋体" w:eastAsia="宋体" w:cs="宋体"/>
          <w:b/>
          <w:color w:val="auto"/>
          <w:kern w:val="0"/>
          <w:sz w:val="32"/>
          <w:szCs w:val="32"/>
          <w:highlight w:val="none"/>
        </w:rPr>
      </w:pPr>
    </w:p>
    <w:p w14:paraId="4F31E4C8">
      <w:pPr>
        <w:pageBreakBefore w:val="0"/>
        <w:shd w:val="clear"/>
        <w:kinsoku/>
        <w:overflowPunct/>
        <w:topLinePunct w:val="0"/>
        <w:bidi w:val="0"/>
        <w:spacing w:line="360" w:lineRule="auto"/>
        <w:jc w:val="center"/>
        <w:rPr>
          <w:rFonts w:hint="eastAsia" w:ascii="宋体" w:hAnsi="宋体" w:eastAsia="宋体" w:cs="宋体"/>
          <w:b/>
          <w:color w:val="auto"/>
          <w:kern w:val="0"/>
          <w:sz w:val="32"/>
          <w:szCs w:val="32"/>
          <w:highlight w:val="none"/>
        </w:rPr>
      </w:pPr>
    </w:p>
    <w:p w14:paraId="1DC45D15">
      <w:pPr>
        <w:pageBreakBefore w:val="0"/>
        <w:shd w:val="clear"/>
        <w:kinsoku/>
        <w:overflowPunct/>
        <w:topLinePunct w:val="0"/>
        <w:bidi w:val="0"/>
        <w:spacing w:line="360" w:lineRule="auto"/>
        <w:jc w:val="center"/>
        <w:rPr>
          <w:rFonts w:hint="eastAsia" w:ascii="宋体" w:hAnsi="宋体" w:eastAsia="宋体" w:cs="宋体"/>
          <w:b/>
          <w:color w:val="auto"/>
          <w:kern w:val="0"/>
          <w:sz w:val="32"/>
          <w:szCs w:val="32"/>
          <w:highlight w:val="none"/>
        </w:rPr>
      </w:pPr>
    </w:p>
    <w:p w14:paraId="443413ED">
      <w:pPr>
        <w:pageBreakBefore w:val="0"/>
        <w:shd w:val="clear"/>
        <w:kinsoku/>
        <w:overflowPunct/>
        <w:topLinePunct w:val="0"/>
        <w:bidi w:val="0"/>
        <w:spacing w:line="360" w:lineRule="auto"/>
        <w:jc w:val="center"/>
        <w:rPr>
          <w:rFonts w:hint="eastAsia" w:ascii="宋体" w:hAnsi="宋体" w:eastAsia="宋体" w:cs="宋体"/>
          <w:b/>
          <w:color w:val="auto"/>
          <w:kern w:val="0"/>
          <w:sz w:val="32"/>
          <w:szCs w:val="32"/>
          <w:highlight w:val="none"/>
        </w:rPr>
      </w:pPr>
    </w:p>
    <w:p w14:paraId="37724ABC">
      <w:pPr>
        <w:pageBreakBefore w:val="0"/>
        <w:shd w:val="clear"/>
        <w:kinsoku/>
        <w:overflowPunct/>
        <w:topLinePunct w:val="0"/>
        <w:bidi w:val="0"/>
        <w:spacing w:line="360" w:lineRule="auto"/>
        <w:jc w:val="center"/>
        <w:rPr>
          <w:rFonts w:hint="eastAsia" w:ascii="宋体" w:hAnsi="宋体" w:eastAsia="宋体" w:cs="宋体"/>
          <w:b/>
          <w:color w:val="auto"/>
          <w:kern w:val="0"/>
          <w:sz w:val="32"/>
          <w:szCs w:val="32"/>
          <w:highlight w:val="none"/>
        </w:rPr>
      </w:pPr>
    </w:p>
    <w:p w14:paraId="6280F9AA">
      <w:pPr>
        <w:pageBreakBefore w:val="0"/>
        <w:shd w:val="clear"/>
        <w:kinsoku/>
        <w:overflowPunct/>
        <w:topLinePunct w:val="0"/>
        <w:bidi w:val="0"/>
        <w:spacing w:line="360" w:lineRule="auto"/>
        <w:jc w:val="center"/>
        <w:rPr>
          <w:rFonts w:hint="eastAsia" w:ascii="宋体" w:hAnsi="宋体" w:eastAsia="宋体" w:cs="宋体"/>
          <w:b/>
          <w:color w:val="auto"/>
          <w:kern w:val="0"/>
          <w:sz w:val="32"/>
          <w:szCs w:val="32"/>
          <w:highlight w:val="none"/>
        </w:rPr>
      </w:pPr>
    </w:p>
    <w:p w14:paraId="7DDBF515">
      <w:pPr>
        <w:pageBreakBefore w:val="0"/>
        <w:shd w:val="clear"/>
        <w:kinsoku/>
        <w:overflowPunct/>
        <w:topLinePunct w:val="0"/>
        <w:bidi w:val="0"/>
        <w:spacing w:line="360" w:lineRule="auto"/>
        <w:jc w:val="center"/>
        <w:rPr>
          <w:rFonts w:hint="eastAsia" w:ascii="宋体" w:hAnsi="宋体" w:eastAsia="宋体" w:cs="宋体"/>
          <w:b/>
          <w:color w:val="auto"/>
          <w:kern w:val="0"/>
          <w:sz w:val="32"/>
          <w:szCs w:val="32"/>
          <w:highlight w:val="none"/>
        </w:rPr>
      </w:pPr>
    </w:p>
    <w:p w14:paraId="10451186">
      <w:pPr>
        <w:pageBreakBefore w:val="0"/>
        <w:shd w:val="clear"/>
        <w:kinsoku/>
        <w:overflowPunct/>
        <w:topLinePunct w:val="0"/>
        <w:bidi w:val="0"/>
        <w:spacing w:line="360" w:lineRule="auto"/>
        <w:jc w:val="center"/>
        <w:rPr>
          <w:rFonts w:hint="eastAsia" w:ascii="宋体" w:hAnsi="宋体" w:eastAsia="宋体" w:cs="宋体"/>
          <w:b/>
          <w:color w:val="auto"/>
          <w:kern w:val="0"/>
          <w:sz w:val="32"/>
          <w:szCs w:val="32"/>
          <w:highlight w:val="none"/>
        </w:rPr>
      </w:pPr>
    </w:p>
    <w:p w14:paraId="229FBC55">
      <w:pPr>
        <w:pageBreakBefore w:val="0"/>
        <w:shd w:val="clear"/>
        <w:kinsoku/>
        <w:overflowPunct/>
        <w:topLinePunct w:val="0"/>
        <w:bidi w:val="0"/>
        <w:spacing w:line="360" w:lineRule="auto"/>
        <w:jc w:val="center"/>
        <w:rPr>
          <w:rFonts w:hint="eastAsia" w:ascii="宋体" w:hAnsi="宋体" w:eastAsia="宋体" w:cs="宋体"/>
          <w:b/>
          <w:color w:val="auto"/>
          <w:kern w:val="0"/>
          <w:sz w:val="32"/>
          <w:szCs w:val="32"/>
          <w:highlight w:val="none"/>
        </w:rPr>
      </w:pPr>
    </w:p>
    <w:p w14:paraId="0201E5FC">
      <w:pPr>
        <w:pageBreakBefore w:val="0"/>
        <w:shd w:val="clear"/>
        <w:kinsoku/>
        <w:overflowPunct/>
        <w:topLinePunct w:val="0"/>
        <w:bidi w:val="0"/>
        <w:spacing w:line="360" w:lineRule="auto"/>
        <w:jc w:val="center"/>
        <w:rPr>
          <w:rFonts w:hint="eastAsia" w:ascii="宋体" w:hAnsi="宋体" w:eastAsia="宋体" w:cs="宋体"/>
          <w:b/>
          <w:color w:val="auto"/>
          <w:kern w:val="0"/>
          <w:sz w:val="32"/>
          <w:szCs w:val="32"/>
          <w:highlight w:val="none"/>
        </w:rPr>
      </w:pPr>
    </w:p>
    <w:p w14:paraId="0DFC3AA1">
      <w:pPr>
        <w:pageBreakBefore w:val="0"/>
        <w:shd w:val="clear"/>
        <w:kinsoku/>
        <w:overflowPunct/>
        <w:topLinePunct w:val="0"/>
        <w:bidi w:val="0"/>
        <w:spacing w:line="360" w:lineRule="auto"/>
        <w:jc w:val="center"/>
        <w:rPr>
          <w:rFonts w:hint="eastAsia" w:ascii="宋体" w:hAnsi="宋体" w:eastAsia="宋体" w:cs="宋体"/>
          <w:b/>
          <w:color w:val="auto"/>
          <w:kern w:val="0"/>
          <w:sz w:val="32"/>
          <w:szCs w:val="32"/>
          <w:highlight w:val="none"/>
        </w:rPr>
      </w:pPr>
    </w:p>
    <w:p w14:paraId="1DEAE8A8">
      <w:pPr>
        <w:pageBreakBefore w:val="0"/>
        <w:shd w:val="clear"/>
        <w:kinsoku/>
        <w:overflowPunct/>
        <w:topLinePunct w:val="0"/>
        <w:bidi w:val="0"/>
        <w:spacing w:line="360" w:lineRule="auto"/>
        <w:rPr>
          <w:rFonts w:hint="eastAsia" w:ascii="宋体" w:hAnsi="宋体" w:eastAsia="宋体" w:cs="宋体"/>
          <w:b/>
          <w:color w:val="auto"/>
          <w:kern w:val="0"/>
          <w:sz w:val="32"/>
          <w:szCs w:val="32"/>
          <w:highlight w:val="none"/>
        </w:rPr>
      </w:pPr>
    </w:p>
    <w:p w14:paraId="4C9168AC">
      <w:pPr>
        <w:pageBreakBefore w:val="0"/>
        <w:shd w:val="clear"/>
        <w:kinsoku/>
        <w:overflowPunct/>
        <w:topLinePunct w:val="0"/>
        <w:bidi w:val="0"/>
        <w:spacing w:line="360" w:lineRule="auto"/>
        <w:rPr>
          <w:rFonts w:hint="eastAsia" w:ascii="宋体" w:hAnsi="宋体" w:eastAsia="宋体" w:cs="宋体"/>
          <w:b/>
          <w:color w:val="auto"/>
          <w:kern w:val="0"/>
          <w:sz w:val="32"/>
          <w:szCs w:val="32"/>
          <w:highlight w:val="none"/>
          <w:lang w:val="zh-CN"/>
        </w:rPr>
      </w:pPr>
      <w:bookmarkStart w:id="131" w:name="_Toc108"/>
      <w:bookmarkStart w:id="132" w:name="_Toc647"/>
      <w:bookmarkStart w:id="133" w:name="_Toc27053"/>
      <w:bookmarkStart w:id="134" w:name="_Toc20352"/>
      <w:bookmarkStart w:id="135" w:name="_Toc12306"/>
      <w:r>
        <w:rPr>
          <w:rFonts w:hint="eastAsia" w:ascii="宋体" w:hAnsi="宋体" w:eastAsia="宋体" w:cs="宋体"/>
          <w:b/>
          <w:color w:val="auto"/>
          <w:kern w:val="0"/>
          <w:sz w:val="32"/>
          <w:szCs w:val="32"/>
          <w:highlight w:val="none"/>
          <w:lang w:val="zh-CN"/>
        </w:rPr>
        <w:br w:type="page"/>
      </w:r>
    </w:p>
    <w:p w14:paraId="754DBDCA">
      <w:pPr>
        <w:pageBreakBefore w:val="0"/>
        <w:shd w:val="clear"/>
        <w:kinsoku/>
        <w:overflowPunct/>
        <w:topLinePunct w:val="0"/>
        <w:bidi w:val="0"/>
        <w:spacing w:line="360" w:lineRule="auto"/>
        <w:jc w:val="center"/>
        <w:outlineLvl w:val="1"/>
        <w:rPr>
          <w:rFonts w:hint="eastAsia" w:ascii="宋体" w:hAnsi="宋体" w:eastAsia="宋体" w:cs="宋体"/>
          <w:b/>
          <w:color w:val="auto"/>
          <w:kern w:val="0"/>
          <w:sz w:val="32"/>
          <w:szCs w:val="32"/>
          <w:highlight w:val="none"/>
          <w:lang w:val="zh-CN"/>
        </w:rPr>
      </w:pPr>
      <w:bookmarkStart w:id="136" w:name="_Toc27989"/>
      <w:r>
        <w:rPr>
          <w:rFonts w:hint="eastAsia" w:ascii="宋体" w:hAnsi="宋体" w:eastAsia="宋体" w:cs="宋体"/>
          <w:b/>
          <w:color w:val="auto"/>
          <w:kern w:val="0"/>
          <w:sz w:val="32"/>
          <w:szCs w:val="32"/>
          <w:highlight w:val="none"/>
          <w:lang w:val="zh-CN"/>
        </w:rPr>
        <w:t>七、商务技术偏离表</w:t>
      </w:r>
      <w:bookmarkEnd w:id="131"/>
      <w:bookmarkEnd w:id="132"/>
      <w:bookmarkEnd w:id="133"/>
      <w:bookmarkEnd w:id="134"/>
      <w:bookmarkEnd w:id="135"/>
      <w:bookmarkEnd w:id="136"/>
    </w:p>
    <w:p w14:paraId="0555D44B">
      <w:pPr>
        <w:pageBreakBefore w:val="0"/>
        <w:shd w:val="clear"/>
        <w:kinsoku/>
        <w:overflowPunct/>
        <w:topLinePunct w:val="0"/>
        <w:bidi w:val="0"/>
        <w:spacing w:line="360" w:lineRule="auto"/>
        <w:jc w:val="center"/>
        <w:rPr>
          <w:rFonts w:hint="eastAsia" w:ascii="宋体" w:hAnsi="宋体" w:eastAsia="宋体" w:cs="宋体"/>
          <w:b/>
          <w:bCs/>
          <w:color w:val="auto"/>
          <w:highlight w:val="none"/>
        </w:rPr>
      </w:pPr>
    </w:p>
    <w:tbl>
      <w:tblPr>
        <w:tblStyle w:val="47"/>
        <w:tblW w:w="9464"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564D80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tcBorders>
              <w:tl2br w:val="nil"/>
              <w:tr2bl w:val="nil"/>
            </w:tcBorders>
            <w:vAlign w:val="center"/>
          </w:tcPr>
          <w:p w14:paraId="39950B00">
            <w:pPr>
              <w:pageBreakBefore w:val="0"/>
              <w:shd w:val="clear"/>
              <w:kinsoku/>
              <w:overflowPunct/>
              <w:topLinePunct w:val="0"/>
              <w:bidi w:val="0"/>
              <w:spacing w:line="360" w:lineRule="auto"/>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序号</w:t>
            </w:r>
          </w:p>
        </w:tc>
        <w:tc>
          <w:tcPr>
            <w:tcW w:w="3683" w:type="dxa"/>
            <w:tcBorders>
              <w:tl2br w:val="nil"/>
              <w:tr2bl w:val="nil"/>
            </w:tcBorders>
            <w:vAlign w:val="center"/>
          </w:tcPr>
          <w:p w14:paraId="37362D8D">
            <w:pPr>
              <w:pageBreakBefore w:val="0"/>
              <w:shd w:val="clear"/>
              <w:kinsoku/>
              <w:overflowPunct/>
              <w:topLinePunct w:val="0"/>
              <w:bidi w:val="0"/>
              <w:spacing w:line="360" w:lineRule="auto"/>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招标文件章节及具体内容</w:t>
            </w:r>
          </w:p>
        </w:tc>
        <w:tc>
          <w:tcPr>
            <w:tcW w:w="3546" w:type="dxa"/>
            <w:tcBorders>
              <w:tl2br w:val="nil"/>
              <w:tr2bl w:val="nil"/>
            </w:tcBorders>
            <w:vAlign w:val="center"/>
          </w:tcPr>
          <w:p w14:paraId="26B40835">
            <w:pPr>
              <w:pageBreakBefore w:val="0"/>
              <w:shd w:val="clear"/>
              <w:kinsoku/>
              <w:overflowPunct/>
              <w:topLinePunct w:val="0"/>
              <w:bidi w:val="0"/>
              <w:spacing w:line="360" w:lineRule="auto"/>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投标文件章节及具体内容</w:t>
            </w:r>
          </w:p>
        </w:tc>
        <w:tc>
          <w:tcPr>
            <w:tcW w:w="1276" w:type="dxa"/>
            <w:tcBorders>
              <w:tl2br w:val="nil"/>
              <w:tr2bl w:val="nil"/>
            </w:tcBorders>
            <w:vAlign w:val="center"/>
          </w:tcPr>
          <w:p w14:paraId="310BE20B">
            <w:pPr>
              <w:pageBreakBefore w:val="0"/>
              <w:shd w:val="clear"/>
              <w:kinsoku/>
              <w:overflowPunct/>
              <w:topLinePunct w:val="0"/>
              <w:bidi w:val="0"/>
              <w:spacing w:line="360" w:lineRule="auto"/>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偏离说明</w:t>
            </w:r>
          </w:p>
        </w:tc>
      </w:tr>
      <w:tr w14:paraId="3F73EC0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tcBorders>
              <w:tl2br w:val="nil"/>
              <w:tr2bl w:val="nil"/>
            </w:tcBorders>
            <w:vAlign w:val="center"/>
          </w:tcPr>
          <w:p w14:paraId="4A47427E">
            <w:pPr>
              <w:pageBreakBefore w:val="0"/>
              <w:shd w:val="clear"/>
              <w:kinsoku/>
              <w:overflowPunct/>
              <w:topLinePunct w:val="0"/>
              <w:bidi w:val="0"/>
              <w:spacing w:line="360" w:lineRule="auto"/>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w:t>
            </w:r>
          </w:p>
        </w:tc>
        <w:tc>
          <w:tcPr>
            <w:tcW w:w="3683" w:type="dxa"/>
            <w:tcBorders>
              <w:tl2br w:val="nil"/>
              <w:tr2bl w:val="nil"/>
            </w:tcBorders>
            <w:vAlign w:val="center"/>
          </w:tcPr>
          <w:p w14:paraId="4B45C111">
            <w:pPr>
              <w:pageBreakBefore w:val="0"/>
              <w:shd w:val="clear"/>
              <w:kinsoku/>
              <w:overflowPunct/>
              <w:topLinePunct w:val="0"/>
              <w:bidi w:val="0"/>
              <w:spacing w:line="360" w:lineRule="auto"/>
              <w:jc w:val="center"/>
              <w:rPr>
                <w:rFonts w:hint="eastAsia" w:ascii="宋体" w:hAnsi="宋体" w:eastAsia="宋体" w:cs="宋体"/>
                <w:b/>
                <w:color w:val="auto"/>
                <w:kern w:val="0"/>
                <w:sz w:val="32"/>
                <w:szCs w:val="32"/>
                <w:highlight w:val="none"/>
              </w:rPr>
            </w:pPr>
          </w:p>
        </w:tc>
        <w:tc>
          <w:tcPr>
            <w:tcW w:w="3546" w:type="dxa"/>
            <w:tcBorders>
              <w:tl2br w:val="nil"/>
              <w:tr2bl w:val="nil"/>
            </w:tcBorders>
            <w:vAlign w:val="center"/>
          </w:tcPr>
          <w:p w14:paraId="59D1813F">
            <w:pPr>
              <w:pageBreakBefore w:val="0"/>
              <w:shd w:val="clear"/>
              <w:kinsoku/>
              <w:overflowPunct/>
              <w:topLinePunct w:val="0"/>
              <w:bidi w:val="0"/>
              <w:spacing w:line="360" w:lineRule="auto"/>
              <w:jc w:val="center"/>
              <w:rPr>
                <w:rFonts w:hint="eastAsia" w:ascii="宋体" w:hAnsi="宋体" w:eastAsia="宋体" w:cs="宋体"/>
                <w:b/>
                <w:color w:val="auto"/>
                <w:kern w:val="0"/>
                <w:sz w:val="32"/>
                <w:szCs w:val="32"/>
                <w:highlight w:val="none"/>
              </w:rPr>
            </w:pPr>
          </w:p>
        </w:tc>
        <w:tc>
          <w:tcPr>
            <w:tcW w:w="1276" w:type="dxa"/>
            <w:tcBorders>
              <w:tl2br w:val="nil"/>
              <w:tr2bl w:val="nil"/>
            </w:tcBorders>
            <w:vAlign w:val="center"/>
          </w:tcPr>
          <w:p w14:paraId="321626AF">
            <w:pPr>
              <w:pageBreakBefore w:val="0"/>
              <w:shd w:val="clear"/>
              <w:kinsoku/>
              <w:overflowPunct/>
              <w:topLinePunct w:val="0"/>
              <w:bidi w:val="0"/>
              <w:spacing w:line="360" w:lineRule="auto"/>
              <w:jc w:val="center"/>
              <w:rPr>
                <w:rFonts w:hint="eastAsia" w:ascii="宋体" w:hAnsi="宋体" w:eastAsia="宋体" w:cs="宋体"/>
                <w:b/>
                <w:color w:val="auto"/>
                <w:kern w:val="0"/>
                <w:sz w:val="32"/>
                <w:szCs w:val="32"/>
                <w:highlight w:val="none"/>
              </w:rPr>
            </w:pPr>
          </w:p>
        </w:tc>
      </w:tr>
      <w:tr w14:paraId="1B46A40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tcBorders>
              <w:tl2br w:val="nil"/>
              <w:tr2bl w:val="nil"/>
            </w:tcBorders>
            <w:vAlign w:val="center"/>
          </w:tcPr>
          <w:p w14:paraId="783A740A">
            <w:pPr>
              <w:pageBreakBefore w:val="0"/>
              <w:shd w:val="clear"/>
              <w:kinsoku/>
              <w:overflowPunct/>
              <w:topLinePunct w:val="0"/>
              <w:bidi w:val="0"/>
              <w:spacing w:line="360" w:lineRule="auto"/>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2</w:t>
            </w:r>
          </w:p>
        </w:tc>
        <w:tc>
          <w:tcPr>
            <w:tcW w:w="3683" w:type="dxa"/>
            <w:tcBorders>
              <w:tl2br w:val="nil"/>
              <w:tr2bl w:val="nil"/>
            </w:tcBorders>
            <w:vAlign w:val="center"/>
          </w:tcPr>
          <w:p w14:paraId="60E6D472">
            <w:pPr>
              <w:pageBreakBefore w:val="0"/>
              <w:shd w:val="clear"/>
              <w:kinsoku/>
              <w:overflowPunct/>
              <w:topLinePunct w:val="0"/>
              <w:bidi w:val="0"/>
              <w:spacing w:line="360" w:lineRule="auto"/>
              <w:jc w:val="center"/>
              <w:rPr>
                <w:rFonts w:hint="eastAsia" w:ascii="宋体" w:hAnsi="宋体" w:eastAsia="宋体" w:cs="宋体"/>
                <w:b/>
                <w:color w:val="auto"/>
                <w:kern w:val="0"/>
                <w:sz w:val="32"/>
                <w:szCs w:val="32"/>
                <w:highlight w:val="none"/>
              </w:rPr>
            </w:pPr>
          </w:p>
        </w:tc>
        <w:tc>
          <w:tcPr>
            <w:tcW w:w="3546" w:type="dxa"/>
            <w:tcBorders>
              <w:tl2br w:val="nil"/>
              <w:tr2bl w:val="nil"/>
            </w:tcBorders>
            <w:vAlign w:val="center"/>
          </w:tcPr>
          <w:p w14:paraId="5763600A">
            <w:pPr>
              <w:pageBreakBefore w:val="0"/>
              <w:shd w:val="clear"/>
              <w:kinsoku/>
              <w:overflowPunct/>
              <w:topLinePunct w:val="0"/>
              <w:bidi w:val="0"/>
              <w:spacing w:line="360" w:lineRule="auto"/>
              <w:jc w:val="center"/>
              <w:rPr>
                <w:rFonts w:hint="eastAsia" w:ascii="宋体" w:hAnsi="宋体" w:eastAsia="宋体" w:cs="宋体"/>
                <w:b/>
                <w:color w:val="auto"/>
                <w:kern w:val="0"/>
                <w:sz w:val="32"/>
                <w:szCs w:val="32"/>
                <w:highlight w:val="none"/>
              </w:rPr>
            </w:pPr>
          </w:p>
        </w:tc>
        <w:tc>
          <w:tcPr>
            <w:tcW w:w="1276" w:type="dxa"/>
            <w:tcBorders>
              <w:tl2br w:val="nil"/>
              <w:tr2bl w:val="nil"/>
            </w:tcBorders>
            <w:vAlign w:val="center"/>
          </w:tcPr>
          <w:p w14:paraId="0F4CF5F8">
            <w:pPr>
              <w:pageBreakBefore w:val="0"/>
              <w:shd w:val="clear"/>
              <w:kinsoku/>
              <w:overflowPunct/>
              <w:topLinePunct w:val="0"/>
              <w:bidi w:val="0"/>
              <w:spacing w:line="360" w:lineRule="auto"/>
              <w:jc w:val="center"/>
              <w:rPr>
                <w:rFonts w:hint="eastAsia" w:ascii="宋体" w:hAnsi="宋体" w:eastAsia="宋体" w:cs="宋体"/>
                <w:b/>
                <w:color w:val="auto"/>
                <w:kern w:val="0"/>
                <w:sz w:val="32"/>
                <w:szCs w:val="32"/>
                <w:highlight w:val="none"/>
              </w:rPr>
            </w:pPr>
          </w:p>
        </w:tc>
      </w:tr>
      <w:tr w14:paraId="711F5AA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tcBorders>
              <w:tl2br w:val="nil"/>
              <w:tr2bl w:val="nil"/>
            </w:tcBorders>
            <w:vAlign w:val="center"/>
          </w:tcPr>
          <w:p w14:paraId="777D4754">
            <w:pPr>
              <w:pageBreakBefore w:val="0"/>
              <w:shd w:val="clear"/>
              <w:kinsoku/>
              <w:overflowPunct/>
              <w:topLinePunct w:val="0"/>
              <w:bidi w:val="0"/>
              <w:spacing w:line="360" w:lineRule="auto"/>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w:t>
            </w:r>
          </w:p>
        </w:tc>
        <w:tc>
          <w:tcPr>
            <w:tcW w:w="3683" w:type="dxa"/>
            <w:tcBorders>
              <w:tl2br w:val="nil"/>
              <w:tr2bl w:val="nil"/>
            </w:tcBorders>
            <w:vAlign w:val="center"/>
          </w:tcPr>
          <w:p w14:paraId="7BB9AD14">
            <w:pPr>
              <w:pageBreakBefore w:val="0"/>
              <w:shd w:val="clear"/>
              <w:kinsoku/>
              <w:overflowPunct/>
              <w:topLinePunct w:val="0"/>
              <w:bidi w:val="0"/>
              <w:spacing w:line="360" w:lineRule="auto"/>
              <w:jc w:val="center"/>
              <w:rPr>
                <w:rFonts w:hint="eastAsia" w:ascii="宋体" w:hAnsi="宋体" w:eastAsia="宋体" w:cs="宋体"/>
                <w:b/>
                <w:color w:val="auto"/>
                <w:kern w:val="0"/>
                <w:sz w:val="32"/>
                <w:szCs w:val="32"/>
                <w:highlight w:val="none"/>
              </w:rPr>
            </w:pPr>
          </w:p>
        </w:tc>
        <w:tc>
          <w:tcPr>
            <w:tcW w:w="3546" w:type="dxa"/>
            <w:tcBorders>
              <w:tl2br w:val="nil"/>
              <w:tr2bl w:val="nil"/>
            </w:tcBorders>
            <w:vAlign w:val="center"/>
          </w:tcPr>
          <w:p w14:paraId="770CF7DE">
            <w:pPr>
              <w:pageBreakBefore w:val="0"/>
              <w:shd w:val="clear"/>
              <w:kinsoku/>
              <w:overflowPunct/>
              <w:topLinePunct w:val="0"/>
              <w:bidi w:val="0"/>
              <w:spacing w:line="360" w:lineRule="auto"/>
              <w:jc w:val="center"/>
              <w:rPr>
                <w:rFonts w:hint="eastAsia" w:ascii="宋体" w:hAnsi="宋体" w:eastAsia="宋体" w:cs="宋体"/>
                <w:b/>
                <w:color w:val="auto"/>
                <w:kern w:val="0"/>
                <w:sz w:val="32"/>
                <w:szCs w:val="32"/>
                <w:highlight w:val="none"/>
              </w:rPr>
            </w:pPr>
          </w:p>
        </w:tc>
        <w:tc>
          <w:tcPr>
            <w:tcW w:w="1276" w:type="dxa"/>
            <w:tcBorders>
              <w:tl2br w:val="nil"/>
              <w:tr2bl w:val="nil"/>
            </w:tcBorders>
            <w:vAlign w:val="center"/>
          </w:tcPr>
          <w:p w14:paraId="404DCD81">
            <w:pPr>
              <w:pageBreakBefore w:val="0"/>
              <w:shd w:val="clear"/>
              <w:kinsoku/>
              <w:overflowPunct/>
              <w:topLinePunct w:val="0"/>
              <w:bidi w:val="0"/>
              <w:spacing w:line="360" w:lineRule="auto"/>
              <w:jc w:val="center"/>
              <w:rPr>
                <w:rFonts w:hint="eastAsia" w:ascii="宋体" w:hAnsi="宋体" w:eastAsia="宋体" w:cs="宋体"/>
                <w:b/>
                <w:color w:val="auto"/>
                <w:kern w:val="0"/>
                <w:sz w:val="32"/>
                <w:szCs w:val="32"/>
                <w:highlight w:val="none"/>
              </w:rPr>
            </w:pPr>
          </w:p>
        </w:tc>
      </w:tr>
    </w:tbl>
    <w:p w14:paraId="1BC34C0C">
      <w:pPr>
        <w:pageBreakBefore w:val="0"/>
        <w:shd w:val="clear"/>
        <w:kinsoku/>
        <w:overflowPunct/>
        <w:topLinePunct w:val="0"/>
        <w:bidi w:val="0"/>
        <w:spacing w:line="360" w:lineRule="auto"/>
        <w:ind w:right="420"/>
        <w:rPr>
          <w:rFonts w:hint="eastAsia" w:ascii="宋体" w:hAnsi="宋体" w:eastAsia="宋体" w:cs="宋体"/>
          <w:color w:val="auto"/>
          <w:highlight w:val="none"/>
        </w:rPr>
      </w:pPr>
    </w:p>
    <w:p w14:paraId="3E3BCAD3">
      <w:pPr>
        <w:pageBreakBefore w:val="0"/>
        <w:shd w:val="clear"/>
        <w:kinsoku/>
        <w:overflowPunct/>
        <w:topLinePunct w:val="0"/>
        <w:bidi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注：</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按本格式和要求提供。</w:t>
      </w:r>
    </w:p>
    <w:p w14:paraId="68A7056D">
      <w:pPr>
        <w:pageBreakBefore w:val="0"/>
        <w:shd w:val="clear"/>
        <w:kinsoku/>
        <w:overflowPunct/>
        <w:topLinePunct w:val="0"/>
        <w:bidi w:val="0"/>
        <w:spacing w:line="360" w:lineRule="auto"/>
        <w:ind w:firstLine="420" w:firstLineChars="200"/>
        <w:rPr>
          <w:rFonts w:hint="eastAsia" w:ascii="宋体" w:hAnsi="宋体" w:eastAsia="宋体" w:cs="宋体"/>
          <w:color w:val="auto"/>
          <w:highlight w:val="none"/>
          <w:lang w:val="en" w:eastAsia="zh-CN"/>
        </w:rPr>
      </w:pPr>
      <w:r>
        <w:rPr>
          <w:rFonts w:hint="eastAsia" w:ascii="宋体" w:hAnsi="宋体" w:eastAsia="宋体" w:cs="宋体"/>
          <w:color w:val="auto"/>
          <w:highlight w:val="none"/>
          <w:lang w:val="en" w:eastAsia="zh-CN"/>
        </w:rPr>
        <w:t>2.本表格所反映的偏离情况与“符合性审查资料”、“评标标准相应的商务技术资料”不一致的，以“符合性审查资料”、“评标标准相应的商务技术资料”为准。</w:t>
      </w:r>
    </w:p>
    <w:p w14:paraId="7DD53F60">
      <w:pPr>
        <w:pageBreakBefore w:val="0"/>
        <w:shd w:val="clear"/>
        <w:kinsoku/>
        <w:overflowPunct/>
        <w:topLinePunct w:val="0"/>
        <w:bidi w:val="0"/>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 w:eastAsia="zh-CN"/>
        </w:rPr>
        <w:t>3.投标人须保证：除商务技术偏离表列出的偏离外，投标人响应招标文件的全部非实质性要求。</w:t>
      </w:r>
    </w:p>
    <w:p w14:paraId="0965238A">
      <w:pPr>
        <w:pageBreakBefore w:val="0"/>
        <w:shd w:val="clear"/>
        <w:kinsoku/>
        <w:overflowPunct/>
        <w:topLinePunct w:val="0"/>
        <w:bidi w:val="0"/>
        <w:spacing w:line="360" w:lineRule="auto"/>
        <w:jc w:val="center"/>
        <w:rPr>
          <w:rFonts w:hint="eastAsia" w:ascii="宋体" w:hAnsi="宋体" w:eastAsia="宋体" w:cs="宋体"/>
          <w:b/>
          <w:color w:val="auto"/>
          <w:sz w:val="30"/>
          <w:szCs w:val="30"/>
          <w:highlight w:val="none"/>
          <w:lang w:eastAsia="zh-CN"/>
        </w:rPr>
      </w:pPr>
      <w:r>
        <w:rPr>
          <w:rFonts w:hint="eastAsia" w:ascii="宋体" w:hAnsi="宋体" w:eastAsia="宋体" w:cs="宋体"/>
          <w:b/>
          <w:color w:val="auto"/>
          <w:kern w:val="0"/>
          <w:sz w:val="32"/>
          <w:szCs w:val="32"/>
          <w:highlight w:val="none"/>
        </w:rPr>
        <w:br w:type="page"/>
      </w:r>
      <w:bookmarkStart w:id="137" w:name="_Toc23159"/>
      <w:r>
        <w:rPr>
          <w:rFonts w:hint="eastAsia" w:ascii="宋体" w:hAnsi="宋体" w:eastAsia="宋体" w:cs="宋体"/>
          <w:b/>
          <w:color w:val="auto"/>
          <w:kern w:val="0"/>
          <w:sz w:val="32"/>
          <w:szCs w:val="32"/>
          <w:highlight w:val="none"/>
          <w:lang w:val="zh-CN"/>
        </w:rPr>
        <w:t>八、</w:t>
      </w:r>
      <w:r>
        <w:rPr>
          <w:rFonts w:hint="eastAsia" w:ascii="宋体" w:hAnsi="宋体" w:eastAsia="宋体" w:cs="宋体"/>
          <w:b/>
          <w:color w:val="auto"/>
          <w:sz w:val="30"/>
          <w:szCs w:val="30"/>
          <w:highlight w:val="none"/>
          <w:lang w:eastAsia="zh-CN"/>
        </w:rPr>
        <w:t>拟投入</w:t>
      </w:r>
      <w:r>
        <w:rPr>
          <w:rFonts w:hint="eastAsia" w:ascii="宋体" w:hAnsi="宋体" w:eastAsia="宋体" w:cs="宋体"/>
          <w:b/>
          <w:color w:val="auto"/>
          <w:sz w:val="30"/>
          <w:szCs w:val="30"/>
          <w:highlight w:val="none"/>
          <w:lang w:val="en-US" w:eastAsia="zh-CN"/>
        </w:rPr>
        <w:t>软硬件</w:t>
      </w:r>
      <w:r>
        <w:rPr>
          <w:rFonts w:hint="eastAsia" w:ascii="宋体" w:hAnsi="宋体" w:eastAsia="宋体" w:cs="宋体"/>
          <w:b/>
          <w:color w:val="auto"/>
          <w:sz w:val="30"/>
          <w:szCs w:val="30"/>
          <w:highlight w:val="none"/>
        </w:rPr>
        <w:t>清单</w:t>
      </w:r>
      <w:r>
        <w:rPr>
          <w:rFonts w:hint="eastAsia" w:ascii="宋体" w:hAnsi="宋体" w:eastAsia="宋体" w:cs="宋体"/>
          <w:b/>
          <w:color w:val="auto"/>
          <w:sz w:val="30"/>
          <w:szCs w:val="30"/>
          <w:highlight w:val="none"/>
          <w:lang w:eastAsia="zh-CN"/>
        </w:rPr>
        <w:t>（</w:t>
      </w:r>
      <w:r>
        <w:rPr>
          <w:rFonts w:hint="eastAsia" w:ascii="宋体" w:hAnsi="宋体" w:eastAsia="宋体" w:cs="宋体"/>
          <w:b/>
          <w:color w:val="auto"/>
          <w:sz w:val="30"/>
          <w:szCs w:val="30"/>
          <w:highlight w:val="none"/>
          <w:lang w:val="en-US" w:eastAsia="zh-CN"/>
        </w:rPr>
        <w:t>如有</w:t>
      </w:r>
      <w:r>
        <w:rPr>
          <w:rFonts w:hint="eastAsia" w:ascii="宋体" w:hAnsi="宋体" w:eastAsia="宋体" w:cs="宋体"/>
          <w:b/>
          <w:color w:val="auto"/>
          <w:sz w:val="30"/>
          <w:szCs w:val="30"/>
          <w:highlight w:val="none"/>
          <w:lang w:eastAsia="zh-CN"/>
        </w:rPr>
        <w:t>）</w:t>
      </w:r>
    </w:p>
    <w:p w14:paraId="52DCA49A">
      <w:pPr>
        <w:pageBreakBefore w:val="0"/>
        <w:shd w:val="clear"/>
        <w:kinsoku/>
        <w:overflowPunct/>
        <w:topLinePunct w:val="0"/>
        <w:bidi w:val="0"/>
        <w:spacing w:line="360" w:lineRule="auto"/>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 xml:space="preserve">项目名称： </w:t>
      </w:r>
      <w:r>
        <w:rPr>
          <w:rFonts w:hint="eastAsia" w:ascii="宋体" w:hAnsi="宋体" w:eastAsia="宋体" w:cs="宋体"/>
          <w:color w:val="auto"/>
          <w:szCs w:val="21"/>
          <w:highlight w:val="none"/>
        </w:rPr>
        <w:t xml:space="preserve"> </w:t>
      </w:r>
    </w:p>
    <w:p w14:paraId="3D655FAC">
      <w:pPr>
        <w:pageBreakBefore w:val="0"/>
        <w:shd w:val="clear"/>
        <w:kinsoku/>
        <w:overflowPunct/>
        <w:topLinePunct w:val="0"/>
        <w:bidi w:val="0"/>
        <w:spacing w:line="360" w:lineRule="auto"/>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 xml:space="preserve">项目编号： </w:t>
      </w:r>
    </w:p>
    <w:tbl>
      <w:tblPr>
        <w:tblStyle w:val="46"/>
        <w:tblW w:w="9255"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982"/>
        <w:gridCol w:w="819"/>
        <w:gridCol w:w="699"/>
        <w:gridCol w:w="1353"/>
        <w:gridCol w:w="1598"/>
        <w:gridCol w:w="1025"/>
        <w:gridCol w:w="1025"/>
      </w:tblGrid>
      <w:tr w14:paraId="17AC440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754" w:type="dxa"/>
            <w:vAlign w:val="center"/>
          </w:tcPr>
          <w:p w14:paraId="468C8CC4">
            <w:pPr>
              <w:pageBreakBefore w:val="0"/>
              <w:widowControl/>
              <w:shd w:val="clear"/>
              <w:kinsoku/>
              <w:overflowPunct/>
              <w:topLinePunct w:val="0"/>
              <w:bidi w:val="0"/>
              <w:spacing w:line="360" w:lineRule="auto"/>
              <w:jc w:val="center"/>
              <w:textAlignment w:val="center"/>
              <w:rPr>
                <w:rFonts w:hint="eastAsia" w:ascii="宋体" w:hAnsi="宋体" w:eastAsia="宋体" w:cs="宋体"/>
                <w:b/>
                <w:bCs/>
                <w:color w:val="auto"/>
                <w:szCs w:val="20"/>
                <w:highlight w:val="none"/>
              </w:rPr>
            </w:pPr>
            <w:r>
              <w:rPr>
                <w:rFonts w:hint="eastAsia" w:ascii="宋体" w:hAnsi="宋体" w:eastAsia="宋体" w:cs="宋体"/>
                <w:b/>
                <w:bCs/>
                <w:color w:val="auto"/>
                <w:kern w:val="0"/>
                <w:szCs w:val="21"/>
                <w:highlight w:val="none"/>
                <w:lang w:bidi="ar"/>
              </w:rPr>
              <w:t>序号</w:t>
            </w:r>
          </w:p>
        </w:tc>
        <w:tc>
          <w:tcPr>
            <w:tcW w:w="1982" w:type="dxa"/>
            <w:vAlign w:val="center"/>
          </w:tcPr>
          <w:p w14:paraId="234653F9">
            <w:pPr>
              <w:pageBreakBefore w:val="0"/>
              <w:widowControl/>
              <w:shd w:val="clear"/>
              <w:kinsoku/>
              <w:overflowPunct/>
              <w:topLinePunct w:val="0"/>
              <w:bidi w:val="0"/>
              <w:spacing w:line="360" w:lineRule="auto"/>
              <w:jc w:val="center"/>
              <w:textAlignment w:val="center"/>
              <w:rPr>
                <w:rFonts w:hint="eastAsia" w:ascii="宋体" w:hAnsi="宋体" w:eastAsia="宋体" w:cs="宋体"/>
                <w:b/>
                <w:bCs/>
                <w:color w:val="auto"/>
                <w:szCs w:val="20"/>
                <w:highlight w:val="none"/>
              </w:rPr>
            </w:pPr>
            <w:r>
              <w:rPr>
                <w:rFonts w:hint="eastAsia" w:ascii="宋体" w:hAnsi="宋体" w:eastAsia="宋体" w:cs="宋体"/>
                <w:b/>
                <w:bCs/>
                <w:color w:val="auto"/>
                <w:kern w:val="0"/>
                <w:szCs w:val="21"/>
                <w:highlight w:val="none"/>
                <w:lang w:bidi="ar"/>
              </w:rPr>
              <w:t>设备名称</w:t>
            </w:r>
          </w:p>
        </w:tc>
        <w:tc>
          <w:tcPr>
            <w:tcW w:w="819" w:type="dxa"/>
            <w:vAlign w:val="center"/>
          </w:tcPr>
          <w:p w14:paraId="00AC2A07">
            <w:pPr>
              <w:pageBreakBefore w:val="0"/>
              <w:widowControl/>
              <w:shd w:val="clear"/>
              <w:kinsoku/>
              <w:overflowPunct/>
              <w:topLinePunct w:val="0"/>
              <w:bidi w:val="0"/>
              <w:spacing w:line="360" w:lineRule="auto"/>
              <w:jc w:val="center"/>
              <w:textAlignment w:val="center"/>
              <w:rPr>
                <w:rFonts w:hint="eastAsia" w:ascii="宋体" w:hAnsi="宋体" w:eastAsia="宋体" w:cs="宋体"/>
                <w:b/>
                <w:bCs/>
                <w:color w:val="auto"/>
                <w:szCs w:val="20"/>
                <w:highlight w:val="none"/>
              </w:rPr>
            </w:pPr>
            <w:r>
              <w:rPr>
                <w:rFonts w:hint="eastAsia" w:ascii="宋体" w:hAnsi="宋体" w:eastAsia="宋体" w:cs="宋体"/>
                <w:b/>
                <w:bCs/>
                <w:color w:val="auto"/>
                <w:kern w:val="0"/>
                <w:szCs w:val="21"/>
                <w:highlight w:val="none"/>
                <w:lang w:bidi="ar"/>
              </w:rPr>
              <w:t>数量</w:t>
            </w:r>
          </w:p>
        </w:tc>
        <w:tc>
          <w:tcPr>
            <w:tcW w:w="699" w:type="dxa"/>
            <w:vAlign w:val="center"/>
          </w:tcPr>
          <w:p w14:paraId="3AB5EBD4">
            <w:pPr>
              <w:pageBreakBefore w:val="0"/>
              <w:widowControl/>
              <w:shd w:val="clear"/>
              <w:kinsoku/>
              <w:overflowPunct/>
              <w:topLinePunct w:val="0"/>
              <w:bidi w:val="0"/>
              <w:spacing w:line="360" w:lineRule="auto"/>
              <w:jc w:val="center"/>
              <w:textAlignment w:val="center"/>
              <w:rPr>
                <w:rFonts w:hint="eastAsia" w:ascii="宋体" w:hAnsi="宋体" w:eastAsia="宋体" w:cs="宋体"/>
                <w:b/>
                <w:bCs/>
                <w:color w:val="auto"/>
                <w:szCs w:val="20"/>
                <w:highlight w:val="none"/>
              </w:rPr>
            </w:pPr>
            <w:r>
              <w:rPr>
                <w:rFonts w:hint="eastAsia" w:ascii="宋体" w:hAnsi="宋体" w:eastAsia="宋体" w:cs="宋体"/>
                <w:b/>
                <w:bCs/>
                <w:color w:val="auto"/>
                <w:kern w:val="0"/>
                <w:szCs w:val="21"/>
                <w:highlight w:val="none"/>
                <w:lang w:bidi="ar"/>
              </w:rPr>
              <w:t>单位</w:t>
            </w:r>
          </w:p>
        </w:tc>
        <w:tc>
          <w:tcPr>
            <w:tcW w:w="1353" w:type="dxa"/>
            <w:vAlign w:val="center"/>
          </w:tcPr>
          <w:p w14:paraId="7CD650F4">
            <w:pPr>
              <w:pageBreakBefore w:val="0"/>
              <w:widowControl/>
              <w:shd w:val="clear"/>
              <w:kinsoku/>
              <w:overflowPunct/>
              <w:topLinePunct w:val="0"/>
              <w:bidi w:val="0"/>
              <w:spacing w:line="360" w:lineRule="auto"/>
              <w:jc w:val="center"/>
              <w:textAlignment w:val="center"/>
              <w:rPr>
                <w:rFonts w:hint="eastAsia" w:ascii="宋体" w:hAnsi="宋体" w:eastAsia="宋体" w:cs="宋体"/>
                <w:b/>
                <w:bCs/>
                <w:color w:val="auto"/>
                <w:szCs w:val="20"/>
                <w:highlight w:val="none"/>
              </w:rPr>
            </w:pPr>
            <w:r>
              <w:rPr>
                <w:rFonts w:hint="eastAsia" w:ascii="宋体" w:hAnsi="宋体" w:eastAsia="宋体" w:cs="宋体"/>
                <w:b/>
                <w:bCs/>
                <w:color w:val="auto"/>
                <w:kern w:val="0"/>
                <w:szCs w:val="21"/>
                <w:highlight w:val="none"/>
                <w:lang w:bidi="ar"/>
              </w:rPr>
              <w:t>品牌</w:t>
            </w:r>
          </w:p>
        </w:tc>
        <w:tc>
          <w:tcPr>
            <w:tcW w:w="1598" w:type="dxa"/>
            <w:vAlign w:val="center"/>
          </w:tcPr>
          <w:p w14:paraId="0100F78E">
            <w:pPr>
              <w:pageBreakBefore w:val="0"/>
              <w:shd w:val="clear"/>
              <w:kinsoku/>
              <w:overflowPunct/>
              <w:topLinePunct w:val="0"/>
              <w:bidi w:val="0"/>
              <w:spacing w:before="50" w:after="50" w:line="360" w:lineRule="auto"/>
              <w:jc w:val="center"/>
              <w:rPr>
                <w:rFonts w:hint="eastAsia" w:ascii="宋体" w:hAnsi="宋体" w:eastAsia="宋体" w:cs="宋体"/>
                <w:b/>
                <w:bCs/>
                <w:color w:val="auto"/>
                <w:szCs w:val="20"/>
                <w:highlight w:val="none"/>
              </w:rPr>
            </w:pPr>
            <w:r>
              <w:rPr>
                <w:rFonts w:hint="eastAsia" w:ascii="宋体" w:hAnsi="宋体" w:eastAsia="宋体" w:cs="宋体"/>
                <w:b/>
                <w:bCs/>
                <w:color w:val="auto"/>
                <w:highlight w:val="none"/>
              </w:rPr>
              <w:t>规格</w:t>
            </w:r>
            <w:r>
              <w:rPr>
                <w:rFonts w:hint="eastAsia" w:ascii="宋体" w:hAnsi="宋体" w:eastAsia="宋体" w:cs="宋体"/>
                <w:b/>
                <w:bCs/>
                <w:color w:val="auto"/>
                <w:kern w:val="0"/>
                <w:szCs w:val="21"/>
                <w:highlight w:val="none"/>
                <w:lang w:bidi="ar"/>
              </w:rPr>
              <w:t>型号</w:t>
            </w:r>
          </w:p>
        </w:tc>
        <w:tc>
          <w:tcPr>
            <w:tcW w:w="1025" w:type="dxa"/>
            <w:vAlign w:val="center"/>
          </w:tcPr>
          <w:p w14:paraId="48519A34">
            <w:pPr>
              <w:pageBreakBefore w:val="0"/>
              <w:shd w:val="clear"/>
              <w:kinsoku/>
              <w:overflowPunct/>
              <w:topLinePunct w:val="0"/>
              <w:bidi w:val="0"/>
              <w:spacing w:before="50" w:after="50" w:line="360" w:lineRule="auto"/>
              <w:jc w:val="center"/>
              <w:rPr>
                <w:rFonts w:hint="eastAsia" w:ascii="宋体" w:hAnsi="宋体" w:eastAsia="宋体" w:cs="宋体"/>
                <w:b/>
                <w:bCs/>
                <w:color w:val="auto"/>
                <w:szCs w:val="20"/>
                <w:highlight w:val="none"/>
              </w:rPr>
            </w:pPr>
            <w:r>
              <w:rPr>
                <w:rFonts w:hint="eastAsia" w:ascii="宋体" w:hAnsi="宋体" w:eastAsia="宋体" w:cs="宋体"/>
                <w:b/>
                <w:bCs/>
                <w:color w:val="auto"/>
                <w:highlight w:val="none"/>
              </w:rPr>
              <w:t>制造商</w:t>
            </w:r>
          </w:p>
        </w:tc>
        <w:tc>
          <w:tcPr>
            <w:tcW w:w="1025" w:type="dxa"/>
            <w:vAlign w:val="center"/>
          </w:tcPr>
          <w:p w14:paraId="3E0EE3BE">
            <w:pPr>
              <w:pageBreakBefore w:val="0"/>
              <w:shd w:val="clear"/>
              <w:kinsoku/>
              <w:overflowPunct/>
              <w:topLinePunct w:val="0"/>
              <w:bidi w:val="0"/>
              <w:spacing w:before="50" w:after="50" w:line="360" w:lineRule="auto"/>
              <w:jc w:val="center"/>
              <w:rPr>
                <w:rFonts w:hint="eastAsia" w:ascii="宋体" w:hAnsi="宋体" w:eastAsia="宋体" w:cs="宋体"/>
                <w:b/>
                <w:bCs/>
                <w:color w:val="auto"/>
                <w:szCs w:val="20"/>
                <w:highlight w:val="none"/>
              </w:rPr>
            </w:pPr>
            <w:r>
              <w:rPr>
                <w:rFonts w:hint="eastAsia" w:ascii="宋体" w:hAnsi="宋体" w:eastAsia="宋体" w:cs="宋体"/>
                <w:b/>
                <w:bCs/>
                <w:color w:val="auto"/>
                <w:highlight w:val="none"/>
              </w:rPr>
              <w:t>产地</w:t>
            </w:r>
          </w:p>
        </w:tc>
      </w:tr>
      <w:tr w14:paraId="4E211C0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754" w:type="dxa"/>
            <w:vAlign w:val="center"/>
          </w:tcPr>
          <w:p w14:paraId="23406A95">
            <w:pPr>
              <w:pageBreakBefore w:val="0"/>
              <w:widowControl/>
              <w:shd w:val="clear"/>
              <w:kinsoku/>
              <w:overflowPunct/>
              <w:topLinePunct w:val="0"/>
              <w:bidi w:val="0"/>
              <w:spacing w:line="360" w:lineRule="auto"/>
              <w:jc w:val="center"/>
              <w:textAlignment w:val="center"/>
              <w:rPr>
                <w:rFonts w:hint="eastAsia" w:ascii="宋体" w:hAnsi="宋体" w:eastAsia="宋体" w:cs="宋体"/>
                <w:color w:val="auto"/>
                <w:kern w:val="0"/>
                <w:szCs w:val="21"/>
                <w:highlight w:val="none"/>
                <w:lang w:bidi="ar"/>
              </w:rPr>
            </w:pPr>
          </w:p>
        </w:tc>
        <w:tc>
          <w:tcPr>
            <w:tcW w:w="1982" w:type="dxa"/>
            <w:vAlign w:val="center"/>
          </w:tcPr>
          <w:p w14:paraId="6B66F18D">
            <w:pPr>
              <w:pageBreakBefore w:val="0"/>
              <w:widowControl/>
              <w:shd w:val="clear"/>
              <w:kinsoku/>
              <w:overflowPunct/>
              <w:topLinePunct w:val="0"/>
              <w:bidi w:val="0"/>
              <w:spacing w:line="360" w:lineRule="auto"/>
              <w:jc w:val="center"/>
              <w:textAlignment w:val="center"/>
              <w:rPr>
                <w:rFonts w:hint="eastAsia" w:ascii="宋体" w:hAnsi="宋体" w:eastAsia="宋体" w:cs="宋体"/>
                <w:color w:val="auto"/>
                <w:szCs w:val="20"/>
                <w:highlight w:val="none"/>
              </w:rPr>
            </w:pPr>
          </w:p>
        </w:tc>
        <w:tc>
          <w:tcPr>
            <w:tcW w:w="819" w:type="dxa"/>
            <w:vAlign w:val="center"/>
          </w:tcPr>
          <w:p w14:paraId="5627EB7E">
            <w:pPr>
              <w:pageBreakBefore w:val="0"/>
              <w:shd w:val="clear"/>
              <w:kinsoku/>
              <w:overflowPunct/>
              <w:topLinePunct w:val="0"/>
              <w:bidi w:val="0"/>
              <w:spacing w:line="360" w:lineRule="auto"/>
              <w:jc w:val="center"/>
              <w:rPr>
                <w:rFonts w:hint="eastAsia" w:ascii="宋体" w:hAnsi="宋体" w:eastAsia="宋体" w:cs="宋体"/>
                <w:color w:val="auto"/>
                <w:szCs w:val="20"/>
                <w:highlight w:val="none"/>
              </w:rPr>
            </w:pPr>
          </w:p>
        </w:tc>
        <w:tc>
          <w:tcPr>
            <w:tcW w:w="699" w:type="dxa"/>
            <w:vAlign w:val="center"/>
          </w:tcPr>
          <w:p w14:paraId="12820058">
            <w:pPr>
              <w:pageBreakBefore w:val="0"/>
              <w:shd w:val="clear"/>
              <w:kinsoku/>
              <w:overflowPunct/>
              <w:topLinePunct w:val="0"/>
              <w:bidi w:val="0"/>
              <w:spacing w:line="360" w:lineRule="auto"/>
              <w:jc w:val="center"/>
              <w:rPr>
                <w:rFonts w:hint="eastAsia" w:ascii="宋体" w:hAnsi="宋体" w:eastAsia="宋体" w:cs="宋体"/>
                <w:color w:val="auto"/>
                <w:szCs w:val="20"/>
                <w:highlight w:val="none"/>
              </w:rPr>
            </w:pPr>
          </w:p>
        </w:tc>
        <w:tc>
          <w:tcPr>
            <w:tcW w:w="1353" w:type="dxa"/>
            <w:vAlign w:val="center"/>
          </w:tcPr>
          <w:p w14:paraId="415A009F">
            <w:pPr>
              <w:pageBreakBefore w:val="0"/>
              <w:widowControl/>
              <w:shd w:val="clear"/>
              <w:kinsoku/>
              <w:overflowPunct/>
              <w:topLinePunct w:val="0"/>
              <w:bidi w:val="0"/>
              <w:spacing w:line="360" w:lineRule="auto"/>
              <w:jc w:val="center"/>
              <w:textAlignment w:val="center"/>
              <w:rPr>
                <w:rFonts w:hint="eastAsia" w:ascii="宋体" w:hAnsi="宋体" w:eastAsia="宋体" w:cs="宋体"/>
                <w:color w:val="auto"/>
                <w:szCs w:val="20"/>
                <w:highlight w:val="none"/>
              </w:rPr>
            </w:pPr>
          </w:p>
        </w:tc>
        <w:tc>
          <w:tcPr>
            <w:tcW w:w="1598" w:type="dxa"/>
            <w:vAlign w:val="center"/>
          </w:tcPr>
          <w:p w14:paraId="05D8D5AF">
            <w:pPr>
              <w:pageBreakBefore w:val="0"/>
              <w:shd w:val="clear"/>
              <w:kinsoku/>
              <w:overflowPunct/>
              <w:topLinePunct w:val="0"/>
              <w:bidi w:val="0"/>
              <w:spacing w:before="50" w:after="50" w:line="360" w:lineRule="auto"/>
              <w:jc w:val="center"/>
              <w:rPr>
                <w:rFonts w:hint="eastAsia" w:ascii="宋体" w:hAnsi="宋体" w:eastAsia="宋体" w:cs="宋体"/>
                <w:color w:val="auto"/>
                <w:szCs w:val="20"/>
                <w:highlight w:val="none"/>
              </w:rPr>
            </w:pPr>
          </w:p>
        </w:tc>
        <w:tc>
          <w:tcPr>
            <w:tcW w:w="1025" w:type="dxa"/>
            <w:vAlign w:val="center"/>
          </w:tcPr>
          <w:p w14:paraId="2D72FC34">
            <w:pPr>
              <w:pageBreakBefore w:val="0"/>
              <w:shd w:val="clear"/>
              <w:kinsoku/>
              <w:overflowPunct/>
              <w:topLinePunct w:val="0"/>
              <w:bidi w:val="0"/>
              <w:spacing w:before="50" w:after="50" w:line="360" w:lineRule="auto"/>
              <w:jc w:val="center"/>
              <w:rPr>
                <w:rFonts w:hint="eastAsia" w:ascii="宋体" w:hAnsi="宋体" w:eastAsia="宋体" w:cs="宋体"/>
                <w:color w:val="auto"/>
                <w:szCs w:val="20"/>
                <w:highlight w:val="none"/>
              </w:rPr>
            </w:pPr>
          </w:p>
        </w:tc>
        <w:tc>
          <w:tcPr>
            <w:tcW w:w="1025" w:type="dxa"/>
            <w:vAlign w:val="center"/>
          </w:tcPr>
          <w:p w14:paraId="4D835015">
            <w:pPr>
              <w:pageBreakBefore w:val="0"/>
              <w:shd w:val="clear"/>
              <w:kinsoku/>
              <w:overflowPunct/>
              <w:topLinePunct w:val="0"/>
              <w:bidi w:val="0"/>
              <w:spacing w:before="50" w:after="50" w:line="360" w:lineRule="auto"/>
              <w:jc w:val="center"/>
              <w:rPr>
                <w:rFonts w:hint="eastAsia" w:ascii="宋体" w:hAnsi="宋体" w:eastAsia="宋体" w:cs="宋体"/>
                <w:color w:val="auto"/>
                <w:szCs w:val="20"/>
                <w:highlight w:val="none"/>
              </w:rPr>
            </w:pPr>
          </w:p>
        </w:tc>
      </w:tr>
      <w:tr w14:paraId="4B65264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754" w:type="dxa"/>
            <w:vAlign w:val="center"/>
          </w:tcPr>
          <w:p w14:paraId="48B6FA1D">
            <w:pPr>
              <w:pageBreakBefore w:val="0"/>
              <w:widowControl/>
              <w:shd w:val="clear"/>
              <w:kinsoku/>
              <w:overflowPunct/>
              <w:topLinePunct w:val="0"/>
              <w:bidi w:val="0"/>
              <w:spacing w:line="360" w:lineRule="auto"/>
              <w:jc w:val="center"/>
              <w:textAlignment w:val="center"/>
              <w:rPr>
                <w:rFonts w:hint="eastAsia" w:ascii="宋体" w:hAnsi="宋体" w:eastAsia="宋体" w:cs="宋体"/>
                <w:color w:val="auto"/>
                <w:kern w:val="0"/>
                <w:szCs w:val="21"/>
                <w:highlight w:val="none"/>
                <w:lang w:bidi="ar"/>
              </w:rPr>
            </w:pPr>
          </w:p>
        </w:tc>
        <w:tc>
          <w:tcPr>
            <w:tcW w:w="1982" w:type="dxa"/>
            <w:vAlign w:val="center"/>
          </w:tcPr>
          <w:p w14:paraId="29EE09F3">
            <w:pPr>
              <w:pageBreakBefore w:val="0"/>
              <w:widowControl/>
              <w:shd w:val="clear"/>
              <w:kinsoku/>
              <w:overflowPunct/>
              <w:topLinePunct w:val="0"/>
              <w:bidi w:val="0"/>
              <w:spacing w:line="360" w:lineRule="auto"/>
              <w:jc w:val="center"/>
              <w:textAlignment w:val="center"/>
              <w:rPr>
                <w:rFonts w:hint="eastAsia" w:ascii="宋体" w:hAnsi="宋体" w:eastAsia="宋体" w:cs="宋体"/>
                <w:color w:val="auto"/>
                <w:kern w:val="0"/>
                <w:sz w:val="22"/>
                <w:szCs w:val="22"/>
                <w:highlight w:val="none"/>
                <w:lang w:bidi="ar"/>
              </w:rPr>
            </w:pPr>
          </w:p>
        </w:tc>
        <w:tc>
          <w:tcPr>
            <w:tcW w:w="819" w:type="dxa"/>
            <w:vAlign w:val="center"/>
          </w:tcPr>
          <w:p w14:paraId="339D1B60">
            <w:pPr>
              <w:pageBreakBefore w:val="0"/>
              <w:shd w:val="clear"/>
              <w:kinsoku/>
              <w:overflowPunct/>
              <w:topLinePunct w:val="0"/>
              <w:bidi w:val="0"/>
              <w:spacing w:line="360" w:lineRule="auto"/>
              <w:jc w:val="center"/>
              <w:rPr>
                <w:rFonts w:hint="eastAsia" w:ascii="宋体" w:hAnsi="宋体" w:eastAsia="宋体" w:cs="宋体"/>
                <w:color w:val="auto"/>
                <w:kern w:val="0"/>
                <w:sz w:val="22"/>
                <w:szCs w:val="22"/>
                <w:highlight w:val="none"/>
                <w:lang w:bidi="ar"/>
              </w:rPr>
            </w:pPr>
          </w:p>
        </w:tc>
        <w:tc>
          <w:tcPr>
            <w:tcW w:w="699" w:type="dxa"/>
            <w:vAlign w:val="center"/>
          </w:tcPr>
          <w:p w14:paraId="58417924">
            <w:pPr>
              <w:pageBreakBefore w:val="0"/>
              <w:shd w:val="clear"/>
              <w:kinsoku/>
              <w:overflowPunct/>
              <w:topLinePunct w:val="0"/>
              <w:bidi w:val="0"/>
              <w:spacing w:line="360" w:lineRule="auto"/>
              <w:jc w:val="center"/>
              <w:rPr>
                <w:rFonts w:hint="eastAsia" w:ascii="宋体" w:hAnsi="宋体" w:eastAsia="宋体" w:cs="宋体"/>
                <w:color w:val="auto"/>
                <w:kern w:val="0"/>
                <w:sz w:val="22"/>
                <w:szCs w:val="22"/>
                <w:highlight w:val="none"/>
                <w:lang w:bidi="ar"/>
              </w:rPr>
            </w:pPr>
          </w:p>
        </w:tc>
        <w:tc>
          <w:tcPr>
            <w:tcW w:w="1353" w:type="dxa"/>
            <w:vAlign w:val="center"/>
          </w:tcPr>
          <w:p w14:paraId="47C670AB">
            <w:pPr>
              <w:pageBreakBefore w:val="0"/>
              <w:widowControl/>
              <w:shd w:val="clear"/>
              <w:kinsoku/>
              <w:overflowPunct/>
              <w:topLinePunct w:val="0"/>
              <w:bidi w:val="0"/>
              <w:spacing w:line="360" w:lineRule="auto"/>
              <w:jc w:val="center"/>
              <w:textAlignment w:val="center"/>
              <w:rPr>
                <w:rFonts w:hint="eastAsia" w:ascii="宋体" w:hAnsi="宋体" w:eastAsia="宋体" w:cs="宋体"/>
                <w:color w:val="auto"/>
                <w:szCs w:val="20"/>
                <w:highlight w:val="none"/>
              </w:rPr>
            </w:pPr>
          </w:p>
        </w:tc>
        <w:tc>
          <w:tcPr>
            <w:tcW w:w="1598" w:type="dxa"/>
            <w:vAlign w:val="center"/>
          </w:tcPr>
          <w:p w14:paraId="79EE594E">
            <w:pPr>
              <w:pageBreakBefore w:val="0"/>
              <w:shd w:val="clear"/>
              <w:kinsoku/>
              <w:overflowPunct/>
              <w:topLinePunct w:val="0"/>
              <w:bidi w:val="0"/>
              <w:spacing w:before="50" w:after="50" w:line="360" w:lineRule="auto"/>
              <w:jc w:val="center"/>
              <w:rPr>
                <w:rFonts w:hint="eastAsia" w:ascii="宋体" w:hAnsi="宋体" w:eastAsia="宋体" w:cs="宋体"/>
                <w:color w:val="auto"/>
                <w:szCs w:val="20"/>
                <w:highlight w:val="none"/>
              </w:rPr>
            </w:pPr>
          </w:p>
        </w:tc>
        <w:tc>
          <w:tcPr>
            <w:tcW w:w="1025" w:type="dxa"/>
            <w:vAlign w:val="center"/>
          </w:tcPr>
          <w:p w14:paraId="44BEC156">
            <w:pPr>
              <w:pageBreakBefore w:val="0"/>
              <w:shd w:val="clear"/>
              <w:kinsoku/>
              <w:overflowPunct/>
              <w:topLinePunct w:val="0"/>
              <w:bidi w:val="0"/>
              <w:spacing w:before="50" w:after="50" w:line="360" w:lineRule="auto"/>
              <w:jc w:val="center"/>
              <w:rPr>
                <w:rFonts w:hint="eastAsia" w:ascii="宋体" w:hAnsi="宋体" w:eastAsia="宋体" w:cs="宋体"/>
                <w:color w:val="auto"/>
                <w:szCs w:val="20"/>
                <w:highlight w:val="none"/>
              </w:rPr>
            </w:pPr>
          </w:p>
        </w:tc>
        <w:tc>
          <w:tcPr>
            <w:tcW w:w="1025" w:type="dxa"/>
            <w:vAlign w:val="center"/>
          </w:tcPr>
          <w:p w14:paraId="0E6E3317">
            <w:pPr>
              <w:pageBreakBefore w:val="0"/>
              <w:shd w:val="clear"/>
              <w:kinsoku/>
              <w:overflowPunct/>
              <w:topLinePunct w:val="0"/>
              <w:bidi w:val="0"/>
              <w:spacing w:before="50" w:after="50" w:line="360" w:lineRule="auto"/>
              <w:jc w:val="center"/>
              <w:rPr>
                <w:rFonts w:hint="eastAsia" w:ascii="宋体" w:hAnsi="宋体" w:eastAsia="宋体" w:cs="宋体"/>
                <w:color w:val="auto"/>
                <w:szCs w:val="20"/>
                <w:highlight w:val="none"/>
              </w:rPr>
            </w:pPr>
          </w:p>
        </w:tc>
      </w:tr>
      <w:tr w14:paraId="4282871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754" w:type="dxa"/>
            <w:vAlign w:val="center"/>
          </w:tcPr>
          <w:p w14:paraId="69E13A05">
            <w:pPr>
              <w:pageBreakBefore w:val="0"/>
              <w:widowControl/>
              <w:shd w:val="clear"/>
              <w:kinsoku/>
              <w:overflowPunct/>
              <w:topLinePunct w:val="0"/>
              <w:bidi w:val="0"/>
              <w:spacing w:line="360" w:lineRule="auto"/>
              <w:jc w:val="center"/>
              <w:textAlignment w:val="center"/>
              <w:rPr>
                <w:rFonts w:hint="eastAsia" w:ascii="宋体" w:hAnsi="宋体" w:eastAsia="宋体" w:cs="宋体"/>
                <w:color w:val="auto"/>
                <w:kern w:val="0"/>
                <w:szCs w:val="21"/>
                <w:highlight w:val="none"/>
                <w:lang w:bidi="ar"/>
              </w:rPr>
            </w:pPr>
          </w:p>
        </w:tc>
        <w:tc>
          <w:tcPr>
            <w:tcW w:w="1982" w:type="dxa"/>
            <w:vAlign w:val="center"/>
          </w:tcPr>
          <w:p w14:paraId="133F22DC">
            <w:pPr>
              <w:pageBreakBefore w:val="0"/>
              <w:widowControl/>
              <w:shd w:val="clear"/>
              <w:kinsoku/>
              <w:overflowPunct/>
              <w:topLinePunct w:val="0"/>
              <w:bidi w:val="0"/>
              <w:spacing w:line="360" w:lineRule="auto"/>
              <w:jc w:val="center"/>
              <w:textAlignment w:val="center"/>
              <w:rPr>
                <w:rFonts w:hint="eastAsia" w:ascii="宋体" w:hAnsi="宋体" w:eastAsia="宋体" w:cs="宋体"/>
                <w:color w:val="auto"/>
                <w:kern w:val="0"/>
                <w:sz w:val="22"/>
                <w:szCs w:val="22"/>
                <w:highlight w:val="none"/>
                <w:lang w:bidi="ar"/>
              </w:rPr>
            </w:pPr>
          </w:p>
        </w:tc>
        <w:tc>
          <w:tcPr>
            <w:tcW w:w="819" w:type="dxa"/>
            <w:vAlign w:val="center"/>
          </w:tcPr>
          <w:p w14:paraId="3ABF64AF">
            <w:pPr>
              <w:pageBreakBefore w:val="0"/>
              <w:shd w:val="clear"/>
              <w:kinsoku/>
              <w:overflowPunct/>
              <w:topLinePunct w:val="0"/>
              <w:bidi w:val="0"/>
              <w:spacing w:line="360" w:lineRule="auto"/>
              <w:jc w:val="center"/>
              <w:rPr>
                <w:rFonts w:hint="eastAsia" w:ascii="宋体" w:hAnsi="宋体" w:eastAsia="宋体" w:cs="宋体"/>
                <w:color w:val="auto"/>
                <w:kern w:val="0"/>
                <w:sz w:val="22"/>
                <w:szCs w:val="22"/>
                <w:highlight w:val="none"/>
                <w:lang w:bidi="ar"/>
              </w:rPr>
            </w:pPr>
          </w:p>
        </w:tc>
        <w:tc>
          <w:tcPr>
            <w:tcW w:w="699" w:type="dxa"/>
            <w:vAlign w:val="center"/>
          </w:tcPr>
          <w:p w14:paraId="047081E1">
            <w:pPr>
              <w:pageBreakBefore w:val="0"/>
              <w:shd w:val="clear"/>
              <w:kinsoku/>
              <w:overflowPunct/>
              <w:topLinePunct w:val="0"/>
              <w:bidi w:val="0"/>
              <w:spacing w:line="360" w:lineRule="auto"/>
              <w:jc w:val="center"/>
              <w:rPr>
                <w:rFonts w:hint="eastAsia" w:ascii="宋体" w:hAnsi="宋体" w:eastAsia="宋体" w:cs="宋体"/>
                <w:color w:val="auto"/>
                <w:kern w:val="0"/>
                <w:sz w:val="22"/>
                <w:szCs w:val="22"/>
                <w:highlight w:val="none"/>
                <w:lang w:bidi="ar"/>
              </w:rPr>
            </w:pPr>
          </w:p>
        </w:tc>
        <w:tc>
          <w:tcPr>
            <w:tcW w:w="1353" w:type="dxa"/>
            <w:vAlign w:val="center"/>
          </w:tcPr>
          <w:p w14:paraId="1A78C379">
            <w:pPr>
              <w:pageBreakBefore w:val="0"/>
              <w:widowControl/>
              <w:shd w:val="clear"/>
              <w:kinsoku/>
              <w:overflowPunct/>
              <w:topLinePunct w:val="0"/>
              <w:bidi w:val="0"/>
              <w:spacing w:line="360" w:lineRule="auto"/>
              <w:jc w:val="center"/>
              <w:textAlignment w:val="center"/>
              <w:rPr>
                <w:rFonts w:hint="eastAsia" w:ascii="宋体" w:hAnsi="宋体" w:eastAsia="宋体" w:cs="宋体"/>
                <w:color w:val="auto"/>
                <w:szCs w:val="20"/>
                <w:highlight w:val="none"/>
              </w:rPr>
            </w:pPr>
          </w:p>
        </w:tc>
        <w:tc>
          <w:tcPr>
            <w:tcW w:w="1598" w:type="dxa"/>
            <w:vAlign w:val="center"/>
          </w:tcPr>
          <w:p w14:paraId="0B8AF838">
            <w:pPr>
              <w:pageBreakBefore w:val="0"/>
              <w:shd w:val="clear"/>
              <w:kinsoku/>
              <w:overflowPunct/>
              <w:topLinePunct w:val="0"/>
              <w:bidi w:val="0"/>
              <w:spacing w:before="50" w:after="50" w:line="360" w:lineRule="auto"/>
              <w:jc w:val="center"/>
              <w:rPr>
                <w:rFonts w:hint="eastAsia" w:ascii="宋体" w:hAnsi="宋体" w:eastAsia="宋体" w:cs="宋体"/>
                <w:color w:val="auto"/>
                <w:szCs w:val="20"/>
                <w:highlight w:val="none"/>
              </w:rPr>
            </w:pPr>
          </w:p>
        </w:tc>
        <w:tc>
          <w:tcPr>
            <w:tcW w:w="1025" w:type="dxa"/>
            <w:vAlign w:val="center"/>
          </w:tcPr>
          <w:p w14:paraId="3D756E1F">
            <w:pPr>
              <w:pageBreakBefore w:val="0"/>
              <w:shd w:val="clear"/>
              <w:kinsoku/>
              <w:overflowPunct/>
              <w:topLinePunct w:val="0"/>
              <w:bidi w:val="0"/>
              <w:spacing w:before="50" w:after="50" w:line="360" w:lineRule="auto"/>
              <w:jc w:val="center"/>
              <w:rPr>
                <w:rFonts w:hint="eastAsia" w:ascii="宋体" w:hAnsi="宋体" w:eastAsia="宋体" w:cs="宋体"/>
                <w:color w:val="auto"/>
                <w:szCs w:val="20"/>
                <w:highlight w:val="none"/>
              </w:rPr>
            </w:pPr>
          </w:p>
        </w:tc>
        <w:tc>
          <w:tcPr>
            <w:tcW w:w="1025" w:type="dxa"/>
            <w:vAlign w:val="center"/>
          </w:tcPr>
          <w:p w14:paraId="5CAF9A81">
            <w:pPr>
              <w:pageBreakBefore w:val="0"/>
              <w:shd w:val="clear"/>
              <w:kinsoku/>
              <w:overflowPunct/>
              <w:topLinePunct w:val="0"/>
              <w:bidi w:val="0"/>
              <w:spacing w:before="50" w:after="50" w:line="360" w:lineRule="auto"/>
              <w:jc w:val="center"/>
              <w:rPr>
                <w:rFonts w:hint="eastAsia" w:ascii="宋体" w:hAnsi="宋体" w:eastAsia="宋体" w:cs="宋体"/>
                <w:color w:val="auto"/>
                <w:szCs w:val="20"/>
                <w:highlight w:val="none"/>
              </w:rPr>
            </w:pPr>
          </w:p>
        </w:tc>
      </w:tr>
      <w:tr w14:paraId="68C3CFD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754" w:type="dxa"/>
            <w:vAlign w:val="center"/>
          </w:tcPr>
          <w:p w14:paraId="3776CE48">
            <w:pPr>
              <w:pageBreakBefore w:val="0"/>
              <w:widowControl/>
              <w:shd w:val="clear"/>
              <w:kinsoku/>
              <w:overflowPunct/>
              <w:topLinePunct w:val="0"/>
              <w:bidi w:val="0"/>
              <w:spacing w:line="360" w:lineRule="auto"/>
              <w:jc w:val="center"/>
              <w:textAlignment w:val="center"/>
              <w:rPr>
                <w:rFonts w:hint="eastAsia" w:ascii="宋体" w:hAnsi="宋体" w:eastAsia="宋体" w:cs="宋体"/>
                <w:color w:val="auto"/>
                <w:kern w:val="0"/>
                <w:szCs w:val="21"/>
                <w:highlight w:val="none"/>
                <w:lang w:bidi="ar"/>
              </w:rPr>
            </w:pPr>
          </w:p>
        </w:tc>
        <w:tc>
          <w:tcPr>
            <w:tcW w:w="1982" w:type="dxa"/>
            <w:vAlign w:val="center"/>
          </w:tcPr>
          <w:p w14:paraId="72D99CD6">
            <w:pPr>
              <w:pageBreakBefore w:val="0"/>
              <w:widowControl/>
              <w:shd w:val="clear"/>
              <w:kinsoku/>
              <w:overflowPunct/>
              <w:topLinePunct w:val="0"/>
              <w:bidi w:val="0"/>
              <w:spacing w:line="360" w:lineRule="auto"/>
              <w:jc w:val="center"/>
              <w:textAlignment w:val="center"/>
              <w:rPr>
                <w:rFonts w:hint="eastAsia" w:ascii="宋体" w:hAnsi="宋体" w:eastAsia="宋体" w:cs="宋体"/>
                <w:color w:val="auto"/>
                <w:kern w:val="0"/>
                <w:sz w:val="22"/>
                <w:szCs w:val="22"/>
                <w:highlight w:val="none"/>
                <w:lang w:bidi="ar"/>
              </w:rPr>
            </w:pPr>
          </w:p>
        </w:tc>
        <w:tc>
          <w:tcPr>
            <w:tcW w:w="819" w:type="dxa"/>
            <w:vAlign w:val="center"/>
          </w:tcPr>
          <w:p w14:paraId="22C5C26E">
            <w:pPr>
              <w:pageBreakBefore w:val="0"/>
              <w:shd w:val="clear"/>
              <w:kinsoku/>
              <w:overflowPunct/>
              <w:topLinePunct w:val="0"/>
              <w:bidi w:val="0"/>
              <w:spacing w:line="360" w:lineRule="auto"/>
              <w:jc w:val="center"/>
              <w:rPr>
                <w:rFonts w:hint="eastAsia" w:ascii="宋体" w:hAnsi="宋体" w:eastAsia="宋体" w:cs="宋体"/>
                <w:color w:val="auto"/>
                <w:kern w:val="0"/>
                <w:sz w:val="22"/>
                <w:szCs w:val="22"/>
                <w:highlight w:val="none"/>
                <w:lang w:bidi="ar"/>
              </w:rPr>
            </w:pPr>
          </w:p>
        </w:tc>
        <w:tc>
          <w:tcPr>
            <w:tcW w:w="699" w:type="dxa"/>
            <w:vAlign w:val="center"/>
          </w:tcPr>
          <w:p w14:paraId="418C7573">
            <w:pPr>
              <w:pageBreakBefore w:val="0"/>
              <w:shd w:val="clear"/>
              <w:kinsoku/>
              <w:overflowPunct/>
              <w:topLinePunct w:val="0"/>
              <w:bidi w:val="0"/>
              <w:spacing w:line="360" w:lineRule="auto"/>
              <w:jc w:val="center"/>
              <w:rPr>
                <w:rFonts w:hint="eastAsia" w:ascii="宋体" w:hAnsi="宋体" w:eastAsia="宋体" w:cs="宋体"/>
                <w:color w:val="auto"/>
                <w:kern w:val="0"/>
                <w:sz w:val="22"/>
                <w:szCs w:val="22"/>
                <w:highlight w:val="none"/>
                <w:lang w:bidi="ar"/>
              </w:rPr>
            </w:pPr>
          </w:p>
        </w:tc>
        <w:tc>
          <w:tcPr>
            <w:tcW w:w="1353" w:type="dxa"/>
            <w:vAlign w:val="center"/>
          </w:tcPr>
          <w:p w14:paraId="7CAF22E0">
            <w:pPr>
              <w:pageBreakBefore w:val="0"/>
              <w:widowControl/>
              <w:shd w:val="clear"/>
              <w:kinsoku/>
              <w:overflowPunct/>
              <w:topLinePunct w:val="0"/>
              <w:bidi w:val="0"/>
              <w:spacing w:line="360" w:lineRule="auto"/>
              <w:jc w:val="center"/>
              <w:textAlignment w:val="center"/>
              <w:rPr>
                <w:rFonts w:hint="eastAsia" w:ascii="宋体" w:hAnsi="宋体" w:eastAsia="宋体" w:cs="宋体"/>
                <w:color w:val="auto"/>
                <w:szCs w:val="20"/>
                <w:highlight w:val="none"/>
              </w:rPr>
            </w:pPr>
          </w:p>
        </w:tc>
        <w:tc>
          <w:tcPr>
            <w:tcW w:w="1598" w:type="dxa"/>
            <w:vAlign w:val="center"/>
          </w:tcPr>
          <w:p w14:paraId="265FE75D">
            <w:pPr>
              <w:pageBreakBefore w:val="0"/>
              <w:shd w:val="clear"/>
              <w:kinsoku/>
              <w:overflowPunct/>
              <w:topLinePunct w:val="0"/>
              <w:bidi w:val="0"/>
              <w:spacing w:before="50" w:after="50" w:line="360" w:lineRule="auto"/>
              <w:jc w:val="center"/>
              <w:rPr>
                <w:rFonts w:hint="eastAsia" w:ascii="宋体" w:hAnsi="宋体" w:eastAsia="宋体" w:cs="宋体"/>
                <w:color w:val="auto"/>
                <w:szCs w:val="20"/>
                <w:highlight w:val="none"/>
              </w:rPr>
            </w:pPr>
          </w:p>
        </w:tc>
        <w:tc>
          <w:tcPr>
            <w:tcW w:w="1025" w:type="dxa"/>
            <w:vAlign w:val="center"/>
          </w:tcPr>
          <w:p w14:paraId="721E47A6">
            <w:pPr>
              <w:pageBreakBefore w:val="0"/>
              <w:shd w:val="clear"/>
              <w:kinsoku/>
              <w:overflowPunct/>
              <w:topLinePunct w:val="0"/>
              <w:bidi w:val="0"/>
              <w:spacing w:before="50" w:after="50" w:line="360" w:lineRule="auto"/>
              <w:jc w:val="center"/>
              <w:rPr>
                <w:rFonts w:hint="eastAsia" w:ascii="宋体" w:hAnsi="宋体" w:eastAsia="宋体" w:cs="宋体"/>
                <w:color w:val="auto"/>
                <w:szCs w:val="20"/>
                <w:highlight w:val="none"/>
              </w:rPr>
            </w:pPr>
          </w:p>
        </w:tc>
        <w:tc>
          <w:tcPr>
            <w:tcW w:w="1025" w:type="dxa"/>
            <w:vAlign w:val="center"/>
          </w:tcPr>
          <w:p w14:paraId="3F015023">
            <w:pPr>
              <w:pageBreakBefore w:val="0"/>
              <w:shd w:val="clear"/>
              <w:kinsoku/>
              <w:overflowPunct/>
              <w:topLinePunct w:val="0"/>
              <w:bidi w:val="0"/>
              <w:spacing w:before="50" w:after="50" w:line="360" w:lineRule="auto"/>
              <w:jc w:val="center"/>
              <w:rPr>
                <w:rFonts w:hint="eastAsia" w:ascii="宋体" w:hAnsi="宋体" w:eastAsia="宋体" w:cs="宋体"/>
                <w:color w:val="auto"/>
                <w:szCs w:val="20"/>
                <w:highlight w:val="none"/>
              </w:rPr>
            </w:pPr>
          </w:p>
        </w:tc>
      </w:tr>
      <w:tr w14:paraId="26DA9BA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754" w:type="dxa"/>
            <w:vAlign w:val="center"/>
          </w:tcPr>
          <w:p w14:paraId="0E6BF66A">
            <w:pPr>
              <w:pageBreakBefore w:val="0"/>
              <w:widowControl/>
              <w:shd w:val="clear"/>
              <w:kinsoku/>
              <w:overflowPunct/>
              <w:topLinePunct w:val="0"/>
              <w:bidi w:val="0"/>
              <w:spacing w:line="360" w:lineRule="auto"/>
              <w:jc w:val="center"/>
              <w:textAlignment w:val="center"/>
              <w:rPr>
                <w:rFonts w:hint="eastAsia" w:ascii="宋体" w:hAnsi="宋体" w:eastAsia="宋体" w:cs="宋体"/>
                <w:color w:val="auto"/>
                <w:kern w:val="0"/>
                <w:szCs w:val="21"/>
                <w:highlight w:val="none"/>
                <w:lang w:bidi="ar"/>
              </w:rPr>
            </w:pPr>
          </w:p>
        </w:tc>
        <w:tc>
          <w:tcPr>
            <w:tcW w:w="1982" w:type="dxa"/>
            <w:vAlign w:val="center"/>
          </w:tcPr>
          <w:p w14:paraId="573B58D6">
            <w:pPr>
              <w:pageBreakBefore w:val="0"/>
              <w:widowControl/>
              <w:shd w:val="clear"/>
              <w:kinsoku/>
              <w:overflowPunct/>
              <w:topLinePunct w:val="0"/>
              <w:bidi w:val="0"/>
              <w:spacing w:line="360" w:lineRule="auto"/>
              <w:jc w:val="center"/>
              <w:textAlignment w:val="center"/>
              <w:rPr>
                <w:rFonts w:hint="eastAsia" w:ascii="宋体" w:hAnsi="宋体" w:eastAsia="宋体" w:cs="宋体"/>
                <w:color w:val="auto"/>
                <w:kern w:val="0"/>
                <w:sz w:val="22"/>
                <w:szCs w:val="22"/>
                <w:highlight w:val="none"/>
                <w:lang w:bidi="ar"/>
              </w:rPr>
            </w:pPr>
          </w:p>
        </w:tc>
        <w:tc>
          <w:tcPr>
            <w:tcW w:w="819" w:type="dxa"/>
            <w:vAlign w:val="center"/>
          </w:tcPr>
          <w:p w14:paraId="7B21891D">
            <w:pPr>
              <w:pageBreakBefore w:val="0"/>
              <w:shd w:val="clear"/>
              <w:kinsoku/>
              <w:overflowPunct/>
              <w:topLinePunct w:val="0"/>
              <w:bidi w:val="0"/>
              <w:spacing w:line="360" w:lineRule="auto"/>
              <w:jc w:val="center"/>
              <w:rPr>
                <w:rFonts w:hint="eastAsia" w:ascii="宋体" w:hAnsi="宋体" w:eastAsia="宋体" w:cs="宋体"/>
                <w:color w:val="auto"/>
                <w:kern w:val="0"/>
                <w:sz w:val="22"/>
                <w:szCs w:val="22"/>
                <w:highlight w:val="none"/>
                <w:lang w:bidi="ar"/>
              </w:rPr>
            </w:pPr>
          </w:p>
        </w:tc>
        <w:tc>
          <w:tcPr>
            <w:tcW w:w="699" w:type="dxa"/>
            <w:vAlign w:val="center"/>
          </w:tcPr>
          <w:p w14:paraId="0A90E0C1">
            <w:pPr>
              <w:pageBreakBefore w:val="0"/>
              <w:shd w:val="clear"/>
              <w:kinsoku/>
              <w:overflowPunct/>
              <w:topLinePunct w:val="0"/>
              <w:bidi w:val="0"/>
              <w:spacing w:line="360" w:lineRule="auto"/>
              <w:jc w:val="center"/>
              <w:rPr>
                <w:rFonts w:hint="eastAsia" w:ascii="宋体" w:hAnsi="宋体" w:eastAsia="宋体" w:cs="宋体"/>
                <w:color w:val="auto"/>
                <w:kern w:val="0"/>
                <w:sz w:val="22"/>
                <w:szCs w:val="22"/>
                <w:highlight w:val="none"/>
                <w:lang w:bidi="ar"/>
              </w:rPr>
            </w:pPr>
          </w:p>
        </w:tc>
        <w:tc>
          <w:tcPr>
            <w:tcW w:w="1353" w:type="dxa"/>
            <w:vAlign w:val="center"/>
          </w:tcPr>
          <w:p w14:paraId="614630DE">
            <w:pPr>
              <w:pageBreakBefore w:val="0"/>
              <w:widowControl/>
              <w:shd w:val="clear"/>
              <w:kinsoku/>
              <w:overflowPunct/>
              <w:topLinePunct w:val="0"/>
              <w:bidi w:val="0"/>
              <w:spacing w:line="360" w:lineRule="auto"/>
              <w:jc w:val="center"/>
              <w:textAlignment w:val="center"/>
              <w:rPr>
                <w:rFonts w:hint="eastAsia" w:ascii="宋体" w:hAnsi="宋体" w:eastAsia="宋体" w:cs="宋体"/>
                <w:color w:val="auto"/>
                <w:szCs w:val="20"/>
                <w:highlight w:val="none"/>
              </w:rPr>
            </w:pPr>
          </w:p>
        </w:tc>
        <w:tc>
          <w:tcPr>
            <w:tcW w:w="1598" w:type="dxa"/>
            <w:vAlign w:val="center"/>
          </w:tcPr>
          <w:p w14:paraId="028090B3">
            <w:pPr>
              <w:pageBreakBefore w:val="0"/>
              <w:shd w:val="clear"/>
              <w:kinsoku/>
              <w:overflowPunct/>
              <w:topLinePunct w:val="0"/>
              <w:bidi w:val="0"/>
              <w:spacing w:before="50" w:after="50" w:line="360" w:lineRule="auto"/>
              <w:jc w:val="center"/>
              <w:rPr>
                <w:rFonts w:hint="eastAsia" w:ascii="宋体" w:hAnsi="宋体" w:eastAsia="宋体" w:cs="宋体"/>
                <w:color w:val="auto"/>
                <w:szCs w:val="20"/>
                <w:highlight w:val="none"/>
              </w:rPr>
            </w:pPr>
          </w:p>
        </w:tc>
        <w:tc>
          <w:tcPr>
            <w:tcW w:w="1025" w:type="dxa"/>
            <w:vAlign w:val="center"/>
          </w:tcPr>
          <w:p w14:paraId="16817C8E">
            <w:pPr>
              <w:pageBreakBefore w:val="0"/>
              <w:shd w:val="clear"/>
              <w:kinsoku/>
              <w:overflowPunct/>
              <w:topLinePunct w:val="0"/>
              <w:bidi w:val="0"/>
              <w:spacing w:before="50" w:after="50" w:line="360" w:lineRule="auto"/>
              <w:jc w:val="center"/>
              <w:rPr>
                <w:rFonts w:hint="eastAsia" w:ascii="宋体" w:hAnsi="宋体" w:eastAsia="宋体" w:cs="宋体"/>
                <w:color w:val="auto"/>
                <w:szCs w:val="20"/>
                <w:highlight w:val="none"/>
              </w:rPr>
            </w:pPr>
          </w:p>
        </w:tc>
        <w:tc>
          <w:tcPr>
            <w:tcW w:w="1025" w:type="dxa"/>
            <w:vAlign w:val="center"/>
          </w:tcPr>
          <w:p w14:paraId="3123F02C">
            <w:pPr>
              <w:pageBreakBefore w:val="0"/>
              <w:shd w:val="clear"/>
              <w:kinsoku/>
              <w:overflowPunct/>
              <w:topLinePunct w:val="0"/>
              <w:bidi w:val="0"/>
              <w:spacing w:before="50" w:after="50" w:line="360" w:lineRule="auto"/>
              <w:jc w:val="center"/>
              <w:rPr>
                <w:rFonts w:hint="eastAsia" w:ascii="宋体" w:hAnsi="宋体" w:eastAsia="宋体" w:cs="宋体"/>
                <w:color w:val="auto"/>
                <w:szCs w:val="20"/>
                <w:highlight w:val="none"/>
              </w:rPr>
            </w:pPr>
          </w:p>
        </w:tc>
      </w:tr>
      <w:tr w14:paraId="134A70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754" w:type="dxa"/>
            <w:vAlign w:val="center"/>
          </w:tcPr>
          <w:p w14:paraId="55814B22">
            <w:pPr>
              <w:pageBreakBefore w:val="0"/>
              <w:widowControl/>
              <w:shd w:val="clear"/>
              <w:kinsoku/>
              <w:overflowPunct/>
              <w:topLinePunct w:val="0"/>
              <w:bidi w:val="0"/>
              <w:spacing w:line="360" w:lineRule="auto"/>
              <w:jc w:val="center"/>
              <w:textAlignment w:val="center"/>
              <w:rPr>
                <w:rFonts w:hint="eastAsia" w:ascii="宋体" w:hAnsi="宋体" w:eastAsia="宋体" w:cs="宋体"/>
                <w:color w:val="auto"/>
                <w:kern w:val="0"/>
                <w:szCs w:val="21"/>
                <w:highlight w:val="none"/>
                <w:lang w:bidi="ar"/>
              </w:rPr>
            </w:pPr>
          </w:p>
        </w:tc>
        <w:tc>
          <w:tcPr>
            <w:tcW w:w="1982" w:type="dxa"/>
            <w:vAlign w:val="center"/>
          </w:tcPr>
          <w:p w14:paraId="1233B50A">
            <w:pPr>
              <w:pageBreakBefore w:val="0"/>
              <w:widowControl/>
              <w:shd w:val="clear"/>
              <w:kinsoku/>
              <w:overflowPunct/>
              <w:topLinePunct w:val="0"/>
              <w:bidi w:val="0"/>
              <w:spacing w:line="360" w:lineRule="auto"/>
              <w:jc w:val="center"/>
              <w:textAlignment w:val="center"/>
              <w:rPr>
                <w:rFonts w:hint="eastAsia" w:ascii="宋体" w:hAnsi="宋体" w:eastAsia="宋体" w:cs="宋体"/>
                <w:color w:val="auto"/>
                <w:kern w:val="0"/>
                <w:sz w:val="22"/>
                <w:szCs w:val="22"/>
                <w:highlight w:val="none"/>
                <w:lang w:bidi="ar"/>
              </w:rPr>
            </w:pPr>
          </w:p>
        </w:tc>
        <w:tc>
          <w:tcPr>
            <w:tcW w:w="819" w:type="dxa"/>
            <w:vAlign w:val="center"/>
          </w:tcPr>
          <w:p w14:paraId="4B9F824A">
            <w:pPr>
              <w:pageBreakBefore w:val="0"/>
              <w:shd w:val="clear"/>
              <w:kinsoku/>
              <w:overflowPunct/>
              <w:topLinePunct w:val="0"/>
              <w:bidi w:val="0"/>
              <w:spacing w:line="360" w:lineRule="auto"/>
              <w:jc w:val="center"/>
              <w:rPr>
                <w:rFonts w:hint="eastAsia" w:ascii="宋体" w:hAnsi="宋体" w:eastAsia="宋体" w:cs="宋体"/>
                <w:color w:val="auto"/>
                <w:kern w:val="0"/>
                <w:sz w:val="22"/>
                <w:szCs w:val="22"/>
                <w:highlight w:val="none"/>
                <w:lang w:bidi="ar"/>
              </w:rPr>
            </w:pPr>
          </w:p>
        </w:tc>
        <w:tc>
          <w:tcPr>
            <w:tcW w:w="699" w:type="dxa"/>
            <w:vAlign w:val="center"/>
          </w:tcPr>
          <w:p w14:paraId="375BEABA">
            <w:pPr>
              <w:pageBreakBefore w:val="0"/>
              <w:shd w:val="clear"/>
              <w:kinsoku/>
              <w:overflowPunct/>
              <w:topLinePunct w:val="0"/>
              <w:bidi w:val="0"/>
              <w:spacing w:line="360" w:lineRule="auto"/>
              <w:jc w:val="center"/>
              <w:rPr>
                <w:rFonts w:hint="eastAsia" w:ascii="宋体" w:hAnsi="宋体" w:eastAsia="宋体" w:cs="宋体"/>
                <w:color w:val="auto"/>
                <w:kern w:val="0"/>
                <w:sz w:val="22"/>
                <w:szCs w:val="22"/>
                <w:highlight w:val="none"/>
                <w:lang w:bidi="ar"/>
              </w:rPr>
            </w:pPr>
          </w:p>
        </w:tc>
        <w:tc>
          <w:tcPr>
            <w:tcW w:w="1353" w:type="dxa"/>
            <w:vAlign w:val="center"/>
          </w:tcPr>
          <w:p w14:paraId="34E3F2C6">
            <w:pPr>
              <w:pageBreakBefore w:val="0"/>
              <w:widowControl/>
              <w:shd w:val="clear"/>
              <w:kinsoku/>
              <w:overflowPunct/>
              <w:topLinePunct w:val="0"/>
              <w:bidi w:val="0"/>
              <w:spacing w:line="360" w:lineRule="auto"/>
              <w:jc w:val="center"/>
              <w:textAlignment w:val="center"/>
              <w:rPr>
                <w:rFonts w:hint="eastAsia" w:ascii="宋体" w:hAnsi="宋体" w:eastAsia="宋体" w:cs="宋体"/>
                <w:color w:val="auto"/>
                <w:szCs w:val="20"/>
                <w:highlight w:val="none"/>
              </w:rPr>
            </w:pPr>
          </w:p>
        </w:tc>
        <w:tc>
          <w:tcPr>
            <w:tcW w:w="1598" w:type="dxa"/>
            <w:vAlign w:val="center"/>
          </w:tcPr>
          <w:p w14:paraId="74E63E11">
            <w:pPr>
              <w:pageBreakBefore w:val="0"/>
              <w:shd w:val="clear"/>
              <w:kinsoku/>
              <w:overflowPunct/>
              <w:topLinePunct w:val="0"/>
              <w:bidi w:val="0"/>
              <w:spacing w:before="50" w:after="50" w:line="360" w:lineRule="auto"/>
              <w:jc w:val="center"/>
              <w:rPr>
                <w:rFonts w:hint="eastAsia" w:ascii="宋体" w:hAnsi="宋体" w:eastAsia="宋体" w:cs="宋体"/>
                <w:color w:val="auto"/>
                <w:szCs w:val="20"/>
                <w:highlight w:val="none"/>
              </w:rPr>
            </w:pPr>
          </w:p>
        </w:tc>
        <w:tc>
          <w:tcPr>
            <w:tcW w:w="1025" w:type="dxa"/>
            <w:vAlign w:val="center"/>
          </w:tcPr>
          <w:p w14:paraId="715A19D2">
            <w:pPr>
              <w:pageBreakBefore w:val="0"/>
              <w:shd w:val="clear"/>
              <w:kinsoku/>
              <w:overflowPunct/>
              <w:topLinePunct w:val="0"/>
              <w:bidi w:val="0"/>
              <w:spacing w:before="50" w:after="50" w:line="360" w:lineRule="auto"/>
              <w:jc w:val="center"/>
              <w:rPr>
                <w:rFonts w:hint="eastAsia" w:ascii="宋体" w:hAnsi="宋体" w:eastAsia="宋体" w:cs="宋体"/>
                <w:color w:val="auto"/>
                <w:szCs w:val="20"/>
                <w:highlight w:val="none"/>
              </w:rPr>
            </w:pPr>
          </w:p>
        </w:tc>
        <w:tc>
          <w:tcPr>
            <w:tcW w:w="1025" w:type="dxa"/>
            <w:vAlign w:val="center"/>
          </w:tcPr>
          <w:p w14:paraId="6905207E">
            <w:pPr>
              <w:pageBreakBefore w:val="0"/>
              <w:shd w:val="clear"/>
              <w:kinsoku/>
              <w:overflowPunct/>
              <w:topLinePunct w:val="0"/>
              <w:bidi w:val="0"/>
              <w:spacing w:before="50" w:after="50" w:line="360" w:lineRule="auto"/>
              <w:jc w:val="center"/>
              <w:rPr>
                <w:rFonts w:hint="eastAsia" w:ascii="宋体" w:hAnsi="宋体" w:eastAsia="宋体" w:cs="宋体"/>
                <w:color w:val="auto"/>
                <w:szCs w:val="20"/>
                <w:highlight w:val="none"/>
              </w:rPr>
            </w:pPr>
          </w:p>
        </w:tc>
      </w:tr>
      <w:tr w14:paraId="3ED74A1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754" w:type="dxa"/>
            <w:vAlign w:val="center"/>
          </w:tcPr>
          <w:p w14:paraId="4E39B178">
            <w:pPr>
              <w:pageBreakBefore w:val="0"/>
              <w:widowControl/>
              <w:shd w:val="clear"/>
              <w:kinsoku/>
              <w:overflowPunct/>
              <w:topLinePunct w:val="0"/>
              <w:bidi w:val="0"/>
              <w:spacing w:line="360" w:lineRule="auto"/>
              <w:jc w:val="center"/>
              <w:textAlignment w:val="center"/>
              <w:rPr>
                <w:rFonts w:hint="eastAsia" w:ascii="宋体" w:hAnsi="宋体" w:eastAsia="宋体" w:cs="宋体"/>
                <w:color w:val="auto"/>
                <w:kern w:val="0"/>
                <w:szCs w:val="21"/>
                <w:highlight w:val="none"/>
                <w:lang w:bidi="ar"/>
              </w:rPr>
            </w:pPr>
          </w:p>
        </w:tc>
        <w:tc>
          <w:tcPr>
            <w:tcW w:w="1982" w:type="dxa"/>
            <w:vAlign w:val="center"/>
          </w:tcPr>
          <w:p w14:paraId="77642947">
            <w:pPr>
              <w:pageBreakBefore w:val="0"/>
              <w:widowControl/>
              <w:shd w:val="clear"/>
              <w:kinsoku/>
              <w:overflowPunct/>
              <w:topLinePunct w:val="0"/>
              <w:bidi w:val="0"/>
              <w:spacing w:line="360" w:lineRule="auto"/>
              <w:jc w:val="center"/>
              <w:textAlignment w:val="center"/>
              <w:rPr>
                <w:rFonts w:hint="eastAsia" w:ascii="宋体" w:hAnsi="宋体" w:eastAsia="宋体" w:cs="宋体"/>
                <w:color w:val="auto"/>
                <w:kern w:val="0"/>
                <w:sz w:val="22"/>
                <w:szCs w:val="22"/>
                <w:highlight w:val="none"/>
                <w:lang w:bidi="ar"/>
              </w:rPr>
            </w:pPr>
          </w:p>
        </w:tc>
        <w:tc>
          <w:tcPr>
            <w:tcW w:w="819" w:type="dxa"/>
            <w:vAlign w:val="center"/>
          </w:tcPr>
          <w:p w14:paraId="61C1294E">
            <w:pPr>
              <w:pageBreakBefore w:val="0"/>
              <w:shd w:val="clear"/>
              <w:kinsoku/>
              <w:overflowPunct/>
              <w:topLinePunct w:val="0"/>
              <w:bidi w:val="0"/>
              <w:spacing w:line="360" w:lineRule="auto"/>
              <w:jc w:val="center"/>
              <w:rPr>
                <w:rFonts w:hint="eastAsia" w:ascii="宋体" w:hAnsi="宋体" w:eastAsia="宋体" w:cs="宋体"/>
                <w:color w:val="auto"/>
                <w:kern w:val="0"/>
                <w:sz w:val="22"/>
                <w:szCs w:val="22"/>
                <w:highlight w:val="none"/>
                <w:lang w:bidi="ar"/>
              </w:rPr>
            </w:pPr>
          </w:p>
        </w:tc>
        <w:tc>
          <w:tcPr>
            <w:tcW w:w="699" w:type="dxa"/>
            <w:vAlign w:val="center"/>
          </w:tcPr>
          <w:p w14:paraId="7B030096">
            <w:pPr>
              <w:pageBreakBefore w:val="0"/>
              <w:shd w:val="clear"/>
              <w:kinsoku/>
              <w:overflowPunct/>
              <w:topLinePunct w:val="0"/>
              <w:bidi w:val="0"/>
              <w:spacing w:line="360" w:lineRule="auto"/>
              <w:jc w:val="center"/>
              <w:rPr>
                <w:rFonts w:hint="eastAsia" w:ascii="宋体" w:hAnsi="宋体" w:eastAsia="宋体" w:cs="宋体"/>
                <w:color w:val="auto"/>
                <w:kern w:val="0"/>
                <w:sz w:val="22"/>
                <w:szCs w:val="22"/>
                <w:highlight w:val="none"/>
                <w:lang w:bidi="ar"/>
              </w:rPr>
            </w:pPr>
          </w:p>
        </w:tc>
        <w:tc>
          <w:tcPr>
            <w:tcW w:w="1353" w:type="dxa"/>
            <w:vAlign w:val="center"/>
          </w:tcPr>
          <w:p w14:paraId="015E0E30">
            <w:pPr>
              <w:pageBreakBefore w:val="0"/>
              <w:widowControl/>
              <w:shd w:val="clear"/>
              <w:kinsoku/>
              <w:overflowPunct/>
              <w:topLinePunct w:val="0"/>
              <w:bidi w:val="0"/>
              <w:spacing w:line="360" w:lineRule="auto"/>
              <w:jc w:val="center"/>
              <w:textAlignment w:val="center"/>
              <w:rPr>
                <w:rFonts w:hint="eastAsia" w:ascii="宋体" w:hAnsi="宋体" w:eastAsia="宋体" w:cs="宋体"/>
                <w:color w:val="auto"/>
                <w:szCs w:val="20"/>
                <w:highlight w:val="none"/>
              </w:rPr>
            </w:pPr>
          </w:p>
        </w:tc>
        <w:tc>
          <w:tcPr>
            <w:tcW w:w="1598" w:type="dxa"/>
            <w:vAlign w:val="center"/>
          </w:tcPr>
          <w:p w14:paraId="14A23A75">
            <w:pPr>
              <w:pageBreakBefore w:val="0"/>
              <w:shd w:val="clear"/>
              <w:kinsoku/>
              <w:overflowPunct/>
              <w:topLinePunct w:val="0"/>
              <w:bidi w:val="0"/>
              <w:spacing w:before="50" w:after="50" w:line="360" w:lineRule="auto"/>
              <w:jc w:val="center"/>
              <w:rPr>
                <w:rFonts w:hint="eastAsia" w:ascii="宋体" w:hAnsi="宋体" w:eastAsia="宋体" w:cs="宋体"/>
                <w:color w:val="auto"/>
                <w:szCs w:val="20"/>
                <w:highlight w:val="none"/>
              </w:rPr>
            </w:pPr>
          </w:p>
        </w:tc>
        <w:tc>
          <w:tcPr>
            <w:tcW w:w="1025" w:type="dxa"/>
            <w:vAlign w:val="center"/>
          </w:tcPr>
          <w:p w14:paraId="48208776">
            <w:pPr>
              <w:pageBreakBefore w:val="0"/>
              <w:shd w:val="clear"/>
              <w:kinsoku/>
              <w:overflowPunct/>
              <w:topLinePunct w:val="0"/>
              <w:bidi w:val="0"/>
              <w:spacing w:before="50" w:after="50" w:line="360" w:lineRule="auto"/>
              <w:jc w:val="center"/>
              <w:rPr>
                <w:rFonts w:hint="eastAsia" w:ascii="宋体" w:hAnsi="宋体" w:eastAsia="宋体" w:cs="宋体"/>
                <w:color w:val="auto"/>
                <w:szCs w:val="20"/>
                <w:highlight w:val="none"/>
              </w:rPr>
            </w:pPr>
          </w:p>
        </w:tc>
        <w:tc>
          <w:tcPr>
            <w:tcW w:w="1025" w:type="dxa"/>
            <w:vAlign w:val="center"/>
          </w:tcPr>
          <w:p w14:paraId="145FB951">
            <w:pPr>
              <w:pageBreakBefore w:val="0"/>
              <w:shd w:val="clear"/>
              <w:kinsoku/>
              <w:overflowPunct/>
              <w:topLinePunct w:val="0"/>
              <w:bidi w:val="0"/>
              <w:spacing w:before="50" w:after="50" w:line="360" w:lineRule="auto"/>
              <w:jc w:val="center"/>
              <w:rPr>
                <w:rFonts w:hint="eastAsia" w:ascii="宋体" w:hAnsi="宋体" w:eastAsia="宋体" w:cs="宋体"/>
                <w:color w:val="auto"/>
                <w:szCs w:val="20"/>
                <w:highlight w:val="none"/>
              </w:rPr>
            </w:pPr>
          </w:p>
        </w:tc>
      </w:tr>
    </w:tbl>
    <w:p w14:paraId="588A3203">
      <w:pPr>
        <w:pageBreakBefore w:val="0"/>
        <w:shd w:val="clear"/>
        <w:kinsoku/>
        <w:overflowPunct/>
        <w:topLinePunct w:val="0"/>
        <w:bidi w:val="0"/>
        <w:spacing w:before="50" w:after="50" w:line="360" w:lineRule="auto"/>
        <w:rPr>
          <w:rFonts w:hint="eastAsia" w:ascii="宋体" w:hAnsi="宋体" w:eastAsia="宋体" w:cs="宋体"/>
          <w:color w:val="auto"/>
          <w:spacing w:val="20"/>
          <w:szCs w:val="20"/>
          <w:highlight w:val="none"/>
          <w:u w:val="single"/>
        </w:rPr>
      </w:pPr>
    </w:p>
    <w:p w14:paraId="7C8BBB12">
      <w:pPr>
        <w:pageBreakBefore w:val="0"/>
        <w:shd w:val="clear"/>
        <w:kinsoku/>
        <w:overflowPunct/>
        <w:topLinePunct w:val="0"/>
        <w:autoSpaceDE w:val="0"/>
        <w:autoSpaceDN w:val="0"/>
        <w:bidi w:val="0"/>
        <w:spacing w:line="360" w:lineRule="auto"/>
        <w:ind w:right="112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投标人名称（</w:t>
      </w:r>
      <w:r>
        <w:rPr>
          <w:rFonts w:hint="eastAsia" w:ascii="宋体" w:hAnsi="宋体" w:eastAsia="宋体" w:cs="宋体"/>
          <w:color w:val="auto"/>
          <w:sz w:val="21"/>
          <w:szCs w:val="21"/>
          <w:highlight w:val="none"/>
        </w:rPr>
        <w:t>电子签名</w:t>
      </w:r>
      <w:r>
        <w:rPr>
          <w:rFonts w:hint="eastAsia" w:ascii="宋体" w:hAnsi="宋体" w:eastAsia="宋体" w:cs="宋体"/>
          <w:color w:val="auto"/>
          <w:kern w:val="0"/>
          <w:sz w:val="21"/>
          <w:szCs w:val="21"/>
          <w:highlight w:val="none"/>
        </w:rPr>
        <w:t>/公章</w:t>
      </w:r>
      <w:r>
        <w:rPr>
          <w:rFonts w:hint="eastAsia" w:ascii="宋体" w:hAnsi="宋体" w:eastAsia="宋体" w:cs="宋体"/>
          <w:color w:val="auto"/>
          <w:kern w:val="0"/>
          <w:sz w:val="21"/>
          <w:szCs w:val="21"/>
          <w:highlight w:val="none"/>
          <w:lang w:val="zh-CN"/>
        </w:rPr>
        <w:t>）：</w:t>
      </w:r>
    </w:p>
    <w:p w14:paraId="1893A081">
      <w:pPr>
        <w:pageBreakBefore w:val="0"/>
        <w:shd w:val="clear"/>
        <w:kinsoku/>
        <w:overflowPunct/>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日期</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年月日</w:t>
      </w:r>
    </w:p>
    <w:p w14:paraId="1BD886F4">
      <w:pPr>
        <w:pageBreakBefore w:val="0"/>
        <w:shd w:val="clear"/>
        <w:kinsoku/>
        <w:overflowPunct/>
        <w:topLinePunct w:val="0"/>
        <w:bidi w:val="0"/>
        <w:spacing w:line="360" w:lineRule="auto"/>
        <w:rPr>
          <w:rFonts w:hint="eastAsia" w:ascii="宋体" w:hAnsi="宋体" w:eastAsia="宋体" w:cs="宋体"/>
          <w:b/>
          <w:color w:val="auto"/>
          <w:kern w:val="0"/>
          <w:sz w:val="32"/>
          <w:szCs w:val="32"/>
          <w:highlight w:val="none"/>
          <w:lang w:val="zh-CN"/>
        </w:rPr>
      </w:pPr>
    </w:p>
    <w:p w14:paraId="4CE58BFA">
      <w:pPr>
        <w:pageBreakBefore w:val="0"/>
        <w:shd w:val="clear"/>
        <w:kinsoku/>
        <w:overflowPunct/>
        <w:topLinePunct w:val="0"/>
        <w:bidi w:val="0"/>
        <w:spacing w:line="360" w:lineRule="auto"/>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br w:type="page"/>
      </w:r>
    </w:p>
    <w:p w14:paraId="38A2F129">
      <w:pPr>
        <w:pageBreakBefore w:val="0"/>
        <w:shd w:val="clear"/>
        <w:kinsoku/>
        <w:overflowPunct/>
        <w:topLinePunct w:val="0"/>
        <w:bidi w:val="0"/>
        <w:spacing w:line="360" w:lineRule="auto"/>
        <w:jc w:val="center"/>
        <w:outlineLvl w:val="1"/>
        <w:rPr>
          <w:rFonts w:hint="eastAsia" w:ascii="宋体" w:hAnsi="宋体" w:eastAsia="宋体" w:cs="宋体"/>
          <w:b/>
          <w:color w:val="auto"/>
          <w:kern w:val="0"/>
          <w:sz w:val="32"/>
          <w:szCs w:val="32"/>
          <w:highlight w:val="none"/>
          <w:lang w:val="zh-CN"/>
        </w:rPr>
      </w:pPr>
      <w:bookmarkStart w:id="138" w:name="_Toc22904"/>
      <w:bookmarkStart w:id="139" w:name="_Toc14464"/>
      <w:bookmarkStart w:id="140" w:name="_Toc10401"/>
      <w:bookmarkStart w:id="141" w:name="_Toc31339"/>
      <w:bookmarkStart w:id="142" w:name="_Toc5144"/>
      <w:r>
        <w:rPr>
          <w:rFonts w:hint="eastAsia" w:ascii="宋体" w:hAnsi="宋体" w:eastAsia="宋体" w:cs="宋体"/>
          <w:b/>
          <w:color w:val="auto"/>
          <w:kern w:val="0"/>
          <w:sz w:val="32"/>
          <w:szCs w:val="32"/>
          <w:highlight w:val="none"/>
          <w:lang w:val="zh-CN"/>
        </w:rPr>
        <w:t>九、政府采购投标人廉洁自律承诺书</w:t>
      </w:r>
      <w:bookmarkEnd w:id="137"/>
      <w:bookmarkEnd w:id="138"/>
      <w:bookmarkEnd w:id="139"/>
      <w:bookmarkEnd w:id="140"/>
      <w:bookmarkEnd w:id="141"/>
      <w:bookmarkEnd w:id="142"/>
    </w:p>
    <w:p w14:paraId="52DFFA98">
      <w:pPr>
        <w:pageBreakBefore w:val="0"/>
        <w:shd w:val="clear"/>
        <w:kinsoku/>
        <w:overflowPunct/>
        <w:topLinePunct w:val="0"/>
        <w:bidi w:val="0"/>
        <w:spacing w:line="360" w:lineRule="auto"/>
        <w:rPr>
          <w:rFonts w:hint="eastAsia" w:ascii="宋体" w:hAnsi="宋体" w:eastAsia="宋体" w:cs="宋体"/>
          <w:color w:val="auto"/>
          <w:highlight w:val="none"/>
        </w:rPr>
      </w:pPr>
    </w:p>
    <w:p w14:paraId="71C8A6AC">
      <w:pPr>
        <w:pageBreakBefore w:val="0"/>
        <w:shd w:val="clear"/>
        <w:kinsoku/>
        <w:overflowPunct/>
        <w:topLinePunct w:val="0"/>
        <w:bidi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u w:val="single"/>
          <w:lang w:eastAsia="zh-CN"/>
        </w:rPr>
        <w:t>浙江理工大学</w:t>
      </w:r>
      <w:r>
        <w:rPr>
          <w:rFonts w:hint="eastAsia" w:ascii="宋体" w:hAnsi="宋体" w:eastAsia="宋体" w:cs="宋体"/>
          <w:color w:val="auto"/>
          <w:sz w:val="21"/>
          <w:szCs w:val="21"/>
          <w:highlight w:val="none"/>
          <w:u w:val="single"/>
        </w:rPr>
        <w:t>、浙江国际招投标有限公司</w:t>
      </w:r>
      <w:r>
        <w:rPr>
          <w:rFonts w:hint="eastAsia" w:ascii="宋体" w:hAnsi="宋体" w:eastAsia="宋体" w:cs="宋体"/>
          <w:color w:val="auto"/>
          <w:sz w:val="21"/>
          <w:szCs w:val="21"/>
          <w:highlight w:val="none"/>
        </w:rPr>
        <w:t>：</w:t>
      </w:r>
    </w:p>
    <w:p w14:paraId="43DB4D52">
      <w:pPr>
        <w:pageBreakBefore w:val="0"/>
        <w:shd w:val="clear"/>
        <w:kinsoku/>
        <w:overflowPunct/>
        <w:topLinePunct w:val="0"/>
        <w:autoSpaceDE w:val="0"/>
        <w:autoSpaceDN w:val="0"/>
        <w:bidi w:val="0"/>
        <w:spacing w:line="360" w:lineRule="auto"/>
        <w:ind w:left="2" w:leftChars="1"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我单位响应你</w:t>
      </w:r>
      <w:r>
        <w:rPr>
          <w:rFonts w:hint="eastAsia" w:ascii="宋体" w:hAnsi="宋体" w:eastAsia="宋体" w:cs="宋体"/>
          <w:color w:val="auto"/>
          <w:sz w:val="21"/>
          <w:szCs w:val="21"/>
          <w:highlight w:val="none"/>
        </w:rPr>
        <w:t>单位</w:t>
      </w:r>
      <w:r>
        <w:rPr>
          <w:rFonts w:hint="eastAsia" w:ascii="宋体" w:hAnsi="宋体" w:eastAsia="宋体" w:cs="宋体"/>
          <w:color w:val="auto"/>
          <w:kern w:val="0"/>
          <w:sz w:val="21"/>
          <w:szCs w:val="21"/>
          <w:highlight w:val="none"/>
          <w:lang w:val="zh-CN"/>
        </w:rPr>
        <w:t>项目招标要求参加投标。在这次投标过程中和中标后，我们将严格遵守国家法律法规要求，并郑重承诺：</w:t>
      </w:r>
    </w:p>
    <w:p w14:paraId="6B67C9E3">
      <w:pPr>
        <w:pageBreakBefore w:val="0"/>
        <w:shd w:val="clear"/>
        <w:kinsoku/>
        <w:overflowPunct/>
        <w:topLinePunct w:val="0"/>
        <w:autoSpaceDE w:val="0"/>
        <w:autoSpaceDN w:val="0"/>
        <w:bidi w:val="0"/>
        <w:spacing w:line="360" w:lineRule="auto"/>
        <w:ind w:left="2" w:leftChars="1"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一、不向项目有关人员及部门赠送礼金礼物、有价证券、回扣以及中介费、介绍费、咨询费等好处费；</w:t>
      </w:r>
    </w:p>
    <w:p w14:paraId="0F817ABD">
      <w:pPr>
        <w:pageBreakBefore w:val="0"/>
        <w:shd w:val="clear"/>
        <w:kinsoku/>
        <w:overflowPunct/>
        <w:topLinePunct w:val="0"/>
        <w:autoSpaceDE w:val="0"/>
        <w:autoSpaceDN w:val="0"/>
        <w:bidi w:val="0"/>
        <w:spacing w:line="360" w:lineRule="auto"/>
        <w:ind w:left="2" w:leftChars="1" w:firstLine="420" w:firstLineChars="200"/>
        <w:jc w:val="left"/>
        <w:outlineLvl w:val="1"/>
        <w:rPr>
          <w:rFonts w:hint="eastAsia" w:ascii="宋体" w:hAnsi="宋体" w:eastAsia="宋体" w:cs="宋体"/>
          <w:color w:val="auto"/>
          <w:kern w:val="0"/>
          <w:sz w:val="21"/>
          <w:szCs w:val="21"/>
          <w:highlight w:val="none"/>
          <w:lang w:val="zh-CN"/>
        </w:rPr>
      </w:pPr>
      <w:bookmarkStart w:id="143" w:name="_Toc28820"/>
      <w:bookmarkStart w:id="144" w:name="_Toc23652"/>
      <w:bookmarkStart w:id="145" w:name="_Toc30888"/>
      <w:bookmarkStart w:id="146" w:name="_Toc3611"/>
      <w:bookmarkStart w:id="147" w:name="_Toc15855"/>
      <w:bookmarkStart w:id="148" w:name="_Toc27192"/>
      <w:bookmarkStart w:id="149" w:name="_Toc4898"/>
      <w:bookmarkStart w:id="150" w:name="_Toc13931"/>
      <w:bookmarkStart w:id="151" w:name="_Toc6050"/>
      <w:r>
        <w:rPr>
          <w:rFonts w:hint="eastAsia" w:ascii="宋体" w:hAnsi="宋体" w:eastAsia="宋体" w:cs="宋体"/>
          <w:color w:val="auto"/>
          <w:kern w:val="0"/>
          <w:sz w:val="21"/>
          <w:szCs w:val="21"/>
          <w:highlight w:val="none"/>
          <w:lang w:val="zh-CN"/>
        </w:rPr>
        <w:t>二、不为项目有关人员及部门报销应由你方单位或个人支付的费用；</w:t>
      </w:r>
      <w:bookmarkEnd w:id="143"/>
      <w:bookmarkEnd w:id="144"/>
      <w:bookmarkEnd w:id="145"/>
      <w:bookmarkEnd w:id="146"/>
      <w:bookmarkEnd w:id="147"/>
      <w:bookmarkEnd w:id="148"/>
      <w:bookmarkEnd w:id="149"/>
      <w:bookmarkEnd w:id="150"/>
      <w:bookmarkEnd w:id="151"/>
    </w:p>
    <w:p w14:paraId="257361F3">
      <w:pPr>
        <w:pageBreakBefore w:val="0"/>
        <w:shd w:val="clear"/>
        <w:kinsoku/>
        <w:overflowPunct/>
        <w:topLinePunct w:val="0"/>
        <w:autoSpaceDE w:val="0"/>
        <w:autoSpaceDN w:val="0"/>
        <w:bidi w:val="0"/>
        <w:spacing w:line="360" w:lineRule="auto"/>
        <w:ind w:left="2" w:leftChars="1"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三、不向项目有关人员及部门提供有可能影响公正的宴请和健身娱乐等活动；</w:t>
      </w:r>
    </w:p>
    <w:p w14:paraId="34F8F2BA">
      <w:pPr>
        <w:pageBreakBefore w:val="0"/>
        <w:shd w:val="clear"/>
        <w:kinsoku/>
        <w:overflowPunct/>
        <w:topLinePunct w:val="0"/>
        <w:autoSpaceDE w:val="0"/>
        <w:autoSpaceDN w:val="0"/>
        <w:bidi w:val="0"/>
        <w:spacing w:line="360" w:lineRule="auto"/>
        <w:ind w:left="2" w:leftChars="1" w:firstLine="420" w:firstLineChars="200"/>
        <w:jc w:val="left"/>
        <w:outlineLvl w:val="1"/>
        <w:rPr>
          <w:rFonts w:hint="eastAsia" w:ascii="宋体" w:hAnsi="宋体" w:eastAsia="宋体" w:cs="宋体"/>
          <w:color w:val="auto"/>
          <w:kern w:val="0"/>
          <w:sz w:val="21"/>
          <w:szCs w:val="21"/>
          <w:highlight w:val="none"/>
          <w:lang w:val="zh-CN"/>
        </w:rPr>
      </w:pPr>
      <w:bookmarkStart w:id="152" w:name="_Toc6780"/>
      <w:bookmarkStart w:id="153" w:name="_Toc8291"/>
      <w:bookmarkStart w:id="154" w:name="_Toc3989"/>
      <w:bookmarkStart w:id="155" w:name="_Toc10598"/>
      <w:bookmarkStart w:id="156" w:name="_Toc23680"/>
      <w:bookmarkStart w:id="157" w:name="_Toc26207"/>
      <w:bookmarkStart w:id="158" w:name="_Toc7221"/>
      <w:bookmarkStart w:id="159" w:name="_Toc6547"/>
      <w:bookmarkStart w:id="160" w:name="_Toc14118"/>
      <w:r>
        <w:rPr>
          <w:rFonts w:hint="eastAsia" w:ascii="宋体" w:hAnsi="宋体" w:eastAsia="宋体" w:cs="宋体"/>
          <w:color w:val="auto"/>
          <w:kern w:val="0"/>
          <w:sz w:val="21"/>
          <w:szCs w:val="21"/>
          <w:highlight w:val="none"/>
          <w:lang w:val="zh-CN"/>
        </w:rPr>
        <w:t>四、不为项目有关人员及部门出国（境）、旅游等提供方便；</w:t>
      </w:r>
      <w:bookmarkEnd w:id="152"/>
      <w:bookmarkEnd w:id="153"/>
      <w:bookmarkEnd w:id="154"/>
      <w:bookmarkEnd w:id="155"/>
      <w:bookmarkEnd w:id="156"/>
      <w:bookmarkEnd w:id="157"/>
      <w:bookmarkEnd w:id="158"/>
      <w:bookmarkEnd w:id="159"/>
      <w:bookmarkEnd w:id="160"/>
    </w:p>
    <w:p w14:paraId="7B2916C2">
      <w:pPr>
        <w:pageBreakBefore w:val="0"/>
        <w:shd w:val="clear"/>
        <w:kinsoku/>
        <w:overflowPunct/>
        <w:topLinePunct w:val="0"/>
        <w:autoSpaceDE w:val="0"/>
        <w:autoSpaceDN w:val="0"/>
        <w:bidi w:val="0"/>
        <w:spacing w:line="360" w:lineRule="auto"/>
        <w:ind w:left="481" w:leftChars="229"/>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五、不为项目有关人员个人装修住房、婚丧嫁娶、配偶子女工作安排等提供</w:t>
      </w:r>
    </w:p>
    <w:p w14:paraId="384A21AB">
      <w:pPr>
        <w:pageBreakBefore w:val="0"/>
        <w:shd w:val="clear"/>
        <w:kinsoku/>
        <w:overflowPunct/>
        <w:topLinePunct w:val="0"/>
        <w:autoSpaceDE w:val="0"/>
        <w:autoSpaceDN w:val="0"/>
        <w:bidi w:val="0"/>
        <w:spacing w:line="360" w:lineRule="auto"/>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好处；</w:t>
      </w:r>
    </w:p>
    <w:p w14:paraId="7FB85EDF">
      <w:pPr>
        <w:pageBreakBefore w:val="0"/>
        <w:shd w:val="clear"/>
        <w:kinsoku/>
        <w:overflowPunct/>
        <w:topLinePunct w:val="0"/>
        <w:autoSpaceDE w:val="0"/>
        <w:autoSpaceDN w:val="0"/>
        <w:bidi w:val="0"/>
        <w:spacing w:line="36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六、严格遵守《</w:t>
      </w:r>
      <w:r>
        <w:rPr>
          <w:rFonts w:hint="eastAsia" w:ascii="宋体" w:hAnsi="宋体" w:eastAsia="宋体" w:cs="宋体"/>
          <w:color w:val="auto"/>
          <w:sz w:val="21"/>
          <w:szCs w:val="21"/>
          <w:highlight w:val="none"/>
          <w:lang w:val="zh-CN"/>
        </w:rPr>
        <w:t>中华人民共和国</w:t>
      </w:r>
      <w:r>
        <w:rPr>
          <w:rFonts w:hint="eastAsia" w:ascii="宋体" w:hAnsi="宋体" w:eastAsia="宋体" w:cs="宋体"/>
          <w:color w:val="auto"/>
          <w:kern w:val="0"/>
          <w:sz w:val="21"/>
          <w:szCs w:val="21"/>
          <w:highlight w:val="none"/>
          <w:lang w:val="zh-CN"/>
        </w:rPr>
        <w:t>政府采购法》</w:t>
      </w:r>
      <w:r>
        <w:rPr>
          <w:rFonts w:hint="eastAsia" w:ascii="宋体" w:hAnsi="宋体" w:eastAsia="宋体" w:cs="宋体"/>
          <w:color w:val="auto"/>
          <w:sz w:val="21"/>
          <w:szCs w:val="21"/>
          <w:highlight w:val="none"/>
          <w:lang w:val="zh-CN"/>
        </w:rPr>
        <w:t>《中华人民共和国民法典》</w:t>
      </w:r>
      <w:r>
        <w:rPr>
          <w:rFonts w:hint="eastAsia" w:ascii="宋体" w:hAnsi="宋体" w:eastAsia="宋体" w:cs="宋体"/>
          <w:color w:val="auto"/>
          <w:kern w:val="0"/>
          <w:sz w:val="21"/>
          <w:szCs w:val="21"/>
          <w:highlight w:val="none"/>
          <w:lang w:val="zh-CN"/>
        </w:rPr>
        <w:t>等法律法规，诚实守信，合法经营，坚决抵制各种违法违纪行为。</w:t>
      </w:r>
    </w:p>
    <w:p w14:paraId="403CC802">
      <w:pPr>
        <w:pageBreakBefore w:val="0"/>
        <w:shd w:val="clear"/>
        <w:kinsoku/>
        <w:overflowPunct/>
        <w:topLinePunct w:val="0"/>
        <w:autoSpaceDE w:val="0"/>
        <w:autoSpaceDN w:val="0"/>
        <w:bidi w:val="0"/>
        <w:spacing w:line="36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如违反上述承诺，你</w:t>
      </w:r>
      <w:r>
        <w:rPr>
          <w:rFonts w:hint="eastAsia" w:ascii="宋体" w:hAnsi="宋体" w:eastAsia="宋体" w:cs="宋体"/>
          <w:color w:val="auto"/>
          <w:sz w:val="21"/>
          <w:szCs w:val="21"/>
          <w:highlight w:val="none"/>
        </w:rPr>
        <w:t>单位</w:t>
      </w:r>
      <w:r>
        <w:rPr>
          <w:rFonts w:hint="eastAsia" w:ascii="宋体" w:hAnsi="宋体" w:eastAsia="宋体" w:cs="宋体"/>
          <w:color w:val="auto"/>
          <w:kern w:val="0"/>
          <w:sz w:val="21"/>
          <w:szCs w:val="21"/>
          <w:highlight w:val="none"/>
          <w:lang w:val="zh-CN"/>
        </w:rPr>
        <w:t>有权立即取消我单位投标、中标或在建项目的建设资格，有权拒绝我单位在一定时期内进入你</w:t>
      </w:r>
      <w:r>
        <w:rPr>
          <w:rFonts w:hint="eastAsia" w:ascii="宋体" w:hAnsi="宋体" w:eastAsia="宋体" w:cs="宋体"/>
          <w:color w:val="auto"/>
          <w:sz w:val="21"/>
          <w:szCs w:val="21"/>
          <w:highlight w:val="none"/>
        </w:rPr>
        <w:t>单位</w:t>
      </w:r>
      <w:r>
        <w:rPr>
          <w:rFonts w:hint="eastAsia" w:ascii="宋体" w:hAnsi="宋体" w:eastAsia="宋体" w:cs="宋体"/>
          <w:color w:val="auto"/>
          <w:kern w:val="0"/>
          <w:sz w:val="21"/>
          <w:szCs w:val="21"/>
          <w:highlight w:val="none"/>
          <w:lang w:val="zh-CN"/>
        </w:rPr>
        <w:t>进行项目建设或其他经营活动，并通报浙江省财政厅。由此引起的相应损失均由我单位承担。</w:t>
      </w:r>
    </w:p>
    <w:p w14:paraId="0EED7B9A">
      <w:pPr>
        <w:pageBreakBefore w:val="0"/>
        <w:shd w:val="clear"/>
        <w:kinsoku/>
        <w:overflowPunct/>
        <w:topLinePunct w:val="0"/>
        <w:autoSpaceDE w:val="0"/>
        <w:autoSpaceDN w:val="0"/>
        <w:bidi w:val="0"/>
        <w:spacing w:line="360" w:lineRule="auto"/>
        <w:ind w:left="2"/>
        <w:jc w:val="left"/>
        <w:rPr>
          <w:rFonts w:hint="eastAsia" w:ascii="宋体" w:hAnsi="宋体" w:eastAsia="宋体" w:cs="宋体"/>
          <w:color w:val="auto"/>
          <w:kern w:val="0"/>
          <w:sz w:val="21"/>
          <w:szCs w:val="21"/>
          <w:highlight w:val="none"/>
          <w:lang w:val="zh-CN"/>
        </w:rPr>
      </w:pPr>
    </w:p>
    <w:p w14:paraId="43B261DA">
      <w:pPr>
        <w:pageBreakBefore w:val="0"/>
        <w:shd w:val="clear"/>
        <w:kinsoku/>
        <w:overflowPunct/>
        <w:topLinePunct w:val="0"/>
        <w:autoSpaceDE w:val="0"/>
        <w:autoSpaceDN w:val="0"/>
        <w:bidi w:val="0"/>
        <w:spacing w:line="360" w:lineRule="auto"/>
        <w:ind w:left="2"/>
        <w:jc w:val="left"/>
        <w:rPr>
          <w:rFonts w:hint="eastAsia" w:ascii="宋体" w:hAnsi="宋体" w:eastAsia="宋体" w:cs="宋体"/>
          <w:color w:val="auto"/>
          <w:kern w:val="0"/>
          <w:sz w:val="21"/>
          <w:szCs w:val="21"/>
          <w:highlight w:val="none"/>
          <w:lang w:val="zh-CN"/>
        </w:rPr>
      </w:pPr>
    </w:p>
    <w:p w14:paraId="3E9D99B5">
      <w:pPr>
        <w:pageBreakBefore w:val="0"/>
        <w:shd w:val="clear"/>
        <w:kinsoku/>
        <w:overflowPunct/>
        <w:topLinePunct w:val="0"/>
        <w:autoSpaceDE w:val="0"/>
        <w:autoSpaceDN w:val="0"/>
        <w:bidi w:val="0"/>
        <w:spacing w:line="360" w:lineRule="auto"/>
        <w:ind w:left="2"/>
        <w:jc w:val="left"/>
        <w:rPr>
          <w:rFonts w:hint="eastAsia" w:ascii="宋体" w:hAnsi="宋体" w:eastAsia="宋体" w:cs="宋体"/>
          <w:color w:val="auto"/>
          <w:kern w:val="0"/>
          <w:sz w:val="21"/>
          <w:szCs w:val="21"/>
          <w:highlight w:val="none"/>
          <w:lang w:val="zh-CN"/>
        </w:rPr>
      </w:pPr>
    </w:p>
    <w:p w14:paraId="5F7B3E0E">
      <w:pPr>
        <w:pageBreakBefore w:val="0"/>
        <w:shd w:val="clear"/>
        <w:kinsoku/>
        <w:overflowPunct/>
        <w:topLinePunct w:val="0"/>
        <w:autoSpaceDE w:val="0"/>
        <w:autoSpaceDN w:val="0"/>
        <w:bidi w:val="0"/>
        <w:spacing w:line="360" w:lineRule="auto"/>
        <w:ind w:left="2" w:leftChars="1" w:right="1120" w:firstLine="3990" w:firstLineChars="19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投标人名称（</w:t>
      </w:r>
      <w:r>
        <w:rPr>
          <w:rFonts w:hint="eastAsia" w:ascii="宋体" w:hAnsi="宋体" w:eastAsia="宋体" w:cs="宋体"/>
          <w:color w:val="auto"/>
          <w:sz w:val="21"/>
          <w:szCs w:val="21"/>
          <w:highlight w:val="none"/>
        </w:rPr>
        <w:t>电子签名</w:t>
      </w:r>
      <w:r>
        <w:rPr>
          <w:rFonts w:hint="eastAsia" w:ascii="宋体" w:hAnsi="宋体" w:eastAsia="宋体" w:cs="宋体"/>
          <w:color w:val="auto"/>
          <w:kern w:val="0"/>
          <w:sz w:val="21"/>
          <w:szCs w:val="21"/>
          <w:highlight w:val="none"/>
          <w:lang w:val="zh-CN"/>
        </w:rPr>
        <w:t>）：</w:t>
      </w:r>
    </w:p>
    <w:p w14:paraId="05811F78">
      <w:pPr>
        <w:pageBreakBefore w:val="0"/>
        <w:shd w:val="clear"/>
        <w:kinsoku/>
        <w:overflowPunct/>
        <w:topLinePunct w:val="0"/>
        <w:bidi w:val="0"/>
        <w:spacing w:line="360" w:lineRule="auto"/>
        <w:ind w:left="4620" w:leftChars="2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日期</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年月日</w:t>
      </w:r>
    </w:p>
    <w:p w14:paraId="562C64C0">
      <w:pPr>
        <w:pageBreakBefore w:val="0"/>
        <w:shd w:val="clear"/>
        <w:kinsoku/>
        <w:overflowPunct/>
        <w:topLinePunct w:val="0"/>
        <w:bidi w:val="0"/>
        <w:spacing w:line="360" w:lineRule="auto"/>
        <w:rPr>
          <w:rFonts w:hint="eastAsia" w:ascii="宋体" w:hAnsi="宋体" w:eastAsia="宋体" w:cs="宋体"/>
          <w:b/>
          <w:color w:val="auto"/>
          <w:kern w:val="0"/>
          <w:sz w:val="21"/>
          <w:szCs w:val="21"/>
          <w:highlight w:val="none"/>
        </w:rPr>
      </w:pPr>
    </w:p>
    <w:p w14:paraId="4B5314B2">
      <w:pPr>
        <w:pageBreakBefore w:val="0"/>
        <w:shd w:val="clear"/>
        <w:kinsoku/>
        <w:overflowPunct/>
        <w:topLinePunct w:val="0"/>
        <w:bidi w:val="0"/>
        <w:spacing w:line="360" w:lineRule="auto"/>
        <w:rPr>
          <w:rFonts w:hint="eastAsia" w:ascii="宋体" w:hAnsi="宋体" w:eastAsia="宋体" w:cs="宋体"/>
          <w:b/>
          <w:color w:val="auto"/>
          <w:kern w:val="0"/>
          <w:sz w:val="21"/>
          <w:szCs w:val="21"/>
          <w:highlight w:val="none"/>
        </w:rPr>
      </w:pPr>
    </w:p>
    <w:p w14:paraId="75764754">
      <w:pPr>
        <w:pageBreakBefore w:val="0"/>
        <w:shd w:val="clear"/>
        <w:kinsoku/>
        <w:overflowPunct/>
        <w:topLinePunct w:val="0"/>
        <w:bidi w:val="0"/>
        <w:spacing w:line="360" w:lineRule="auto"/>
        <w:rPr>
          <w:rFonts w:hint="eastAsia" w:ascii="宋体" w:hAnsi="宋体" w:eastAsia="宋体" w:cs="宋体"/>
          <w:b/>
          <w:color w:val="auto"/>
          <w:kern w:val="0"/>
          <w:sz w:val="21"/>
          <w:szCs w:val="21"/>
          <w:highlight w:val="none"/>
        </w:rPr>
      </w:pPr>
    </w:p>
    <w:p w14:paraId="7D6C58B2">
      <w:pPr>
        <w:pageBreakBefore w:val="0"/>
        <w:shd w:val="clear"/>
        <w:kinsoku/>
        <w:overflowPunct/>
        <w:topLinePunct w:val="0"/>
        <w:bidi w:val="0"/>
        <w:spacing w:line="360" w:lineRule="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注：按本格式和要求提供。</w:t>
      </w:r>
    </w:p>
    <w:p w14:paraId="249A2E32">
      <w:pPr>
        <w:pageBreakBefore w:val="0"/>
        <w:shd w:val="clear"/>
        <w:kinsoku/>
        <w:overflowPunct/>
        <w:topLinePunct w:val="0"/>
        <w:bidi w:val="0"/>
        <w:spacing w:line="360" w:lineRule="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br w:type="page"/>
      </w:r>
    </w:p>
    <w:p w14:paraId="5E79F363">
      <w:pPr>
        <w:pageBreakBefore w:val="0"/>
        <w:shd w:val="clear"/>
        <w:kinsoku/>
        <w:overflowPunct/>
        <w:topLinePunct w:val="0"/>
        <w:bidi w:val="0"/>
        <w:spacing w:line="360" w:lineRule="auto"/>
        <w:rPr>
          <w:rFonts w:hint="eastAsia" w:ascii="宋体" w:hAnsi="宋体" w:eastAsia="宋体" w:cs="宋体"/>
          <w:b/>
          <w:color w:val="auto"/>
          <w:kern w:val="0"/>
          <w:sz w:val="21"/>
          <w:szCs w:val="21"/>
          <w:highlight w:val="none"/>
        </w:rPr>
      </w:pPr>
    </w:p>
    <w:p w14:paraId="575CEDA8">
      <w:pPr>
        <w:pageBreakBefore w:val="0"/>
        <w:shd w:val="clear"/>
        <w:kinsoku/>
        <w:overflowPunct/>
        <w:topLinePunct w:val="0"/>
        <w:bidi w:val="0"/>
        <w:spacing w:line="360" w:lineRule="auto"/>
        <w:jc w:val="center"/>
        <w:outlineLvl w:val="1"/>
        <w:rPr>
          <w:rFonts w:hint="eastAsia" w:ascii="宋体" w:hAnsi="宋体" w:eastAsia="宋体" w:cs="宋体"/>
          <w:b/>
          <w:color w:val="auto"/>
          <w:kern w:val="0"/>
          <w:sz w:val="36"/>
          <w:szCs w:val="36"/>
          <w:highlight w:val="none"/>
        </w:rPr>
      </w:pPr>
      <w:bookmarkStart w:id="161" w:name="_Toc14481"/>
      <w:bookmarkStart w:id="162" w:name="_Toc4862"/>
      <w:r>
        <w:rPr>
          <w:rFonts w:hint="eastAsia" w:ascii="宋体" w:hAnsi="宋体" w:eastAsia="宋体" w:cs="宋体"/>
          <w:b/>
          <w:color w:val="auto"/>
          <w:kern w:val="0"/>
          <w:sz w:val="36"/>
          <w:szCs w:val="36"/>
          <w:highlight w:val="none"/>
        </w:rPr>
        <w:t>报价文件部分</w:t>
      </w:r>
      <w:bookmarkEnd w:id="161"/>
      <w:bookmarkEnd w:id="162"/>
    </w:p>
    <w:p w14:paraId="3AA4F988">
      <w:pPr>
        <w:pageBreakBefore w:val="0"/>
        <w:shd w:val="clear"/>
        <w:kinsoku/>
        <w:overflowPunct/>
        <w:topLinePunct w:val="0"/>
        <w:bidi w:val="0"/>
        <w:spacing w:line="360" w:lineRule="auto"/>
        <w:jc w:val="center"/>
        <w:rPr>
          <w:rFonts w:hint="eastAsia" w:ascii="宋体" w:hAnsi="宋体" w:eastAsia="宋体" w:cs="宋体"/>
          <w:b/>
          <w:bCs/>
          <w:color w:val="auto"/>
          <w:sz w:val="28"/>
          <w:szCs w:val="28"/>
          <w:highlight w:val="none"/>
        </w:rPr>
      </w:pPr>
    </w:p>
    <w:p w14:paraId="5E41B58D">
      <w:pPr>
        <w:pageBreakBefore w:val="0"/>
        <w:shd w:val="clear"/>
        <w:kinsoku/>
        <w:overflowPunct/>
        <w:topLinePunct w:val="0"/>
        <w:bidi w:val="0"/>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目录</w:t>
      </w:r>
    </w:p>
    <w:p w14:paraId="3F4A9E91">
      <w:pPr>
        <w:pageBreakBefore w:val="0"/>
        <w:shd w:val="clear"/>
        <w:kinsoku/>
        <w:overflowPunct/>
        <w:topLinePunct w:val="0"/>
        <w:autoSpaceDE w:val="0"/>
        <w:autoSpaceDN w:val="0"/>
        <w:bidi w:val="0"/>
        <w:spacing w:line="360" w:lineRule="auto"/>
        <w:jc w:val="left"/>
        <w:rPr>
          <w:rFonts w:hint="eastAsia" w:ascii="宋体" w:hAnsi="宋体" w:eastAsia="宋体" w:cs="宋体"/>
          <w:color w:val="auto"/>
          <w:kern w:val="0"/>
          <w:highlight w:val="none"/>
          <w:lang w:val="zh-CN"/>
        </w:rPr>
      </w:pPr>
    </w:p>
    <w:p w14:paraId="2029BDFA">
      <w:pPr>
        <w:pageBreakBefore w:val="0"/>
        <w:shd w:val="clear"/>
        <w:kinsoku/>
        <w:overflowPunct/>
        <w:topLinePunct w:val="0"/>
        <w:autoSpaceDE w:val="0"/>
        <w:autoSpaceDN w:val="0"/>
        <w:bidi w:val="0"/>
        <w:spacing w:line="360" w:lineRule="auto"/>
        <w:jc w:val="left"/>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（1）开标一览表（报价表）………………………………………………………（页码）</w:t>
      </w:r>
    </w:p>
    <w:p w14:paraId="46F77773">
      <w:pPr>
        <w:pageBreakBefore w:val="0"/>
        <w:shd w:val="clear"/>
        <w:kinsoku/>
        <w:overflowPunct/>
        <w:topLinePunct w:val="0"/>
        <w:autoSpaceDE w:val="0"/>
        <w:autoSpaceDN w:val="0"/>
        <w:bidi w:val="0"/>
        <w:spacing w:line="360" w:lineRule="auto"/>
        <w:jc w:val="left"/>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（2）报价情况说明…………………………………………………………………（页码）</w:t>
      </w:r>
    </w:p>
    <w:p w14:paraId="274AD7B0">
      <w:pPr>
        <w:pageBreakBefore w:val="0"/>
        <w:shd w:val="clear"/>
        <w:kinsoku/>
        <w:overflowPunct/>
        <w:topLinePunct w:val="0"/>
        <w:autoSpaceDE w:val="0"/>
        <w:autoSpaceDN w:val="0"/>
        <w:bidi w:val="0"/>
        <w:spacing w:line="360" w:lineRule="auto"/>
        <w:jc w:val="left"/>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w:t>
      </w:r>
      <w:r>
        <w:rPr>
          <w:rFonts w:hint="eastAsia" w:ascii="宋体" w:hAnsi="宋体" w:eastAsia="宋体" w:cs="宋体"/>
          <w:color w:val="auto"/>
          <w:kern w:val="0"/>
          <w:highlight w:val="none"/>
        </w:rPr>
        <w:t>3</w:t>
      </w:r>
      <w:r>
        <w:rPr>
          <w:rFonts w:hint="eastAsia" w:ascii="宋体" w:hAnsi="宋体" w:eastAsia="宋体" w:cs="宋体"/>
          <w:color w:val="auto"/>
          <w:kern w:val="0"/>
          <w:highlight w:val="none"/>
          <w:lang w:val="zh-CN"/>
        </w:rPr>
        <w:t>）中标服务费支付承诺书………………………………………………………（页码）</w:t>
      </w:r>
    </w:p>
    <w:p w14:paraId="651B3C4F">
      <w:pPr>
        <w:pageBreakBefore w:val="0"/>
        <w:shd w:val="clear"/>
        <w:kinsoku/>
        <w:overflowPunct/>
        <w:topLinePunct w:val="0"/>
        <w:autoSpaceDE/>
        <w:autoSpaceDN/>
        <w:bidi w:val="0"/>
        <w:spacing w:line="360" w:lineRule="auto"/>
        <w:ind w:left="0" w:leftChars="0" w:firstLine="0" w:firstLineChars="0"/>
        <w:jc w:val="left"/>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br w:type="page"/>
      </w:r>
    </w:p>
    <w:p w14:paraId="1F032A12">
      <w:pPr>
        <w:pStyle w:val="139"/>
        <w:keepNext w:val="0"/>
        <w:pageBreakBefore w:val="0"/>
        <w:shd w:val="clear"/>
        <w:tabs>
          <w:tab w:val="clear" w:pos="720"/>
        </w:tabs>
        <w:snapToGrid w:val="0"/>
        <w:spacing w:before="120" w:after="120" w:line="360" w:lineRule="auto"/>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3E758CC1">
      <w:pPr>
        <w:shd w:val="clea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）、（采购代理机构）</w:t>
      </w:r>
      <w:r>
        <w:rPr>
          <w:rFonts w:hint="eastAsia" w:ascii="宋体" w:hAnsi="宋体" w:eastAsia="宋体" w:cs="宋体"/>
          <w:color w:val="auto"/>
          <w:kern w:val="0"/>
          <w:sz w:val="24"/>
          <w:highlight w:val="none"/>
          <w:lang w:val="zh-CN"/>
        </w:rPr>
        <w:t>：</w:t>
      </w:r>
    </w:p>
    <w:p w14:paraId="775FD8AF">
      <w:pPr>
        <w:shd w:val="clea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highlight w:val="none"/>
        </w:rPr>
        <w:t>（项目名称）</w:t>
      </w:r>
      <w:r>
        <w:rPr>
          <w:rFonts w:hint="eastAsia" w:ascii="宋体" w:hAnsi="宋体" w:eastAsia="宋体" w:cs="宋体"/>
          <w:color w:val="auto"/>
          <w:kern w:val="0"/>
          <w:sz w:val="24"/>
          <w:highlight w:val="none"/>
          <w:lang w:val="zh-CN"/>
        </w:rPr>
        <w:t>【招标编号：</w:t>
      </w:r>
      <w:r>
        <w:rPr>
          <w:rFonts w:hint="eastAsia" w:ascii="宋体" w:hAnsi="宋体" w:eastAsia="宋体" w:cs="宋体"/>
          <w:color w:val="auto"/>
          <w:sz w:val="24"/>
          <w:highlight w:val="none"/>
        </w:rPr>
        <w:t>（采购编号）】的实施</w:t>
      </w:r>
      <w:r>
        <w:rPr>
          <w:rFonts w:hint="eastAsia" w:ascii="宋体" w:hAnsi="宋体" w:eastAsia="宋体" w:cs="宋体"/>
          <w:color w:val="auto"/>
          <w:kern w:val="0"/>
          <w:sz w:val="24"/>
          <w:highlight w:val="none"/>
          <w:lang w:val="zh-CN"/>
        </w:rPr>
        <w:t>。</w:t>
      </w:r>
    </w:p>
    <w:p w14:paraId="5A491C23">
      <w:pPr>
        <w:shd w:val="clea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46"/>
        <w:tblW w:w="8979" w:type="dxa"/>
        <w:tblInd w:w="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760"/>
        <w:gridCol w:w="2147"/>
        <w:gridCol w:w="1132"/>
        <w:gridCol w:w="1764"/>
        <w:gridCol w:w="1416"/>
      </w:tblGrid>
      <w:tr w14:paraId="3DF0A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760" w:type="dxa"/>
            <w:vAlign w:val="center"/>
          </w:tcPr>
          <w:p w14:paraId="0B34D62C">
            <w:pPr>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760" w:type="dxa"/>
            <w:vAlign w:val="center"/>
          </w:tcPr>
          <w:p w14:paraId="2A81FA4A">
            <w:pPr>
              <w:shd w:val="clear"/>
              <w:spacing w:line="360" w:lineRule="auto"/>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服务内容</w:t>
            </w:r>
          </w:p>
          <w:p w14:paraId="25EE1115">
            <w:pPr>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名称</w:t>
            </w:r>
            <w:r>
              <w:rPr>
                <w:rFonts w:hint="eastAsia" w:ascii="宋体" w:hAnsi="宋体" w:eastAsia="宋体" w:cs="宋体"/>
                <w:b/>
                <w:color w:val="auto"/>
                <w:sz w:val="24"/>
                <w:highlight w:val="none"/>
                <w:lang w:eastAsia="zh-CN"/>
              </w:rPr>
              <w:t>）</w:t>
            </w:r>
          </w:p>
        </w:tc>
        <w:tc>
          <w:tcPr>
            <w:tcW w:w="2147" w:type="dxa"/>
            <w:vAlign w:val="center"/>
          </w:tcPr>
          <w:p w14:paraId="69E7B9A1">
            <w:pPr>
              <w:shd w:val="clear"/>
              <w:spacing w:line="360" w:lineRule="auto"/>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内容描述</w:t>
            </w:r>
          </w:p>
        </w:tc>
        <w:tc>
          <w:tcPr>
            <w:tcW w:w="1132" w:type="dxa"/>
            <w:vAlign w:val="center"/>
          </w:tcPr>
          <w:p w14:paraId="1626B038">
            <w:pPr>
              <w:shd w:val="clear"/>
              <w:spacing w:line="360" w:lineRule="auto"/>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数量</w:t>
            </w:r>
          </w:p>
        </w:tc>
        <w:tc>
          <w:tcPr>
            <w:tcW w:w="1764" w:type="dxa"/>
            <w:vAlign w:val="center"/>
          </w:tcPr>
          <w:p w14:paraId="32F3FBDB">
            <w:pPr>
              <w:shd w:val="clear"/>
              <w:spacing w:line="360" w:lineRule="auto"/>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单价</w:t>
            </w:r>
          </w:p>
        </w:tc>
        <w:tc>
          <w:tcPr>
            <w:tcW w:w="1416" w:type="dxa"/>
            <w:vAlign w:val="center"/>
          </w:tcPr>
          <w:p w14:paraId="047EA7D2">
            <w:pPr>
              <w:shd w:val="clear"/>
              <w:spacing w:line="360" w:lineRule="auto"/>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小计</w:t>
            </w:r>
          </w:p>
        </w:tc>
      </w:tr>
      <w:tr w14:paraId="3242C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760" w:type="dxa"/>
            <w:vAlign w:val="center"/>
          </w:tcPr>
          <w:p w14:paraId="3038E399">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760" w:type="dxa"/>
            <w:vAlign w:val="center"/>
          </w:tcPr>
          <w:p w14:paraId="6003D70F">
            <w:pPr>
              <w:shd w:val="clear"/>
              <w:snapToGrid w:val="0"/>
              <w:spacing w:line="360" w:lineRule="auto"/>
              <w:jc w:val="center"/>
              <w:rPr>
                <w:rFonts w:hint="eastAsia" w:ascii="宋体" w:hAnsi="宋体" w:eastAsia="宋体" w:cs="宋体"/>
                <w:color w:val="auto"/>
                <w:sz w:val="24"/>
                <w:highlight w:val="none"/>
              </w:rPr>
            </w:pPr>
          </w:p>
        </w:tc>
        <w:tc>
          <w:tcPr>
            <w:tcW w:w="2147" w:type="dxa"/>
            <w:vAlign w:val="center"/>
          </w:tcPr>
          <w:p w14:paraId="547639F8">
            <w:pPr>
              <w:shd w:val="clear"/>
              <w:snapToGrid w:val="0"/>
              <w:spacing w:line="360" w:lineRule="auto"/>
              <w:jc w:val="center"/>
              <w:rPr>
                <w:rFonts w:hint="eastAsia" w:ascii="宋体" w:hAnsi="宋体" w:eastAsia="宋体" w:cs="宋体"/>
                <w:color w:val="auto"/>
                <w:sz w:val="24"/>
                <w:highlight w:val="none"/>
              </w:rPr>
            </w:pPr>
          </w:p>
        </w:tc>
        <w:tc>
          <w:tcPr>
            <w:tcW w:w="1132" w:type="dxa"/>
            <w:vAlign w:val="center"/>
          </w:tcPr>
          <w:p w14:paraId="2B94EF81">
            <w:pPr>
              <w:shd w:val="clear"/>
              <w:snapToGrid w:val="0"/>
              <w:spacing w:line="360" w:lineRule="auto"/>
              <w:jc w:val="center"/>
              <w:rPr>
                <w:rFonts w:hint="eastAsia" w:ascii="宋体" w:hAnsi="宋体" w:eastAsia="宋体" w:cs="宋体"/>
                <w:color w:val="auto"/>
                <w:sz w:val="24"/>
                <w:highlight w:val="none"/>
              </w:rPr>
            </w:pPr>
          </w:p>
        </w:tc>
        <w:tc>
          <w:tcPr>
            <w:tcW w:w="1764" w:type="dxa"/>
            <w:vAlign w:val="center"/>
          </w:tcPr>
          <w:p w14:paraId="4319C1A8">
            <w:pPr>
              <w:shd w:val="clear"/>
              <w:snapToGrid w:val="0"/>
              <w:spacing w:line="360" w:lineRule="auto"/>
              <w:jc w:val="center"/>
              <w:rPr>
                <w:rFonts w:hint="eastAsia" w:ascii="宋体" w:hAnsi="宋体" w:eastAsia="宋体" w:cs="宋体"/>
                <w:color w:val="auto"/>
                <w:sz w:val="24"/>
                <w:highlight w:val="none"/>
              </w:rPr>
            </w:pPr>
          </w:p>
        </w:tc>
        <w:tc>
          <w:tcPr>
            <w:tcW w:w="1416" w:type="dxa"/>
            <w:vAlign w:val="center"/>
          </w:tcPr>
          <w:p w14:paraId="719D6FEC">
            <w:pPr>
              <w:shd w:val="clear"/>
              <w:spacing w:line="360" w:lineRule="auto"/>
              <w:jc w:val="center"/>
              <w:rPr>
                <w:rFonts w:hint="eastAsia" w:ascii="宋体" w:hAnsi="宋体" w:eastAsia="宋体" w:cs="宋体"/>
                <w:color w:val="auto"/>
                <w:sz w:val="24"/>
                <w:highlight w:val="none"/>
              </w:rPr>
            </w:pPr>
          </w:p>
        </w:tc>
      </w:tr>
      <w:tr w14:paraId="1682A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760" w:type="dxa"/>
            <w:vAlign w:val="center"/>
          </w:tcPr>
          <w:p w14:paraId="731A47C9">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760" w:type="dxa"/>
            <w:vAlign w:val="center"/>
          </w:tcPr>
          <w:p w14:paraId="0784AD58">
            <w:pPr>
              <w:shd w:val="clear"/>
              <w:snapToGrid w:val="0"/>
              <w:spacing w:line="360" w:lineRule="auto"/>
              <w:jc w:val="center"/>
              <w:rPr>
                <w:rFonts w:hint="eastAsia" w:ascii="宋体" w:hAnsi="宋体" w:eastAsia="宋体" w:cs="宋体"/>
                <w:color w:val="auto"/>
                <w:sz w:val="24"/>
                <w:highlight w:val="none"/>
              </w:rPr>
            </w:pPr>
          </w:p>
        </w:tc>
        <w:tc>
          <w:tcPr>
            <w:tcW w:w="2147" w:type="dxa"/>
            <w:vAlign w:val="center"/>
          </w:tcPr>
          <w:p w14:paraId="16353AD1">
            <w:pPr>
              <w:shd w:val="clear"/>
              <w:snapToGrid w:val="0"/>
              <w:spacing w:line="360" w:lineRule="auto"/>
              <w:jc w:val="center"/>
              <w:rPr>
                <w:rFonts w:hint="eastAsia" w:ascii="宋体" w:hAnsi="宋体" w:eastAsia="宋体" w:cs="宋体"/>
                <w:color w:val="auto"/>
                <w:sz w:val="24"/>
                <w:highlight w:val="none"/>
              </w:rPr>
            </w:pPr>
          </w:p>
        </w:tc>
        <w:tc>
          <w:tcPr>
            <w:tcW w:w="1132" w:type="dxa"/>
            <w:vAlign w:val="center"/>
          </w:tcPr>
          <w:p w14:paraId="130D37A3">
            <w:pPr>
              <w:shd w:val="clear"/>
              <w:snapToGrid w:val="0"/>
              <w:spacing w:line="360" w:lineRule="auto"/>
              <w:jc w:val="center"/>
              <w:rPr>
                <w:rFonts w:hint="eastAsia" w:ascii="宋体" w:hAnsi="宋体" w:eastAsia="宋体" w:cs="宋体"/>
                <w:color w:val="auto"/>
                <w:sz w:val="24"/>
                <w:highlight w:val="none"/>
              </w:rPr>
            </w:pPr>
          </w:p>
        </w:tc>
        <w:tc>
          <w:tcPr>
            <w:tcW w:w="1764" w:type="dxa"/>
            <w:vAlign w:val="center"/>
          </w:tcPr>
          <w:p w14:paraId="677DF468">
            <w:pPr>
              <w:shd w:val="clear"/>
              <w:snapToGrid w:val="0"/>
              <w:spacing w:line="360" w:lineRule="auto"/>
              <w:jc w:val="center"/>
              <w:rPr>
                <w:rFonts w:hint="eastAsia" w:ascii="宋体" w:hAnsi="宋体" w:eastAsia="宋体" w:cs="宋体"/>
                <w:color w:val="auto"/>
                <w:sz w:val="24"/>
                <w:highlight w:val="none"/>
              </w:rPr>
            </w:pPr>
          </w:p>
        </w:tc>
        <w:tc>
          <w:tcPr>
            <w:tcW w:w="1416" w:type="dxa"/>
            <w:vAlign w:val="center"/>
          </w:tcPr>
          <w:p w14:paraId="52996095">
            <w:pPr>
              <w:shd w:val="clear"/>
              <w:spacing w:line="360" w:lineRule="auto"/>
              <w:jc w:val="center"/>
              <w:rPr>
                <w:rFonts w:hint="eastAsia" w:ascii="宋体" w:hAnsi="宋体" w:eastAsia="宋体" w:cs="宋体"/>
                <w:color w:val="auto"/>
                <w:sz w:val="24"/>
                <w:highlight w:val="none"/>
              </w:rPr>
            </w:pPr>
          </w:p>
        </w:tc>
      </w:tr>
      <w:tr w14:paraId="0A6C6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760" w:type="dxa"/>
            <w:vAlign w:val="center"/>
          </w:tcPr>
          <w:p w14:paraId="5F66E0D0">
            <w:pPr>
              <w:shd w:val="clear"/>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w:t>
            </w:r>
          </w:p>
        </w:tc>
        <w:tc>
          <w:tcPr>
            <w:tcW w:w="1760" w:type="dxa"/>
            <w:vAlign w:val="center"/>
          </w:tcPr>
          <w:p w14:paraId="61EAAFE6">
            <w:pPr>
              <w:shd w:val="clear"/>
              <w:snapToGrid w:val="0"/>
              <w:spacing w:line="360" w:lineRule="auto"/>
              <w:jc w:val="center"/>
              <w:rPr>
                <w:rFonts w:hint="eastAsia" w:ascii="宋体" w:hAnsi="宋体" w:eastAsia="宋体" w:cs="宋体"/>
                <w:color w:val="auto"/>
                <w:sz w:val="24"/>
                <w:highlight w:val="none"/>
              </w:rPr>
            </w:pPr>
          </w:p>
        </w:tc>
        <w:tc>
          <w:tcPr>
            <w:tcW w:w="2147" w:type="dxa"/>
            <w:vAlign w:val="center"/>
          </w:tcPr>
          <w:p w14:paraId="61D9D01C">
            <w:pPr>
              <w:shd w:val="clear"/>
              <w:snapToGrid w:val="0"/>
              <w:spacing w:line="360" w:lineRule="auto"/>
              <w:jc w:val="center"/>
              <w:rPr>
                <w:rFonts w:hint="eastAsia" w:ascii="宋体" w:hAnsi="宋体" w:eastAsia="宋体" w:cs="宋体"/>
                <w:color w:val="auto"/>
                <w:sz w:val="24"/>
                <w:highlight w:val="none"/>
              </w:rPr>
            </w:pPr>
          </w:p>
        </w:tc>
        <w:tc>
          <w:tcPr>
            <w:tcW w:w="1132" w:type="dxa"/>
            <w:vAlign w:val="center"/>
          </w:tcPr>
          <w:p w14:paraId="619230EA">
            <w:pPr>
              <w:shd w:val="clear"/>
              <w:snapToGrid w:val="0"/>
              <w:spacing w:line="360" w:lineRule="auto"/>
              <w:jc w:val="center"/>
              <w:rPr>
                <w:rFonts w:hint="eastAsia" w:ascii="宋体" w:hAnsi="宋体" w:eastAsia="宋体" w:cs="宋体"/>
                <w:color w:val="auto"/>
                <w:sz w:val="24"/>
                <w:highlight w:val="none"/>
              </w:rPr>
            </w:pPr>
          </w:p>
        </w:tc>
        <w:tc>
          <w:tcPr>
            <w:tcW w:w="1764" w:type="dxa"/>
            <w:vAlign w:val="center"/>
          </w:tcPr>
          <w:p w14:paraId="22EA4841">
            <w:pPr>
              <w:shd w:val="clear"/>
              <w:snapToGrid w:val="0"/>
              <w:spacing w:line="360" w:lineRule="auto"/>
              <w:jc w:val="center"/>
              <w:rPr>
                <w:rFonts w:hint="eastAsia" w:ascii="宋体" w:hAnsi="宋体" w:eastAsia="宋体" w:cs="宋体"/>
                <w:color w:val="auto"/>
                <w:sz w:val="24"/>
                <w:highlight w:val="none"/>
              </w:rPr>
            </w:pPr>
          </w:p>
        </w:tc>
        <w:tc>
          <w:tcPr>
            <w:tcW w:w="1416" w:type="dxa"/>
            <w:vAlign w:val="center"/>
          </w:tcPr>
          <w:p w14:paraId="0C9CF6B5">
            <w:pPr>
              <w:shd w:val="clear"/>
              <w:spacing w:line="360" w:lineRule="auto"/>
              <w:jc w:val="center"/>
              <w:rPr>
                <w:rFonts w:hint="eastAsia" w:ascii="宋体" w:hAnsi="宋体" w:eastAsia="宋体" w:cs="宋体"/>
                <w:color w:val="auto"/>
                <w:sz w:val="24"/>
                <w:highlight w:val="none"/>
              </w:rPr>
            </w:pPr>
          </w:p>
        </w:tc>
      </w:tr>
      <w:tr w14:paraId="616E1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760" w:type="dxa"/>
            <w:vAlign w:val="center"/>
          </w:tcPr>
          <w:p w14:paraId="449C3F6D">
            <w:pPr>
              <w:shd w:val="clear"/>
              <w:spacing w:line="360" w:lineRule="auto"/>
              <w:jc w:val="center"/>
              <w:rPr>
                <w:rFonts w:hint="eastAsia" w:ascii="宋体" w:hAnsi="宋体" w:eastAsia="宋体" w:cs="宋体"/>
                <w:color w:val="auto"/>
                <w:sz w:val="24"/>
                <w:highlight w:val="none"/>
              </w:rPr>
            </w:pPr>
          </w:p>
        </w:tc>
        <w:tc>
          <w:tcPr>
            <w:tcW w:w="1760" w:type="dxa"/>
            <w:vAlign w:val="center"/>
          </w:tcPr>
          <w:p w14:paraId="2487100D">
            <w:pPr>
              <w:shd w:val="clear"/>
              <w:snapToGrid w:val="0"/>
              <w:spacing w:line="360" w:lineRule="auto"/>
              <w:jc w:val="center"/>
              <w:rPr>
                <w:rFonts w:hint="eastAsia" w:ascii="宋体" w:hAnsi="宋体" w:eastAsia="宋体" w:cs="宋体"/>
                <w:color w:val="auto"/>
                <w:sz w:val="24"/>
                <w:highlight w:val="none"/>
              </w:rPr>
            </w:pPr>
          </w:p>
        </w:tc>
        <w:tc>
          <w:tcPr>
            <w:tcW w:w="2147" w:type="dxa"/>
            <w:vAlign w:val="center"/>
          </w:tcPr>
          <w:p w14:paraId="76CE8CDD">
            <w:pPr>
              <w:shd w:val="clear"/>
              <w:snapToGrid w:val="0"/>
              <w:spacing w:line="360" w:lineRule="auto"/>
              <w:jc w:val="center"/>
              <w:rPr>
                <w:rFonts w:hint="eastAsia" w:ascii="宋体" w:hAnsi="宋体" w:eastAsia="宋体" w:cs="宋体"/>
                <w:color w:val="auto"/>
                <w:sz w:val="24"/>
                <w:highlight w:val="none"/>
              </w:rPr>
            </w:pPr>
          </w:p>
        </w:tc>
        <w:tc>
          <w:tcPr>
            <w:tcW w:w="1132" w:type="dxa"/>
            <w:vAlign w:val="center"/>
          </w:tcPr>
          <w:p w14:paraId="700D636E">
            <w:pPr>
              <w:shd w:val="clear"/>
              <w:snapToGrid w:val="0"/>
              <w:spacing w:line="360" w:lineRule="auto"/>
              <w:jc w:val="center"/>
              <w:rPr>
                <w:rFonts w:hint="eastAsia" w:ascii="宋体" w:hAnsi="宋体" w:eastAsia="宋体" w:cs="宋体"/>
                <w:color w:val="auto"/>
                <w:sz w:val="24"/>
                <w:highlight w:val="none"/>
              </w:rPr>
            </w:pPr>
          </w:p>
        </w:tc>
        <w:tc>
          <w:tcPr>
            <w:tcW w:w="1764" w:type="dxa"/>
            <w:vAlign w:val="center"/>
          </w:tcPr>
          <w:p w14:paraId="55DA9267">
            <w:pPr>
              <w:shd w:val="clear"/>
              <w:snapToGrid w:val="0"/>
              <w:spacing w:line="360" w:lineRule="auto"/>
              <w:jc w:val="center"/>
              <w:rPr>
                <w:rFonts w:hint="eastAsia" w:ascii="宋体" w:hAnsi="宋体" w:eastAsia="宋体" w:cs="宋体"/>
                <w:color w:val="auto"/>
                <w:sz w:val="24"/>
                <w:highlight w:val="none"/>
              </w:rPr>
            </w:pPr>
          </w:p>
        </w:tc>
        <w:tc>
          <w:tcPr>
            <w:tcW w:w="1416" w:type="dxa"/>
            <w:vAlign w:val="center"/>
          </w:tcPr>
          <w:p w14:paraId="19E3AD32">
            <w:pPr>
              <w:shd w:val="clear"/>
              <w:spacing w:line="360" w:lineRule="auto"/>
              <w:jc w:val="center"/>
              <w:rPr>
                <w:rFonts w:hint="eastAsia" w:ascii="宋体" w:hAnsi="宋体" w:eastAsia="宋体" w:cs="宋体"/>
                <w:color w:val="auto"/>
                <w:sz w:val="24"/>
                <w:highlight w:val="none"/>
              </w:rPr>
            </w:pPr>
          </w:p>
        </w:tc>
      </w:tr>
      <w:tr w14:paraId="65DF2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760" w:type="dxa"/>
            <w:vAlign w:val="center"/>
          </w:tcPr>
          <w:p w14:paraId="405418A3">
            <w:pPr>
              <w:shd w:val="clear"/>
              <w:spacing w:line="360" w:lineRule="auto"/>
              <w:jc w:val="center"/>
              <w:rPr>
                <w:rFonts w:hint="eastAsia" w:ascii="宋体" w:hAnsi="宋体" w:eastAsia="宋体" w:cs="宋体"/>
                <w:color w:val="auto"/>
                <w:sz w:val="24"/>
                <w:highlight w:val="none"/>
              </w:rPr>
            </w:pPr>
          </w:p>
        </w:tc>
        <w:tc>
          <w:tcPr>
            <w:tcW w:w="1760" w:type="dxa"/>
            <w:vAlign w:val="center"/>
          </w:tcPr>
          <w:p w14:paraId="5CAB884E">
            <w:pPr>
              <w:shd w:val="clear"/>
              <w:snapToGrid w:val="0"/>
              <w:spacing w:line="360" w:lineRule="auto"/>
              <w:jc w:val="center"/>
              <w:rPr>
                <w:rFonts w:hint="eastAsia" w:ascii="宋体" w:hAnsi="宋体" w:eastAsia="宋体" w:cs="宋体"/>
                <w:color w:val="auto"/>
                <w:sz w:val="24"/>
                <w:highlight w:val="none"/>
              </w:rPr>
            </w:pPr>
          </w:p>
        </w:tc>
        <w:tc>
          <w:tcPr>
            <w:tcW w:w="2147" w:type="dxa"/>
            <w:vAlign w:val="center"/>
          </w:tcPr>
          <w:p w14:paraId="2D50C4D0">
            <w:pPr>
              <w:shd w:val="clear"/>
              <w:snapToGrid w:val="0"/>
              <w:spacing w:line="360" w:lineRule="auto"/>
              <w:jc w:val="center"/>
              <w:rPr>
                <w:rFonts w:hint="eastAsia" w:ascii="宋体" w:hAnsi="宋体" w:eastAsia="宋体" w:cs="宋体"/>
                <w:color w:val="auto"/>
                <w:sz w:val="24"/>
                <w:highlight w:val="none"/>
              </w:rPr>
            </w:pPr>
          </w:p>
        </w:tc>
        <w:tc>
          <w:tcPr>
            <w:tcW w:w="1132" w:type="dxa"/>
            <w:vAlign w:val="center"/>
          </w:tcPr>
          <w:p w14:paraId="55B9D6A0">
            <w:pPr>
              <w:shd w:val="clear"/>
              <w:snapToGrid w:val="0"/>
              <w:spacing w:line="360" w:lineRule="auto"/>
              <w:jc w:val="center"/>
              <w:rPr>
                <w:rFonts w:hint="eastAsia" w:ascii="宋体" w:hAnsi="宋体" w:eastAsia="宋体" w:cs="宋体"/>
                <w:color w:val="auto"/>
                <w:sz w:val="24"/>
                <w:highlight w:val="none"/>
              </w:rPr>
            </w:pPr>
          </w:p>
        </w:tc>
        <w:tc>
          <w:tcPr>
            <w:tcW w:w="1764" w:type="dxa"/>
            <w:vAlign w:val="center"/>
          </w:tcPr>
          <w:p w14:paraId="1DB5FDFB">
            <w:pPr>
              <w:shd w:val="clear"/>
              <w:snapToGrid w:val="0"/>
              <w:spacing w:line="360" w:lineRule="auto"/>
              <w:jc w:val="center"/>
              <w:rPr>
                <w:rFonts w:hint="eastAsia" w:ascii="宋体" w:hAnsi="宋体" w:eastAsia="宋体" w:cs="宋体"/>
                <w:color w:val="auto"/>
                <w:sz w:val="24"/>
                <w:highlight w:val="none"/>
              </w:rPr>
            </w:pPr>
          </w:p>
        </w:tc>
        <w:tc>
          <w:tcPr>
            <w:tcW w:w="1416" w:type="dxa"/>
            <w:vAlign w:val="center"/>
          </w:tcPr>
          <w:p w14:paraId="6DA884BC">
            <w:pPr>
              <w:shd w:val="clear"/>
              <w:spacing w:line="360" w:lineRule="auto"/>
              <w:jc w:val="center"/>
              <w:rPr>
                <w:rFonts w:hint="eastAsia" w:ascii="宋体" w:hAnsi="宋体" w:eastAsia="宋体" w:cs="宋体"/>
                <w:color w:val="auto"/>
                <w:sz w:val="24"/>
                <w:highlight w:val="none"/>
              </w:rPr>
            </w:pPr>
          </w:p>
        </w:tc>
      </w:tr>
      <w:tr w14:paraId="09EBD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5799" w:type="dxa"/>
            <w:gridSpan w:val="4"/>
            <w:vAlign w:val="center"/>
          </w:tcPr>
          <w:p w14:paraId="2D74E7C8">
            <w:pPr>
              <w:shd w:val="clear"/>
              <w:spacing w:line="360" w:lineRule="auto"/>
              <w:jc w:val="righ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投标报价（小写）</w:t>
            </w:r>
          </w:p>
        </w:tc>
        <w:tc>
          <w:tcPr>
            <w:tcW w:w="3180" w:type="dxa"/>
            <w:gridSpan w:val="2"/>
          </w:tcPr>
          <w:p w14:paraId="095DBA31">
            <w:pPr>
              <w:shd w:val="clear"/>
              <w:spacing w:line="360" w:lineRule="auto"/>
              <w:jc w:val="center"/>
              <w:rPr>
                <w:rFonts w:hint="eastAsia" w:ascii="宋体" w:hAnsi="宋体" w:eastAsia="宋体" w:cs="宋体"/>
                <w:color w:val="auto"/>
                <w:sz w:val="24"/>
                <w:highlight w:val="none"/>
              </w:rPr>
            </w:pPr>
          </w:p>
        </w:tc>
      </w:tr>
      <w:tr w14:paraId="378C4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799" w:type="dxa"/>
            <w:gridSpan w:val="4"/>
            <w:vAlign w:val="center"/>
          </w:tcPr>
          <w:p w14:paraId="2E58EE5E">
            <w:pPr>
              <w:shd w:val="clear"/>
              <w:spacing w:line="360" w:lineRule="auto"/>
              <w:jc w:val="righ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投标报价（大写）</w:t>
            </w:r>
          </w:p>
        </w:tc>
        <w:tc>
          <w:tcPr>
            <w:tcW w:w="3180" w:type="dxa"/>
            <w:gridSpan w:val="2"/>
          </w:tcPr>
          <w:p w14:paraId="60E61EAC">
            <w:pPr>
              <w:shd w:val="clear"/>
              <w:spacing w:line="360" w:lineRule="auto"/>
              <w:jc w:val="center"/>
              <w:rPr>
                <w:rFonts w:hint="eastAsia" w:ascii="宋体" w:hAnsi="宋体" w:eastAsia="宋体" w:cs="宋体"/>
                <w:color w:val="auto"/>
                <w:sz w:val="24"/>
                <w:highlight w:val="none"/>
              </w:rPr>
            </w:pPr>
          </w:p>
        </w:tc>
      </w:tr>
    </w:tbl>
    <w:p w14:paraId="17B597EF">
      <w:pPr>
        <w:shd w:val="clear"/>
        <w:snapToGrid w:val="0"/>
        <w:spacing w:line="360" w:lineRule="auto"/>
        <w:ind w:left="480"/>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注：</w:t>
      </w:r>
    </w:p>
    <w:p w14:paraId="55FBB00C">
      <w:pPr>
        <w:shd w:val="clear"/>
        <w:spacing w:line="360" w:lineRule="auto"/>
        <w:ind w:left="-2" w:leftChars="-1" w:firstLine="420" w:firstLineChars="200"/>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zh-CN"/>
        </w:rPr>
        <w:t>1</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zh-CN"/>
        </w:rPr>
        <w:t>投标人需按本表格式填写</w:t>
      </w:r>
      <w:r>
        <w:rPr>
          <w:rFonts w:hint="eastAsia" w:ascii="宋体" w:hAnsi="宋体" w:eastAsia="宋体" w:cs="宋体"/>
          <w:b/>
          <w:color w:val="auto"/>
          <w:kern w:val="0"/>
          <w:sz w:val="21"/>
          <w:szCs w:val="21"/>
          <w:highlight w:val="none"/>
          <w:lang w:val="zh-CN"/>
        </w:rPr>
        <w:t>，</w:t>
      </w:r>
      <w:r>
        <w:rPr>
          <w:rFonts w:hint="eastAsia" w:ascii="宋体" w:hAnsi="宋体" w:eastAsia="宋体" w:cs="宋体"/>
          <w:b/>
          <w:color w:val="auto"/>
          <w:kern w:val="0"/>
          <w:sz w:val="21"/>
          <w:szCs w:val="21"/>
          <w:highlight w:val="none"/>
        </w:rPr>
        <w:t>否则视为</w:t>
      </w:r>
      <w:r>
        <w:rPr>
          <w:rFonts w:hint="eastAsia" w:ascii="宋体" w:hAnsi="宋体" w:eastAsia="宋体" w:cs="宋体"/>
          <w:b/>
          <w:color w:val="auto"/>
          <w:sz w:val="21"/>
          <w:szCs w:val="21"/>
          <w:highlight w:val="none"/>
        </w:rPr>
        <w:t>投标文件含有</w:t>
      </w:r>
      <w:r>
        <w:rPr>
          <w:rFonts w:hint="eastAsia" w:ascii="宋体" w:hAnsi="宋体" w:eastAsia="宋体" w:cs="宋体"/>
          <w:b/>
          <w:color w:val="auto"/>
          <w:sz w:val="21"/>
          <w:szCs w:val="21"/>
          <w:highlight w:val="none"/>
          <w:lang w:eastAsia="zh-CN"/>
        </w:rPr>
        <w:t>采购人</w:t>
      </w:r>
      <w:r>
        <w:rPr>
          <w:rFonts w:hint="eastAsia" w:ascii="宋体" w:hAnsi="宋体" w:eastAsia="宋体" w:cs="宋体"/>
          <w:b/>
          <w:color w:val="auto"/>
          <w:sz w:val="21"/>
          <w:szCs w:val="21"/>
          <w:highlight w:val="none"/>
        </w:rPr>
        <w:t>不能接受的附加条件，投标无效</w:t>
      </w:r>
      <w:r>
        <w:rPr>
          <w:rFonts w:hint="eastAsia" w:ascii="宋体" w:hAnsi="宋体" w:eastAsia="宋体" w:cs="宋体"/>
          <w:b/>
          <w:color w:val="auto"/>
          <w:sz w:val="21"/>
          <w:szCs w:val="21"/>
          <w:highlight w:val="none"/>
          <w:lang w:eastAsia="zh-CN"/>
        </w:rPr>
        <w:t>；</w:t>
      </w:r>
    </w:p>
    <w:p w14:paraId="52EAD0FE">
      <w:pPr>
        <w:shd w:val="clear"/>
        <w:spacing w:line="360" w:lineRule="auto"/>
        <w:ind w:firstLine="420" w:firstLineChars="20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zh-CN"/>
        </w:rPr>
        <w:t>2</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zh-CN"/>
        </w:rPr>
        <w:t>有关本项目实施所涉及的一切费用均计入报价。</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不得向投标人索要或者接受投标人给予的赠品、回扣或者与采购无关的其他商品、服务；如投标人承诺提供赠品、回扣、采购预算中本身不包含的其他商品或服务，视作无效承诺，不得因无效承诺对投标人实行差别待遇或者歧视待遇，也不得将其作为中标（成交）条件或者合同签订条件；总价不为零，报价明细表中部分产品、服务单价为零的，视作已包含在总价中。</w:t>
      </w:r>
      <w:r>
        <w:rPr>
          <w:rFonts w:hint="eastAsia" w:ascii="宋体" w:hAnsi="宋体" w:eastAsia="宋体" w:cs="宋体"/>
          <w:b/>
          <w:color w:val="auto"/>
          <w:kern w:val="0"/>
          <w:sz w:val="21"/>
          <w:szCs w:val="21"/>
          <w:highlight w:val="none"/>
          <w:lang w:val="zh-CN"/>
        </w:rPr>
        <w:t>采购内容未包含在《开标一览表（报价表）》名称栏中，投标人不能作出合理解释的，</w:t>
      </w:r>
      <w:r>
        <w:rPr>
          <w:rFonts w:hint="eastAsia" w:ascii="宋体" w:hAnsi="宋体" w:eastAsia="宋体" w:cs="宋体"/>
          <w:b/>
          <w:color w:val="auto"/>
          <w:kern w:val="0"/>
          <w:sz w:val="21"/>
          <w:szCs w:val="21"/>
          <w:highlight w:val="none"/>
        </w:rPr>
        <w:t>视为</w:t>
      </w:r>
      <w:r>
        <w:rPr>
          <w:rFonts w:hint="eastAsia" w:ascii="宋体" w:hAnsi="宋体" w:eastAsia="宋体" w:cs="宋体"/>
          <w:b/>
          <w:color w:val="auto"/>
          <w:sz w:val="21"/>
          <w:szCs w:val="21"/>
          <w:highlight w:val="none"/>
        </w:rPr>
        <w:t>投标文件含有</w:t>
      </w:r>
      <w:r>
        <w:rPr>
          <w:rFonts w:hint="eastAsia" w:ascii="宋体" w:hAnsi="宋体" w:eastAsia="宋体" w:cs="宋体"/>
          <w:b/>
          <w:color w:val="auto"/>
          <w:sz w:val="21"/>
          <w:szCs w:val="21"/>
          <w:highlight w:val="none"/>
          <w:lang w:eastAsia="zh-CN"/>
        </w:rPr>
        <w:t>采购人</w:t>
      </w:r>
      <w:r>
        <w:rPr>
          <w:rFonts w:hint="eastAsia" w:ascii="宋体" w:hAnsi="宋体" w:eastAsia="宋体" w:cs="宋体"/>
          <w:b/>
          <w:color w:val="auto"/>
          <w:sz w:val="21"/>
          <w:szCs w:val="21"/>
          <w:highlight w:val="none"/>
        </w:rPr>
        <w:t>不能接受的附加条件的，投标无效</w:t>
      </w:r>
      <w:r>
        <w:rPr>
          <w:rFonts w:hint="eastAsia" w:ascii="宋体" w:hAnsi="宋体" w:eastAsia="宋体" w:cs="宋体"/>
          <w:b/>
          <w:color w:val="auto"/>
          <w:sz w:val="21"/>
          <w:szCs w:val="21"/>
          <w:highlight w:val="none"/>
          <w:lang w:eastAsia="zh-CN"/>
        </w:rPr>
        <w:t>；</w:t>
      </w:r>
    </w:p>
    <w:p w14:paraId="090EB185">
      <w:pPr>
        <w:pageBreakBefore w:val="0"/>
        <w:shd w:val="clear"/>
        <w:kinsoku/>
        <w:overflowPunct/>
        <w:topLinePunct w:val="0"/>
        <w:autoSpaceDE w:val="0"/>
        <w:autoSpaceDN w:val="0"/>
        <w:bidi w:val="0"/>
        <w:spacing w:line="360" w:lineRule="auto"/>
        <w:ind w:left="2" w:leftChars="1" w:firstLine="420" w:firstLineChars="200"/>
        <w:jc w:val="left"/>
        <w:rPr>
          <w:rFonts w:hint="eastAsia" w:ascii="宋体" w:hAnsi="宋体" w:eastAsia="宋体" w:cs="宋体"/>
          <w:color w:val="auto"/>
          <w:kern w:val="0"/>
          <w:highlight w:val="none"/>
          <w:lang w:val="zh-CN"/>
        </w:rPr>
      </w:pPr>
      <w:r>
        <w:rPr>
          <w:rFonts w:hint="eastAsia" w:ascii="宋体" w:hAnsi="宋体" w:eastAsia="宋体" w:cs="宋体"/>
          <w:color w:val="auto"/>
          <w:kern w:val="0"/>
          <w:sz w:val="21"/>
          <w:szCs w:val="21"/>
          <w:highlight w:val="none"/>
          <w:lang w:val="zh-CN"/>
        </w:rPr>
        <w:t>3</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zh-CN"/>
        </w:rPr>
        <w:t>特别提示：采购代理机构将对项目名称和项目编号，中标投标人名称、地址和中标金额，主要中标标的名称、服务范围、服务要求、服务时间、服务标准等予以公示。</w:t>
      </w:r>
    </w:p>
    <w:p w14:paraId="2336C03B">
      <w:pPr>
        <w:pageBreakBefore w:val="0"/>
        <w:shd w:val="clear"/>
        <w:kinsoku/>
        <w:overflowPunct/>
        <w:topLinePunct w:val="0"/>
        <w:autoSpaceDE w:val="0"/>
        <w:autoSpaceDN w:val="0"/>
        <w:bidi w:val="0"/>
        <w:spacing w:line="360" w:lineRule="auto"/>
        <w:ind w:left="2" w:leftChars="1" w:firstLine="420" w:firstLineChars="200"/>
        <w:jc w:val="left"/>
        <w:rPr>
          <w:rFonts w:hint="eastAsia" w:ascii="宋体" w:hAnsi="宋体" w:eastAsia="宋体" w:cs="宋体"/>
          <w:color w:val="auto"/>
          <w:kern w:val="0"/>
          <w:highlight w:val="none"/>
          <w:lang w:val="zh-CN"/>
        </w:rPr>
      </w:pPr>
    </w:p>
    <w:p w14:paraId="07D6A11B">
      <w:pPr>
        <w:pageBreakBefore w:val="0"/>
        <w:shd w:val="clear"/>
        <w:kinsoku/>
        <w:overflowPunct/>
        <w:topLinePunct w:val="0"/>
        <w:autoSpaceDE w:val="0"/>
        <w:autoSpaceDN w:val="0"/>
        <w:bidi w:val="0"/>
        <w:spacing w:line="360" w:lineRule="auto"/>
        <w:ind w:left="2" w:leftChars="1" w:firstLine="420" w:firstLineChars="200"/>
        <w:jc w:val="left"/>
        <w:rPr>
          <w:rFonts w:hint="eastAsia" w:ascii="宋体" w:hAnsi="宋体" w:eastAsia="宋体" w:cs="宋体"/>
          <w:color w:val="auto"/>
          <w:kern w:val="0"/>
          <w:highlight w:val="none"/>
          <w:lang w:val="zh-CN"/>
        </w:rPr>
      </w:pPr>
    </w:p>
    <w:p w14:paraId="59C704C7">
      <w:pPr>
        <w:pageBreakBefore w:val="0"/>
        <w:shd w:val="clear"/>
        <w:kinsoku/>
        <w:overflowPunct/>
        <w:topLinePunct w:val="0"/>
        <w:autoSpaceDE w:val="0"/>
        <w:autoSpaceDN w:val="0"/>
        <w:bidi w:val="0"/>
        <w:spacing w:line="360" w:lineRule="auto"/>
        <w:ind w:left="2" w:leftChars="1" w:firstLine="420" w:firstLineChars="200"/>
        <w:jc w:val="left"/>
        <w:rPr>
          <w:rFonts w:hint="eastAsia" w:ascii="宋体" w:hAnsi="宋体" w:eastAsia="宋体" w:cs="宋体"/>
          <w:color w:val="auto"/>
          <w:kern w:val="0"/>
          <w:highlight w:val="none"/>
          <w:lang w:val="zh-CN"/>
        </w:rPr>
      </w:pPr>
    </w:p>
    <w:p w14:paraId="4CF2D61F">
      <w:pPr>
        <w:pageBreakBefore w:val="0"/>
        <w:shd w:val="clear"/>
        <w:kinsoku/>
        <w:overflowPunct/>
        <w:topLinePunct w:val="0"/>
        <w:autoSpaceDE w:val="0"/>
        <w:autoSpaceDN w:val="0"/>
        <w:bidi w:val="0"/>
        <w:spacing w:line="360" w:lineRule="auto"/>
        <w:ind w:left="2" w:leftChars="1" w:firstLine="420" w:firstLineChars="200"/>
        <w:jc w:val="left"/>
        <w:rPr>
          <w:rFonts w:hint="eastAsia" w:ascii="宋体" w:hAnsi="宋体" w:eastAsia="宋体" w:cs="宋体"/>
          <w:color w:val="auto"/>
          <w:kern w:val="0"/>
          <w:highlight w:val="none"/>
          <w:lang w:val="zh-CN"/>
        </w:rPr>
      </w:pPr>
    </w:p>
    <w:p w14:paraId="67AC846D">
      <w:pPr>
        <w:pStyle w:val="20"/>
        <w:pageBreakBefore w:val="0"/>
        <w:shd w:val="clear"/>
        <w:kinsoku/>
        <w:overflowPunct/>
        <w:topLinePunct w:val="0"/>
        <w:bidi w:val="0"/>
        <w:spacing w:line="360" w:lineRule="auto"/>
        <w:rPr>
          <w:rFonts w:hint="eastAsia" w:ascii="宋体" w:hAnsi="宋体" w:eastAsia="宋体" w:cs="宋体"/>
          <w:color w:val="auto"/>
          <w:highlight w:val="none"/>
        </w:rPr>
      </w:pPr>
    </w:p>
    <w:p w14:paraId="4FBF6D90">
      <w:pPr>
        <w:spacing w:line="360" w:lineRule="auto"/>
        <w:rPr>
          <w:rFonts w:hint="eastAsia" w:ascii="宋体" w:hAnsi="宋体" w:eastAsia="宋体" w:cs="宋体"/>
          <w:b/>
          <w:color w:val="auto"/>
          <w:kern w:val="0"/>
          <w:sz w:val="32"/>
          <w:szCs w:val="32"/>
          <w:highlight w:val="none"/>
        </w:rPr>
      </w:pPr>
      <w:bookmarkStart w:id="163" w:name="_Toc18441"/>
      <w:bookmarkStart w:id="164" w:name="_Toc3630"/>
      <w:bookmarkStart w:id="165" w:name="_Toc17186"/>
      <w:bookmarkStart w:id="166" w:name="_Toc26840"/>
      <w:bookmarkStart w:id="167" w:name="_Toc7800"/>
      <w:r>
        <w:rPr>
          <w:rFonts w:hint="eastAsia" w:ascii="宋体" w:hAnsi="宋体" w:eastAsia="宋体" w:cs="宋体"/>
          <w:b/>
          <w:color w:val="auto"/>
          <w:kern w:val="0"/>
          <w:sz w:val="32"/>
          <w:szCs w:val="32"/>
          <w:highlight w:val="none"/>
        </w:rPr>
        <w:br w:type="page"/>
      </w:r>
    </w:p>
    <w:p w14:paraId="3E027F10">
      <w:pPr>
        <w:pageBreakBefore w:val="0"/>
        <w:shd w:val="clear"/>
        <w:kinsoku/>
        <w:overflowPunct/>
        <w:topLinePunct w:val="0"/>
        <w:bidi w:val="0"/>
        <w:spacing w:line="360" w:lineRule="auto"/>
        <w:jc w:val="center"/>
        <w:outlineLvl w:val="1"/>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二、报价情况说明（如果有）</w:t>
      </w:r>
      <w:bookmarkEnd w:id="163"/>
      <w:bookmarkEnd w:id="164"/>
      <w:bookmarkEnd w:id="165"/>
      <w:bookmarkEnd w:id="166"/>
      <w:bookmarkEnd w:id="167"/>
    </w:p>
    <w:p w14:paraId="7E31E029">
      <w:pPr>
        <w:pageBreakBefore w:val="0"/>
        <w:widowControl/>
        <w:shd w:val="clear"/>
        <w:kinsoku/>
        <w:overflowPunct/>
        <w:topLinePunct w:val="0"/>
        <w:bidi w:val="0"/>
        <w:spacing w:line="360" w:lineRule="auto"/>
        <w:ind w:firstLine="105" w:firstLineChars="50"/>
        <w:jc w:val="left"/>
        <w:rPr>
          <w:rFonts w:hint="eastAsia" w:ascii="宋体" w:hAnsi="宋体" w:eastAsia="宋体" w:cs="宋体"/>
          <w:b/>
          <w:color w:val="auto"/>
          <w:kern w:val="0"/>
          <w:sz w:val="21"/>
          <w:szCs w:val="21"/>
          <w:highlight w:val="none"/>
        </w:rPr>
        <w:sectPr>
          <w:headerReference r:id="rId13" w:type="first"/>
          <w:footerReference r:id="rId16" w:type="first"/>
          <w:headerReference r:id="rId12" w:type="default"/>
          <w:footerReference r:id="rId14" w:type="default"/>
          <w:footerReference r:id="rId15" w:type="even"/>
          <w:pgSz w:w="11906" w:h="16838"/>
          <w:pgMar w:top="1276" w:right="1418" w:bottom="1247" w:left="1418" w:header="851" w:footer="992" w:gutter="0"/>
          <w:pgNumType w:fmt="decimal"/>
          <w:cols w:space="720" w:num="1"/>
          <w:titlePg/>
          <w:docGrid w:linePitch="312" w:charSpace="0"/>
        </w:sectPr>
      </w:pPr>
      <w:r>
        <w:rPr>
          <w:rFonts w:hint="eastAsia" w:ascii="宋体" w:hAnsi="宋体" w:eastAsia="宋体" w:cs="宋体"/>
          <w:b/>
          <w:color w:val="auto"/>
          <w:sz w:val="21"/>
          <w:szCs w:val="21"/>
          <w:highlight w:val="none"/>
        </w:rPr>
        <w:t>[如</w:t>
      </w:r>
      <w:r>
        <w:rPr>
          <w:rFonts w:hint="eastAsia" w:ascii="宋体" w:hAnsi="宋体" w:eastAsia="宋体" w:cs="宋体"/>
          <w:b/>
          <w:color w:val="auto"/>
          <w:sz w:val="21"/>
          <w:szCs w:val="21"/>
          <w:highlight w:val="none"/>
          <w:lang w:eastAsia="zh-CN"/>
        </w:rPr>
        <w:t>投标人</w:t>
      </w:r>
      <w:r>
        <w:rPr>
          <w:rFonts w:hint="eastAsia" w:ascii="宋体" w:hAnsi="宋体" w:eastAsia="宋体" w:cs="宋体"/>
          <w:b/>
          <w:color w:val="auto"/>
          <w:sz w:val="21"/>
          <w:szCs w:val="21"/>
          <w:highlight w:val="none"/>
        </w:rPr>
        <w:t>报价低于项目最高限价50%的，应当提交本文档，详细阐述不影响产品质量或者诚信履约的具体原因]</w:t>
      </w:r>
    </w:p>
    <w:p w14:paraId="05346BFD">
      <w:pPr>
        <w:pageBreakBefore w:val="0"/>
        <w:widowControl/>
        <w:shd w:val="clear"/>
        <w:kinsoku/>
        <w:overflowPunct/>
        <w:topLinePunct w:val="0"/>
        <w:bidi w:val="0"/>
        <w:spacing w:line="360" w:lineRule="auto"/>
        <w:ind w:firstLine="105" w:firstLineChars="50"/>
        <w:jc w:val="left"/>
        <w:outlineLvl w:val="1"/>
        <w:rPr>
          <w:rFonts w:hint="eastAsia" w:ascii="宋体" w:hAnsi="宋体" w:eastAsia="宋体" w:cs="宋体"/>
          <w:b/>
          <w:color w:val="auto"/>
          <w:highlight w:val="none"/>
        </w:rPr>
      </w:pPr>
      <w:bookmarkStart w:id="168" w:name="_Toc26284"/>
      <w:bookmarkStart w:id="169" w:name="_Toc18465"/>
      <w:bookmarkStart w:id="170" w:name="_Toc7681"/>
      <w:bookmarkStart w:id="171" w:name="_Toc30318"/>
      <w:bookmarkStart w:id="172" w:name="_Toc12610"/>
      <w:r>
        <w:rPr>
          <w:rFonts w:hint="eastAsia" w:ascii="宋体" w:hAnsi="宋体" w:eastAsia="宋体" w:cs="宋体"/>
          <w:b/>
          <w:color w:val="auto"/>
          <w:kern w:val="0"/>
          <w:highlight w:val="none"/>
        </w:rPr>
        <w:t>三、</w:t>
      </w:r>
      <w:r>
        <w:rPr>
          <w:rFonts w:hint="eastAsia" w:ascii="宋体" w:hAnsi="宋体" w:eastAsia="宋体" w:cs="宋体"/>
          <w:b/>
          <w:color w:val="auto"/>
          <w:highlight w:val="none"/>
        </w:rPr>
        <w:t>中标服务费支付承诺书和中标服务费结算信息表。</w:t>
      </w:r>
      <w:bookmarkEnd w:id="168"/>
      <w:bookmarkEnd w:id="169"/>
      <w:bookmarkEnd w:id="170"/>
      <w:bookmarkEnd w:id="171"/>
      <w:bookmarkEnd w:id="172"/>
    </w:p>
    <w:p w14:paraId="23D771D4">
      <w:pPr>
        <w:pageBreakBefore w:val="0"/>
        <w:shd w:val="clear"/>
        <w:kinsoku/>
        <w:overflowPunct/>
        <w:topLinePunct w:val="0"/>
        <w:bidi w:val="0"/>
        <w:spacing w:line="360" w:lineRule="auto"/>
        <w:jc w:val="center"/>
        <w:rPr>
          <w:rFonts w:hint="eastAsia" w:ascii="宋体" w:hAnsi="宋体" w:eastAsia="宋体" w:cs="宋体"/>
          <w:b/>
          <w:color w:val="auto"/>
          <w:sz w:val="28"/>
          <w:szCs w:val="28"/>
          <w:highlight w:val="none"/>
        </w:rPr>
      </w:pPr>
    </w:p>
    <w:p w14:paraId="20A64C45">
      <w:pPr>
        <w:pageBreakBefore w:val="0"/>
        <w:shd w:val="clear"/>
        <w:kinsoku/>
        <w:overflowPunct/>
        <w:topLinePunct w:val="0"/>
        <w:bidi w:val="0"/>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中标服务费支付承诺书</w:t>
      </w:r>
    </w:p>
    <w:p w14:paraId="50F1E7DE">
      <w:pPr>
        <w:pageBreakBefore w:val="0"/>
        <w:shd w:val="clear"/>
        <w:kinsoku/>
        <w:overflowPunct/>
        <w:topLinePunct w:val="0"/>
        <w:bidi w:val="0"/>
        <w:spacing w:line="360" w:lineRule="auto"/>
        <w:jc w:val="center"/>
        <w:rPr>
          <w:rFonts w:hint="eastAsia" w:ascii="宋体" w:hAnsi="宋体" w:eastAsia="宋体" w:cs="宋体"/>
          <w:b/>
          <w:color w:val="auto"/>
          <w:sz w:val="28"/>
          <w:szCs w:val="28"/>
          <w:highlight w:val="none"/>
        </w:rPr>
      </w:pPr>
    </w:p>
    <w:p w14:paraId="4AC800DA">
      <w:pPr>
        <w:keepNext/>
        <w:keepLines/>
        <w:pageBreakBefore w:val="0"/>
        <w:shd w:val="clear"/>
        <w:kinsoku/>
        <w:overflowPunct/>
        <w:topLinePunct w:val="0"/>
        <w:bidi w:val="0"/>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浙江国际招投标有限公司</w:t>
      </w:r>
      <w:r>
        <w:rPr>
          <w:rFonts w:hint="eastAsia" w:ascii="宋体" w:hAnsi="宋体" w:eastAsia="宋体" w:cs="宋体"/>
          <w:color w:val="auto"/>
          <w:sz w:val="21"/>
          <w:szCs w:val="21"/>
          <w:highlight w:val="none"/>
          <w:u w:val="none"/>
        </w:rPr>
        <w:t>：</w:t>
      </w:r>
    </w:p>
    <w:p w14:paraId="1ECD446B">
      <w:pPr>
        <w:keepNext/>
        <w:keepLines/>
        <w:pageBreakBefore w:val="0"/>
        <w:shd w:val="clear"/>
        <w:kinsoku/>
        <w:overflowPunct/>
        <w:topLinePunct w:val="0"/>
        <w:bidi w:val="0"/>
        <w:spacing w:line="360" w:lineRule="auto"/>
        <w:ind w:firstLine="480"/>
        <w:rPr>
          <w:rFonts w:hint="eastAsia" w:ascii="宋体" w:hAnsi="宋体" w:eastAsia="宋体" w:cs="宋体"/>
          <w:color w:val="auto"/>
          <w:sz w:val="21"/>
          <w:szCs w:val="21"/>
          <w:highlight w:val="none"/>
        </w:rPr>
      </w:pPr>
    </w:p>
    <w:p w14:paraId="4B30429A">
      <w:pPr>
        <w:keepNext/>
        <w:keepLines/>
        <w:pageBreakBefore w:val="0"/>
        <w:shd w:val="clear"/>
        <w:kinsoku/>
        <w:overflowPunct/>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本单位在此承诺：如在本项目中标，成交结果公告发布之日起5个工作日之内，向贵公司按招标文件约定支付中标服务费。</w:t>
      </w:r>
    </w:p>
    <w:p w14:paraId="4D42582A">
      <w:pPr>
        <w:pageBreakBefore w:val="0"/>
        <w:shd w:val="clear"/>
        <w:kinsoku/>
        <w:overflowPunct/>
        <w:topLinePunct w:val="0"/>
        <w:bidi w:val="0"/>
        <w:spacing w:line="360" w:lineRule="auto"/>
        <w:rPr>
          <w:rFonts w:hint="eastAsia" w:ascii="宋体" w:hAnsi="宋体" w:eastAsia="宋体" w:cs="宋体"/>
          <w:color w:val="auto"/>
          <w:sz w:val="21"/>
          <w:szCs w:val="21"/>
          <w:highlight w:val="none"/>
        </w:rPr>
      </w:pPr>
    </w:p>
    <w:p w14:paraId="7ABCBC35">
      <w:pPr>
        <w:pageBreakBefore w:val="0"/>
        <w:shd w:val="clear"/>
        <w:kinsoku/>
        <w:overflowPunct/>
        <w:topLinePunct w:val="0"/>
        <w:bidi w:val="0"/>
        <w:spacing w:line="360" w:lineRule="auto"/>
        <w:jc w:val="right"/>
        <w:rPr>
          <w:rFonts w:hint="eastAsia" w:ascii="宋体" w:hAnsi="宋体" w:eastAsia="宋体" w:cs="宋体"/>
          <w:color w:val="auto"/>
          <w:spacing w:val="20"/>
          <w:sz w:val="21"/>
          <w:szCs w:val="21"/>
          <w:highlight w:val="none"/>
          <w:u w:val="single"/>
        </w:rPr>
      </w:pP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（电子签名）：</w:t>
      </w:r>
    </w:p>
    <w:p w14:paraId="7AB39714">
      <w:pPr>
        <w:pageBreakBefore w:val="0"/>
        <w:shd w:val="clear"/>
        <w:kinsoku/>
        <w:overflowPunct/>
        <w:topLinePunct w:val="0"/>
        <w:bidi w:val="0"/>
        <w:spacing w:line="360" w:lineRule="auto"/>
        <w:ind w:right="375"/>
        <w:jc w:val="right"/>
        <w:rPr>
          <w:rFonts w:hint="eastAsia" w:ascii="宋体" w:hAnsi="宋体" w:eastAsia="宋体" w:cs="宋体"/>
          <w:color w:val="auto"/>
          <w:sz w:val="21"/>
          <w:szCs w:val="21"/>
          <w:highlight w:val="none"/>
        </w:rPr>
      </w:pPr>
      <w:r>
        <w:rPr>
          <w:rFonts w:hint="eastAsia" w:ascii="宋体" w:hAnsi="宋体" w:eastAsia="宋体" w:cs="宋体"/>
          <w:color w:val="auto"/>
          <w:spacing w:val="20"/>
          <w:sz w:val="21"/>
          <w:szCs w:val="21"/>
          <w:highlight w:val="none"/>
        </w:rPr>
        <w:t xml:space="preserve">日期：  </w:t>
      </w:r>
      <w:r>
        <w:rPr>
          <w:rFonts w:hint="eastAsia" w:ascii="宋体" w:hAnsi="宋体" w:eastAsia="宋体" w:cs="宋体"/>
          <w:color w:val="auto"/>
          <w:sz w:val="21"/>
          <w:szCs w:val="21"/>
          <w:highlight w:val="none"/>
        </w:rPr>
        <w:t>年  月  日</w:t>
      </w:r>
    </w:p>
    <w:p w14:paraId="078900DA">
      <w:pPr>
        <w:pStyle w:val="21"/>
        <w:pageBreakBefore w:val="0"/>
        <w:shd w:val="clear"/>
        <w:kinsoku/>
        <w:overflowPunct/>
        <w:topLinePunct w:val="0"/>
        <w:bidi w:val="0"/>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说明：中标服务费的金额将在中标结果公告网页上明示，采购代理机构不再另行通知。</w:t>
      </w:r>
    </w:p>
    <w:p w14:paraId="7D225041">
      <w:pPr>
        <w:pageBreakBefore w:val="0"/>
        <w:shd w:val="clear"/>
        <w:kinsoku/>
        <w:overflowPunct/>
        <w:topLinePunct w:val="0"/>
        <w:autoSpaceDE w:val="0"/>
        <w:autoSpaceDN w:val="0"/>
        <w:bidi w:val="0"/>
        <w:spacing w:line="360" w:lineRule="auto"/>
        <w:jc w:val="center"/>
        <w:rPr>
          <w:rFonts w:hint="eastAsia" w:ascii="宋体" w:hAnsi="宋体" w:eastAsia="宋体" w:cs="宋体"/>
          <w:b/>
          <w:bCs/>
          <w:color w:val="auto"/>
          <w:sz w:val="21"/>
          <w:szCs w:val="21"/>
          <w:highlight w:val="none"/>
        </w:rPr>
      </w:pPr>
    </w:p>
    <w:p w14:paraId="4F785BA7">
      <w:pPr>
        <w:pageBreakBefore w:val="0"/>
        <w:shd w:val="clear"/>
        <w:kinsoku/>
        <w:overflowPunct/>
        <w:topLinePunct w:val="0"/>
        <w:autoSpaceDE w:val="0"/>
        <w:autoSpaceDN w:val="0"/>
        <w:bidi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中标服务费结算信息表</w:t>
      </w:r>
    </w:p>
    <w:tbl>
      <w:tblPr>
        <w:tblStyle w:val="46"/>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gridCol w:w="5598"/>
      </w:tblGrid>
      <w:tr w14:paraId="6323AE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tcBorders>
              <w:tl2br w:val="nil"/>
              <w:tr2bl w:val="nil"/>
            </w:tcBorders>
            <w:vAlign w:val="center"/>
          </w:tcPr>
          <w:p w14:paraId="00256CB9">
            <w:pPr>
              <w:pageBreakBefore w:val="0"/>
              <w:shd w:val="clear"/>
              <w:kinsoku/>
              <w:overflowPunct/>
              <w:topLinePunct w:val="0"/>
              <w:autoSpaceDE w:val="0"/>
              <w:autoSpaceDN w:val="0"/>
              <w:bidi w:val="0"/>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投标人</w:t>
            </w:r>
            <w:r>
              <w:rPr>
                <w:rFonts w:hint="eastAsia" w:ascii="宋体" w:hAnsi="宋体" w:eastAsia="宋体" w:cs="宋体"/>
                <w:bCs/>
                <w:color w:val="auto"/>
                <w:sz w:val="21"/>
                <w:szCs w:val="21"/>
                <w:highlight w:val="none"/>
              </w:rPr>
              <w:t>名称</w:t>
            </w:r>
          </w:p>
        </w:tc>
        <w:tc>
          <w:tcPr>
            <w:tcW w:w="5598" w:type="dxa"/>
            <w:tcBorders>
              <w:tl2br w:val="nil"/>
              <w:tr2bl w:val="nil"/>
            </w:tcBorders>
          </w:tcPr>
          <w:p w14:paraId="036FB11D">
            <w:pPr>
              <w:pageBreakBefore w:val="0"/>
              <w:shd w:val="clear"/>
              <w:kinsoku/>
              <w:overflowPunct/>
              <w:topLinePunct w:val="0"/>
              <w:autoSpaceDE w:val="0"/>
              <w:autoSpaceDN w:val="0"/>
              <w:bidi w:val="0"/>
              <w:spacing w:line="360" w:lineRule="auto"/>
              <w:rPr>
                <w:rFonts w:hint="eastAsia" w:ascii="宋体" w:hAnsi="宋体" w:eastAsia="宋体" w:cs="宋体"/>
                <w:b/>
                <w:bCs/>
                <w:color w:val="auto"/>
                <w:sz w:val="21"/>
                <w:szCs w:val="21"/>
                <w:highlight w:val="none"/>
              </w:rPr>
            </w:pPr>
          </w:p>
        </w:tc>
      </w:tr>
      <w:tr w14:paraId="702BA0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tcBorders>
              <w:tl2br w:val="nil"/>
              <w:tr2bl w:val="nil"/>
            </w:tcBorders>
            <w:vAlign w:val="center"/>
          </w:tcPr>
          <w:p w14:paraId="5C98F2AB">
            <w:pPr>
              <w:pageBreakBefore w:val="0"/>
              <w:shd w:val="clear"/>
              <w:kinsoku/>
              <w:overflowPunct/>
              <w:topLinePunct w:val="0"/>
              <w:autoSpaceDE w:val="0"/>
              <w:autoSpaceDN w:val="0"/>
              <w:bidi w:val="0"/>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项目编号</w:t>
            </w:r>
          </w:p>
        </w:tc>
        <w:tc>
          <w:tcPr>
            <w:tcW w:w="5598" w:type="dxa"/>
            <w:tcBorders>
              <w:tl2br w:val="nil"/>
              <w:tr2bl w:val="nil"/>
            </w:tcBorders>
          </w:tcPr>
          <w:p w14:paraId="74D26841">
            <w:pPr>
              <w:pageBreakBefore w:val="0"/>
              <w:shd w:val="clear"/>
              <w:kinsoku/>
              <w:overflowPunct/>
              <w:topLinePunct w:val="0"/>
              <w:autoSpaceDE w:val="0"/>
              <w:autoSpaceDN w:val="0"/>
              <w:bidi w:val="0"/>
              <w:spacing w:line="360" w:lineRule="auto"/>
              <w:rPr>
                <w:rFonts w:hint="eastAsia" w:ascii="宋体" w:hAnsi="宋体" w:eastAsia="宋体" w:cs="宋体"/>
                <w:b/>
                <w:bCs/>
                <w:color w:val="auto"/>
                <w:sz w:val="21"/>
                <w:szCs w:val="21"/>
                <w:highlight w:val="none"/>
              </w:rPr>
            </w:pPr>
          </w:p>
        </w:tc>
      </w:tr>
      <w:tr w14:paraId="4B6C9D3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tcBorders>
              <w:tl2br w:val="nil"/>
              <w:tr2bl w:val="nil"/>
            </w:tcBorders>
            <w:vAlign w:val="center"/>
          </w:tcPr>
          <w:p w14:paraId="7C0532BB">
            <w:pPr>
              <w:pageBreakBefore w:val="0"/>
              <w:shd w:val="clear"/>
              <w:kinsoku/>
              <w:overflowPunct/>
              <w:topLinePunct w:val="0"/>
              <w:autoSpaceDE w:val="0"/>
              <w:autoSpaceDN w:val="0"/>
              <w:bidi w:val="0"/>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若中标，中标服务费发票类型</w:t>
            </w:r>
          </w:p>
        </w:tc>
        <w:tc>
          <w:tcPr>
            <w:tcW w:w="5598" w:type="dxa"/>
            <w:tcBorders>
              <w:tl2br w:val="nil"/>
              <w:tr2bl w:val="nil"/>
            </w:tcBorders>
          </w:tcPr>
          <w:p w14:paraId="0283C5E1">
            <w:pPr>
              <w:pageBreakBefore w:val="0"/>
              <w:shd w:val="clear"/>
              <w:kinsoku/>
              <w:overflowPunct/>
              <w:topLinePunct w:val="0"/>
              <w:autoSpaceDE w:val="0"/>
              <w:autoSpaceDN w:val="0"/>
              <w:bidi w:val="0"/>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（）增值税普通发票</w:t>
            </w:r>
          </w:p>
          <w:p w14:paraId="2573659C">
            <w:pPr>
              <w:pageBreakBefore w:val="0"/>
              <w:shd w:val="clear"/>
              <w:kinsoku/>
              <w:overflowPunct/>
              <w:topLinePunct w:val="0"/>
              <w:autoSpaceDE w:val="0"/>
              <w:autoSpaceDN w:val="0"/>
              <w:bidi w:val="0"/>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（）增值税专用发票</w:t>
            </w:r>
          </w:p>
        </w:tc>
      </w:tr>
      <w:tr w14:paraId="5419077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tcBorders>
              <w:tl2br w:val="nil"/>
              <w:tr2bl w:val="nil"/>
            </w:tcBorders>
            <w:vAlign w:val="center"/>
          </w:tcPr>
          <w:p w14:paraId="6742E2DF">
            <w:pPr>
              <w:pageBreakBefore w:val="0"/>
              <w:shd w:val="clear"/>
              <w:kinsoku/>
              <w:overflowPunct/>
              <w:topLinePunct w:val="0"/>
              <w:autoSpaceDE w:val="0"/>
              <w:autoSpaceDN w:val="0"/>
              <w:bidi w:val="0"/>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开票信息</w:t>
            </w:r>
          </w:p>
          <w:p w14:paraId="7032802C">
            <w:pPr>
              <w:pageBreakBefore w:val="0"/>
              <w:shd w:val="clear"/>
              <w:kinsoku/>
              <w:overflowPunct/>
              <w:topLinePunct w:val="0"/>
              <w:autoSpaceDE w:val="0"/>
              <w:autoSpaceDN w:val="0"/>
              <w:bidi w:val="0"/>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（普通发票只需要提供纳税识别号，专用发票需要财务确认过的开票信息）</w:t>
            </w:r>
          </w:p>
        </w:tc>
        <w:tc>
          <w:tcPr>
            <w:tcW w:w="5598" w:type="dxa"/>
            <w:tcBorders>
              <w:tl2br w:val="nil"/>
              <w:tr2bl w:val="nil"/>
            </w:tcBorders>
          </w:tcPr>
          <w:p w14:paraId="0E32EF3B">
            <w:pPr>
              <w:pageBreakBefore w:val="0"/>
              <w:shd w:val="clear"/>
              <w:kinsoku/>
              <w:overflowPunct/>
              <w:topLinePunct w:val="0"/>
              <w:autoSpaceDE w:val="0"/>
              <w:autoSpaceDN w:val="0"/>
              <w:bidi w:val="0"/>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纳税识别号：</w:t>
            </w:r>
          </w:p>
          <w:p w14:paraId="3B60B29A">
            <w:pPr>
              <w:pageBreakBefore w:val="0"/>
              <w:shd w:val="clear"/>
              <w:kinsoku/>
              <w:overflowPunct/>
              <w:topLinePunct w:val="0"/>
              <w:autoSpaceDE w:val="0"/>
              <w:autoSpaceDN w:val="0"/>
              <w:bidi w:val="0"/>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（税务部门备案的）地址：</w:t>
            </w:r>
          </w:p>
          <w:p w14:paraId="3897577F">
            <w:pPr>
              <w:pageBreakBefore w:val="0"/>
              <w:shd w:val="clear"/>
              <w:kinsoku/>
              <w:overflowPunct/>
              <w:topLinePunct w:val="0"/>
              <w:autoSpaceDE w:val="0"/>
              <w:autoSpaceDN w:val="0"/>
              <w:bidi w:val="0"/>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（税务部门备案的）电话：</w:t>
            </w:r>
          </w:p>
          <w:p w14:paraId="1EC7A032">
            <w:pPr>
              <w:pageBreakBefore w:val="0"/>
              <w:shd w:val="clear"/>
              <w:kinsoku/>
              <w:overflowPunct/>
              <w:topLinePunct w:val="0"/>
              <w:autoSpaceDE w:val="0"/>
              <w:autoSpaceDN w:val="0"/>
              <w:bidi w:val="0"/>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开户行：</w:t>
            </w:r>
          </w:p>
          <w:p w14:paraId="64BA4919">
            <w:pPr>
              <w:pageBreakBefore w:val="0"/>
              <w:shd w:val="clear"/>
              <w:kinsoku/>
              <w:overflowPunct/>
              <w:topLinePunct w:val="0"/>
              <w:autoSpaceDE w:val="0"/>
              <w:autoSpaceDN w:val="0"/>
              <w:bidi w:val="0"/>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银行账号：</w:t>
            </w:r>
          </w:p>
        </w:tc>
      </w:tr>
      <w:tr w14:paraId="2D4C695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3348" w:type="dxa"/>
            <w:tcBorders>
              <w:tl2br w:val="nil"/>
              <w:tr2bl w:val="nil"/>
            </w:tcBorders>
            <w:vAlign w:val="center"/>
          </w:tcPr>
          <w:p w14:paraId="34D13E0C">
            <w:pPr>
              <w:pageBreakBefore w:val="0"/>
              <w:shd w:val="clear"/>
              <w:kinsoku/>
              <w:overflowPunct/>
              <w:topLinePunct w:val="0"/>
              <w:autoSpaceDE w:val="0"/>
              <w:autoSpaceDN w:val="0"/>
              <w:bidi w:val="0"/>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若中标，中标通知书快递接收地址、联系人、电话</w:t>
            </w:r>
          </w:p>
        </w:tc>
        <w:tc>
          <w:tcPr>
            <w:tcW w:w="5598" w:type="dxa"/>
            <w:tcBorders>
              <w:tl2br w:val="nil"/>
              <w:tr2bl w:val="nil"/>
            </w:tcBorders>
          </w:tcPr>
          <w:p w14:paraId="043054CC">
            <w:pPr>
              <w:pageBreakBefore w:val="0"/>
              <w:shd w:val="clear"/>
              <w:kinsoku/>
              <w:overflowPunct/>
              <w:topLinePunct w:val="0"/>
              <w:autoSpaceDE w:val="0"/>
              <w:autoSpaceDN w:val="0"/>
              <w:bidi w:val="0"/>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地址：</w:t>
            </w:r>
          </w:p>
          <w:p w14:paraId="2A497333">
            <w:pPr>
              <w:pageBreakBefore w:val="0"/>
              <w:shd w:val="clear"/>
              <w:kinsoku/>
              <w:overflowPunct/>
              <w:topLinePunct w:val="0"/>
              <w:autoSpaceDE w:val="0"/>
              <w:autoSpaceDN w:val="0"/>
              <w:bidi w:val="0"/>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收件人：</w:t>
            </w:r>
          </w:p>
          <w:p w14:paraId="7F119690">
            <w:pPr>
              <w:pageBreakBefore w:val="0"/>
              <w:shd w:val="clear"/>
              <w:kinsoku/>
              <w:overflowPunct/>
              <w:topLinePunct w:val="0"/>
              <w:autoSpaceDE w:val="0"/>
              <w:autoSpaceDN w:val="0"/>
              <w:bidi w:val="0"/>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电话：</w:t>
            </w:r>
          </w:p>
        </w:tc>
      </w:tr>
    </w:tbl>
    <w:p w14:paraId="09607B6E">
      <w:pPr>
        <w:pageBreakBefore w:val="0"/>
        <w:shd w:val="clear"/>
        <w:kinsoku/>
        <w:overflowPunct/>
        <w:topLinePunct w:val="0"/>
        <w:bidi w:val="0"/>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此表内容填好在开标前</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"mailto:填完后发送至1181022@qq.com" </w:instrText>
      </w:r>
      <w:r>
        <w:rPr>
          <w:rFonts w:hint="eastAsia" w:ascii="宋体" w:hAnsi="宋体" w:eastAsia="宋体" w:cs="宋体"/>
          <w:color w:val="auto"/>
          <w:highlight w:val="none"/>
        </w:rPr>
        <w:fldChar w:fldCharType="separate"/>
      </w:r>
      <w:r>
        <w:rPr>
          <w:rStyle w:val="52"/>
          <w:rFonts w:hint="eastAsia" w:ascii="宋体" w:hAnsi="宋体" w:eastAsia="宋体" w:cs="宋体"/>
          <w:b/>
          <w:bCs/>
          <w:color w:val="auto"/>
          <w:sz w:val="21"/>
          <w:szCs w:val="21"/>
          <w:highlight w:val="none"/>
        </w:rPr>
        <w:t>发送word版电子稿至邮箱390089475@qq.com</w:t>
      </w:r>
      <w:r>
        <w:rPr>
          <w:rStyle w:val="52"/>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t>。邮件名称为</w:t>
      </w:r>
      <w:r>
        <w:rPr>
          <w:rFonts w:hint="eastAsia" w:ascii="宋体" w:hAnsi="宋体" w:eastAsia="宋体" w:cs="宋体"/>
          <w:b/>
          <w:bCs/>
          <w:color w:val="auto"/>
          <w:sz w:val="21"/>
          <w:szCs w:val="21"/>
          <w:highlight w:val="none"/>
          <w:lang w:eastAsia="zh-CN"/>
        </w:rPr>
        <w:t>投标人</w:t>
      </w:r>
      <w:r>
        <w:rPr>
          <w:rFonts w:hint="eastAsia" w:ascii="宋体" w:hAnsi="宋体" w:eastAsia="宋体" w:cs="宋体"/>
          <w:b/>
          <w:bCs/>
          <w:color w:val="auto"/>
          <w:sz w:val="21"/>
          <w:szCs w:val="21"/>
          <w:highlight w:val="none"/>
        </w:rPr>
        <w:t>单位名称，以便中标服务费结算。</w:t>
      </w:r>
    </w:p>
    <w:p w14:paraId="2DFC7C12">
      <w:pPr>
        <w:pageBreakBefore w:val="0"/>
        <w:shd w:val="clear"/>
        <w:kinsoku/>
        <w:overflowPunct/>
        <w:topLinePunct w:val="0"/>
        <w:bidi w:val="0"/>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中标服务费的金额将在中标结果公告网页上明示，采购代理机构不再另行通知。</w:t>
      </w:r>
    </w:p>
    <w:p w14:paraId="1BFA5911">
      <w:pPr>
        <w:pageBreakBefore w:val="0"/>
        <w:shd w:val="clear"/>
        <w:kinsoku/>
        <w:overflowPunct/>
        <w:topLinePunct w:val="0"/>
        <w:bidi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p>
    <w:p w14:paraId="7599825F">
      <w:pPr>
        <w:pageBreakBefore w:val="0"/>
        <w:shd w:val="clear"/>
        <w:kinsoku/>
        <w:overflowPunct/>
        <w:topLinePunct w:val="0"/>
        <w:bidi w:val="0"/>
        <w:spacing w:line="360" w:lineRule="auto"/>
        <w:rPr>
          <w:rFonts w:hint="eastAsia" w:ascii="宋体" w:hAnsi="宋体" w:eastAsia="宋体" w:cs="宋体"/>
          <w:b/>
          <w:color w:val="auto"/>
          <w:kern w:val="0"/>
          <w:sz w:val="32"/>
          <w:szCs w:val="32"/>
          <w:highlight w:val="none"/>
        </w:rPr>
      </w:pPr>
      <w:bookmarkStart w:id="173" w:name="_Toc465665161"/>
    </w:p>
    <w:p w14:paraId="47DEF800">
      <w:pPr>
        <w:pStyle w:val="4"/>
        <w:pageBreakBefore w:val="0"/>
        <w:shd w:val="clear"/>
        <w:kinsoku/>
        <w:overflowPunct/>
        <w:topLinePunct w:val="0"/>
        <w:bidi w:val="0"/>
        <w:spacing w:line="360" w:lineRule="auto"/>
        <w:jc w:val="center"/>
        <w:rPr>
          <w:rFonts w:hint="eastAsia" w:ascii="宋体" w:hAnsi="宋体" w:eastAsia="宋体" w:cs="宋体"/>
          <w:color w:val="auto"/>
          <w:highlight w:val="none"/>
        </w:rPr>
      </w:pPr>
      <w:bookmarkStart w:id="174" w:name="_Toc4668"/>
      <w:bookmarkStart w:id="175" w:name="_Toc18831"/>
      <w:r>
        <w:rPr>
          <w:rFonts w:hint="eastAsia" w:ascii="宋体" w:hAnsi="宋体" w:eastAsia="宋体" w:cs="宋体"/>
          <w:color w:val="auto"/>
          <w:highlight w:val="none"/>
        </w:rPr>
        <w:t>附件</w:t>
      </w:r>
      <w:bookmarkEnd w:id="173"/>
      <w:bookmarkEnd w:id="174"/>
      <w:bookmarkEnd w:id="175"/>
    </w:p>
    <w:p w14:paraId="69CA4676">
      <w:pPr>
        <w:pStyle w:val="5"/>
        <w:pageBreakBefore w:val="0"/>
        <w:shd w:val="clear"/>
        <w:kinsoku/>
        <w:overflowPunct/>
        <w:topLinePunct w:val="0"/>
        <w:bidi w:val="0"/>
        <w:spacing w:line="360" w:lineRule="auto"/>
        <w:rPr>
          <w:rFonts w:hint="eastAsia" w:ascii="宋体" w:hAnsi="宋体" w:eastAsia="宋体" w:cs="宋体"/>
          <w:color w:val="auto"/>
          <w:highlight w:val="none"/>
        </w:rPr>
      </w:pPr>
      <w:bookmarkStart w:id="176" w:name="_Toc22903"/>
      <w:bookmarkStart w:id="177" w:name="_Toc4852"/>
      <w:bookmarkStart w:id="178" w:name="_Toc6014"/>
      <w:r>
        <w:rPr>
          <w:rFonts w:hint="eastAsia" w:ascii="宋体" w:hAnsi="宋体" w:eastAsia="宋体" w:cs="宋体"/>
          <w:color w:val="auto"/>
          <w:highlight w:val="none"/>
        </w:rPr>
        <w:t>附件1：</w:t>
      </w:r>
      <w:bookmarkStart w:id="179" w:name="OLE_LINK13"/>
      <w:bookmarkStart w:id="180" w:name="OLE_LINK14"/>
      <w:r>
        <w:rPr>
          <w:rFonts w:hint="eastAsia" w:ascii="宋体" w:hAnsi="宋体" w:eastAsia="宋体" w:cs="宋体"/>
          <w:color w:val="auto"/>
          <w:highlight w:val="none"/>
        </w:rPr>
        <w:t>残疾人福利性单位声明函</w:t>
      </w:r>
      <w:bookmarkEnd w:id="176"/>
      <w:bookmarkEnd w:id="177"/>
      <w:bookmarkEnd w:id="178"/>
    </w:p>
    <w:bookmarkEnd w:id="179"/>
    <w:bookmarkEnd w:id="180"/>
    <w:p w14:paraId="5284D4B5">
      <w:pPr>
        <w:pageBreakBefore w:val="0"/>
        <w:shd w:val="clear"/>
        <w:kinsoku/>
        <w:overflowPunct/>
        <w:topLinePunct w:val="0"/>
        <w:bidi w:val="0"/>
        <w:spacing w:line="360" w:lineRule="auto"/>
        <w:rPr>
          <w:rFonts w:hint="eastAsia" w:ascii="宋体" w:hAnsi="宋体" w:eastAsia="宋体" w:cs="宋体"/>
          <w:b/>
          <w:color w:val="auto"/>
          <w:spacing w:val="6"/>
          <w:sz w:val="30"/>
          <w:szCs w:val="30"/>
          <w:highlight w:val="none"/>
        </w:rPr>
      </w:pPr>
    </w:p>
    <w:p w14:paraId="575B86E3">
      <w:pPr>
        <w:pageBreakBefore w:val="0"/>
        <w:shd w:val="clear"/>
        <w:kinsoku/>
        <w:overflowPunct/>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本单位郑重声明，根据《财政部民政部中国残疾人联合会关于促进残疾人就业政府采购政策的通知》（财库〔2017〕 141号）的规定，本单位为符合条件的残疾人福利性单位，且本单位参加</w:t>
      </w:r>
      <w:r>
        <w:rPr>
          <w:rFonts w:hint="eastAsia" w:ascii="宋体" w:hAnsi="宋体" w:eastAsia="宋体" w:cs="宋体"/>
          <w:color w:val="auto"/>
          <w:sz w:val="21"/>
          <w:szCs w:val="21"/>
          <w:highlight w:val="none"/>
          <w:u w:val="single"/>
        </w:rPr>
        <w:t>（采购人）</w:t>
      </w:r>
      <w:r>
        <w:rPr>
          <w:rFonts w:hint="eastAsia" w:ascii="宋体" w:hAnsi="宋体" w:eastAsia="宋体" w:cs="宋体"/>
          <w:color w:val="auto"/>
          <w:sz w:val="21"/>
          <w:szCs w:val="21"/>
          <w:highlight w:val="none"/>
        </w:rPr>
        <w:t>单位的</w:t>
      </w:r>
      <w:r>
        <w:rPr>
          <w:rFonts w:hint="eastAsia" w:ascii="宋体" w:hAnsi="宋体" w:eastAsia="宋体" w:cs="宋体"/>
          <w:color w:val="auto"/>
          <w:sz w:val="21"/>
          <w:szCs w:val="21"/>
          <w:highlight w:val="none"/>
          <w:u w:val="single"/>
        </w:rPr>
        <w:t xml:space="preserve"> （项目名称） </w:t>
      </w:r>
      <w:r>
        <w:rPr>
          <w:rFonts w:hint="eastAsia" w:ascii="宋体" w:hAnsi="宋体" w:eastAsia="宋体" w:cs="宋体"/>
          <w:color w:val="auto"/>
          <w:sz w:val="21"/>
          <w:szCs w:val="21"/>
          <w:highlight w:val="none"/>
        </w:rPr>
        <w:t>项目采购活动提供本单位制造的货物（由本单位承担工程/提供服务），或者提供其他残疾人福利性单位制造的货物（不包括使用非残疾人福利性单位注册商标的货物）。</w:t>
      </w:r>
    </w:p>
    <w:p w14:paraId="1C913153">
      <w:pPr>
        <w:pageBreakBefore w:val="0"/>
        <w:shd w:val="clear"/>
        <w:kinsoku/>
        <w:overflowPunct/>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本单位对上述声明的真实性负责。如有虚假，将依法承担相应责任。</w:t>
      </w:r>
    </w:p>
    <w:p w14:paraId="53955868">
      <w:pPr>
        <w:pageBreakBefore w:val="0"/>
        <w:shd w:val="clear"/>
        <w:kinsoku/>
        <w:overflowPunct/>
        <w:topLinePunct w:val="0"/>
        <w:bidi w:val="0"/>
        <w:spacing w:line="360" w:lineRule="auto"/>
        <w:ind w:firstLine="420" w:firstLineChars="200"/>
        <w:rPr>
          <w:rFonts w:hint="eastAsia" w:ascii="宋体" w:hAnsi="宋体" w:eastAsia="宋体" w:cs="宋体"/>
          <w:color w:val="auto"/>
          <w:sz w:val="21"/>
          <w:szCs w:val="21"/>
          <w:highlight w:val="none"/>
        </w:rPr>
      </w:pPr>
    </w:p>
    <w:p w14:paraId="285DAFDA">
      <w:pPr>
        <w:pageBreakBefore w:val="0"/>
        <w:shd w:val="clear"/>
        <w:kinsoku/>
        <w:overflowPunct/>
        <w:topLinePunct w:val="0"/>
        <w:bidi w:val="0"/>
        <w:spacing w:line="360" w:lineRule="auto"/>
        <w:ind w:firstLine="420" w:firstLineChars="200"/>
        <w:rPr>
          <w:rFonts w:hint="eastAsia" w:ascii="宋体" w:hAnsi="宋体" w:eastAsia="宋体" w:cs="宋体"/>
          <w:color w:val="auto"/>
          <w:sz w:val="21"/>
          <w:szCs w:val="21"/>
          <w:highlight w:val="none"/>
        </w:rPr>
      </w:pPr>
    </w:p>
    <w:p w14:paraId="7D39AC22">
      <w:pPr>
        <w:pageBreakBefore w:val="0"/>
        <w:shd w:val="clear"/>
        <w:tabs>
          <w:tab w:val="left" w:pos="4860"/>
        </w:tabs>
        <w:kinsoku/>
        <w:overflowPunct/>
        <w:topLinePunct w:val="0"/>
        <w:bidi w:val="0"/>
        <w:spacing w:line="360" w:lineRule="auto"/>
        <w:ind w:right="1560"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投标人名称（电子签名）</w:t>
      </w:r>
      <w:r>
        <w:rPr>
          <w:rFonts w:hint="eastAsia" w:ascii="宋体" w:hAnsi="宋体" w:eastAsia="宋体" w:cs="宋体"/>
          <w:color w:val="auto"/>
          <w:sz w:val="21"/>
          <w:szCs w:val="21"/>
          <w:highlight w:val="none"/>
        </w:rPr>
        <w:t>：</w:t>
      </w:r>
    </w:p>
    <w:p w14:paraId="0376A14F">
      <w:pPr>
        <w:pageBreakBefore w:val="0"/>
        <w:shd w:val="clear"/>
        <w:tabs>
          <w:tab w:val="left" w:pos="4860"/>
        </w:tabs>
        <w:kinsoku/>
        <w:overflowPunct/>
        <w:topLinePunct w:val="0"/>
        <w:bidi w:val="0"/>
        <w:spacing w:line="360" w:lineRule="auto"/>
        <w:ind w:right="1560"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日  期：</w:t>
      </w:r>
    </w:p>
    <w:p w14:paraId="62CCF89D">
      <w:pPr>
        <w:pageBreakBefore w:val="0"/>
        <w:shd w:val="clear"/>
        <w:kinsoku/>
        <w:overflowPunct/>
        <w:topLinePunct w:val="0"/>
        <w:bidi w:val="0"/>
        <w:spacing w:line="360" w:lineRule="auto"/>
        <w:ind w:firstLine="420" w:firstLineChars="200"/>
        <w:rPr>
          <w:rFonts w:hint="eastAsia" w:ascii="宋体" w:hAnsi="宋体" w:eastAsia="宋体" w:cs="宋体"/>
          <w:color w:val="auto"/>
          <w:highlight w:val="none"/>
        </w:rPr>
      </w:pPr>
    </w:p>
    <w:p w14:paraId="034616FD">
      <w:pPr>
        <w:pageBreakBefore w:val="0"/>
        <w:shd w:val="clear"/>
        <w:kinsoku/>
        <w:overflowPunct/>
        <w:topLinePunct w:val="0"/>
        <w:bidi w:val="0"/>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37D2B0A0">
      <w:pPr>
        <w:pStyle w:val="5"/>
        <w:pageBreakBefore w:val="0"/>
        <w:shd w:val="clear"/>
        <w:kinsoku/>
        <w:overflowPunct/>
        <w:topLinePunct w:val="0"/>
        <w:bidi w:val="0"/>
        <w:spacing w:line="360" w:lineRule="auto"/>
        <w:rPr>
          <w:rFonts w:hint="eastAsia" w:ascii="宋体" w:hAnsi="宋体" w:eastAsia="宋体" w:cs="宋体"/>
          <w:color w:val="auto"/>
          <w:highlight w:val="none"/>
        </w:rPr>
      </w:pPr>
      <w:bookmarkStart w:id="181" w:name="_Toc24127"/>
      <w:bookmarkStart w:id="182" w:name="_Toc25276"/>
      <w:bookmarkStart w:id="183" w:name="_Toc8343"/>
      <w:r>
        <w:rPr>
          <w:rFonts w:hint="eastAsia" w:ascii="宋体" w:hAnsi="宋体" w:eastAsia="宋体" w:cs="宋体"/>
          <w:color w:val="auto"/>
          <w:highlight w:val="none"/>
        </w:rPr>
        <w:t>附件2：质疑函范本及制作说明</w:t>
      </w:r>
      <w:bookmarkEnd w:id="181"/>
      <w:bookmarkEnd w:id="182"/>
      <w:bookmarkEnd w:id="183"/>
    </w:p>
    <w:p w14:paraId="6B12C46C">
      <w:pPr>
        <w:pageBreakBefore w:val="0"/>
        <w:shd w:val="clear"/>
        <w:kinsoku/>
        <w:overflowPunct/>
        <w:topLinePunct w:val="0"/>
        <w:bidi w:val="0"/>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6BC5F0FF">
      <w:pPr>
        <w:pageBreakBefore w:val="0"/>
        <w:shd w:val="clear"/>
        <w:kinsoku/>
        <w:overflowPunct/>
        <w:topLinePunct w:val="0"/>
        <w:bidi w:val="0"/>
        <w:spacing w:before="240" w:beforeLines="100" w:line="360" w:lineRule="auto"/>
        <w:outlineLvl w:val="1"/>
        <w:rPr>
          <w:rFonts w:hint="eastAsia" w:ascii="宋体" w:hAnsi="宋体" w:eastAsia="宋体" w:cs="宋体"/>
          <w:bCs/>
          <w:color w:val="auto"/>
          <w:sz w:val="21"/>
          <w:szCs w:val="21"/>
          <w:highlight w:val="none"/>
        </w:rPr>
      </w:pPr>
      <w:bookmarkStart w:id="184" w:name="_Toc23007"/>
      <w:bookmarkStart w:id="185" w:name="_Toc18168"/>
      <w:bookmarkStart w:id="186" w:name="_Toc26513"/>
      <w:bookmarkStart w:id="187" w:name="_Toc4149"/>
      <w:bookmarkStart w:id="188" w:name="_Toc3973"/>
      <w:bookmarkStart w:id="189" w:name="_Toc19869"/>
      <w:bookmarkStart w:id="190" w:name="_Toc4539"/>
      <w:bookmarkStart w:id="191" w:name="_Toc9425"/>
      <w:r>
        <w:rPr>
          <w:rFonts w:hint="eastAsia" w:ascii="宋体" w:hAnsi="宋体" w:eastAsia="宋体" w:cs="宋体"/>
          <w:bCs/>
          <w:color w:val="auto"/>
          <w:sz w:val="21"/>
          <w:szCs w:val="21"/>
          <w:highlight w:val="none"/>
        </w:rPr>
        <w:t>一、质疑</w:t>
      </w:r>
      <w:r>
        <w:rPr>
          <w:rFonts w:hint="eastAsia" w:ascii="宋体" w:hAnsi="宋体" w:eastAsia="宋体" w:cs="宋体"/>
          <w:bCs/>
          <w:color w:val="auto"/>
          <w:sz w:val="21"/>
          <w:szCs w:val="21"/>
          <w:highlight w:val="none"/>
          <w:lang w:eastAsia="zh-CN"/>
        </w:rPr>
        <w:t>投标人</w:t>
      </w:r>
      <w:r>
        <w:rPr>
          <w:rFonts w:hint="eastAsia" w:ascii="宋体" w:hAnsi="宋体" w:eastAsia="宋体" w:cs="宋体"/>
          <w:bCs/>
          <w:color w:val="auto"/>
          <w:sz w:val="21"/>
          <w:szCs w:val="21"/>
          <w:highlight w:val="none"/>
        </w:rPr>
        <w:t>基本信息</w:t>
      </w:r>
      <w:bookmarkEnd w:id="184"/>
      <w:bookmarkEnd w:id="185"/>
      <w:bookmarkEnd w:id="186"/>
      <w:bookmarkEnd w:id="187"/>
      <w:bookmarkEnd w:id="188"/>
      <w:bookmarkEnd w:id="189"/>
      <w:bookmarkEnd w:id="190"/>
      <w:bookmarkEnd w:id="191"/>
    </w:p>
    <w:p w14:paraId="26A87F92">
      <w:pPr>
        <w:pageBreakBefore w:val="0"/>
        <w:shd w:val="clear"/>
        <w:kinsoku/>
        <w:overflowPunct/>
        <w:topLinePunct w:val="0"/>
        <w:bidi w:val="0"/>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w:t>
      </w:r>
    </w:p>
    <w:p w14:paraId="093AE7AD">
      <w:pPr>
        <w:pageBreakBefore w:val="0"/>
        <w:shd w:val="clear"/>
        <w:kinsoku/>
        <w:overflowPunct/>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地址：邮编：</w:t>
      </w:r>
    </w:p>
    <w:p w14:paraId="7ACB55EB">
      <w:pPr>
        <w:pageBreakBefore w:val="0"/>
        <w:shd w:val="clear"/>
        <w:kinsoku/>
        <w:overflowPunct/>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联系人：联系电话：</w:t>
      </w:r>
    </w:p>
    <w:p w14:paraId="0E2A908E">
      <w:pPr>
        <w:pageBreakBefore w:val="0"/>
        <w:shd w:val="clear"/>
        <w:kinsoku/>
        <w:overflowPunct/>
        <w:topLinePunct w:val="0"/>
        <w:bidi w:val="0"/>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授权代表：</w:t>
      </w:r>
    </w:p>
    <w:p w14:paraId="63443F89">
      <w:pPr>
        <w:pageBreakBefore w:val="0"/>
        <w:shd w:val="clear"/>
        <w:kinsoku/>
        <w:overflowPunct/>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p w14:paraId="28D8004A">
      <w:pPr>
        <w:pageBreakBefore w:val="0"/>
        <w:shd w:val="clear"/>
        <w:kinsoku/>
        <w:overflowPunct/>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地址：邮编：</w:t>
      </w:r>
    </w:p>
    <w:p w14:paraId="2BA2C893">
      <w:pPr>
        <w:pageBreakBefore w:val="0"/>
        <w:shd w:val="clear"/>
        <w:kinsoku/>
        <w:overflowPunct/>
        <w:topLinePunct w:val="0"/>
        <w:bidi w:val="0"/>
        <w:spacing w:line="360" w:lineRule="auto"/>
        <w:outlineLvl w:val="1"/>
        <w:rPr>
          <w:rFonts w:hint="eastAsia" w:ascii="宋体" w:hAnsi="宋体" w:eastAsia="宋体" w:cs="宋体"/>
          <w:bCs/>
          <w:color w:val="auto"/>
          <w:sz w:val="21"/>
          <w:szCs w:val="21"/>
          <w:highlight w:val="none"/>
        </w:rPr>
      </w:pPr>
      <w:bookmarkStart w:id="192" w:name="_Toc31004"/>
      <w:bookmarkStart w:id="193" w:name="_Toc11523"/>
      <w:bookmarkStart w:id="194" w:name="_Toc9401"/>
      <w:bookmarkStart w:id="195" w:name="_Toc28684"/>
      <w:bookmarkStart w:id="196" w:name="_Toc27645"/>
      <w:bookmarkStart w:id="197" w:name="_Toc23872"/>
      <w:bookmarkStart w:id="198" w:name="_Toc31890"/>
      <w:bookmarkStart w:id="199" w:name="_Toc11591"/>
      <w:r>
        <w:rPr>
          <w:rFonts w:hint="eastAsia" w:ascii="宋体" w:hAnsi="宋体" w:eastAsia="宋体" w:cs="宋体"/>
          <w:bCs/>
          <w:color w:val="auto"/>
          <w:sz w:val="21"/>
          <w:szCs w:val="21"/>
          <w:highlight w:val="none"/>
        </w:rPr>
        <w:t>二、质疑项目基本情况</w:t>
      </w:r>
      <w:bookmarkEnd w:id="192"/>
      <w:bookmarkEnd w:id="193"/>
      <w:bookmarkEnd w:id="194"/>
      <w:bookmarkEnd w:id="195"/>
      <w:bookmarkEnd w:id="196"/>
      <w:bookmarkEnd w:id="197"/>
      <w:bookmarkEnd w:id="198"/>
      <w:bookmarkEnd w:id="199"/>
    </w:p>
    <w:p w14:paraId="21843AD7">
      <w:pPr>
        <w:pageBreakBefore w:val="0"/>
        <w:shd w:val="clear"/>
        <w:kinsoku/>
        <w:overflowPunct/>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质疑项目的名称：</w:t>
      </w:r>
    </w:p>
    <w:p w14:paraId="5E5F706D">
      <w:pPr>
        <w:pageBreakBefore w:val="0"/>
        <w:shd w:val="clear"/>
        <w:kinsoku/>
        <w:overflowPunct/>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质疑项目的编号：包号：</w:t>
      </w:r>
    </w:p>
    <w:p w14:paraId="24FEB8A3">
      <w:pPr>
        <w:pageBreakBefore w:val="0"/>
        <w:shd w:val="clear"/>
        <w:kinsoku/>
        <w:overflowPunct/>
        <w:topLinePunct w:val="0"/>
        <w:bidi w:val="0"/>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采购人名称：</w:t>
      </w:r>
    </w:p>
    <w:p w14:paraId="5AA9B678">
      <w:pPr>
        <w:pageBreakBefore w:val="0"/>
        <w:shd w:val="clear"/>
        <w:kinsoku/>
        <w:overflowPunct/>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招标文件获取日期：</w:t>
      </w:r>
    </w:p>
    <w:p w14:paraId="7547F68A">
      <w:pPr>
        <w:pageBreakBefore w:val="0"/>
        <w:shd w:val="clear"/>
        <w:kinsoku/>
        <w:overflowPunct/>
        <w:topLinePunct w:val="0"/>
        <w:bidi w:val="0"/>
        <w:spacing w:line="360" w:lineRule="auto"/>
        <w:outlineLvl w:val="1"/>
        <w:rPr>
          <w:rFonts w:hint="eastAsia" w:ascii="宋体" w:hAnsi="宋体" w:eastAsia="宋体" w:cs="宋体"/>
          <w:bCs/>
          <w:color w:val="auto"/>
          <w:sz w:val="21"/>
          <w:szCs w:val="21"/>
          <w:highlight w:val="none"/>
        </w:rPr>
      </w:pPr>
      <w:bookmarkStart w:id="200" w:name="_Toc9016"/>
      <w:bookmarkStart w:id="201" w:name="_Toc10623"/>
      <w:bookmarkStart w:id="202" w:name="_Toc30277"/>
      <w:bookmarkStart w:id="203" w:name="_Toc2978"/>
      <w:bookmarkStart w:id="204" w:name="_Toc30207"/>
      <w:bookmarkStart w:id="205" w:name="_Toc1596"/>
      <w:bookmarkStart w:id="206" w:name="_Toc4968"/>
      <w:bookmarkStart w:id="207" w:name="_Toc27666"/>
      <w:r>
        <w:rPr>
          <w:rFonts w:hint="eastAsia" w:ascii="宋体" w:hAnsi="宋体" w:eastAsia="宋体" w:cs="宋体"/>
          <w:bCs/>
          <w:color w:val="auto"/>
          <w:sz w:val="21"/>
          <w:szCs w:val="21"/>
          <w:highlight w:val="none"/>
        </w:rPr>
        <w:t>三、质疑事项具体内容</w:t>
      </w:r>
      <w:bookmarkEnd w:id="200"/>
      <w:bookmarkEnd w:id="201"/>
      <w:bookmarkEnd w:id="202"/>
      <w:bookmarkEnd w:id="203"/>
      <w:bookmarkEnd w:id="204"/>
      <w:bookmarkEnd w:id="205"/>
      <w:bookmarkEnd w:id="206"/>
      <w:bookmarkEnd w:id="207"/>
    </w:p>
    <w:p w14:paraId="41CA0ADA">
      <w:pPr>
        <w:pageBreakBefore w:val="0"/>
        <w:shd w:val="clear"/>
        <w:kinsoku/>
        <w:overflowPunct/>
        <w:topLinePunct w:val="0"/>
        <w:bidi w:val="0"/>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质疑事项1：</w:t>
      </w:r>
    </w:p>
    <w:p w14:paraId="6F8D05C4">
      <w:pPr>
        <w:pageBreakBefore w:val="0"/>
        <w:shd w:val="clear"/>
        <w:kinsoku/>
        <w:overflowPunct/>
        <w:topLinePunct w:val="0"/>
        <w:bidi w:val="0"/>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事实依据：</w:t>
      </w:r>
    </w:p>
    <w:p w14:paraId="6A87CD20">
      <w:pPr>
        <w:pageBreakBefore w:val="0"/>
        <w:shd w:val="clear"/>
        <w:kinsoku/>
        <w:overflowPunct/>
        <w:topLinePunct w:val="0"/>
        <w:bidi w:val="0"/>
        <w:spacing w:line="360" w:lineRule="auto"/>
        <w:rPr>
          <w:rFonts w:hint="eastAsia" w:ascii="宋体" w:hAnsi="宋体" w:eastAsia="宋体" w:cs="宋体"/>
          <w:color w:val="auto"/>
          <w:sz w:val="21"/>
          <w:szCs w:val="21"/>
          <w:highlight w:val="none"/>
        </w:rPr>
      </w:pPr>
    </w:p>
    <w:p w14:paraId="63740AF7">
      <w:pPr>
        <w:pageBreakBefore w:val="0"/>
        <w:shd w:val="clear"/>
        <w:kinsoku/>
        <w:overflowPunct/>
        <w:topLinePunct w:val="0"/>
        <w:bidi w:val="0"/>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法律依据：</w:t>
      </w:r>
    </w:p>
    <w:p w14:paraId="133D6125">
      <w:pPr>
        <w:pageBreakBefore w:val="0"/>
        <w:shd w:val="clear"/>
        <w:kinsoku/>
        <w:overflowPunct/>
        <w:topLinePunct w:val="0"/>
        <w:bidi w:val="0"/>
        <w:spacing w:line="360" w:lineRule="auto"/>
        <w:rPr>
          <w:rFonts w:hint="eastAsia" w:ascii="宋体" w:hAnsi="宋体" w:eastAsia="宋体" w:cs="宋体"/>
          <w:color w:val="auto"/>
          <w:sz w:val="21"/>
          <w:szCs w:val="21"/>
          <w:highlight w:val="none"/>
          <w:u w:val="dotted"/>
        </w:rPr>
      </w:pPr>
    </w:p>
    <w:p w14:paraId="4E5C58B1">
      <w:pPr>
        <w:pageBreakBefore w:val="0"/>
        <w:shd w:val="clear"/>
        <w:kinsoku/>
        <w:overflowPunct/>
        <w:topLinePunct w:val="0"/>
        <w:bidi w:val="0"/>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质疑事项2</w:t>
      </w:r>
    </w:p>
    <w:p w14:paraId="67D057EF">
      <w:pPr>
        <w:pageBreakBefore w:val="0"/>
        <w:shd w:val="clear"/>
        <w:kinsoku/>
        <w:overflowPunct/>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31062D96">
      <w:pPr>
        <w:pageBreakBefore w:val="0"/>
        <w:shd w:val="clear"/>
        <w:kinsoku/>
        <w:overflowPunct/>
        <w:topLinePunct w:val="0"/>
        <w:bidi w:val="0"/>
        <w:spacing w:line="360" w:lineRule="auto"/>
        <w:outlineLvl w:val="1"/>
        <w:rPr>
          <w:rFonts w:hint="eastAsia" w:ascii="宋体" w:hAnsi="宋体" w:eastAsia="宋体" w:cs="宋体"/>
          <w:bCs/>
          <w:color w:val="auto"/>
          <w:sz w:val="21"/>
          <w:szCs w:val="21"/>
          <w:highlight w:val="none"/>
        </w:rPr>
      </w:pPr>
      <w:bookmarkStart w:id="208" w:name="_Toc13834"/>
      <w:bookmarkStart w:id="209" w:name="_Toc26819"/>
      <w:bookmarkStart w:id="210" w:name="_Toc6603"/>
      <w:bookmarkStart w:id="211" w:name="_Toc18688"/>
      <w:bookmarkStart w:id="212" w:name="_Toc2487"/>
      <w:bookmarkStart w:id="213" w:name="_Toc1253"/>
      <w:bookmarkStart w:id="214" w:name="_Toc27514"/>
      <w:bookmarkStart w:id="215" w:name="_Toc21668"/>
      <w:r>
        <w:rPr>
          <w:rFonts w:hint="eastAsia" w:ascii="宋体" w:hAnsi="宋体" w:eastAsia="宋体" w:cs="宋体"/>
          <w:bCs/>
          <w:color w:val="auto"/>
          <w:sz w:val="21"/>
          <w:szCs w:val="21"/>
          <w:highlight w:val="none"/>
        </w:rPr>
        <w:t>四、与质疑事项相关的质疑请求</w:t>
      </w:r>
      <w:bookmarkEnd w:id="208"/>
      <w:bookmarkEnd w:id="209"/>
      <w:bookmarkEnd w:id="210"/>
      <w:bookmarkEnd w:id="211"/>
      <w:bookmarkEnd w:id="212"/>
      <w:bookmarkEnd w:id="213"/>
      <w:bookmarkEnd w:id="214"/>
      <w:bookmarkEnd w:id="215"/>
    </w:p>
    <w:p w14:paraId="2FB64579">
      <w:pPr>
        <w:pageBreakBefore w:val="0"/>
        <w:shd w:val="clear"/>
        <w:kinsoku/>
        <w:overflowPunct/>
        <w:topLinePunct w:val="0"/>
        <w:bidi w:val="0"/>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请求：</w:t>
      </w:r>
    </w:p>
    <w:p w14:paraId="1883B7F2">
      <w:pPr>
        <w:pageBreakBefore w:val="0"/>
        <w:shd w:val="clear"/>
        <w:kinsoku/>
        <w:overflowPunct/>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签字(签章)：                   公章：                      </w:t>
      </w:r>
    </w:p>
    <w:p w14:paraId="1726DF76">
      <w:pPr>
        <w:pageBreakBefore w:val="0"/>
        <w:shd w:val="clear"/>
        <w:kinsoku/>
        <w:overflowPunct/>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2A13EA18">
      <w:pPr>
        <w:pageBreakBefore w:val="0"/>
        <w:shd w:val="clear"/>
        <w:kinsoku/>
        <w:overflowPunct/>
        <w:topLinePunct w:val="0"/>
        <w:bidi w:val="0"/>
        <w:spacing w:line="360" w:lineRule="auto"/>
        <w:jc w:val="center"/>
        <w:rPr>
          <w:rFonts w:hint="eastAsia" w:ascii="宋体" w:hAnsi="宋体" w:eastAsia="宋体" w:cs="宋体"/>
          <w:b/>
          <w:bCs/>
          <w:color w:val="auto"/>
          <w:sz w:val="21"/>
          <w:szCs w:val="21"/>
          <w:highlight w:val="none"/>
        </w:rPr>
      </w:pPr>
    </w:p>
    <w:p w14:paraId="46E6C788">
      <w:pPr>
        <w:pageBreakBefore w:val="0"/>
        <w:shd w:val="clear"/>
        <w:kinsoku/>
        <w:overflowPunct/>
        <w:topLinePunct w:val="0"/>
        <w:bidi w:val="0"/>
        <w:spacing w:line="360" w:lineRule="auto"/>
        <w:rPr>
          <w:rFonts w:hint="eastAsia" w:ascii="宋体" w:hAnsi="宋体" w:eastAsia="宋体" w:cs="宋体"/>
          <w:b/>
          <w:color w:val="auto"/>
          <w:sz w:val="21"/>
          <w:szCs w:val="21"/>
          <w:highlight w:val="none"/>
        </w:rPr>
      </w:pPr>
    </w:p>
    <w:p w14:paraId="70F6D31D">
      <w:pPr>
        <w:pageBreakBefore w:val="0"/>
        <w:shd w:val="clear"/>
        <w:kinsoku/>
        <w:overflowPunct/>
        <w:topLinePunct w:val="0"/>
        <w:bidi w:val="0"/>
        <w:spacing w:line="360" w:lineRule="auto"/>
        <w:rPr>
          <w:rFonts w:hint="eastAsia" w:ascii="宋体" w:hAnsi="宋体" w:eastAsia="宋体" w:cs="宋体"/>
          <w:b/>
          <w:color w:val="auto"/>
          <w:sz w:val="21"/>
          <w:szCs w:val="21"/>
          <w:highlight w:val="none"/>
        </w:rPr>
      </w:pPr>
    </w:p>
    <w:p w14:paraId="61691884">
      <w:pPr>
        <w:pageBreakBefore w:val="0"/>
        <w:shd w:val="clear"/>
        <w:kinsoku/>
        <w:overflowPunct/>
        <w:topLinePunct w:val="0"/>
        <w:bidi w:val="0"/>
        <w:spacing w:line="360" w:lineRule="auto"/>
        <w:rPr>
          <w:rFonts w:hint="eastAsia" w:ascii="宋体" w:hAnsi="宋体" w:eastAsia="宋体" w:cs="宋体"/>
          <w:b/>
          <w:color w:val="auto"/>
          <w:highlight w:val="none"/>
        </w:rPr>
      </w:pPr>
    </w:p>
    <w:p w14:paraId="153C7458">
      <w:pPr>
        <w:pageBreakBefore w:val="0"/>
        <w:shd w:val="clear"/>
        <w:kinsoku/>
        <w:overflowPunct/>
        <w:topLinePunct w:val="0"/>
        <w:bidi w:val="0"/>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br w:type="page"/>
      </w:r>
    </w:p>
    <w:p w14:paraId="41FF0D29">
      <w:pPr>
        <w:pageBreakBefore w:val="0"/>
        <w:shd w:val="clear"/>
        <w:kinsoku/>
        <w:overflowPunct/>
        <w:topLinePunct w:val="0"/>
        <w:bidi w:val="0"/>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质疑函制作说明：</w:t>
      </w:r>
    </w:p>
    <w:p w14:paraId="1B70C364">
      <w:pPr>
        <w:pageBreakBefore w:val="0"/>
        <w:widowControl/>
        <w:shd w:val="clear"/>
        <w:kinsoku/>
        <w:overflowPunct/>
        <w:topLinePunct w:val="0"/>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提出质疑时，应提交质疑函和必要的证明材料。</w:t>
      </w:r>
    </w:p>
    <w:p w14:paraId="60D96783">
      <w:pPr>
        <w:pageBreakBefore w:val="0"/>
        <w:widowControl/>
        <w:shd w:val="clear"/>
        <w:kinsoku/>
        <w:overflowPunct/>
        <w:topLinePunct w:val="0"/>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2.质疑</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若委托代理人进行质疑的，质疑函应按要求列明“授权代表”的有关内容，并在附件中提交由质疑</w:t>
      </w:r>
      <w:r>
        <w:rPr>
          <w:rFonts w:hint="eastAsia" w:ascii="宋体" w:hAnsi="宋体" w:eastAsia="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签署的授权委托书。授权委托书应载明代理人的姓名或者名称、代理事项、具体权限、期限和相关事项。</w:t>
      </w:r>
    </w:p>
    <w:p w14:paraId="682E0FF3">
      <w:pPr>
        <w:pageBreakBefore w:val="0"/>
        <w:widowControl/>
        <w:shd w:val="clear"/>
        <w:kinsoku/>
        <w:overflowPunct/>
        <w:topLinePunct w:val="0"/>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3.质疑</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若对项目的某一分包进行质疑，质疑函中应列明具体分包号。</w:t>
      </w:r>
    </w:p>
    <w:p w14:paraId="09BCD7F5">
      <w:pPr>
        <w:pageBreakBefore w:val="0"/>
        <w:widowControl/>
        <w:shd w:val="clear"/>
        <w:kinsoku/>
        <w:overflowPunct/>
        <w:topLinePunct w:val="0"/>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4.质疑函的质疑事项应具体、明确，并有必要的事实依据和法律依据。</w:t>
      </w:r>
    </w:p>
    <w:p w14:paraId="49F8ACAF">
      <w:pPr>
        <w:pageBreakBefore w:val="0"/>
        <w:widowControl/>
        <w:shd w:val="clear"/>
        <w:kinsoku/>
        <w:overflowPunct/>
        <w:topLinePunct w:val="0"/>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5.质疑函的质疑请求应与质疑事项相关。</w:t>
      </w:r>
    </w:p>
    <w:p w14:paraId="4EACA303">
      <w:pPr>
        <w:pageBreakBefore w:val="0"/>
        <w:widowControl/>
        <w:shd w:val="clear"/>
        <w:kinsoku/>
        <w:overflowPunct/>
        <w:topLinePunct w:val="0"/>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6.质疑</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为自然人的，质疑函应由本人签字；质疑</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为法人或者其他组织的，质疑函应由法定代表人、主要负责人，或者其授权代表签字或者盖章，并加盖公章。</w:t>
      </w:r>
    </w:p>
    <w:p w14:paraId="0D550126">
      <w:pPr>
        <w:pageBreakBefore w:val="0"/>
        <w:widowControl/>
        <w:shd w:val="clear"/>
        <w:kinsoku/>
        <w:overflowPunct/>
        <w:topLinePunct w:val="0"/>
        <w:bidi w:val="0"/>
        <w:spacing w:line="360" w:lineRule="auto"/>
        <w:ind w:firstLine="600" w:firstLineChars="200"/>
        <w:jc w:val="left"/>
        <w:rPr>
          <w:rFonts w:hint="eastAsia" w:ascii="宋体" w:hAnsi="宋体" w:eastAsia="宋体" w:cs="宋体"/>
          <w:color w:val="auto"/>
          <w:sz w:val="30"/>
          <w:szCs w:val="30"/>
          <w:highlight w:val="none"/>
        </w:rPr>
      </w:pPr>
    </w:p>
    <w:p w14:paraId="4481A852">
      <w:pPr>
        <w:pageBreakBefore w:val="0"/>
        <w:shd w:val="clear"/>
        <w:kinsoku/>
        <w:overflowPunct/>
        <w:topLinePunct w:val="0"/>
        <w:bidi w:val="0"/>
        <w:spacing w:line="360" w:lineRule="auto"/>
        <w:jc w:val="center"/>
        <w:rPr>
          <w:rFonts w:hint="eastAsia" w:ascii="宋体" w:hAnsi="宋体" w:eastAsia="宋体" w:cs="宋体"/>
          <w:b/>
          <w:color w:val="auto"/>
          <w:spacing w:val="6"/>
          <w:sz w:val="32"/>
          <w:szCs w:val="32"/>
          <w:highlight w:val="none"/>
        </w:rPr>
      </w:pPr>
    </w:p>
    <w:p w14:paraId="74549669">
      <w:pPr>
        <w:pageBreakBefore w:val="0"/>
        <w:shd w:val="clear"/>
        <w:kinsoku/>
        <w:overflowPunct/>
        <w:topLinePunct w:val="0"/>
        <w:bidi w:val="0"/>
        <w:spacing w:line="360" w:lineRule="auto"/>
        <w:jc w:val="center"/>
        <w:rPr>
          <w:rFonts w:hint="eastAsia" w:ascii="宋体" w:hAnsi="宋体" w:eastAsia="宋体" w:cs="宋体"/>
          <w:b/>
          <w:color w:val="auto"/>
          <w:spacing w:val="6"/>
          <w:sz w:val="32"/>
          <w:szCs w:val="32"/>
          <w:highlight w:val="none"/>
        </w:rPr>
      </w:pPr>
    </w:p>
    <w:p w14:paraId="4EAD36B1">
      <w:pPr>
        <w:pageBreakBefore w:val="0"/>
        <w:shd w:val="clear"/>
        <w:kinsoku/>
        <w:overflowPunct/>
        <w:topLinePunct w:val="0"/>
        <w:bidi w:val="0"/>
        <w:spacing w:line="360" w:lineRule="auto"/>
        <w:jc w:val="center"/>
        <w:rPr>
          <w:rFonts w:hint="eastAsia" w:ascii="宋体" w:hAnsi="宋体" w:eastAsia="宋体" w:cs="宋体"/>
          <w:b/>
          <w:color w:val="auto"/>
          <w:spacing w:val="6"/>
          <w:sz w:val="32"/>
          <w:szCs w:val="32"/>
          <w:highlight w:val="none"/>
        </w:rPr>
      </w:pPr>
    </w:p>
    <w:p w14:paraId="6E17AEC9">
      <w:pPr>
        <w:pageBreakBefore w:val="0"/>
        <w:shd w:val="clear"/>
        <w:kinsoku/>
        <w:overflowPunct/>
        <w:topLinePunct w:val="0"/>
        <w:bidi w:val="0"/>
        <w:spacing w:line="360" w:lineRule="auto"/>
        <w:jc w:val="center"/>
        <w:rPr>
          <w:rFonts w:hint="eastAsia" w:ascii="宋体" w:hAnsi="宋体" w:eastAsia="宋体" w:cs="宋体"/>
          <w:b/>
          <w:color w:val="auto"/>
          <w:spacing w:val="6"/>
          <w:sz w:val="32"/>
          <w:szCs w:val="32"/>
          <w:highlight w:val="none"/>
        </w:rPr>
      </w:pPr>
    </w:p>
    <w:p w14:paraId="51F65A96">
      <w:pPr>
        <w:pageBreakBefore w:val="0"/>
        <w:shd w:val="clear"/>
        <w:kinsoku/>
        <w:overflowPunct/>
        <w:topLinePunct w:val="0"/>
        <w:bidi w:val="0"/>
        <w:spacing w:line="360" w:lineRule="auto"/>
        <w:jc w:val="center"/>
        <w:rPr>
          <w:rFonts w:hint="eastAsia" w:ascii="宋体" w:hAnsi="宋体" w:eastAsia="宋体" w:cs="宋体"/>
          <w:b/>
          <w:color w:val="auto"/>
          <w:spacing w:val="6"/>
          <w:sz w:val="32"/>
          <w:szCs w:val="32"/>
          <w:highlight w:val="none"/>
        </w:rPr>
      </w:pPr>
    </w:p>
    <w:p w14:paraId="191FAFFA">
      <w:pPr>
        <w:pageBreakBefore w:val="0"/>
        <w:shd w:val="clear"/>
        <w:kinsoku/>
        <w:overflowPunct/>
        <w:topLinePunct w:val="0"/>
        <w:bidi w:val="0"/>
        <w:spacing w:line="360" w:lineRule="auto"/>
        <w:jc w:val="center"/>
        <w:rPr>
          <w:rFonts w:hint="eastAsia" w:ascii="宋体" w:hAnsi="宋体" w:eastAsia="宋体" w:cs="宋体"/>
          <w:b/>
          <w:color w:val="auto"/>
          <w:spacing w:val="6"/>
          <w:sz w:val="32"/>
          <w:szCs w:val="32"/>
          <w:highlight w:val="none"/>
        </w:rPr>
      </w:pPr>
    </w:p>
    <w:p w14:paraId="586BC1A6">
      <w:pPr>
        <w:pageBreakBefore w:val="0"/>
        <w:shd w:val="clear"/>
        <w:kinsoku/>
        <w:overflowPunct/>
        <w:topLinePunct w:val="0"/>
        <w:bidi w:val="0"/>
        <w:spacing w:line="360" w:lineRule="auto"/>
        <w:jc w:val="center"/>
        <w:rPr>
          <w:rFonts w:hint="eastAsia" w:ascii="宋体" w:hAnsi="宋体" w:eastAsia="宋体" w:cs="宋体"/>
          <w:b/>
          <w:color w:val="auto"/>
          <w:spacing w:val="6"/>
          <w:sz w:val="32"/>
          <w:szCs w:val="32"/>
          <w:highlight w:val="none"/>
        </w:rPr>
      </w:pPr>
    </w:p>
    <w:p w14:paraId="1E1670AE">
      <w:pPr>
        <w:pageBreakBefore w:val="0"/>
        <w:shd w:val="clear"/>
        <w:kinsoku/>
        <w:overflowPunct/>
        <w:topLinePunct w:val="0"/>
        <w:bidi w:val="0"/>
        <w:spacing w:line="360" w:lineRule="auto"/>
        <w:jc w:val="center"/>
        <w:rPr>
          <w:rFonts w:hint="eastAsia" w:ascii="宋体" w:hAnsi="宋体" w:eastAsia="宋体" w:cs="宋体"/>
          <w:b/>
          <w:color w:val="auto"/>
          <w:spacing w:val="6"/>
          <w:sz w:val="32"/>
          <w:szCs w:val="32"/>
          <w:highlight w:val="none"/>
        </w:rPr>
      </w:pPr>
    </w:p>
    <w:p w14:paraId="1DFBA8C4">
      <w:pPr>
        <w:pageBreakBefore w:val="0"/>
        <w:shd w:val="clear"/>
        <w:kinsoku/>
        <w:overflowPunct/>
        <w:topLinePunct w:val="0"/>
        <w:bidi w:val="0"/>
        <w:spacing w:line="360" w:lineRule="auto"/>
        <w:jc w:val="center"/>
        <w:rPr>
          <w:rFonts w:hint="eastAsia" w:ascii="宋体" w:hAnsi="宋体" w:eastAsia="宋体" w:cs="宋体"/>
          <w:b/>
          <w:color w:val="auto"/>
          <w:spacing w:val="6"/>
          <w:sz w:val="32"/>
          <w:szCs w:val="32"/>
          <w:highlight w:val="none"/>
        </w:rPr>
      </w:pPr>
    </w:p>
    <w:p w14:paraId="5B37EF42">
      <w:pPr>
        <w:pageBreakBefore w:val="0"/>
        <w:shd w:val="clear"/>
        <w:kinsoku/>
        <w:overflowPunct/>
        <w:topLinePunct w:val="0"/>
        <w:bidi w:val="0"/>
        <w:spacing w:line="360" w:lineRule="auto"/>
        <w:jc w:val="center"/>
        <w:rPr>
          <w:rFonts w:hint="eastAsia" w:ascii="宋体" w:hAnsi="宋体" w:eastAsia="宋体" w:cs="宋体"/>
          <w:b/>
          <w:color w:val="auto"/>
          <w:spacing w:val="6"/>
          <w:sz w:val="32"/>
          <w:szCs w:val="32"/>
          <w:highlight w:val="none"/>
        </w:rPr>
      </w:pPr>
    </w:p>
    <w:p w14:paraId="00F63EF1">
      <w:pPr>
        <w:pageBreakBefore w:val="0"/>
        <w:shd w:val="clear"/>
        <w:kinsoku/>
        <w:overflowPunct/>
        <w:topLinePunct w:val="0"/>
        <w:bidi w:val="0"/>
        <w:spacing w:line="360" w:lineRule="auto"/>
        <w:jc w:val="center"/>
        <w:rPr>
          <w:rFonts w:hint="eastAsia" w:ascii="宋体" w:hAnsi="宋体" w:eastAsia="宋体" w:cs="宋体"/>
          <w:b/>
          <w:color w:val="auto"/>
          <w:spacing w:val="6"/>
          <w:sz w:val="32"/>
          <w:szCs w:val="32"/>
          <w:highlight w:val="none"/>
        </w:rPr>
      </w:pPr>
    </w:p>
    <w:p w14:paraId="2102396A">
      <w:pPr>
        <w:pageBreakBefore w:val="0"/>
        <w:shd w:val="clear"/>
        <w:kinsoku/>
        <w:overflowPunct/>
        <w:topLinePunct w:val="0"/>
        <w:bidi w:val="0"/>
        <w:spacing w:line="360" w:lineRule="auto"/>
        <w:jc w:val="center"/>
        <w:rPr>
          <w:rFonts w:hint="eastAsia" w:ascii="宋体" w:hAnsi="宋体" w:eastAsia="宋体" w:cs="宋体"/>
          <w:b/>
          <w:color w:val="auto"/>
          <w:spacing w:val="6"/>
          <w:sz w:val="32"/>
          <w:szCs w:val="32"/>
          <w:highlight w:val="none"/>
        </w:rPr>
      </w:pPr>
    </w:p>
    <w:p w14:paraId="7BDC40A7">
      <w:pPr>
        <w:pageBreakBefore w:val="0"/>
        <w:shd w:val="clear"/>
        <w:kinsoku/>
        <w:overflowPunct/>
        <w:topLinePunct w:val="0"/>
        <w:bidi w:val="0"/>
        <w:spacing w:line="360" w:lineRule="auto"/>
        <w:jc w:val="left"/>
        <w:rPr>
          <w:rFonts w:hint="eastAsia" w:ascii="宋体" w:hAnsi="宋体" w:eastAsia="宋体" w:cs="宋体"/>
          <w:b/>
          <w:color w:val="auto"/>
          <w:spacing w:val="6"/>
          <w:sz w:val="32"/>
          <w:szCs w:val="32"/>
          <w:highlight w:val="none"/>
        </w:rPr>
      </w:pPr>
    </w:p>
    <w:p w14:paraId="247C2E24">
      <w:pPr>
        <w:pageBreakBefore w:val="0"/>
        <w:shd w:val="clear"/>
        <w:kinsoku/>
        <w:overflowPunct/>
        <w:topLinePunct w:val="0"/>
        <w:bidi w:val="0"/>
        <w:spacing w:line="360" w:lineRule="auto"/>
        <w:jc w:val="left"/>
        <w:rPr>
          <w:rFonts w:hint="eastAsia" w:ascii="宋体" w:hAnsi="宋体" w:eastAsia="宋体" w:cs="宋体"/>
          <w:b/>
          <w:color w:val="auto"/>
          <w:spacing w:val="6"/>
          <w:sz w:val="32"/>
          <w:szCs w:val="32"/>
          <w:highlight w:val="none"/>
        </w:rPr>
      </w:pPr>
    </w:p>
    <w:p w14:paraId="454ED7D0">
      <w:pPr>
        <w:pageBreakBefore w:val="0"/>
        <w:shd w:val="clear"/>
        <w:kinsoku/>
        <w:overflowPunct/>
        <w:topLinePunct w:val="0"/>
        <w:bidi w:val="0"/>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76636E5F">
      <w:pPr>
        <w:pStyle w:val="5"/>
        <w:pageBreakBefore w:val="0"/>
        <w:shd w:val="clear"/>
        <w:kinsoku/>
        <w:overflowPunct/>
        <w:topLinePunct w:val="0"/>
        <w:bidi w:val="0"/>
        <w:spacing w:line="360" w:lineRule="auto"/>
        <w:rPr>
          <w:rFonts w:hint="eastAsia" w:ascii="宋体" w:hAnsi="宋体" w:eastAsia="宋体" w:cs="宋体"/>
          <w:color w:val="auto"/>
          <w:highlight w:val="none"/>
        </w:rPr>
      </w:pPr>
      <w:bookmarkStart w:id="216" w:name="_Toc17736"/>
      <w:bookmarkStart w:id="217" w:name="_Toc10451"/>
      <w:bookmarkStart w:id="218" w:name="_Toc26233"/>
      <w:bookmarkStart w:id="219" w:name="_Toc24214"/>
      <w:bookmarkStart w:id="220" w:name="_Toc3809"/>
      <w:bookmarkStart w:id="221" w:name="_Toc27789"/>
      <w:bookmarkStart w:id="222" w:name="_Toc18711"/>
      <w:bookmarkStart w:id="223" w:name="_Toc30659"/>
      <w:r>
        <w:rPr>
          <w:rFonts w:hint="eastAsia" w:ascii="宋体" w:hAnsi="宋体" w:eastAsia="宋体" w:cs="宋体"/>
          <w:color w:val="auto"/>
          <w:highlight w:val="none"/>
        </w:rPr>
        <w:t>附件3：投诉书范本及制作说明</w:t>
      </w:r>
      <w:bookmarkEnd w:id="216"/>
      <w:bookmarkEnd w:id="217"/>
      <w:bookmarkEnd w:id="218"/>
      <w:bookmarkEnd w:id="219"/>
      <w:bookmarkEnd w:id="220"/>
      <w:bookmarkEnd w:id="221"/>
      <w:bookmarkEnd w:id="222"/>
      <w:bookmarkEnd w:id="223"/>
    </w:p>
    <w:p w14:paraId="3B40EB34">
      <w:pPr>
        <w:pageBreakBefore w:val="0"/>
        <w:shd w:val="clear"/>
        <w:kinsoku/>
        <w:overflowPunct/>
        <w:topLinePunct w:val="0"/>
        <w:bidi w:val="0"/>
        <w:spacing w:line="360" w:lineRule="auto"/>
        <w:jc w:val="center"/>
        <w:rPr>
          <w:rFonts w:hint="eastAsia" w:ascii="宋体" w:hAnsi="宋体" w:eastAsia="宋体" w:cs="宋体"/>
          <w:b/>
          <w:color w:val="auto"/>
          <w:highlight w:val="none"/>
        </w:rPr>
      </w:pPr>
    </w:p>
    <w:p w14:paraId="5C785B5D">
      <w:pPr>
        <w:pageBreakBefore w:val="0"/>
        <w:shd w:val="clear"/>
        <w:kinsoku/>
        <w:overflowPunct/>
        <w:topLinePunct w:val="0"/>
        <w:bidi w:val="0"/>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1D3F606D">
      <w:pPr>
        <w:pageBreakBefore w:val="0"/>
        <w:shd w:val="clear"/>
        <w:kinsoku/>
        <w:overflowPunct/>
        <w:topLinePunct w:val="0"/>
        <w:bidi w:val="0"/>
        <w:spacing w:line="360" w:lineRule="auto"/>
        <w:outlineLvl w:val="1"/>
        <w:rPr>
          <w:rFonts w:hint="eastAsia" w:ascii="宋体" w:hAnsi="宋体" w:eastAsia="宋体" w:cs="宋体"/>
          <w:color w:val="auto"/>
          <w:sz w:val="21"/>
          <w:szCs w:val="21"/>
          <w:highlight w:val="none"/>
        </w:rPr>
      </w:pPr>
      <w:bookmarkStart w:id="224" w:name="_Toc24191"/>
      <w:bookmarkStart w:id="225" w:name="_Toc16535"/>
      <w:bookmarkStart w:id="226" w:name="_Toc19750"/>
      <w:bookmarkStart w:id="227" w:name="_Toc19081"/>
      <w:bookmarkStart w:id="228" w:name="_Toc7183"/>
      <w:bookmarkStart w:id="229" w:name="_Toc12466"/>
      <w:bookmarkStart w:id="230" w:name="_Toc11762"/>
      <w:bookmarkStart w:id="231" w:name="_Toc1662"/>
      <w:r>
        <w:rPr>
          <w:rFonts w:hint="eastAsia" w:ascii="宋体" w:hAnsi="宋体" w:eastAsia="宋体" w:cs="宋体"/>
          <w:color w:val="auto"/>
          <w:sz w:val="21"/>
          <w:szCs w:val="21"/>
          <w:highlight w:val="none"/>
        </w:rPr>
        <w:t>一、投诉相关主体基本情况</w:t>
      </w:r>
      <w:bookmarkEnd w:id="224"/>
      <w:bookmarkEnd w:id="225"/>
      <w:bookmarkEnd w:id="226"/>
      <w:bookmarkEnd w:id="227"/>
      <w:bookmarkEnd w:id="228"/>
      <w:bookmarkEnd w:id="229"/>
      <w:bookmarkEnd w:id="230"/>
      <w:bookmarkEnd w:id="231"/>
    </w:p>
    <w:p w14:paraId="2AE3D18A">
      <w:pPr>
        <w:pageBreakBefore w:val="0"/>
        <w:shd w:val="clear"/>
        <w:kinsoku/>
        <w:overflowPunct/>
        <w:topLinePunct w:val="0"/>
        <w:bidi w:val="0"/>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投诉人：</w:t>
      </w:r>
    </w:p>
    <w:p w14:paraId="31AFBFCF">
      <w:pPr>
        <w:pageBreakBefore w:val="0"/>
        <w:shd w:val="clear"/>
        <w:kinsoku/>
        <w:overflowPunct/>
        <w:topLinePunct w:val="0"/>
        <w:bidi w:val="0"/>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地址：邮编：</w:t>
      </w:r>
    </w:p>
    <w:p w14:paraId="23D9B932">
      <w:pPr>
        <w:pageBreakBefore w:val="0"/>
        <w:shd w:val="clear"/>
        <w:tabs>
          <w:tab w:val="left" w:pos="6510"/>
        </w:tabs>
        <w:kinsoku/>
        <w:overflowPunct/>
        <w:topLinePunct w:val="0"/>
        <w:bidi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法定代表人/主要负责人：</w:t>
      </w:r>
    </w:p>
    <w:p w14:paraId="7A26BDEF">
      <w:pPr>
        <w:pageBreakBefore w:val="0"/>
        <w:shd w:val="clear"/>
        <w:tabs>
          <w:tab w:val="left" w:pos="6510"/>
        </w:tabs>
        <w:kinsoku/>
        <w:overflowPunct/>
        <w:topLinePunct w:val="0"/>
        <w:bidi w:val="0"/>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联系电话：</w:t>
      </w:r>
    </w:p>
    <w:p w14:paraId="549C3B14">
      <w:pPr>
        <w:pageBreakBefore w:val="0"/>
        <w:shd w:val="clear"/>
        <w:kinsoku/>
        <w:overflowPunct/>
        <w:topLinePunct w:val="0"/>
        <w:bidi w:val="0"/>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授权代表：联系电话</w:t>
      </w:r>
      <w:r>
        <w:rPr>
          <w:rFonts w:hint="eastAsia" w:ascii="宋体" w:hAnsi="宋体" w:eastAsia="宋体" w:cs="宋体"/>
          <w:color w:val="auto"/>
          <w:sz w:val="21"/>
          <w:szCs w:val="21"/>
          <w:highlight w:val="none"/>
          <w:u w:val="dotted"/>
        </w:rPr>
        <w:t>：</w:t>
      </w:r>
    </w:p>
    <w:p w14:paraId="30864262">
      <w:pPr>
        <w:pageBreakBefore w:val="0"/>
        <w:shd w:val="clear"/>
        <w:kinsoku/>
        <w:overflowPunct/>
        <w:topLinePunct w:val="0"/>
        <w:bidi w:val="0"/>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地址：邮编：</w:t>
      </w:r>
    </w:p>
    <w:p w14:paraId="0F475ECB">
      <w:pPr>
        <w:pageBreakBefore w:val="0"/>
        <w:shd w:val="clear"/>
        <w:kinsoku/>
        <w:overflowPunct/>
        <w:topLinePunct w:val="0"/>
        <w:bidi w:val="0"/>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被投诉人1：</w:t>
      </w:r>
    </w:p>
    <w:p w14:paraId="21DE06AC">
      <w:pPr>
        <w:pageBreakBefore w:val="0"/>
        <w:shd w:val="clear"/>
        <w:kinsoku/>
        <w:overflowPunct/>
        <w:topLinePunct w:val="0"/>
        <w:bidi w:val="0"/>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地址：邮编：</w:t>
      </w:r>
    </w:p>
    <w:p w14:paraId="1CD734AE">
      <w:pPr>
        <w:pageBreakBefore w:val="0"/>
        <w:shd w:val="clear"/>
        <w:kinsoku/>
        <w:overflowPunct/>
        <w:topLinePunct w:val="0"/>
        <w:bidi w:val="0"/>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联系人：联系电话：</w:t>
      </w:r>
    </w:p>
    <w:p w14:paraId="61DDE68E">
      <w:pPr>
        <w:pageBreakBefore w:val="0"/>
        <w:shd w:val="clear"/>
        <w:kinsoku/>
        <w:overflowPunct/>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被投诉人2</w:t>
      </w:r>
    </w:p>
    <w:p w14:paraId="33F62AD4">
      <w:pPr>
        <w:pageBreakBefore w:val="0"/>
        <w:shd w:val="clear"/>
        <w:kinsoku/>
        <w:overflowPunct/>
        <w:topLinePunct w:val="0"/>
        <w:bidi w:val="0"/>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w:t>
      </w:r>
    </w:p>
    <w:p w14:paraId="3BF2ACF7">
      <w:pPr>
        <w:pageBreakBefore w:val="0"/>
        <w:shd w:val="clear"/>
        <w:kinsoku/>
        <w:overflowPunct/>
        <w:topLinePunct w:val="0"/>
        <w:bidi w:val="0"/>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相关</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w:t>
      </w:r>
    </w:p>
    <w:p w14:paraId="66FE037E">
      <w:pPr>
        <w:pageBreakBefore w:val="0"/>
        <w:shd w:val="clear"/>
        <w:kinsoku/>
        <w:overflowPunct/>
        <w:topLinePunct w:val="0"/>
        <w:bidi w:val="0"/>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地址：邮编：</w:t>
      </w:r>
    </w:p>
    <w:p w14:paraId="03E8CCEB">
      <w:pPr>
        <w:pageBreakBefore w:val="0"/>
        <w:shd w:val="clear"/>
        <w:kinsoku/>
        <w:overflowPunct/>
        <w:topLinePunct w:val="0"/>
        <w:bidi w:val="0"/>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联系人：联系电话：</w:t>
      </w:r>
    </w:p>
    <w:p w14:paraId="5C118650">
      <w:pPr>
        <w:pageBreakBefore w:val="0"/>
        <w:shd w:val="clear"/>
        <w:kinsoku/>
        <w:overflowPunct/>
        <w:topLinePunct w:val="0"/>
        <w:bidi w:val="0"/>
        <w:spacing w:line="360" w:lineRule="auto"/>
        <w:outlineLvl w:val="1"/>
        <w:rPr>
          <w:rFonts w:hint="eastAsia" w:ascii="宋体" w:hAnsi="宋体" w:eastAsia="宋体" w:cs="宋体"/>
          <w:color w:val="auto"/>
          <w:sz w:val="21"/>
          <w:szCs w:val="21"/>
          <w:highlight w:val="none"/>
        </w:rPr>
      </w:pPr>
      <w:bookmarkStart w:id="232" w:name="_Toc15564"/>
      <w:bookmarkStart w:id="233" w:name="_Toc26770"/>
      <w:bookmarkStart w:id="234" w:name="_Toc24480"/>
      <w:bookmarkStart w:id="235" w:name="_Toc6713"/>
      <w:bookmarkStart w:id="236" w:name="_Toc11853"/>
      <w:bookmarkStart w:id="237" w:name="_Toc22345"/>
      <w:bookmarkStart w:id="238" w:name="_Toc29339"/>
      <w:bookmarkStart w:id="239" w:name="_Toc10638"/>
      <w:r>
        <w:rPr>
          <w:rFonts w:hint="eastAsia" w:ascii="宋体" w:hAnsi="宋体" w:eastAsia="宋体" w:cs="宋体"/>
          <w:color w:val="auto"/>
          <w:sz w:val="21"/>
          <w:szCs w:val="21"/>
          <w:highlight w:val="none"/>
        </w:rPr>
        <w:t>二、投诉项目基本情况</w:t>
      </w:r>
      <w:bookmarkEnd w:id="232"/>
      <w:bookmarkEnd w:id="233"/>
      <w:bookmarkEnd w:id="234"/>
      <w:bookmarkEnd w:id="235"/>
      <w:bookmarkEnd w:id="236"/>
      <w:bookmarkEnd w:id="237"/>
      <w:bookmarkEnd w:id="238"/>
      <w:bookmarkEnd w:id="239"/>
    </w:p>
    <w:p w14:paraId="5B723D60">
      <w:pPr>
        <w:pageBreakBefore w:val="0"/>
        <w:shd w:val="clear"/>
        <w:kinsoku/>
        <w:overflowPunct/>
        <w:topLinePunct w:val="0"/>
        <w:bidi w:val="0"/>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采购项目名称：</w:t>
      </w:r>
    </w:p>
    <w:p w14:paraId="598CA7A1">
      <w:pPr>
        <w:pageBreakBefore w:val="0"/>
        <w:shd w:val="clear"/>
        <w:kinsoku/>
        <w:overflowPunct/>
        <w:topLinePunct w:val="0"/>
        <w:bidi w:val="0"/>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采购项目编号：包号：</w:t>
      </w:r>
    </w:p>
    <w:p w14:paraId="6371DE1D">
      <w:pPr>
        <w:pageBreakBefore w:val="0"/>
        <w:shd w:val="clear"/>
        <w:kinsoku/>
        <w:overflowPunct/>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采购人名称：</w:t>
      </w:r>
    </w:p>
    <w:p w14:paraId="768DD6FA">
      <w:pPr>
        <w:pageBreakBefore w:val="0"/>
        <w:shd w:val="clear"/>
        <w:kinsoku/>
        <w:overflowPunct/>
        <w:topLinePunct w:val="0"/>
        <w:bidi w:val="0"/>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代理机构名称：</w:t>
      </w:r>
    </w:p>
    <w:p w14:paraId="09C97342">
      <w:pPr>
        <w:pageBreakBefore w:val="0"/>
        <w:shd w:val="clear"/>
        <w:kinsoku/>
        <w:overflowPunct/>
        <w:topLinePunct w:val="0"/>
        <w:bidi w:val="0"/>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招标文件公告：</w:t>
      </w:r>
      <w:r>
        <w:rPr>
          <w:rFonts w:hint="eastAsia" w:ascii="宋体" w:hAnsi="宋体" w:eastAsia="宋体" w:cs="宋体"/>
          <w:color w:val="auto"/>
          <w:sz w:val="21"/>
          <w:szCs w:val="21"/>
          <w:highlight w:val="none"/>
          <w:u w:val="dotted"/>
        </w:rPr>
        <w:t xml:space="preserve">是/否 </w:t>
      </w:r>
      <w:r>
        <w:rPr>
          <w:rFonts w:hint="eastAsia" w:ascii="宋体" w:hAnsi="宋体" w:eastAsia="宋体" w:cs="宋体"/>
          <w:color w:val="auto"/>
          <w:sz w:val="21"/>
          <w:szCs w:val="21"/>
          <w:highlight w:val="none"/>
        </w:rPr>
        <w:t>公告期限：</w:t>
      </w:r>
    </w:p>
    <w:p w14:paraId="649E6547">
      <w:pPr>
        <w:pageBreakBefore w:val="0"/>
        <w:shd w:val="clear"/>
        <w:kinsoku/>
        <w:overflowPunct/>
        <w:topLinePunct w:val="0"/>
        <w:bidi w:val="0"/>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采购结果公告：</w:t>
      </w:r>
      <w:r>
        <w:rPr>
          <w:rFonts w:hint="eastAsia" w:ascii="宋体" w:hAnsi="宋体" w:eastAsia="宋体" w:cs="宋体"/>
          <w:color w:val="auto"/>
          <w:sz w:val="21"/>
          <w:szCs w:val="21"/>
          <w:highlight w:val="none"/>
          <w:u w:val="dotted"/>
        </w:rPr>
        <w:t xml:space="preserve">是/否 </w:t>
      </w:r>
      <w:r>
        <w:rPr>
          <w:rFonts w:hint="eastAsia" w:ascii="宋体" w:hAnsi="宋体" w:eastAsia="宋体" w:cs="宋体"/>
          <w:color w:val="auto"/>
          <w:sz w:val="21"/>
          <w:szCs w:val="21"/>
          <w:highlight w:val="none"/>
        </w:rPr>
        <w:t>公告期限：</w:t>
      </w:r>
    </w:p>
    <w:p w14:paraId="37AA9F12">
      <w:pPr>
        <w:pageBreakBefore w:val="0"/>
        <w:shd w:val="clear"/>
        <w:kinsoku/>
        <w:overflowPunct/>
        <w:topLinePunct w:val="0"/>
        <w:bidi w:val="0"/>
        <w:spacing w:line="360" w:lineRule="auto"/>
        <w:outlineLvl w:val="1"/>
        <w:rPr>
          <w:rFonts w:hint="eastAsia" w:ascii="宋体" w:hAnsi="宋体" w:eastAsia="宋体" w:cs="宋体"/>
          <w:color w:val="auto"/>
          <w:sz w:val="21"/>
          <w:szCs w:val="21"/>
          <w:highlight w:val="none"/>
        </w:rPr>
      </w:pPr>
      <w:bookmarkStart w:id="240" w:name="_Toc29658"/>
      <w:bookmarkStart w:id="241" w:name="_Toc11707"/>
      <w:bookmarkStart w:id="242" w:name="_Toc17378"/>
      <w:bookmarkStart w:id="243" w:name="_Toc9439"/>
      <w:bookmarkStart w:id="244" w:name="_Toc4991"/>
      <w:bookmarkStart w:id="245" w:name="_Toc586"/>
      <w:bookmarkStart w:id="246" w:name="_Toc19818"/>
      <w:bookmarkStart w:id="247" w:name="_Toc11408"/>
      <w:r>
        <w:rPr>
          <w:rFonts w:hint="eastAsia" w:ascii="宋体" w:hAnsi="宋体" w:eastAsia="宋体" w:cs="宋体"/>
          <w:color w:val="auto"/>
          <w:sz w:val="21"/>
          <w:szCs w:val="21"/>
          <w:highlight w:val="none"/>
        </w:rPr>
        <w:t>三、质疑基本情况</w:t>
      </w:r>
      <w:bookmarkEnd w:id="240"/>
      <w:bookmarkEnd w:id="241"/>
      <w:bookmarkEnd w:id="242"/>
      <w:bookmarkEnd w:id="243"/>
      <w:bookmarkEnd w:id="244"/>
      <w:bookmarkEnd w:id="245"/>
      <w:bookmarkEnd w:id="246"/>
      <w:bookmarkEnd w:id="247"/>
    </w:p>
    <w:p w14:paraId="419A6AF9">
      <w:pPr>
        <w:pageBreakBefore w:val="0"/>
        <w:shd w:val="clear"/>
        <w:kinsoku/>
        <w:overflowPunct/>
        <w:topLinePunct w:val="0"/>
        <w:bidi w:val="0"/>
        <w:spacing w:line="360" w:lineRule="auto"/>
        <w:ind w:firstLine="420" w:firstLineChars="200"/>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投诉人于年月日,向提出质疑，质疑事项为：</w:t>
      </w:r>
    </w:p>
    <w:p w14:paraId="4DD77209">
      <w:pPr>
        <w:pageBreakBefore w:val="0"/>
        <w:shd w:val="clear"/>
        <w:kinsoku/>
        <w:overflowPunct/>
        <w:topLinePunct w:val="0"/>
        <w:bidi w:val="0"/>
        <w:spacing w:line="360" w:lineRule="auto"/>
        <w:rPr>
          <w:rFonts w:hint="eastAsia" w:ascii="宋体" w:hAnsi="宋体" w:eastAsia="宋体" w:cs="宋体"/>
          <w:color w:val="auto"/>
          <w:sz w:val="21"/>
          <w:szCs w:val="21"/>
          <w:highlight w:val="none"/>
          <w:u w:val="dotted"/>
        </w:rPr>
      </w:pPr>
    </w:p>
    <w:p w14:paraId="20BDF86B">
      <w:pPr>
        <w:pageBreakBefore w:val="0"/>
        <w:shd w:val="clear"/>
        <w:kinsoku/>
        <w:overflowPunct/>
        <w:topLinePunct w:val="0"/>
        <w:bidi w:val="0"/>
        <w:spacing w:line="360" w:lineRule="auto"/>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dotted"/>
        </w:rPr>
        <w:t>采购人/代理机构</w:t>
      </w:r>
      <w:r>
        <w:rPr>
          <w:rFonts w:hint="eastAsia" w:ascii="宋体" w:hAnsi="宋体" w:eastAsia="宋体" w:cs="宋体"/>
          <w:color w:val="auto"/>
          <w:sz w:val="21"/>
          <w:szCs w:val="21"/>
          <w:highlight w:val="none"/>
        </w:rPr>
        <w:t>于年月日,就质疑事项作出了答复/没有在法定期限内作出答复。</w:t>
      </w:r>
    </w:p>
    <w:p w14:paraId="66249AFC">
      <w:pPr>
        <w:pageBreakBefore w:val="0"/>
        <w:shd w:val="clear"/>
        <w:kinsoku/>
        <w:overflowPunct/>
        <w:topLinePunct w:val="0"/>
        <w:bidi w:val="0"/>
        <w:spacing w:line="360" w:lineRule="auto"/>
        <w:outlineLvl w:val="1"/>
        <w:rPr>
          <w:rFonts w:hint="eastAsia" w:ascii="宋体" w:hAnsi="宋体" w:eastAsia="宋体" w:cs="宋体"/>
          <w:color w:val="auto"/>
          <w:sz w:val="21"/>
          <w:szCs w:val="21"/>
          <w:highlight w:val="none"/>
        </w:rPr>
      </w:pPr>
      <w:bookmarkStart w:id="248" w:name="_Toc1576"/>
      <w:bookmarkStart w:id="249" w:name="_Toc24810"/>
      <w:bookmarkStart w:id="250" w:name="_Toc12764"/>
      <w:bookmarkStart w:id="251" w:name="_Toc8026"/>
      <w:bookmarkStart w:id="252" w:name="_Toc8454"/>
      <w:bookmarkStart w:id="253" w:name="_Toc12845"/>
      <w:bookmarkStart w:id="254" w:name="_Toc27354"/>
      <w:bookmarkStart w:id="255" w:name="_Toc5266"/>
      <w:r>
        <w:rPr>
          <w:rFonts w:hint="eastAsia" w:ascii="宋体" w:hAnsi="宋体" w:eastAsia="宋体" w:cs="宋体"/>
          <w:color w:val="auto"/>
          <w:sz w:val="21"/>
          <w:szCs w:val="21"/>
          <w:highlight w:val="none"/>
        </w:rPr>
        <w:t>四、投诉事项具体内容</w:t>
      </w:r>
      <w:bookmarkEnd w:id="248"/>
      <w:bookmarkEnd w:id="249"/>
      <w:bookmarkEnd w:id="250"/>
      <w:bookmarkEnd w:id="251"/>
      <w:bookmarkEnd w:id="252"/>
      <w:bookmarkEnd w:id="253"/>
      <w:bookmarkEnd w:id="254"/>
      <w:bookmarkEnd w:id="255"/>
    </w:p>
    <w:p w14:paraId="42D2DD76">
      <w:pPr>
        <w:pageBreakBefore w:val="0"/>
        <w:shd w:val="clear"/>
        <w:kinsoku/>
        <w:overflowPunct/>
        <w:topLinePunct w:val="0"/>
        <w:bidi w:val="0"/>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投诉事项 1：</w:t>
      </w:r>
    </w:p>
    <w:p w14:paraId="7FC59ABE">
      <w:pPr>
        <w:pageBreakBefore w:val="0"/>
        <w:shd w:val="clear"/>
        <w:kinsoku/>
        <w:overflowPunct/>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事实依据：</w:t>
      </w:r>
    </w:p>
    <w:p w14:paraId="01316282">
      <w:pPr>
        <w:pageBreakBefore w:val="0"/>
        <w:shd w:val="clear"/>
        <w:kinsoku/>
        <w:overflowPunct/>
        <w:topLinePunct w:val="0"/>
        <w:bidi w:val="0"/>
        <w:spacing w:line="360" w:lineRule="auto"/>
        <w:rPr>
          <w:rFonts w:hint="eastAsia" w:ascii="宋体" w:hAnsi="宋体" w:eastAsia="宋体" w:cs="宋体"/>
          <w:color w:val="auto"/>
          <w:sz w:val="21"/>
          <w:szCs w:val="21"/>
          <w:highlight w:val="none"/>
          <w:u w:val="dotted"/>
        </w:rPr>
      </w:pPr>
    </w:p>
    <w:p w14:paraId="0DB928DB">
      <w:pPr>
        <w:pageBreakBefore w:val="0"/>
        <w:shd w:val="clear"/>
        <w:kinsoku/>
        <w:overflowPunct/>
        <w:topLinePunct w:val="0"/>
        <w:bidi w:val="0"/>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法律依据：</w:t>
      </w:r>
    </w:p>
    <w:p w14:paraId="6AD939E0">
      <w:pPr>
        <w:pageBreakBefore w:val="0"/>
        <w:shd w:val="clear"/>
        <w:kinsoku/>
        <w:overflowPunct/>
        <w:topLinePunct w:val="0"/>
        <w:bidi w:val="0"/>
        <w:spacing w:line="360" w:lineRule="auto"/>
        <w:rPr>
          <w:rFonts w:hint="eastAsia" w:ascii="宋体" w:hAnsi="宋体" w:eastAsia="宋体" w:cs="宋体"/>
          <w:color w:val="auto"/>
          <w:sz w:val="21"/>
          <w:szCs w:val="21"/>
          <w:highlight w:val="none"/>
          <w:u w:val="dotted"/>
        </w:rPr>
      </w:pPr>
    </w:p>
    <w:p w14:paraId="1D4DC87C">
      <w:pPr>
        <w:pageBreakBefore w:val="0"/>
        <w:shd w:val="clear"/>
        <w:kinsoku/>
        <w:overflowPunct/>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投诉事项2</w:t>
      </w:r>
    </w:p>
    <w:p w14:paraId="55B5C3E5">
      <w:pPr>
        <w:pageBreakBefore w:val="0"/>
        <w:shd w:val="clear"/>
        <w:kinsoku/>
        <w:overflowPunct/>
        <w:topLinePunct w:val="0"/>
        <w:bidi w:val="0"/>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w:t>
      </w:r>
    </w:p>
    <w:p w14:paraId="453778D3">
      <w:pPr>
        <w:pageBreakBefore w:val="0"/>
        <w:shd w:val="clear"/>
        <w:kinsoku/>
        <w:overflowPunct/>
        <w:topLinePunct w:val="0"/>
        <w:bidi w:val="0"/>
        <w:spacing w:line="360" w:lineRule="auto"/>
        <w:outlineLvl w:val="1"/>
        <w:rPr>
          <w:rFonts w:hint="eastAsia" w:ascii="宋体" w:hAnsi="宋体" w:eastAsia="宋体" w:cs="宋体"/>
          <w:color w:val="auto"/>
          <w:sz w:val="21"/>
          <w:szCs w:val="21"/>
          <w:highlight w:val="none"/>
        </w:rPr>
      </w:pPr>
      <w:bookmarkStart w:id="256" w:name="_Toc28451"/>
      <w:bookmarkStart w:id="257" w:name="_Toc28702"/>
      <w:bookmarkStart w:id="258" w:name="_Toc29989"/>
      <w:bookmarkStart w:id="259" w:name="_Toc11930"/>
      <w:bookmarkStart w:id="260" w:name="_Toc13455"/>
      <w:bookmarkStart w:id="261" w:name="_Toc28605"/>
      <w:bookmarkStart w:id="262" w:name="_Toc23419"/>
      <w:bookmarkStart w:id="263" w:name="_Toc23340"/>
      <w:r>
        <w:rPr>
          <w:rFonts w:hint="eastAsia" w:ascii="宋体" w:hAnsi="宋体" w:eastAsia="宋体" w:cs="宋体"/>
          <w:color w:val="auto"/>
          <w:sz w:val="21"/>
          <w:szCs w:val="21"/>
          <w:highlight w:val="none"/>
        </w:rPr>
        <w:t>五、与投诉事项相关的投诉请求</w:t>
      </w:r>
      <w:bookmarkEnd w:id="256"/>
      <w:bookmarkEnd w:id="257"/>
      <w:bookmarkEnd w:id="258"/>
      <w:bookmarkEnd w:id="259"/>
      <w:bookmarkEnd w:id="260"/>
      <w:bookmarkEnd w:id="261"/>
      <w:bookmarkEnd w:id="262"/>
      <w:bookmarkEnd w:id="263"/>
    </w:p>
    <w:p w14:paraId="6E577AD4">
      <w:pPr>
        <w:pageBreakBefore w:val="0"/>
        <w:shd w:val="clear"/>
        <w:kinsoku/>
        <w:overflowPunct/>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请求：</w:t>
      </w:r>
    </w:p>
    <w:p w14:paraId="2ADE3F53">
      <w:pPr>
        <w:pageBreakBefore w:val="0"/>
        <w:shd w:val="clear"/>
        <w:kinsoku/>
        <w:overflowPunct/>
        <w:topLinePunct w:val="0"/>
        <w:bidi w:val="0"/>
        <w:spacing w:line="360" w:lineRule="auto"/>
        <w:rPr>
          <w:rFonts w:hint="eastAsia" w:ascii="宋体" w:hAnsi="宋体" w:eastAsia="宋体" w:cs="宋体"/>
          <w:color w:val="auto"/>
          <w:sz w:val="21"/>
          <w:szCs w:val="21"/>
          <w:highlight w:val="none"/>
          <w:u w:val="single"/>
        </w:rPr>
      </w:pPr>
    </w:p>
    <w:p w14:paraId="08A44710">
      <w:pPr>
        <w:pageBreakBefore w:val="0"/>
        <w:shd w:val="clear"/>
        <w:kinsoku/>
        <w:overflowPunct/>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签字(签章)：                   公章：                      </w:t>
      </w:r>
    </w:p>
    <w:p w14:paraId="26D4AB89">
      <w:pPr>
        <w:pageBreakBefore w:val="0"/>
        <w:shd w:val="clear"/>
        <w:kinsoku/>
        <w:overflowPunct/>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2E2D8AF8">
      <w:pPr>
        <w:pageBreakBefore w:val="0"/>
        <w:shd w:val="clear"/>
        <w:kinsoku/>
        <w:overflowPunct/>
        <w:topLinePunct w:val="0"/>
        <w:bidi w:val="0"/>
        <w:spacing w:line="360" w:lineRule="auto"/>
        <w:rPr>
          <w:rFonts w:hint="eastAsia" w:ascii="宋体" w:hAnsi="宋体" w:eastAsia="宋体" w:cs="宋体"/>
          <w:b/>
          <w:color w:val="auto"/>
          <w:highlight w:val="none"/>
        </w:rPr>
      </w:pPr>
    </w:p>
    <w:p w14:paraId="1669D608">
      <w:pPr>
        <w:pageBreakBefore w:val="0"/>
        <w:shd w:val="clear"/>
        <w:kinsoku/>
        <w:overflowPunct/>
        <w:topLinePunct w:val="0"/>
        <w:bidi w:val="0"/>
        <w:spacing w:line="360" w:lineRule="auto"/>
        <w:rPr>
          <w:rFonts w:hint="eastAsia" w:ascii="宋体" w:hAnsi="宋体" w:eastAsia="宋体" w:cs="宋体"/>
          <w:b/>
          <w:color w:val="auto"/>
          <w:highlight w:val="none"/>
        </w:rPr>
      </w:pPr>
    </w:p>
    <w:p w14:paraId="07EE3D32">
      <w:pPr>
        <w:pageBreakBefore w:val="0"/>
        <w:shd w:val="clear"/>
        <w:kinsoku/>
        <w:overflowPunct/>
        <w:topLinePunct w:val="0"/>
        <w:bidi w:val="0"/>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投诉书制作说明：</w:t>
      </w:r>
    </w:p>
    <w:p w14:paraId="4DF73A86">
      <w:pPr>
        <w:pageBreakBefore w:val="0"/>
        <w:widowControl/>
        <w:shd w:val="clear"/>
        <w:kinsoku/>
        <w:overflowPunct/>
        <w:topLinePunct w:val="0"/>
        <w:bidi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1.投诉人提起投诉时，应当提交投诉书和必要的证明材料，并按照被投诉人和与投诉事项有关的</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数量提供投诉书副本。</w:t>
      </w:r>
    </w:p>
    <w:p w14:paraId="59BC3581">
      <w:pPr>
        <w:pageBreakBefore w:val="0"/>
        <w:widowControl/>
        <w:shd w:val="clear"/>
        <w:kinsoku/>
        <w:overflowPunct/>
        <w:topLinePunct w:val="0"/>
        <w:bidi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2.投诉人若委托代理人进行投诉的，投诉书应按照要求列明“授权代表”的有关内容，并在附件中提交由</w:t>
      </w:r>
      <w:r>
        <w:rPr>
          <w:rFonts w:hint="eastAsia" w:ascii="宋体" w:hAnsi="宋体" w:eastAsia="宋体" w:cs="宋体"/>
          <w:color w:val="auto"/>
          <w:kern w:val="0"/>
          <w:sz w:val="21"/>
          <w:szCs w:val="21"/>
          <w:highlight w:val="none"/>
        </w:rPr>
        <w:t>投诉人签署的授权委托书。授权委托书应当载明代理人的姓名或者名称、代理事项、具体权限、期限和相关事项。</w:t>
      </w:r>
    </w:p>
    <w:p w14:paraId="026B75AE">
      <w:pPr>
        <w:pageBreakBefore w:val="0"/>
        <w:widowControl/>
        <w:shd w:val="clear"/>
        <w:kinsoku/>
        <w:overflowPunct/>
        <w:topLinePunct w:val="0"/>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3.投诉人若对项目的某一分包进行投诉，投诉书应列明具体分包号。</w:t>
      </w:r>
    </w:p>
    <w:p w14:paraId="0A1000C6">
      <w:pPr>
        <w:pageBreakBefore w:val="0"/>
        <w:widowControl/>
        <w:shd w:val="clear"/>
        <w:kinsoku/>
        <w:overflowPunct/>
        <w:topLinePunct w:val="0"/>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4.投诉书应简要列明质疑事项，质疑函、质疑答复等作为附件材料提供。</w:t>
      </w:r>
    </w:p>
    <w:p w14:paraId="3F1B4630">
      <w:pPr>
        <w:pageBreakBefore w:val="0"/>
        <w:widowControl/>
        <w:shd w:val="clear"/>
        <w:kinsoku/>
        <w:overflowPunct/>
        <w:topLinePunct w:val="0"/>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5.投诉书的投诉事项应具体、明确，并有必要的事实依据和法律依据。</w:t>
      </w:r>
    </w:p>
    <w:p w14:paraId="73ED4612">
      <w:pPr>
        <w:pageBreakBefore w:val="0"/>
        <w:widowControl/>
        <w:shd w:val="clear"/>
        <w:kinsoku/>
        <w:overflowPunct/>
        <w:topLinePunct w:val="0"/>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6.投诉书的投诉请求应与投诉事项相关。</w:t>
      </w:r>
    </w:p>
    <w:p w14:paraId="4D1948CA">
      <w:pPr>
        <w:pageBreakBefore w:val="0"/>
        <w:widowControl/>
        <w:shd w:val="clear"/>
        <w:kinsoku/>
        <w:overflowPunct/>
        <w:topLinePunct w:val="0"/>
        <w:bidi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7.投诉人为自然人的，投诉书应当由本人签字；投诉人为法人或者其他组织的，投诉书应当由法定代表人、主要负责人，或者其授权代表签字或者盖章，并加盖公章。</w:t>
      </w:r>
    </w:p>
    <w:p w14:paraId="4C2DF6A2">
      <w:pPr>
        <w:pageBreakBefore w:val="0"/>
        <w:shd w:val="clear"/>
        <w:kinsoku/>
        <w:overflowPunct/>
        <w:topLinePunct w:val="0"/>
        <w:bidi w:val="0"/>
        <w:spacing w:line="360" w:lineRule="auto"/>
        <w:rPr>
          <w:rFonts w:hint="eastAsia" w:ascii="宋体" w:hAnsi="宋体" w:eastAsia="宋体" w:cs="宋体"/>
          <w:b/>
          <w:color w:val="auto"/>
          <w:highlight w:val="none"/>
        </w:rPr>
      </w:pPr>
    </w:p>
    <w:p w14:paraId="5B5AEDDA">
      <w:pPr>
        <w:pageBreakBefore w:val="0"/>
        <w:shd w:val="clear"/>
        <w:kinsoku/>
        <w:overflowPunct/>
        <w:topLinePunct w:val="0"/>
        <w:autoSpaceDE w:val="0"/>
        <w:autoSpaceDN w:val="0"/>
        <w:bidi w:val="0"/>
        <w:spacing w:line="360" w:lineRule="auto"/>
        <w:jc w:val="center"/>
        <w:rPr>
          <w:rFonts w:hint="eastAsia" w:ascii="宋体" w:hAnsi="宋体" w:eastAsia="宋体" w:cs="宋体"/>
          <w:b/>
          <w:color w:val="auto"/>
          <w:spacing w:val="6"/>
          <w:sz w:val="32"/>
          <w:szCs w:val="32"/>
          <w:highlight w:val="none"/>
        </w:rPr>
      </w:pPr>
    </w:p>
    <w:p w14:paraId="0300327C">
      <w:pPr>
        <w:pageBreakBefore w:val="0"/>
        <w:shd w:val="clear"/>
        <w:kinsoku/>
        <w:overflowPunct/>
        <w:topLinePunct w:val="0"/>
        <w:autoSpaceDE w:val="0"/>
        <w:autoSpaceDN w:val="0"/>
        <w:bidi w:val="0"/>
        <w:spacing w:line="360" w:lineRule="auto"/>
        <w:jc w:val="center"/>
        <w:rPr>
          <w:rFonts w:hint="eastAsia" w:ascii="宋体" w:hAnsi="宋体" w:eastAsia="宋体" w:cs="宋体"/>
          <w:b/>
          <w:color w:val="auto"/>
          <w:spacing w:val="6"/>
          <w:sz w:val="32"/>
          <w:szCs w:val="32"/>
          <w:highlight w:val="none"/>
        </w:rPr>
      </w:pPr>
    </w:p>
    <w:p w14:paraId="5F1E7FFB">
      <w:pPr>
        <w:pageBreakBefore w:val="0"/>
        <w:shd w:val="clear"/>
        <w:kinsoku/>
        <w:overflowPunct/>
        <w:topLinePunct w:val="0"/>
        <w:bidi w:val="0"/>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0E71E26C">
      <w:pPr>
        <w:pStyle w:val="5"/>
        <w:pageBreakBefore w:val="0"/>
        <w:shd w:val="clear"/>
        <w:kinsoku/>
        <w:overflowPunct/>
        <w:topLinePunct w:val="0"/>
        <w:bidi w:val="0"/>
        <w:spacing w:line="360" w:lineRule="auto"/>
        <w:jc w:val="center"/>
        <w:rPr>
          <w:rFonts w:hint="eastAsia" w:ascii="宋体" w:hAnsi="宋体" w:eastAsia="宋体" w:cs="宋体"/>
          <w:color w:val="auto"/>
          <w:highlight w:val="none"/>
        </w:rPr>
      </w:pPr>
      <w:bookmarkStart w:id="264" w:name="_Toc2032"/>
      <w:bookmarkStart w:id="265" w:name="_Toc3509"/>
      <w:bookmarkStart w:id="266" w:name="_Toc4195"/>
      <w:bookmarkStart w:id="267" w:name="_Toc23188"/>
      <w:bookmarkStart w:id="268" w:name="_Toc22617"/>
      <w:bookmarkStart w:id="269" w:name="_Toc22043"/>
      <w:bookmarkStart w:id="270" w:name="_Toc30555"/>
      <w:bookmarkStart w:id="271" w:name="_Toc19346"/>
      <w:r>
        <w:rPr>
          <w:rFonts w:hint="eastAsia" w:ascii="宋体" w:hAnsi="宋体" w:eastAsia="宋体" w:cs="宋体"/>
          <w:color w:val="auto"/>
          <w:highlight w:val="none"/>
        </w:rPr>
        <w:t>附件4：业务专用章使用说明函</w:t>
      </w:r>
      <w:bookmarkEnd w:id="264"/>
      <w:bookmarkEnd w:id="265"/>
      <w:bookmarkEnd w:id="266"/>
      <w:bookmarkEnd w:id="267"/>
      <w:bookmarkEnd w:id="268"/>
      <w:bookmarkEnd w:id="269"/>
      <w:bookmarkEnd w:id="270"/>
      <w:bookmarkEnd w:id="271"/>
    </w:p>
    <w:p w14:paraId="462CB026">
      <w:pPr>
        <w:pageBreakBefore w:val="0"/>
        <w:shd w:val="clear"/>
        <w:kinsoku/>
        <w:overflowPunct/>
        <w:topLinePunct w:val="0"/>
        <w:bidi w:val="0"/>
        <w:spacing w:line="360" w:lineRule="auto"/>
        <w:rPr>
          <w:rFonts w:hint="eastAsia" w:ascii="宋体" w:hAnsi="宋体" w:eastAsia="宋体" w:cs="宋体"/>
          <w:color w:val="auto"/>
          <w:highlight w:val="none"/>
          <w:u w:val="single"/>
        </w:rPr>
      </w:pPr>
    </w:p>
    <w:p w14:paraId="2BAF130C">
      <w:pPr>
        <w:pageBreakBefore w:val="0"/>
        <w:shd w:val="clear"/>
        <w:kinsoku/>
        <w:overflowPunct/>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lang w:eastAsia="zh-CN"/>
        </w:rPr>
        <w:t>浙江理工大学</w:t>
      </w:r>
      <w:r>
        <w:rPr>
          <w:rFonts w:hint="eastAsia" w:ascii="宋体" w:hAnsi="宋体" w:eastAsia="宋体" w:cs="宋体"/>
          <w:color w:val="auto"/>
          <w:sz w:val="21"/>
          <w:szCs w:val="21"/>
          <w:highlight w:val="none"/>
          <w:u w:val="single"/>
        </w:rPr>
        <w:t>、浙江国际招投标有限公司</w:t>
      </w:r>
      <w:r>
        <w:rPr>
          <w:rFonts w:hint="eastAsia" w:ascii="宋体" w:hAnsi="宋体" w:eastAsia="宋体" w:cs="宋体"/>
          <w:color w:val="auto"/>
          <w:sz w:val="21"/>
          <w:szCs w:val="21"/>
          <w:highlight w:val="none"/>
        </w:rPr>
        <w:t>：</w:t>
      </w:r>
    </w:p>
    <w:p w14:paraId="324946C8">
      <w:pPr>
        <w:pageBreakBefore w:val="0"/>
        <w:shd w:val="clear"/>
        <w:kinsoku/>
        <w:overflowPunct/>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我方</w:t>
      </w:r>
      <w:r>
        <w:rPr>
          <w:rFonts w:hint="eastAsia" w:ascii="宋体" w:hAnsi="宋体" w:eastAsia="宋体" w:cs="宋体"/>
          <w:color w:val="auto"/>
          <w:sz w:val="21"/>
          <w:szCs w:val="21"/>
          <w:highlight w:val="none"/>
        </w:rPr>
        <w:t>(投标人全称)是中华人民共和国依法登记注册的合法企业，</w:t>
      </w:r>
      <w:r>
        <w:rPr>
          <w:rFonts w:hint="eastAsia" w:ascii="宋体" w:hAnsi="宋体" w:eastAsia="宋体" w:cs="宋体"/>
          <w:bCs/>
          <w:color w:val="auto"/>
          <w:sz w:val="21"/>
          <w:szCs w:val="21"/>
          <w:highlight w:val="none"/>
        </w:rPr>
        <w:t>在参加</w:t>
      </w:r>
      <w:r>
        <w:rPr>
          <w:rFonts w:hint="eastAsia" w:ascii="宋体" w:hAnsi="宋体" w:eastAsia="宋体" w:cs="宋体"/>
          <w:color w:val="auto"/>
          <w:sz w:val="21"/>
          <w:szCs w:val="21"/>
          <w:highlight w:val="none"/>
        </w:rPr>
        <w:t>你方组织的（项目名称）项目【</w:t>
      </w: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sz w:val="21"/>
          <w:szCs w:val="21"/>
          <w:highlight w:val="none"/>
        </w:rPr>
        <w:t>编号：</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val="zh-CN"/>
        </w:rPr>
        <w:t>【标项号：</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投标活动中作如下说明：</w:t>
      </w:r>
      <w:r>
        <w:rPr>
          <w:rFonts w:hint="eastAsia" w:ascii="宋体" w:hAnsi="宋体" w:eastAsia="宋体" w:cs="宋体"/>
          <w:color w:val="auto"/>
          <w:sz w:val="21"/>
          <w:szCs w:val="21"/>
          <w:highlight w:val="none"/>
        </w:rPr>
        <w:t>我方所使用的“XX专用章”与法定名称章具有同等的法律效力，对使用“XX专用章”的行为予以完全承认，并愿意承担相应责任。</w:t>
      </w:r>
    </w:p>
    <w:p w14:paraId="2967D445">
      <w:pPr>
        <w:pageBreakBefore w:val="0"/>
        <w:shd w:val="clear"/>
        <w:kinsoku/>
        <w:overflowPunct/>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特此说明。</w:t>
      </w:r>
    </w:p>
    <w:p w14:paraId="1B894E25">
      <w:pPr>
        <w:pageBreakBefore w:val="0"/>
        <w:shd w:val="clear"/>
        <w:kinsoku/>
        <w:overflowPunct/>
        <w:topLinePunct w:val="0"/>
        <w:bidi w:val="0"/>
        <w:spacing w:line="360" w:lineRule="auto"/>
        <w:ind w:firstLine="494"/>
        <w:rPr>
          <w:rFonts w:hint="eastAsia" w:ascii="宋体" w:hAnsi="宋体" w:eastAsia="宋体" w:cs="宋体"/>
          <w:color w:val="auto"/>
          <w:sz w:val="21"/>
          <w:szCs w:val="21"/>
          <w:highlight w:val="none"/>
        </w:rPr>
      </w:pPr>
    </w:p>
    <w:p w14:paraId="368DF759">
      <w:pPr>
        <w:pageBreakBefore w:val="0"/>
        <w:shd w:val="clear"/>
        <w:kinsoku/>
        <w:overflowPunct/>
        <w:topLinePunct w:val="0"/>
        <w:bidi w:val="0"/>
        <w:spacing w:line="360" w:lineRule="auto"/>
        <w:ind w:firstLine="494"/>
        <w:rPr>
          <w:rFonts w:hint="eastAsia" w:ascii="宋体" w:hAnsi="宋体" w:eastAsia="宋体" w:cs="宋体"/>
          <w:color w:val="auto"/>
          <w:sz w:val="21"/>
          <w:szCs w:val="21"/>
          <w:highlight w:val="none"/>
        </w:rPr>
      </w:pPr>
    </w:p>
    <w:p w14:paraId="38B6D320">
      <w:pPr>
        <w:pageBreakBefore w:val="0"/>
        <w:shd w:val="clear"/>
        <w:kinsoku/>
        <w:overflowPunct/>
        <w:topLinePunct w:val="0"/>
        <w:bidi w:val="0"/>
        <w:spacing w:line="360" w:lineRule="auto"/>
        <w:ind w:firstLine="494"/>
        <w:rPr>
          <w:rFonts w:hint="eastAsia" w:ascii="宋体" w:hAnsi="宋体" w:eastAsia="宋体" w:cs="宋体"/>
          <w:color w:val="auto"/>
          <w:sz w:val="21"/>
          <w:szCs w:val="21"/>
          <w:highlight w:val="none"/>
        </w:rPr>
      </w:pPr>
    </w:p>
    <w:p w14:paraId="2ECC0FF2">
      <w:pPr>
        <w:pageBreakBefore w:val="0"/>
        <w:shd w:val="clear"/>
        <w:kinsoku/>
        <w:overflowPunct/>
        <w:topLinePunct w:val="0"/>
        <w:bidi w:val="0"/>
        <w:spacing w:line="360" w:lineRule="auto"/>
        <w:ind w:firstLine="494"/>
        <w:rPr>
          <w:rFonts w:hint="eastAsia" w:ascii="宋体" w:hAnsi="宋体" w:eastAsia="宋体" w:cs="宋体"/>
          <w:color w:val="auto"/>
          <w:sz w:val="21"/>
          <w:szCs w:val="21"/>
          <w:highlight w:val="none"/>
        </w:rPr>
      </w:pPr>
    </w:p>
    <w:p w14:paraId="6F7450D7">
      <w:pPr>
        <w:pageBreakBefore w:val="0"/>
        <w:shd w:val="clear"/>
        <w:kinsoku/>
        <w:overflowPunct/>
        <w:topLinePunct w:val="0"/>
        <w:bidi w:val="0"/>
        <w:spacing w:line="360" w:lineRule="auto"/>
        <w:ind w:right="480" w:firstLine="3570" w:firstLineChars="17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投标单位（法定名称章）：</w:t>
      </w:r>
    </w:p>
    <w:p w14:paraId="4A6EC1C8">
      <w:pPr>
        <w:pageBreakBefore w:val="0"/>
        <w:shd w:val="clear"/>
        <w:kinsoku/>
        <w:overflowPunct/>
        <w:topLinePunct w:val="0"/>
        <w:bidi w:val="0"/>
        <w:spacing w:line="360" w:lineRule="auto"/>
        <w:ind w:right="1440" w:firstLine="49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日期：  年月日</w:t>
      </w:r>
    </w:p>
    <w:p w14:paraId="3232CC8A">
      <w:pPr>
        <w:pageBreakBefore w:val="0"/>
        <w:shd w:val="clear"/>
        <w:kinsoku/>
        <w:overflowPunct/>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附：</w:t>
      </w:r>
    </w:p>
    <w:p w14:paraId="1C1960FD">
      <w:pPr>
        <w:pageBreakBefore w:val="0"/>
        <w:shd w:val="clear"/>
        <w:kinsoku/>
        <w:overflowPunct/>
        <w:topLinePunct w:val="0"/>
        <w:bidi w:val="0"/>
        <w:spacing w:line="360" w:lineRule="auto"/>
        <w:rPr>
          <w:rFonts w:hint="eastAsia" w:ascii="宋体" w:hAnsi="宋体" w:eastAsia="宋体" w:cs="宋体"/>
          <w:bCs/>
          <w:color w:val="auto"/>
          <w:sz w:val="21"/>
          <w:szCs w:val="21"/>
          <w:highlight w:val="none"/>
        </w:rPr>
      </w:pPr>
      <w:r>
        <w:rPr>
          <w:rFonts w:hint="eastAsia" w:ascii="宋体" w:hAnsi="宋体" w:eastAsia="宋体" w:cs="宋体"/>
          <w:b/>
          <w:bCs/>
          <w:color w:val="auto"/>
          <w:sz w:val="21"/>
          <w:szCs w:val="21"/>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9"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9ZAPP9gAAAAKAQAADwAAAAAAAAABACAAAAAiAAAAZHJzL2Rvd25yZXYueG1sUEsB&#10;AhQAFAAAAAgAh07iQNdX1okuAgAAggQAAA4AAAAAAAAAAQAgAAAAJwEAAGRycy9lMm9Eb2MueG1s&#10;UEsFBgAAAAAGAAYAWQEAAMcFA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1"/>
          <w:szCs w:val="21"/>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10"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z5VN6S8CAACD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DPlU3pLwIAAIM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eastAsia="宋体" w:cs="宋体"/>
          <w:color w:val="auto"/>
          <w:sz w:val="21"/>
          <w:szCs w:val="21"/>
          <w:highlight w:val="none"/>
        </w:rPr>
        <w:t>投标单位法定名称章（印模）投标单位“XX专用章”（印模）</w:t>
      </w:r>
    </w:p>
    <w:p w14:paraId="5D168240">
      <w:pPr>
        <w:pageBreakBefore w:val="0"/>
        <w:shd w:val="clear"/>
        <w:kinsoku/>
        <w:overflowPunct/>
        <w:topLinePunct w:val="0"/>
        <w:autoSpaceDE w:val="0"/>
        <w:autoSpaceDN w:val="0"/>
        <w:bidi w:val="0"/>
        <w:spacing w:line="360" w:lineRule="auto"/>
        <w:jc w:val="center"/>
        <w:rPr>
          <w:rFonts w:hint="eastAsia" w:ascii="宋体" w:hAnsi="宋体" w:eastAsia="宋体" w:cs="宋体"/>
          <w:b/>
          <w:color w:val="auto"/>
          <w:spacing w:val="6"/>
          <w:sz w:val="21"/>
          <w:szCs w:val="21"/>
          <w:highlight w:val="none"/>
        </w:rPr>
      </w:pPr>
    </w:p>
    <w:p w14:paraId="4FC68241">
      <w:pPr>
        <w:pageBreakBefore w:val="0"/>
        <w:shd w:val="clear"/>
        <w:kinsoku/>
        <w:overflowPunct/>
        <w:topLinePunct w:val="0"/>
        <w:autoSpaceDE w:val="0"/>
        <w:autoSpaceDN w:val="0"/>
        <w:bidi w:val="0"/>
        <w:spacing w:line="360" w:lineRule="auto"/>
        <w:jc w:val="center"/>
        <w:rPr>
          <w:rFonts w:hint="eastAsia" w:ascii="宋体" w:hAnsi="宋体" w:eastAsia="宋体" w:cs="宋体"/>
          <w:b/>
          <w:color w:val="auto"/>
          <w:spacing w:val="6"/>
          <w:sz w:val="32"/>
          <w:szCs w:val="32"/>
          <w:highlight w:val="none"/>
        </w:rPr>
      </w:pPr>
    </w:p>
    <w:p w14:paraId="4B5BE03A">
      <w:pPr>
        <w:pageBreakBefore w:val="0"/>
        <w:shd w:val="clear"/>
        <w:kinsoku/>
        <w:overflowPunct/>
        <w:topLinePunct w:val="0"/>
        <w:autoSpaceDE w:val="0"/>
        <w:autoSpaceDN w:val="0"/>
        <w:bidi w:val="0"/>
        <w:spacing w:line="360" w:lineRule="auto"/>
        <w:jc w:val="center"/>
        <w:rPr>
          <w:rFonts w:hint="eastAsia" w:ascii="宋体" w:hAnsi="宋体" w:eastAsia="宋体" w:cs="宋体"/>
          <w:b/>
          <w:color w:val="auto"/>
          <w:spacing w:val="6"/>
          <w:sz w:val="32"/>
          <w:szCs w:val="32"/>
          <w:highlight w:val="none"/>
        </w:rPr>
      </w:pPr>
    </w:p>
    <w:p w14:paraId="33B0FF97">
      <w:pPr>
        <w:pageBreakBefore w:val="0"/>
        <w:shd w:val="clear"/>
        <w:kinsoku/>
        <w:overflowPunct/>
        <w:topLinePunct w:val="0"/>
        <w:autoSpaceDE w:val="0"/>
        <w:autoSpaceDN w:val="0"/>
        <w:bidi w:val="0"/>
        <w:spacing w:line="360" w:lineRule="auto"/>
        <w:jc w:val="center"/>
        <w:rPr>
          <w:rFonts w:hint="eastAsia" w:ascii="宋体" w:hAnsi="宋体" w:eastAsia="宋体" w:cs="宋体"/>
          <w:b/>
          <w:color w:val="auto"/>
          <w:spacing w:val="6"/>
          <w:sz w:val="32"/>
          <w:szCs w:val="32"/>
          <w:highlight w:val="none"/>
        </w:rPr>
      </w:pPr>
    </w:p>
    <w:p w14:paraId="4670E103">
      <w:pPr>
        <w:pageBreakBefore w:val="0"/>
        <w:shd w:val="clear"/>
        <w:kinsoku/>
        <w:overflowPunct/>
        <w:topLinePunct w:val="0"/>
        <w:autoSpaceDE w:val="0"/>
        <w:autoSpaceDN w:val="0"/>
        <w:bidi w:val="0"/>
        <w:spacing w:line="360" w:lineRule="auto"/>
        <w:jc w:val="center"/>
        <w:rPr>
          <w:rFonts w:hint="eastAsia" w:ascii="宋体" w:hAnsi="宋体" w:eastAsia="宋体" w:cs="宋体"/>
          <w:b/>
          <w:color w:val="auto"/>
          <w:spacing w:val="6"/>
          <w:sz w:val="32"/>
          <w:szCs w:val="32"/>
          <w:highlight w:val="none"/>
        </w:rPr>
      </w:pPr>
    </w:p>
    <w:p w14:paraId="13D80BCC">
      <w:pPr>
        <w:pageBreakBefore w:val="0"/>
        <w:shd w:val="clear"/>
        <w:kinsoku/>
        <w:overflowPunct/>
        <w:topLinePunct w:val="0"/>
        <w:autoSpaceDE w:val="0"/>
        <w:autoSpaceDN w:val="0"/>
        <w:bidi w:val="0"/>
        <w:spacing w:line="360" w:lineRule="auto"/>
        <w:jc w:val="center"/>
        <w:rPr>
          <w:rFonts w:hint="eastAsia" w:ascii="宋体" w:hAnsi="宋体" w:eastAsia="宋体" w:cs="宋体"/>
          <w:b/>
          <w:color w:val="auto"/>
          <w:spacing w:val="6"/>
          <w:sz w:val="32"/>
          <w:szCs w:val="32"/>
          <w:highlight w:val="none"/>
        </w:rPr>
      </w:pPr>
    </w:p>
    <w:p w14:paraId="629C048E">
      <w:pPr>
        <w:pageBreakBefore w:val="0"/>
        <w:shd w:val="clear"/>
        <w:kinsoku/>
        <w:overflowPunct/>
        <w:topLinePunct w:val="0"/>
        <w:autoSpaceDE w:val="0"/>
        <w:autoSpaceDN w:val="0"/>
        <w:bidi w:val="0"/>
        <w:spacing w:line="360" w:lineRule="auto"/>
        <w:jc w:val="center"/>
        <w:rPr>
          <w:rFonts w:hint="eastAsia" w:ascii="宋体" w:hAnsi="宋体" w:eastAsia="宋体" w:cs="宋体"/>
          <w:b/>
          <w:color w:val="auto"/>
          <w:spacing w:val="6"/>
          <w:sz w:val="32"/>
          <w:szCs w:val="32"/>
          <w:highlight w:val="none"/>
        </w:rPr>
      </w:pPr>
    </w:p>
    <w:p w14:paraId="792B5038">
      <w:pPr>
        <w:pageBreakBefore w:val="0"/>
        <w:shd w:val="clear"/>
        <w:kinsoku/>
        <w:overflowPunct/>
        <w:topLinePunct w:val="0"/>
        <w:autoSpaceDE w:val="0"/>
        <w:autoSpaceDN w:val="0"/>
        <w:bidi w:val="0"/>
        <w:spacing w:line="360" w:lineRule="auto"/>
        <w:jc w:val="center"/>
        <w:rPr>
          <w:rFonts w:hint="eastAsia" w:ascii="宋体" w:hAnsi="宋体" w:eastAsia="宋体" w:cs="宋体"/>
          <w:b/>
          <w:color w:val="auto"/>
          <w:spacing w:val="6"/>
          <w:sz w:val="32"/>
          <w:szCs w:val="32"/>
          <w:highlight w:val="none"/>
        </w:rPr>
      </w:pPr>
    </w:p>
    <w:p w14:paraId="6BE9FB8D">
      <w:pPr>
        <w:pageBreakBefore w:val="0"/>
        <w:shd w:val="clear"/>
        <w:kinsoku/>
        <w:overflowPunct/>
        <w:topLinePunct w:val="0"/>
        <w:autoSpaceDE w:val="0"/>
        <w:autoSpaceDN w:val="0"/>
        <w:bidi w:val="0"/>
        <w:spacing w:line="360" w:lineRule="auto"/>
        <w:jc w:val="center"/>
        <w:rPr>
          <w:rFonts w:hint="eastAsia" w:ascii="宋体" w:hAnsi="宋体" w:eastAsia="宋体" w:cs="宋体"/>
          <w:b/>
          <w:color w:val="auto"/>
          <w:spacing w:val="6"/>
          <w:sz w:val="32"/>
          <w:szCs w:val="32"/>
          <w:highlight w:val="none"/>
        </w:rPr>
      </w:pPr>
    </w:p>
    <w:p w14:paraId="338511CB">
      <w:pPr>
        <w:pageBreakBefore w:val="0"/>
        <w:shd w:val="clear"/>
        <w:kinsoku/>
        <w:overflowPunct/>
        <w:topLinePunct w:val="0"/>
        <w:autoSpaceDE w:val="0"/>
        <w:autoSpaceDN w:val="0"/>
        <w:bidi w:val="0"/>
        <w:spacing w:line="360" w:lineRule="auto"/>
        <w:jc w:val="center"/>
        <w:rPr>
          <w:rFonts w:hint="eastAsia" w:ascii="宋体" w:hAnsi="宋体" w:eastAsia="宋体" w:cs="宋体"/>
          <w:b/>
          <w:color w:val="auto"/>
          <w:spacing w:val="6"/>
          <w:sz w:val="32"/>
          <w:szCs w:val="32"/>
          <w:highlight w:val="none"/>
        </w:rPr>
      </w:pPr>
    </w:p>
    <w:p w14:paraId="4FEA7109">
      <w:pPr>
        <w:pageBreakBefore w:val="0"/>
        <w:shd w:val="clear"/>
        <w:kinsoku/>
        <w:overflowPunct/>
        <w:topLinePunct w:val="0"/>
        <w:autoSpaceDE w:val="0"/>
        <w:autoSpaceDN w:val="0"/>
        <w:bidi w:val="0"/>
        <w:spacing w:line="360" w:lineRule="auto"/>
        <w:jc w:val="center"/>
        <w:rPr>
          <w:rFonts w:hint="eastAsia" w:ascii="宋体" w:hAnsi="宋体" w:eastAsia="宋体" w:cs="宋体"/>
          <w:b/>
          <w:color w:val="auto"/>
          <w:spacing w:val="6"/>
          <w:sz w:val="32"/>
          <w:szCs w:val="32"/>
          <w:highlight w:val="none"/>
        </w:rPr>
      </w:pPr>
    </w:p>
    <w:p w14:paraId="248DDBCF">
      <w:pPr>
        <w:pageBreakBefore w:val="0"/>
        <w:shd w:val="clear"/>
        <w:kinsoku/>
        <w:overflowPunct/>
        <w:topLinePunct w:val="0"/>
        <w:bidi w:val="0"/>
        <w:spacing w:line="360" w:lineRule="auto"/>
        <w:rPr>
          <w:rFonts w:hint="eastAsia" w:ascii="宋体" w:hAnsi="宋体" w:eastAsia="宋体" w:cs="宋体"/>
          <w:b/>
          <w:color w:val="auto"/>
          <w:spacing w:val="6"/>
          <w:sz w:val="32"/>
          <w:szCs w:val="32"/>
          <w:highlight w:val="none"/>
        </w:rPr>
      </w:pPr>
    </w:p>
    <w:p w14:paraId="60C91E7B">
      <w:pPr>
        <w:pageBreakBefore w:val="0"/>
        <w:shd w:val="clear"/>
        <w:kinsoku/>
        <w:overflowPunct/>
        <w:topLinePunct w:val="0"/>
        <w:bidi w:val="0"/>
        <w:spacing w:line="360" w:lineRule="auto"/>
        <w:jc w:val="center"/>
        <w:outlineLvl w:val="2"/>
        <w:rPr>
          <w:rFonts w:hint="eastAsia" w:ascii="宋体" w:hAnsi="宋体" w:eastAsia="宋体" w:cs="宋体"/>
          <w:b/>
          <w:color w:val="auto"/>
          <w:kern w:val="0"/>
          <w:sz w:val="32"/>
          <w:szCs w:val="32"/>
          <w:highlight w:val="none"/>
        </w:rPr>
      </w:pPr>
      <w:r>
        <w:rPr>
          <w:rFonts w:hint="eastAsia" w:ascii="宋体" w:hAnsi="宋体" w:eastAsia="宋体" w:cs="宋体"/>
          <w:b/>
          <w:color w:val="auto"/>
          <w:spacing w:val="6"/>
          <w:sz w:val="32"/>
          <w:szCs w:val="32"/>
          <w:highlight w:val="none"/>
        </w:rPr>
        <w:br w:type="page"/>
      </w:r>
      <w:bookmarkStart w:id="272" w:name="_Toc370"/>
      <w:bookmarkStart w:id="273" w:name="_Toc17780"/>
      <w:bookmarkStart w:id="274" w:name="_Toc22266"/>
      <w:r>
        <w:rPr>
          <w:rStyle w:val="140"/>
          <w:rFonts w:hint="eastAsia" w:ascii="宋体" w:hAnsi="宋体" w:eastAsia="宋体" w:cs="宋体"/>
          <w:color w:val="auto"/>
          <w:highlight w:val="none"/>
        </w:rPr>
        <w:t>附件5：联合协议</w:t>
      </w:r>
      <w:bookmarkEnd w:id="272"/>
      <w:bookmarkEnd w:id="273"/>
      <w:bookmarkEnd w:id="274"/>
    </w:p>
    <w:p w14:paraId="04486594">
      <w:pPr>
        <w:keepNext w:val="0"/>
        <w:keepLines w:val="0"/>
        <w:pageBreakBefore w:val="0"/>
        <w:widowControl/>
        <w:shd w:val="clear"/>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（以联合体形式投标的，提供联合协议；本项目不接受联合体投标或者投标人不以联合体形式投标的，则不需要提供）</w:t>
      </w:r>
    </w:p>
    <w:p w14:paraId="281843CB">
      <w:pPr>
        <w:keepNext w:val="0"/>
        <w:keepLines w:val="0"/>
        <w:pageBreakBefore w:val="0"/>
        <w:shd w:val="clear"/>
        <w:kinsoku/>
        <w:wordWrap/>
        <w:overflowPunct/>
        <w:topLinePunct w:val="0"/>
        <w:autoSpaceDE/>
        <w:autoSpaceDN/>
        <w:bidi w:val="0"/>
        <w:adjustRightInd/>
        <w:snapToGrid/>
        <w:spacing w:line="360" w:lineRule="auto"/>
        <w:ind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u w:val="single"/>
        </w:rPr>
        <w:t>（联合体所有成员名称）</w:t>
      </w:r>
      <w:r>
        <w:rPr>
          <w:rFonts w:hint="eastAsia" w:ascii="宋体" w:hAnsi="宋体" w:eastAsia="宋体" w:cs="宋体"/>
          <w:color w:val="auto"/>
          <w:kern w:val="0"/>
          <w:sz w:val="21"/>
          <w:szCs w:val="21"/>
          <w:highlight w:val="none"/>
        </w:rPr>
        <w:t>自愿</w:t>
      </w:r>
      <w:r>
        <w:rPr>
          <w:rFonts w:hint="eastAsia" w:ascii="宋体" w:hAnsi="宋体" w:eastAsia="宋体" w:cs="宋体"/>
          <w:color w:val="auto"/>
          <w:kern w:val="0"/>
          <w:sz w:val="21"/>
          <w:szCs w:val="21"/>
          <w:highlight w:val="none"/>
          <w:lang w:val="zh-CN"/>
        </w:rPr>
        <w:t>组成一个联合体，以一个投标人的身份</w:t>
      </w:r>
      <w:r>
        <w:rPr>
          <w:rFonts w:hint="eastAsia" w:ascii="宋体" w:hAnsi="宋体" w:eastAsia="宋体" w:cs="宋体"/>
          <w:color w:val="auto"/>
          <w:kern w:val="0"/>
          <w:sz w:val="21"/>
          <w:szCs w:val="21"/>
          <w:highlight w:val="none"/>
        </w:rPr>
        <w:t>参加</w:t>
      </w:r>
      <w:r>
        <w:rPr>
          <w:rFonts w:hint="eastAsia" w:ascii="宋体" w:hAnsi="宋体" w:eastAsia="宋体" w:cs="宋体"/>
          <w:color w:val="auto"/>
          <w:sz w:val="21"/>
          <w:szCs w:val="21"/>
          <w:highlight w:val="none"/>
        </w:rPr>
        <w:t>（项目名称）【招标编号：（采购编号）】</w:t>
      </w:r>
      <w:r>
        <w:rPr>
          <w:rFonts w:hint="eastAsia" w:ascii="宋体" w:hAnsi="宋体" w:eastAsia="宋体" w:cs="宋体"/>
          <w:color w:val="auto"/>
          <w:kern w:val="0"/>
          <w:sz w:val="21"/>
          <w:szCs w:val="21"/>
          <w:highlight w:val="none"/>
          <w:lang w:val="zh-CN"/>
        </w:rPr>
        <w:t>【标项号：</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val="zh-CN"/>
        </w:rPr>
        <w:t xml:space="preserve">投标。 </w:t>
      </w:r>
    </w:p>
    <w:p w14:paraId="5904DBB2">
      <w:pPr>
        <w:keepNext w:val="0"/>
        <w:keepLines w:val="0"/>
        <w:pageBreakBefore w:val="0"/>
        <w:shd w:val="clear"/>
        <w:kinsoku/>
        <w:wordWrap/>
        <w:overflowPunct/>
        <w:topLinePunct w:val="0"/>
        <w:autoSpaceDE/>
        <w:autoSpaceDN/>
        <w:bidi w:val="0"/>
        <w:adjustRightInd/>
        <w:snapToGrid/>
        <w:spacing w:line="360" w:lineRule="auto"/>
        <w:ind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一、各方一致决定，</w:t>
      </w:r>
      <w:r>
        <w:rPr>
          <w:rFonts w:hint="eastAsia" w:ascii="宋体" w:hAnsi="宋体" w:eastAsia="宋体" w:cs="宋体"/>
          <w:color w:val="auto"/>
          <w:kern w:val="0"/>
          <w:sz w:val="21"/>
          <w:szCs w:val="21"/>
          <w:highlight w:val="none"/>
          <w:u w:val="single"/>
        </w:rPr>
        <w:t>（某联合体成员名称）</w:t>
      </w:r>
      <w:r>
        <w:rPr>
          <w:rFonts w:hint="eastAsia" w:ascii="宋体" w:hAnsi="宋体" w:eastAsia="宋体" w:cs="宋体"/>
          <w:color w:val="auto"/>
          <w:kern w:val="0"/>
          <w:sz w:val="21"/>
          <w:szCs w:val="21"/>
          <w:highlight w:val="none"/>
        </w:rPr>
        <w:t>为联合体</w:t>
      </w:r>
      <w:r>
        <w:rPr>
          <w:rFonts w:hint="eastAsia" w:ascii="宋体" w:hAnsi="宋体" w:eastAsia="宋体" w:cs="宋体"/>
          <w:color w:val="auto"/>
          <w:kern w:val="0"/>
          <w:sz w:val="21"/>
          <w:szCs w:val="21"/>
          <w:highlight w:val="none"/>
          <w:lang w:val="zh-CN"/>
        </w:rPr>
        <w:t>牵头人</w:t>
      </w:r>
      <w:r>
        <w:rPr>
          <w:rFonts w:hint="eastAsia" w:ascii="宋体" w:hAnsi="宋体" w:eastAsia="宋体" w:cs="宋体"/>
          <w:color w:val="auto"/>
          <w:sz w:val="21"/>
          <w:szCs w:val="21"/>
          <w:highlight w:val="none"/>
        </w:rPr>
        <w:t>，代表所有联合体成员负责投标和合同实施阶段的主办、协调工作</w:t>
      </w:r>
      <w:r>
        <w:rPr>
          <w:rFonts w:hint="eastAsia" w:ascii="宋体" w:hAnsi="宋体" w:eastAsia="宋体" w:cs="宋体"/>
          <w:color w:val="auto"/>
          <w:kern w:val="0"/>
          <w:sz w:val="21"/>
          <w:szCs w:val="21"/>
          <w:highlight w:val="none"/>
          <w:lang w:val="zh-CN"/>
        </w:rPr>
        <w:t>。</w:t>
      </w:r>
    </w:p>
    <w:p w14:paraId="2638100F">
      <w:pPr>
        <w:keepNext w:val="0"/>
        <w:keepLines w:val="0"/>
        <w:pageBreakBefore w:val="0"/>
        <w:shd w:val="clear"/>
        <w:kinsoku/>
        <w:wordWrap/>
        <w:overflowPunct/>
        <w:topLinePunct w:val="0"/>
        <w:autoSpaceDE/>
        <w:autoSpaceDN/>
        <w:bidi w:val="0"/>
        <w:adjustRightInd/>
        <w:snapToGrid/>
        <w:spacing w:line="360" w:lineRule="auto"/>
        <w:ind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二、</w:t>
      </w:r>
      <w:r>
        <w:rPr>
          <w:rFonts w:hint="eastAsia" w:ascii="宋体" w:hAnsi="宋体" w:eastAsia="宋体" w:cs="宋体"/>
          <w:color w:val="auto"/>
          <w:sz w:val="21"/>
          <w:szCs w:val="21"/>
          <w:highlight w:val="none"/>
        </w:rPr>
        <w:t>所有联合体成员各方签署授权书，授权书载明的</w:t>
      </w:r>
      <w:r>
        <w:rPr>
          <w:rFonts w:hint="eastAsia" w:ascii="宋体" w:hAnsi="宋体" w:eastAsia="宋体" w:cs="宋体"/>
          <w:color w:val="auto"/>
          <w:kern w:val="0"/>
          <w:sz w:val="21"/>
          <w:szCs w:val="21"/>
          <w:highlight w:val="none"/>
          <w:lang w:val="zh-CN"/>
        </w:rPr>
        <w:t>授权代表根据招标文件规定及投标内容而对采购人、采购机构所作的任何合法承诺，包括书面澄清及相应等均对联合投标各方产生约束力。</w:t>
      </w:r>
    </w:p>
    <w:p w14:paraId="51713CB9">
      <w:pPr>
        <w:keepNext w:val="0"/>
        <w:keepLines w:val="0"/>
        <w:pageBreakBefore w:val="0"/>
        <w:shd w:val="clear"/>
        <w:kinsoku/>
        <w:wordWrap/>
        <w:overflowPunct/>
        <w:topLinePunct w:val="0"/>
        <w:autoSpaceDE/>
        <w:autoSpaceDN/>
        <w:bidi w:val="0"/>
        <w:adjustRightInd/>
        <w:snapToGrid/>
        <w:spacing w:line="360" w:lineRule="auto"/>
        <w:ind w:firstLine="576"/>
        <w:textAlignment w:val="auto"/>
        <w:outlineLvl w:val="1"/>
        <w:rPr>
          <w:rFonts w:hint="eastAsia" w:ascii="宋体" w:hAnsi="宋体" w:eastAsia="宋体" w:cs="宋体"/>
          <w:color w:val="auto"/>
          <w:kern w:val="0"/>
          <w:sz w:val="21"/>
          <w:szCs w:val="21"/>
          <w:highlight w:val="none"/>
          <w:lang w:val="zh-CN"/>
        </w:rPr>
      </w:pPr>
      <w:bookmarkStart w:id="275" w:name="_Toc4232"/>
      <w:bookmarkStart w:id="276" w:name="_Toc23879"/>
      <w:bookmarkStart w:id="277" w:name="_Toc9993"/>
      <w:bookmarkStart w:id="278" w:name="_Toc24547"/>
      <w:bookmarkStart w:id="279" w:name="_Toc30040"/>
      <w:bookmarkStart w:id="280" w:name="_Toc4768"/>
      <w:bookmarkStart w:id="281" w:name="_Toc14562"/>
      <w:bookmarkStart w:id="282" w:name="_Toc26124"/>
      <w:r>
        <w:rPr>
          <w:rFonts w:hint="eastAsia" w:ascii="宋体" w:hAnsi="宋体" w:eastAsia="宋体" w:cs="宋体"/>
          <w:color w:val="auto"/>
          <w:kern w:val="0"/>
          <w:sz w:val="21"/>
          <w:szCs w:val="21"/>
          <w:highlight w:val="none"/>
          <w:lang w:val="zh-CN"/>
        </w:rPr>
        <w:t>三、本次联合投标中，分工如下：</w:t>
      </w:r>
      <w:bookmarkEnd w:id="275"/>
      <w:bookmarkEnd w:id="276"/>
      <w:bookmarkEnd w:id="277"/>
      <w:bookmarkEnd w:id="278"/>
      <w:bookmarkEnd w:id="279"/>
      <w:bookmarkEnd w:id="280"/>
      <w:bookmarkEnd w:id="281"/>
      <w:bookmarkEnd w:id="282"/>
    </w:p>
    <w:p w14:paraId="01BF302F">
      <w:pPr>
        <w:keepNext w:val="0"/>
        <w:keepLines w:val="0"/>
        <w:pageBreakBefore w:val="0"/>
        <w:shd w:val="clear"/>
        <w:kinsoku/>
        <w:wordWrap/>
        <w:overflowPunct/>
        <w:topLinePunct w:val="0"/>
        <w:autoSpaceDE/>
        <w:autoSpaceDN/>
        <w:bidi w:val="0"/>
        <w:adjustRightInd/>
        <w:snapToGrid/>
        <w:spacing w:line="360" w:lineRule="auto"/>
        <w:ind w:firstLine="576"/>
        <w:textAlignment w:val="auto"/>
        <w:rPr>
          <w:rFonts w:hint="eastAsia" w:ascii="宋体" w:hAnsi="宋体" w:eastAsia="宋体" w:cs="宋体"/>
          <w:color w:val="auto"/>
          <w:kern w:val="0"/>
          <w:sz w:val="21"/>
          <w:szCs w:val="21"/>
          <w:highlight w:val="none"/>
          <w:lang w:val="zh-CN"/>
        </w:rPr>
      </w:pPr>
      <w:bookmarkStart w:id="283" w:name="_Hlk101134295"/>
      <w:r>
        <w:rPr>
          <w:rFonts w:hint="eastAsia" w:ascii="宋体" w:hAnsi="宋体" w:eastAsia="宋体" w:cs="宋体"/>
          <w:color w:val="auto"/>
          <w:kern w:val="0"/>
          <w:sz w:val="21"/>
          <w:szCs w:val="21"/>
          <w:highlight w:val="none"/>
          <w:u w:val="single"/>
        </w:rPr>
        <w:t>（联合体成员1）</w:t>
      </w:r>
      <w:r>
        <w:rPr>
          <w:rFonts w:hint="eastAsia" w:ascii="宋体" w:hAnsi="宋体" w:eastAsia="宋体" w:cs="宋体"/>
          <w:color w:val="auto"/>
          <w:kern w:val="0"/>
          <w:sz w:val="21"/>
          <w:szCs w:val="21"/>
          <w:highlight w:val="none"/>
          <w:lang w:val="zh-CN"/>
        </w:rPr>
        <w:t>承担的工作和义务为：；</w:t>
      </w:r>
    </w:p>
    <w:p w14:paraId="65D4D925">
      <w:pPr>
        <w:keepNext w:val="0"/>
        <w:keepLines w:val="0"/>
        <w:pageBreakBefore w:val="0"/>
        <w:shd w:val="clear"/>
        <w:kinsoku/>
        <w:wordWrap/>
        <w:overflowPunct/>
        <w:topLinePunct w:val="0"/>
        <w:autoSpaceDE/>
        <w:autoSpaceDN/>
        <w:bidi w:val="0"/>
        <w:adjustRightInd/>
        <w:snapToGrid/>
        <w:spacing w:line="360" w:lineRule="auto"/>
        <w:ind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u w:val="single"/>
        </w:rPr>
        <w:t>（联合体成员2）</w:t>
      </w:r>
      <w:r>
        <w:rPr>
          <w:rFonts w:hint="eastAsia" w:ascii="宋体" w:hAnsi="宋体" w:eastAsia="宋体" w:cs="宋体"/>
          <w:color w:val="auto"/>
          <w:kern w:val="0"/>
          <w:sz w:val="21"/>
          <w:szCs w:val="21"/>
          <w:highlight w:val="none"/>
          <w:lang w:val="zh-CN"/>
        </w:rPr>
        <w:t>承担的工作和义务为：；</w:t>
      </w:r>
    </w:p>
    <w:p w14:paraId="526B0D28">
      <w:pPr>
        <w:keepNext w:val="0"/>
        <w:keepLines w:val="0"/>
        <w:pageBreakBefore w:val="0"/>
        <w:shd w:val="clear"/>
        <w:kinsoku/>
        <w:wordWrap/>
        <w:overflowPunct/>
        <w:topLinePunct w:val="0"/>
        <w:autoSpaceDE/>
        <w:autoSpaceDN/>
        <w:bidi w:val="0"/>
        <w:adjustRightInd/>
        <w:snapToGrid/>
        <w:spacing w:line="360" w:lineRule="auto"/>
        <w:ind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w:t>
      </w:r>
    </w:p>
    <w:bookmarkEnd w:id="283"/>
    <w:p w14:paraId="1A2218A5">
      <w:pPr>
        <w:keepNext w:val="0"/>
        <w:keepLines w:val="0"/>
        <w:pageBreakBefore w:val="0"/>
        <w:shd w:val="clear"/>
        <w:kinsoku/>
        <w:wordWrap/>
        <w:overflowPunct/>
        <w:topLinePunct w:val="0"/>
        <w:autoSpaceDE/>
        <w:autoSpaceDN/>
        <w:bidi w:val="0"/>
        <w:adjustRightInd/>
        <w:snapToGrid/>
        <w:spacing w:line="360" w:lineRule="auto"/>
        <w:ind w:firstLine="576"/>
        <w:textAlignment w:val="auto"/>
        <w:outlineLvl w:val="1"/>
        <w:rPr>
          <w:rFonts w:hint="eastAsia" w:ascii="宋体" w:hAnsi="宋体" w:eastAsia="宋体" w:cs="宋体"/>
          <w:color w:val="auto"/>
          <w:kern w:val="0"/>
          <w:sz w:val="21"/>
          <w:szCs w:val="21"/>
          <w:highlight w:val="none"/>
          <w:lang w:val="zh-CN"/>
        </w:rPr>
      </w:pPr>
      <w:bookmarkStart w:id="284" w:name="_Toc14129"/>
      <w:bookmarkStart w:id="285" w:name="_Toc257"/>
      <w:bookmarkStart w:id="286" w:name="_Toc32669"/>
      <w:bookmarkStart w:id="287" w:name="_Toc19705"/>
      <w:bookmarkStart w:id="288" w:name="_Toc13074"/>
      <w:bookmarkStart w:id="289" w:name="_Toc1254"/>
      <w:bookmarkStart w:id="290" w:name="_Toc10672"/>
      <w:bookmarkStart w:id="291" w:name="_Toc10627"/>
      <w:r>
        <w:rPr>
          <w:rFonts w:hint="eastAsia" w:ascii="宋体" w:hAnsi="宋体" w:eastAsia="宋体" w:cs="宋体"/>
          <w:color w:val="auto"/>
          <w:kern w:val="0"/>
          <w:sz w:val="21"/>
          <w:szCs w:val="21"/>
          <w:highlight w:val="none"/>
          <w:lang w:val="zh-CN"/>
        </w:rPr>
        <w:t>四、联合体成员中小企业合同份额。</w:t>
      </w:r>
      <w:bookmarkEnd w:id="284"/>
      <w:bookmarkEnd w:id="285"/>
      <w:bookmarkEnd w:id="286"/>
      <w:bookmarkEnd w:id="287"/>
      <w:bookmarkEnd w:id="288"/>
      <w:bookmarkEnd w:id="289"/>
      <w:bookmarkEnd w:id="290"/>
      <w:bookmarkEnd w:id="291"/>
    </w:p>
    <w:p w14:paraId="11F7C9E6">
      <w:pPr>
        <w:keepNext w:val="0"/>
        <w:keepLines w:val="0"/>
        <w:pageBreakBefore w:val="0"/>
        <w:shd w:val="clear"/>
        <w:kinsoku/>
        <w:wordWrap/>
        <w:overflowPunct/>
        <w:topLinePunct w:val="0"/>
        <w:autoSpaceDE/>
        <w:autoSpaceDN/>
        <w:bidi w:val="0"/>
        <w:adjustRightInd/>
        <w:snapToGrid/>
        <w:spacing w:line="360" w:lineRule="auto"/>
        <w:ind w:firstLine="576"/>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color w:val="auto"/>
          <w:kern w:val="0"/>
          <w:sz w:val="21"/>
          <w:szCs w:val="21"/>
          <w:highlight w:val="none"/>
          <w:lang w:val="zh-CN"/>
        </w:rPr>
        <w:t>1</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u w:val="single"/>
        </w:rPr>
        <w:t>（联合体成员X,……）</w:t>
      </w:r>
      <w:r>
        <w:rPr>
          <w:rFonts w:hint="eastAsia" w:ascii="宋体" w:hAnsi="宋体" w:eastAsia="宋体" w:cs="宋体"/>
          <w:color w:val="auto"/>
          <w:kern w:val="0"/>
          <w:sz w:val="21"/>
          <w:szCs w:val="21"/>
          <w:highlight w:val="none"/>
        </w:rPr>
        <w:t>提供的全部货物由小微企业制造，其合同份额占到合同总金额</w:t>
      </w:r>
      <w:r>
        <w:rPr>
          <w:rFonts w:hint="eastAsia" w:ascii="宋体" w:hAnsi="宋体" w:eastAsia="宋体" w:cs="宋体"/>
          <w:color w:val="auto"/>
          <w:sz w:val="21"/>
          <w:szCs w:val="21"/>
          <w:highlight w:val="none"/>
        </w:rPr>
        <w:t>_</w:t>
      </w:r>
      <w:r>
        <w:rPr>
          <w:rFonts w:hint="eastAsia" w:ascii="宋体" w:hAnsi="宋体" w:eastAsia="宋体" w:cs="宋体"/>
          <w:color w:val="auto"/>
          <w:kern w:val="0"/>
          <w:sz w:val="21"/>
          <w:szCs w:val="21"/>
          <w:highlight w:val="none"/>
        </w:rPr>
        <w:t>%以上；</w:t>
      </w:r>
      <w:r>
        <w:rPr>
          <w:rFonts w:hint="eastAsia" w:ascii="宋体" w:hAnsi="宋体" w:eastAsia="宋体" w:cs="宋体"/>
          <w:color w:val="auto"/>
          <w:kern w:val="0"/>
          <w:sz w:val="21"/>
          <w:szCs w:val="21"/>
          <w:highlight w:val="none"/>
          <w:lang w:val="zh-CN"/>
        </w:rPr>
        <w:t>……。</w:t>
      </w:r>
      <w:r>
        <w:rPr>
          <w:rFonts w:hint="eastAsia" w:ascii="宋体" w:hAnsi="宋体" w:eastAsia="宋体" w:cs="宋体"/>
          <w:b/>
          <w:color w:val="auto"/>
          <w:kern w:val="0"/>
          <w:sz w:val="21"/>
          <w:szCs w:val="21"/>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投标人</w:t>
      </w:r>
      <w:r>
        <w:rPr>
          <w:rFonts w:hint="eastAsia" w:ascii="宋体" w:hAnsi="宋体" w:eastAsia="宋体" w:cs="宋体"/>
          <w:b/>
          <w:color w:val="auto"/>
          <w:sz w:val="21"/>
          <w:szCs w:val="21"/>
          <w:highlight w:val="none"/>
        </w:rPr>
        <w:t>拟享受以上价格扣除政策的，填写有关内容。</w:t>
      </w:r>
      <w:r>
        <w:rPr>
          <w:rFonts w:hint="eastAsia" w:ascii="宋体" w:hAnsi="宋体" w:eastAsia="宋体" w:cs="宋体"/>
          <w:b/>
          <w:color w:val="auto"/>
          <w:kern w:val="0"/>
          <w:sz w:val="21"/>
          <w:szCs w:val="21"/>
          <w:highlight w:val="none"/>
          <w:lang w:val="zh-CN"/>
        </w:rPr>
        <w:t>）</w:t>
      </w:r>
    </w:p>
    <w:p w14:paraId="28184CD9">
      <w:pPr>
        <w:keepNext w:val="0"/>
        <w:keepLines w:val="0"/>
        <w:pageBreakBefore w:val="0"/>
        <w:shd w:val="clear"/>
        <w:kinsoku/>
        <w:wordWrap/>
        <w:overflowPunct/>
        <w:topLinePunct w:val="0"/>
        <w:autoSpaceDE/>
        <w:autoSpaceDN/>
        <w:bidi w:val="0"/>
        <w:adjustRightInd/>
        <w:snapToGrid/>
        <w:spacing w:line="360" w:lineRule="auto"/>
        <w:ind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中小企业合同金额达到_%，小微企业合同金额达到_%</w:t>
      </w:r>
      <w:r>
        <w:rPr>
          <w:rFonts w:hint="eastAsia" w:ascii="宋体" w:hAnsi="宋体" w:eastAsia="宋体" w:cs="宋体"/>
          <w:color w:val="auto"/>
          <w:kern w:val="0"/>
          <w:sz w:val="21"/>
          <w:szCs w:val="21"/>
          <w:highlight w:val="none"/>
          <w:lang w:val="zh-CN"/>
        </w:rPr>
        <w:t>。</w:t>
      </w:r>
      <w:r>
        <w:rPr>
          <w:rFonts w:hint="eastAsia" w:ascii="宋体" w:hAnsi="宋体" w:eastAsia="宋体" w:cs="宋体"/>
          <w:b/>
          <w:bCs/>
          <w:color w:val="auto"/>
          <w:kern w:val="0"/>
          <w:sz w:val="21"/>
          <w:szCs w:val="21"/>
          <w:highlight w:val="none"/>
          <w:lang w:val="zh-CN"/>
        </w:rPr>
        <w:t>（</w:t>
      </w:r>
      <w:r>
        <w:rPr>
          <w:rFonts w:hint="eastAsia" w:ascii="宋体" w:hAnsi="宋体" w:eastAsia="宋体" w:cs="宋体"/>
          <w:b/>
          <w:bCs/>
          <w:color w:val="auto"/>
          <w:sz w:val="21"/>
          <w:szCs w:val="21"/>
          <w:highlight w:val="none"/>
        </w:rPr>
        <w:t>要求以联合体形式参加的项目或采购包，</w:t>
      </w:r>
      <w:r>
        <w:rPr>
          <w:rFonts w:hint="eastAsia" w:ascii="宋体" w:hAnsi="宋体" w:eastAsia="宋体" w:cs="宋体"/>
          <w:b/>
          <w:bCs/>
          <w:color w:val="auto"/>
          <w:sz w:val="21"/>
          <w:szCs w:val="21"/>
          <w:highlight w:val="none"/>
          <w:lang w:eastAsia="zh-CN"/>
        </w:rPr>
        <w:t>投标人</w:t>
      </w:r>
      <w:r>
        <w:rPr>
          <w:rFonts w:hint="eastAsia" w:ascii="宋体" w:hAnsi="宋体" w:eastAsia="宋体" w:cs="宋体"/>
          <w:b/>
          <w:bCs/>
          <w:color w:val="auto"/>
          <w:sz w:val="21"/>
          <w:szCs w:val="21"/>
          <w:highlight w:val="none"/>
        </w:rPr>
        <w:t>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1"/>
          <w:szCs w:val="21"/>
          <w:highlight w:val="none"/>
          <w:lang w:val="zh-CN"/>
        </w:rPr>
        <w:t>）</w:t>
      </w:r>
    </w:p>
    <w:p w14:paraId="72EDA183">
      <w:pPr>
        <w:keepNext w:val="0"/>
        <w:keepLines w:val="0"/>
        <w:pageBreakBefore w:val="0"/>
        <w:shd w:val="clear"/>
        <w:kinsoku/>
        <w:wordWrap/>
        <w:overflowPunct/>
        <w:topLinePunct w:val="0"/>
        <w:autoSpaceDE/>
        <w:autoSpaceDN/>
        <w:bidi w:val="0"/>
        <w:adjustRightInd/>
        <w:snapToGrid/>
        <w:spacing w:line="360" w:lineRule="auto"/>
        <w:ind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五、如果中标，</w:t>
      </w:r>
      <w:r>
        <w:rPr>
          <w:rFonts w:hint="eastAsia" w:ascii="宋体" w:hAnsi="宋体" w:eastAsia="宋体" w:cs="宋体"/>
          <w:color w:val="auto"/>
          <w:sz w:val="21"/>
          <w:szCs w:val="21"/>
          <w:highlight w:val="none"/>
        </w:rPr>
        <w:t>联合体各成员方共同与采购人签订合同，并就采购合同约定的事项对采购人承担连带责任。</w:t>
      </w:r>
    </w:p>
    <w:p w14:paraId="21F731B7">
      <w:pPr>
        <w:keepNext w:val="0"/>
        <w:keepLines w:val="0"/>
        <w:pageBreakBefore w:val="0"/>
        <w:shd w:val="clear"/>
        <w:kinsoku/>
        <w:wordWrap/>
        <w:overflowPunct/>
        <w:topLinePunct w:val="0"/>
        <w:autoSpaceDE/>
        <w:autoSpaceDN/>
        <w:bidi w:val="0"/>
        <w:adjustRightInd/>
        <w:snapToGrid/>
        <w:spacing w:line="360" w:lineRule="auto"/>
        <w:ind w:firstLine="576"/>
        <w:textAlignment w:val="auto"/>
        <w:outlineLvl w:val="1"/>
        <w:rPr>
          <w:rFonts w:hint="eastAsia" w:ascii="宋体" w:hAnsi="宋体" w:eastAsia="宋体" w:cs="宋体"/>
          <w:color w:val="auto"/>
          <w:kern w:val="0"/>
          <w:sz w:val="21"/>
          <w:szCs w:val="21"/>
          <w:highlight w:val="none"/>
          <w:lang w:val="zh-CN"/>
        </w:rPr>
      </w:pPr>
      <w:bookmarkStart w:id="292" w:name="_Toc16886"/>
      <w:bookmarkStart w:id="293" w:name="_Toc21328"/>
      <w:bookmarkStart w:id="294" w:name="_Toc15706"/>
      <w:bookmarkStart w:id="295" w:name="_Toc12978"/>
      <w:bookmarkStart w:id="296" w:name="_Toc7547"/>
      <w:bookmarkStart w:id="297" w:name="_Toc25984"/>
      <w:bookmarkStart w:id="298" w:name="_Toc20617"/>
      <w:bookmarkStart w:id="299" w:name="_Toc31991"/>
      <w:r>
        <w:rPr>
          <w:rFonts w:hint="eastAsia" w:ascii="宋体" w:hAnsi="宋体" w:eastAsia="宋体" w:cs="宋体"/>
          <w:color w:val="auto"/>
          <w:kern w:val="0"/>
          <w:sz w:val="21"/>
          <w:szCs w:val="21"/>
          <w:highlight w:val="none"/>
          <w:lang w:val="zh-CN"/>
        </w:rPr>
        <w:t>六、有关本次联合投标的其他事宜：</w:t>
      </w:r>
      <w:bookmarkEnd w:id="292"/>
      <w:bookmarkEnd w:id="293"/>
      <w:bookmarkEnd w:id="294"/>
      <w:bookmarkEnd w:id="295"/>
      <w:bookmarkEnd w:id="296"/>
      <w:bookmarkEnd w:id="297"/>
      <w:bookmarkEnd w:id="298"/>
      <w:bookmarkEnd w:id="299"/>
    </w:p>
    <w:p w14:paraId="2F0F8274">
      <w:pPr>
        <w:keepNext w:val="0"/>
        <w:keepLines w:val="0"/>
        <w:pageBreakBefore w:val="0"/>
        <w:shd w:val="clear"/>
        <w:kinsoku/>
        <w:wordWrap/>
        <w:overflowPunct/>
        <w:topLinePunct w:val="0"/>
        <w:autoSpaceDE/>
        <w:autoSpaceDN/>
        <w:bidi w:val="0"/>
        <w:adjustRightInd/>
        <w:snapToGrid/>
        <w:spacing w:line="360" w:lineRule="auto"/>
        <w:ind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zh-CN"/>
        </w:rPr>
        <w:t>联合体各方不再单独参加或者与其他投标人另外组成联合体参加同一合同项下的政府采购活动。</w:t>
      </w:r>
    </w:p>
    <w:p w14:paraId="512EC72D">
      <w:pPr>
        <w:keepNext w:val="0"/>
        <w:keepLines w:val="0"/>
        <w:pageBreakBefore w:val="0"/>
        <w:shd w:val="clear"/>
        <w:kinsoku/>
        <w:wordWrap/>
        <w:overflowPunct/>
        <w:topLinePunct w:val="0"/>
        <w:autoSpaceDE/>
        <w:autoSpaceDN/>
        <w:bidi w:val="0"/>
        <w:adjustRightInd/>
        <w:snapToGrid/>
        <w:spacing w:line="360" w:lineRule="auto"/>
        <w:ind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2</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zh-CN"/>
        </w:rPr>
        <w:t>联合体中有同类资质的各方按照联合体分工承担相同工作的，按照资质等级较低的投标人确定资质等级。</w:t>
      </w:r>
    </w:p>
    <w:p w14:paraId="310A017D">
      <w:pPr>
        <w:keepNext w:val="0"/>
        <w:keepLines w:val="0"/>
        <w:pageBreakBefore w:val="0"/>
        <w:shd w:val="clear"/>
        <w:kinsoku/>
        <w:wordWrap/>
        <w:overflowPunct/>
        <w:topLinePunct w:val="0"/>
        <w:autoSpaceDE/>
        <w:autoSpaceDN/>
        <w:bidi w:val="0"/>
        <w:adjustRightInd/>
        <w:snapToGrid/>
        <w:spacing w:line="360" w:lineRule="auto"/>
        <w:ind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3</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zh-CN"/>
        </w:rPr>
        <w:t>本协议提交采购人、采购机构后，联合体各方不得以任何形式对上述内容进行修改或撤销。</w:t>
      </w:r>
    </w:p>
    <w:p w14:paraId="2F944097">
      <w:pPr>
        <w:keepNext w:val="0"/>
        <w:keepLines w:val="0"/>
        <w:pageBreakBefore w:val="0"/>
        <w:shd w:val="clear"/>
        <w:kinsoku/>
        <w:wordWrap/>
        <w:overflowPunct/>
        <w:topLinePunct w:val="0"/>
        <w:autoSpaceDE/>
        <w:autoSpaceDN/>
        <w:bidi w:val="0"/>
        <w:adjustRightInd/>
        <w:snapToGrid/>
        <w:spacing w:line="360" w:lineRule="auto"/>
        <w:ind w:firstLine="4410" w:firstLineChars="21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联合体成员名称(电子签名/公章)：</w:t>
      </w:r>
    </w:p>
    <w:p w14:paraId="1F1F5D9C">
      <w:pPr>
        <w:keepNext w:val="0"/>
        <w:keepLines w:val="0"/>
        <w:pageBreakBefore w:val="0"/>
        <w:shd w:val="clear"/>
        <w:kinsoku/>
        <w:wordWrap/>
        <w:overflowPunct/>
        <w:topLinePunct w:val="0"/>
        <w:autoSpaceDE/>
        <w:autoSpaceDN/>
        <w:bidi w:val="0"/>
        <w:adjustRightInd/>
        <w:snapToGrid/>
        <w:spacing w:line="360" w:lineRule="auto"/>
        <w:ind w:firstLine="4410" w:firstLineChars="21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联合体成员名称(电子签名/公章)：</w:t>
      </w:r>
    </w:p>
    <w:p w14:paraId="0307BC3E">
      <w:pPr>
        <w:keepNext w:val="0"/>
        <w:keepLines w:val="0"/>
        <w:pageBreakBefore w:val="0"/>
        <w:shd w:val="clear"/>
        <w:kinsoku/>
        <w:wordWrap/>
        <w:overflowPunct/>
        <w:topLinePunct w:val="0"/>
        <w:autoSpaceDE/>
        <w:autoSpaceDN/>
        <w:bidi w:val="0"/>
        <w:adjustRightInd/>
        <w:snapToGrid/>
        <w:spacing w:line="360" w:lineRule="auto"/>
        <w:ind w:right="960"/>
        <w:jc w:val="center"/>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w:t>
      </w:r>
    </w:p>
    <w:p w14:paraId="4D232E0C">
      <w:pPr>
        <w:keepNext w:val="0"/>
        <w:keepLines w:val="0"/>
        <w:pageBreakBefore w:val="0"/>
        <w:shd w:val="clear"/>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日期：  年  月   日</w:t>
      </w:r>
    </w:p>
    <w:p w14:paraId="21108C79">
      <w:pPr>
        <w:keepNext w:val="0"/>
        <w:keepLines w:val="0"/>
        <w:pageBreakBefore w:val="0"/>
        <w:shd w:val="clear"/>
        <w:kinsoku/>
        <w:wordWrap/>
        <w:overflowPunct/>
        <w:topLinePunct w:val="0"/>
        <w:autoSpaceDE/>
        <w:autoSpaceDN/>
        <w:bidi w:val="0"/>
        <w:adjustRightInd/>
        <w:snapToGrid/>
        <w:spacing w:line="360" w:lineRule="auto"/>
        <w:ind w:right="420"/>
        <w:textAlignment w:val="auto"/>
        <w:rPr>
          <w:rFonts w:hint="eastAsia" w:ascii="宋体" w:hAnsi="宋体" w:eastAsia="宋体" w:cs="宋体"/>
          <w:b/>
          <w:color w:val="auto"/>
          <w:kern w:val="0"/>
          <w:sz w:val="32"/>
          <w:szCs w:val="32"/>
          <w:highlight w:val="none"/>
        </w:rPr>
      </w:pPr>
      <w:r>
        <w:rPr>
          <w:rFonts w:hint="eastAsia" w:ascii="宋体" w:hAnsi="宋体" w:eastAsia="宋体" w:cs="宋体"/>
          <w:color w:val="auto"/>
          <w:sz w:val="21"/>
          <w:szCs w:val="21"/>
          <w:highlight w:val="none"/>
        </w:rPr>
        <w:t>注：按本格式和要求提供。</w:t>
      </w:r>
    </w:p>
    <w:p w14:paraId="4FFAE4B8">
      <w:pPr>
        <w:pStyle w:val="5"/>
        <w:pageBreakBefore w:val="0"/>
        <w:shd w:val="clear"/>
        <w:kinsoku/>
        <w:overflowPunct/>
        <w:topLinePunct w:val="0"/>
        <w:bidi w:val="0"/>
        <w:spacing w:line="360" w:lineRule="auto"/>
        <w:jc w:val="center"/>
        <w:rPr>
          <w:rFonts w:hint="eastAsia" w:ascii="宋体" w:hAnsi="宋体" w:eastAsia="宋体" w:cs="宋体"/>
          <w:color w:val="auto"/>
          <w:highlight w:val="none"/>
        </w:rPr>
      </w:pPr>
      <w:bookmarkStart w:id="300" w:name="_Toc30634"/>
      <w:bookmarkStart w:id="301" w:name="_Toc29796"/>
      <w:bookmarkStart w:id="302" w:name="_Toc29472"/>
      <w:r>
        <w:rPr>
          <w:rFonts w:hint="eastAsia" w:ascii="宋体" w:hAnsi="宋体" w:eastAsia="宋体" w:cs="宋体"/>
          <w:color w:val="auto"/>
          <w:highlight w:val="none"/>
        </w:rPr>
        <w:t>附件6：分包意向协议</w:t>
      </w:r>
      <w:bookmarkEnd w:id="300"/>
      <w:bookmarkEnd w:id="301"/>
      <w:bookmarkEnd w:id="302"/>
    </w:p>
    <w:p w14:paraId="13E7C4D0">
      <w:pPr>
        <w:keepNext w:val="0"/>
        <w:keepLines w:val="0"/>
        <w:pageBreakBefore w:val="0"/>
        <w:widowControl/>
        <w:shd w:val="clear"/>
        <w:kinsoku/>
        <w:wordWrap/>
        <w:overflowPunct/>
        <w:topLinePunct w:val="0"/>
        <w:autoSpaceDE/>
        <w:autoSpaceDN/>
        <w:bidi w:val="0"/>
        <w:adjustRightInd/>
        <w:snapToGrid/>
        <w:spacing w:line="360" w:lineRule="auto"/>
        <w:ind w:firstLine="105" w:firstLineChars="5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1"/>
          <w:szCs w:val="21"/>
          <w:highlight w:val="none"/>
        </w:rPr>
        <w:t>）</w:t>
      </w:r>
    </w:p>
    <w:p w14:paraId="6FC9DE1E">
      <w:pPr>
        <w:keepNext w:val="0"/>
        <w:keepLines w:val="0"/>
        <w:pageBreakBefore w:val="0"/>
        <w:shd w:val="clear"/>
        <w:kinsoku/>
        <w:wordWrap/>
        <w:overflowPunct/>
        <w:topLinePunct w:val="0"/>
        <w:autoSpaceDE/>
        <w:autoSpaceDN/>
        <w:bidi w:val="0"/>
        <w:adjustRightInd/>
        <w:snapToGrid/>
        <w:spacing w:line="360" w:lineRule="auto"/>
        <w:ind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u w:val="single"/>
        </w:rPr>
        <w:t>（投标人名称）</w:t>
      </w:r>
      <w:r>
        <w:rPr>
          <w:rFonts w:hint="eastAsia" w:ascii="宋体" w:hAnsi="宋体" w:eastAsia="宋体" w:cs="宋体"/>
          <w:color w:val="auto"/>
          <w:kern w:val="0"/>
          <w:sz w:val="21"/>
          <w:szCs w:val="21"/>
          <w:highlight w:val="none"/>
          <w:lang w:val="zh-CN"/>
        </w:rPr>
        <w:t>若成为</w:t>
      </w:r>
      <w:r>
        <w:rPr>
          <w:rFonts w:hint="eastAsia" w:ascii="宋体" w:hAnsi="宋体" w:eastAsia="宋体" w:cs="宋体"/>
          <w:color w:val="auto"/>
          <w:sz w:val="21"/>
          <w:szCs w:val="21"/>
          <w:highlight w:val="none"/>
        </w:rPr>
        <w:t>（项目名称）【招标编号：】</w:t>
      </w:r>
      <w:r>
        <w:rPr>
          <w:rFonts w:hint="eastAsia" w:ascii="宋体" w:hAnsi="宋体" w:eastAsia="宋体" w:cs="宋体"/>
          <w:color w:val="auto"/>
          <w:kern w:val="0"/>
          <w:sz w:val="21"/>
          <w:szCs w:val="21"/>
          <w:highlight w:val="none"/>
          <w:lang w:val="zh-CN"/>
        </w:rPr>
        <w:t>【标项号：</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val="zh-CN"/>
        </w:rPr>
        <w:t>的中标投标人，将依法采取分包方式履行合同。</w:t>
      </w:r>
      <w:r>
        <w:rPr>
          <w:rFonts w:hint="eastAsia" w:ascii="宋体" w:hAnsi="宋体" w:eastAsia="宋体" w:cs="宋体"/>
          <w:color w:val="auto"/>
          <w:kern w:val="0"/>
          <w:sz w:val="21"/>
          <w:szCs w:val="21"/>
          <w:highlight w:val="none"/>
          <w:u w:val="single"/>
        </w:rPr>
        <w:t>（投标人名称）</w:t>
      </w:r>
      <w:r>
        <w:rPr>
          <w:rFonts w:hint="eastAsia" w:ascii="宋体" w:hAnsi="宋体" w:eastAsia="宋体" w:cs="宋体"/>
          <w:color w:val="auto"/>
          <w:kern w:val="0"/>
          <w:sz w:val="21"/>
          <w:szCs w:val="21"/>
          <w:highlight w:val="none"/>
        </w:rPr>
        <w:t>与</w:t>
      </w:r>
      <w:r>
        <w:rPr>
          <w:rFonts w:hint="eastAsia" w:ascii="宋体" w:hAnsi="宋体" w:eastAsia="宋体" w:cs="宋体"/>
          <w:color w:val="auto"/>
          <w:kern w:val="0"/>
          <w:sz w:val="21"/>
          <w:szCs w:val="21"/>
          <w:highlight w:val="none"/>
          <w:u w:val="single"/>
        </w:rPr>
        <w:t>（所有分包</w:t>
      </w:r>
      <w:r>
        <w:rPr>
          <w:rFonts w:hint="eastAsia" w:ascii="宋体" w:hAnsi="宋体" w:eastAsia="宋体" w:cs="宋体"/>
          <w:color w:val="auto"/>
          <w:kern w:val="0"/>
          <w:sz w:val="21"/>
          <w:szCs w:val="21"/>
          <w:highlight w:val="none"/>
          <w:u w:val="single"/>
          <w:lang w:eastAsia="zh-CN"/>
        </w:rPr>
        <w:t>投标人</w:t>
      </w:r>
      <w:r>
        <w:rPr>
          <w:rFonts w:hint="eastAsia" w:ascii="宋体" w:hAnsi="宋体" w:eastAsia="宋体" w:cs="宋体"/>
          <w:color w:val="auto"/>
          <w:kern w:val="0"/>
          <w:sz w:val="21"/>
          <w:szCs w:val="21"/>
          <w:highlight w:val="none"/>
          <w:u w:val="single"/>
        </w:rPr>
        <w:t>名称）</w:t>
      </w:r>
      <w:r>
        <w:rPr>
          <w:rFonts w:hint="eastAsia" w:ascii="宋体" w:hAnsi="宋体" w:eastAsia="宋体" w:cs="宋体"/>
          <w:color w:val="auto"/>
          <w:kern w:val="0"/>
          <w:sz w:val="21"/>
          <w:szCs w:val="21"/>
          <w:highlight w:val="none"/>
        </w:rPr>
        <w:t>达成分包意向协议</w:t>
      </w:r>
      <w:r>
        <w:rPr>
          <w:rFonts w:hint="eastAsia" w:ascii="宋体" w:hAnsi="宋体" w:eastAsia="宋体" w:cs="宋体"/>
          <w:color w:val="auto"/>
          <w:kern w:val="0"/>
          <w:sz w:val="21"/>
          <w:szCs w:val="21"/>
          <w:highlight w:val="none"/>
          <w:lang w:val="zh-CN"/>
        </w:rPr>
        <w:t xml:space="preserve">。 </w:t>
      </w:r>
    </w:p>
    <w:p w14:paraId="4D147BE0">
      <w:pPr>
        <w:keepNext w:val="0"/>
        <w:keepLines w:val="0"/>
        <w:pageBreakBefore w:val="0"/>
        <w:shd w:val="clear"/>
        <w:kinsoku/>
        <w:wordWrap/>
        <w:overflowPunct/>
        <w:topLinePunct w:val="0"/>
        <w:autoSpaceDE/>
        <w:autoSpaceDN/>
        <w:bidi w:val="0"/>
        <w:adjustRightInd/>
        <w:snapToGrid/>
        <w:spacing w:line="360" w:lineRule="auto"/>
        <w:ind w:firstLine="576"/>
        <w:textAlignment w:val="auto"/>
        <w:outlineLvl w:val="1"/>
        <w:rPr>
          <w:rFonts w:hint="eastAsia" w:ascii="宋体" w:hAnsi="宋体" w:eastAsia="宋体" w:cs="宋体"/>
          <w:color w:val="auto"/>
          <w:kern w:val="0"/>
          <w:sz w:val="21"/>
          <w:szCs w:val="21"/>
          <w:highlight w:val="none"/>
          <w:lang w:val="zh-CN"/>
        </w:rPr>
      </w:pPr>
      <w:bookmarkStart w:id="303" w:name="_Toc13704"/>
      <w:bookmarkStart w:id="304" w:name="_Toc14392"/>
      <w:bookmarkStart w:id="305" w:name="_Toc32200"/>
      <w:bookmarkStart w:id="306" w:name="_Toc16678"/>
      <w:bookmarkStart w:id="307" w:name="_Toc18156"/>
      <w:bookmarkStart w:id="308" w:name="_Toc20455"/>
      <w:bookmarkStart w:id="309" w:name="_Toc9711"/>
      <w:bookmarkStart w:id="310" w:name="_Toc9390"/>
      <w:r>
        <w:rPr>
          <w:rFonts w:hint="eastAsia" w:ascii="宋体" w:hAnsi="宋体" w:eastAsia="宋体" w:cs="宋体"/>
          <w:color w:val="auto"/>
          <w:kern w:val="0"/>
          <w:sz w:val="21"/>
          <w:szCs w:val="21"/>
          <w:highlight w:val="none"/>
          <w:lang w:val="zh-CN"/>
        </w:rPr>
        <w:t>一、分包标的及数量</w:t>
      </w:r>
      <w:bookmarkEnd w:id="303"/>
      <w:bookmarkEnd w:id="304"/>
      <w:bookmarkEnd w:id="305"/>
      <w:bookmarkEnd w:id="306"/>
      <w:bookmarkEnd w:id="307"/>
      <w:bookmarkEnd w:id="308"/>
      <w:bookmarkEnd w:id="309"/>
      <w:bookmarkEnd w:id="310"/>
    </w:p>
    <w:p w14:paraId="33BB96A8">
      <w:pPr>
        <w:keepNext w:val="0"/>
        <w:keepLines w:val="0"/>
        <w:pageBreakBefore w:val="0"/>
        <w:shd w:val="clear"/>
        <w:kinsoku/>
        <w:wordWrap/>
        <w:overflowPunct/>
        <w:topLinePunct w:val="0"/>
        <w:autoSpaceDE/>
        <w:autoSpaceDN/>
        <w:bidi w:val="0"/>
        <w:adjustRightInd/>
        <w:snapToGrid/>
        <w:spacing w:line="360" w:lineRule="auto"/>
        <w:ind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u w:val="single"/>
        </w:rPr>
        <w:t>（投标人名称）</w:t>
      </w:r>
      <w:r>
        <w:rPr>
          <w:rFonts w:hint="eastAsia" w:ascii="宋体" w:hAnsi="宋体" w:eastAsia="宋体" w:cs="宋体"/>
          <w:color w:val="auto"/>
          <w:kern w:val="0"/>
          <w:sz w:val="21"/>
          <w:szCs w:val="21"/>
          <w:highlight w:val="none"/>
          <w:lang w:val="zh-CN"/>
        </w:rPr>
        <w:t>将</w:t>
      </w:r>
      <w:r>
        <w:rPr>
          <w:rFonts w:hint="eastAsia" w:ascii="宋体" w:hAnsi="宋体" w:eastAsia="宋体" w:cs="宋体"/>
          <w:color w:val="auto"/>
          <w:kern w:val="0"/>
          <w:sz w:val="21"/>
          <w:szCs w:val="21"/>
          <w:highlight w:val="none"/>
          <w:u w:val="single"/>
        </w:rPr>
        <w:t xml:space="preserve">  XX工作内容   </w:t>
      </w:r>
      <w:r>
        <w:rPr>
          <w:rFonts w:hint="eastAsia" w:ascii="宋体" w:hAnsi="宋体" w:eastAsia="宋体" w:cs="宋体"/>
          <w:color w:val="auto"/>
          <w:sz w:val="21"/>
          <w:szCs w:val="21"/>
          <w:highlight w:val="none"/>
        </w:rPr>
        <w:t>分包给</w:t>
      </w:r>
      <w:r>
        <w:rPr>
          <w:rFonts w:hint="eastAsia" w:ascii="宋体" w:hAnsi="宋体" w:eastAsia="宋体" w:cs="宋体"/>
          <w:color w:val="auto"/>
          <w:kern w:val="0"/>
          <w:sz w:val="21"/>
          <w:szCs w:val="21"/>
          <w:highlight w:val="none"/>
          <w:u w:val="single"/>
        </w:rPr>
        <w:t>（分包</w:t>
      </w:r>
      <w:r>
        <w:rPr>
          <w:rFonts w:hint="eastAsia" w:ascii="宋体" w:hAnsi="宋体" w:eastAsia="宋体" w:cs="宋体"/>
          <w:color w:val="auto"/>
          <w:kern w:val="0"/>
          <w:sz w:val="21"/>
          <w:szCs w:val="21"/>
          <w:highlight w:val="none"/>
          <w:u w:val="single"/>
          <w:lang w:eastAsia="zh-CN"/>
        </w:rPr>
        <w:t>投标人</w:t>
      </w:r>
      <w:r>
        <w:rPr>
          <w:rFonts w:hint="eastAsia" w:ascii="宋体" w:hAnsi="宋体" w:eastAsia="宋体" w:cs="宋体"/>
          <w:color w:val="auto"/>
          <w:kern w:val="0"/>
          <w:sz w:val="21"/>
          <w:szCs w:val="21"/>
          <w:highlight w:val="none"/>
          <w:u w:val="single"/>
        </w:rPr>
        <w:t>1名称）</w:t>
      </w: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kern w:val="0"/>
          <w:sz w:val="21"/>
          <w:szCs w:val="21"/>
          <w:highlight w:val="none"/>
          <w:u w:val="single"/>
        </w:rPr>
        <w:t>（分包</w:t>
      </w:r>
      <w:r>
        <w:rPr>
          <w:rFonts w:hint="eastAsia" w:ascii="宋体" w:hAnsi="宋体" w:eastAsia="宋体" w:cs="宋体"/>
          <w:color w:val="auto"/>
          <w:kern w:val="0"/>
          <w:sz w:val="21"/>
          <w:szCs w:val="21"/>
          <w:highlight w:val="none"/>
          <w:u w:val="single"/>
          <w:lang w:eastAsia="zh-CN"/>
        </w:rPr>
        <w:t>投标人</w:t>
      </w:r>
      <w:r>
        <w:rPr>
          <w:rFonts w:hint="eastAsia" w:ascii="宋体" w:hAnsi="宋体" w:eastAsia="宋体" w:cs="宋体"/>
          <w:color w:val="auto"/>
          <w:kern w:val="0"/>
          <w:sz w:val="21"/>
          <w:szCs w:val="21"/>
          <w:highlight w:val="none"/>
          <w:u w:val="single"/>
        </w:rPr>
        <w:t>1名称），</w:t>
      </w:r>
      <w:r>
        <w:rPr>
          <w:rFonts w:hint="eastAsia" w:ascii="宋体" w:hAnsi="宋体" w:eastAsia="宋体" w:cs="宋体"/>
          <w:color w:val="auto"/>
          <w:kern w:val="0"/>
          <w:sz w:val="21"/>
          <w:szCs w:val="21"/>
          <w:highlight w:val="none"/>
          <w:lang w:val="zh-CN"/>
        </w:rPr>
        <w:t>具备承</w:t>
      </w:r>
      <w:r>
        <w:rPr>
          <w:rFonts w:hint="eastAsia" w:ascii="宋体" w:hAnsi="宋体" w:eastAsia="宋体" w:cs="宋体"/>
          <w:color w:val="auto"/>
          <w:kern w:val="0"/>
          <w:sz w:val="21"/>
          <w:szCs w:val="21"/>
          <w:highlight w:val="none"/>
        </w:rPr>
        <w:t>担</w:t>
      </w:r>
      <w:r>
        <w:rPr>
          <w:rFonts w:hint="eastAsia" w:ascii="宋体" w:hAnsi="宋体" w:eastAsia="宋体" w:cs="宋体"/>
          <w:color w:val="auto"/>
          <w:kern w:val="0"/>
          <w:sz w:val="21"/>
          <w:szCs w:val="21"/>
          <w:highlight w:val="none"/>
          <w:u w:val="single"/>
          <w:lang w:val="zh-CN"/>
        </w:rPr>
        <w:t>XX工作内容</w:t>
      </w:r>
      <w:r>
        <w:rPr>
          <w:rFonts w:hint="eastAsia" w:ascii="宋体" w:hAnsi="宋体" w:eastAsia="宋体" w:cs="宋体"/>
          <w:color w:val="auto"/>
          <w:kern w:val="0"/>
          <w:sz w:val="21"/>
          <w:szCs w:val="21"/>
          <w:highlight w:val="none"/>
          <w:lang w:val="zh-CN"/>
        </w:rPr>
        <w:t>相应资质条件且不得再次分包；</w:t>
      </w:r>
    </w:p>
    <w:p w14:paraId="00843AD0">
      <w:pPr>
        <w:keepNext w:val="0"/>
        <w:keepLines w:val="0"/>
        <w:pageBreakBefore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51A26D54">
      <w:pPr>
        <w:keepNext w:val="0"/>
        <w:keepLines w:val="0"/>
        <w:pageBreakBefore w:val="0"/>
        <w:shd w:val="clear"/>
        <w:kinsoku/>
        <w:wordWrap/>
        <w:overflowPunct/>
        <w:topLinePunct w:val="0"/>
        <w:autoSpaceDE/>
        <w:autoSpaceDN/>
        <w:bidi w:val="0"/>
        <w:adjustRightInd/>
        <w:snapToGrid/>
        <w:spacing w:line="360" w:lineRule="auto"/>
        <w:ind w:firstLine="576"/>
        <w:textAlignment w:val="auto"/>
        <w:outlineLvl w:val="1"/>
        <w:rPr>
          <w:rFonts w:hint="eastAsia" w:ascii="宋体" w:hAnsi="宋体" w:eastAsia="宋体" w:cs="宋体"/>
          <w:color w:val="auto"/>
          <w:kern w:val="0"/>
          <w:sz w:val="21"/>
          <w:szCs w:val="21"/>
          <w:highlight w:val="none"/>
          <w:lang w:val="zh-CN"/>
        </w:rPr>
      </w:pPr>
      <w:bookmarkStart w:id="311" w:name="_Toc5506"/>
      <w:bookmarkStart w:id="312" w:name="_Toc7420"/>
      <w:bookmarkStart w:id="313" w:name="_Toc8429"/>
      <w:bookmarkStart w:id="314" w:name="_Toc14786"/>
      <w:bookmarkStart w:id="315" w:name="_Toc3643"/>
      <w:bookmarkStart w:id="316" w:name="_Toc32118"/>
      <w:bookmarkStart w:id="317" w:name="_Toc3740"/>
      <w:bookmarkStart w:id="318" w:name="_Toc3091"/>
      <w:r>
        <w:rPr>
          <w:rFonts w:hint="eastAsia" w:ascii="宋体" w:hAnsi="宋体" w:eastAsia="宋体" w:cs="宋体"/>
          <w:color w:val="auto"/>
          <w:kern w:val="0"/>
          <w:sz w:val="21"/>
          <w:szCs w:val="21"/>
          <w:highlight w:val="none"/>
          <w:lang w:val="zh-CN"/>
        </w:rPr>
        <w:t>二、分包投标人中小企业合同份额</w:t>
      </w:r>
      <w:bookmarkEnd w:id="311"/>
      <w:bookmarkEnd w:id="312"/>
      <w:bookmarkEnd w:id="313"/>
      <w:bookmarkEnd w:id="314"/>
      <w:bookmarkEnd w:id="315"/>
      <w:bookmarkEnd w:id="316"/>
      <w:bookmarkEnd w:id="317"/>
      <w:bookmarkEnd w:id="318"/>
    </w:p>
    <w:p w14:paraId="5233EF97">
      <w:pPr>
        <w:keepNext w:val="0"/>
        <w:keepLines w:val="0"/>
        <w:pageBreakBefore w:val="0"/>
        <w:shd w:val="clear"/>
        <w:kinsoku/>
        <w:wordWrap/>
        <w:overflowPunct/>
        <w:topLinePunct w:val="0"/>
        <w:autoSpaceDE/>
        <w:autoSpaceDN/>
        <w:bidi w:val="0"/>
        <w:adjustRightInd/>
        <w:snapToGrid/>
        <w:spacing w:line="360" w:lineRule="auto"/>
        <w:ind w:firstLine="576"/>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u w:val="single"/>
        </w:rPr>
        <w:t>（分包</w:t>
      </w:r>
      <w:r>
        <w:rPr>
          <w:rFonts w:hint="eastAsia" w:ascii="宋体" w:hAnsi="宋体" w:eastAsia="宋体" w:cs="宋体"/>
          <w:color w:val="auto"/>
          <w:kern w:val="0"/>
          <w:sz w:val="21"/>
          <w:szCs w:val="21"/>
          <w:highlight w:val="none"/>
          <w:u w:val="single"/>
          <w:lang w:eastAsia="zh-CN"/>
        </w:rPr>
        <w:t>投标人</w:t>
      </w:r>
      <w:r>
        <w:rPr>
          <w:rFonts w:hint="eastAsia" w:ascii="宋体" w:hAnsi="宋体" w:eastAsia="宋体" w:cs="宋体"/>
          <w:color w:val="auto"/>
          <w:kern w:val="0"/>
          <w:sz w:val="21"/>
          <w:szCs w:val="21"/>
          <w:highlight w:val="none"/>
          <w:u w:val="single"/>
        </w:rPr>
        <w:t>X,……）提供的货物全部由小微企业制造，</w:t>
      </w:r>
      <w:r>
        <w:rPr>
          <w:rFonts w:hint="eastAsia" w:ascii="宋体" w:hAnsi="宋体" w:eastAsia="宋体" w:cs="宋体"/>
          <w:color w:val="auto"/>
          <w:kern w:val="0"/>
          <w:sz w:val="21"/>
          <w:szCs w:val="21"/>
          <w:highlight w:val="none"/>
        </w:rPr>
        <w:t>其合同份额占到合同总金额__%以上</w:t>
      </w:r>
      <w:r>
        <w:rPr>
          <w:rFonts w:hint="eastAsia" w:ascii="宋体" w:hAnsi="宋体" w:eastAsia="宋体" w:cs="宋体"/>
          <w:color w:val="auto"/>
          <w:sz w:val="21"/>
          <w:szCs w:val="21"/>
          <w:highlight w:val="none"/>
        </w:rPr>
        <w:t>。</w:t>
      </w:r>
      <w:r>
        <w:rPr>
          <w:rFonts w:hint="eastAsia" w:ascii="宋体" w:hAnsi="宋体" w:eastAsia="宋体" w:cs="宋体"/>
          <w:b/>
          <w:color w:val="auto"/>
          <w:kern w:val="0"/>
          <w:sz w:val="21"/>
          <w:szCs w:val="21"/>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投标人</w:t>
      </w:r>
      <w:r>
        <w:rPr>
          <w:rFonts w:hint="eastAsia" w:ascii="宋体" w:hAnsi="宋体" w:eastAsia="宋体" w:cs="宋体"/>
          <w:b/>
          <w:color w:val="auto"/>
          <w:sz w:val="21"/>
          <w:szCs w:val="21"/>
          <w:highlight w:val="none"/>
        </w:rPr>
        <w:t>拟享受以上价格扣除政策的，填写有关内容。</w:t>
      </w:r>
      <w:r>
        <w:rPr>
          <w:rFonts w:hint="eastAsia" w:ascii="宋体" w:hAnsi="宋体" w:eastAsia="宋体" w:cs="宋体"/>
          <w:b/>
          <w:color w:val="auto"/>
          <w:kern w:val="0"/>
          <w:sz w:val="21"/>
          <w:szCs w:val="21"/>
          <w:highlight w:val="none"/>
          <w:lang w:val="zh-CN"/>
        </w:rPr>
        <w:t>）</w:t>
      </w:r>
    </w:p>
    <w:p w14:paraId="6D081007">
      <w:pPr>
        <w:keepNext w:val="0"/>
        <w:keepLines w:val="0"/>
        <w:pageBreakBefore w:val="0"/>
        <w:shd w:val="clea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color w:val="auto"/>
          <w:kern w:val="0"/>
          <w:sz w:val="21"/>
          <w:szCs w:val="21"/>
          <w:highlight w:val="none"/>
          <w:lang w:val="zh-CN"/>
        </w:rPr>
      </w:pPr>
      <w:r>
        <w:rPr>
          <w:rFonts w:hint="eastAsia" w:ascii="宋体" w:hAnsi="宋体" w:eastAsia="宋体" w:cs="宋体"/>
          <w:color w:val="auto"/>
          <w:sz w:val="21"/>
          <w:szCs w:val="21"/>
          <w:highlight w:val="none"/>
        </w:rPr>
        <w:t>2、</w:t>
      </w:r>
      <w:bookmarkStart w:id="319" w:name="_Hlk101133173"/>
      <w:r>
        <w:rPr>
          <w:rFonts w:hint="eastAsia" w:ascii="宋体" w:hAnsi="宋体" w:eastAsia="宋体" w:cs="宋体"/>
          <w:color w:val="auto"/>
          <w:sz w:val="21"/>
          <w:szCs w:val="21"/>
          <w:highlight w:val="none"/>
        </w:rPr>
        <w:t>中小企业合同金额达到__%，小微企业合同金额达到__%</w:t>
      </w:r>
      <w:r>
        <w:rPr>
          <w:rFonts w:hint="eastAsia" w:ascii="宋体" w:hAnsi="宋体" w:eastAsia="宋体" w:cs="宋体"/>
          <w:color w:val="auto"/>
          <w:kern w:val="0"/>
          <w:sz w:val="21"/>
          <w:szCs w:val="21"/>
          <w:highlight w:val="none"/>
          <w:lang w:val="zh-CN"/>
        </w:rPr>
        <w:t>。</w:t>
      </w:r>
      <w:r>
        <w:rPr>
          <w:rFonts w:hint="eastAsia" w:ascii="宋体" w:hAnsi="宋体" w:eastAsia="宋体" w:cs="宋体"/>
          <w:b/>
          <w:bCs/>
          <w:color w:val="auto"/>
          <w:kern w:val="0"/>
          <w:sz w:val="21"/>
          <w:szCs w:val="21"/>
          <w:highlight w:val="none"/>
          <w:lang w:val="zh-CN"/>
        </w:rPr>
        <w:t>（</w:t>
      </w:r>
      <w:r>
        <w:rPr>
          <w:rFonts w:hint="eastAsia" w:ascii="宋体" w:hAnsi="宋体" w:eastAsia="宋体" w:cs="宋体"/>
          <w:b/>
          <w:bCs/>
          <w:color w:val="auto"/>
          <w:sz w:val="21"/>
          <w:szCs w:val="21"/>
          <w:highlight w:val="none"/>
        </w:rPr>
        <w:t>要求合同分包形式参加的项目或采购包，</w:t>
      </w:r>
      <w:r>
        <w:rPr>
          <w:rFonts w:hint="eastAsia" w:ascii="宋体" w:hAnsi="宋体" w:eastAsia="宋体" w:cs="宋体"/>
          <w:b/>
          <w:bCs/>
          <w:color w:val="auto"/>
          <w:sz w:val="21"/>
          <w:szCs w:val="21"/>
          <w:highlight w:val="none"/>
          <w:lang w:eastAsia="zh-CN"/>
        </w:rPr>
        <w:t>投标人</w:t>
      </w:r>
      <w:r>
        <w:rPr>
          <w:rFonts w:hint="eastAsia" w:ascii="宋体" w:hAnsi="宋体" w:eastAsia="宋体" w:cs="宋体"/>
          <w:b/>
          <w:bCs/>
          <w:color w:val="auto"/>
          <w:sz w:val="21"/>
          <w:szCs w:val="21"/>
          <w:highlight w:val="none"/>
        </w:rPr>
        <w:t>按招标文件第一部分招标公告申请人的资格要求中规定的</w:t>
      </w:r>
      <w:r>
        <w:rPr>
          <w:rFonts w:hint="eastAsia" w:ascii="宋体" w:hAnsi="宋体" w:eastAsia="宋体" w:cs="宋体"/>
          <w:b/>
          <w:color w:val="auto"/>
          <w:kern w:val="0"/>
          <w:sz w:val="21"/>
          <w:szCs w:val="21"/>
          <w:highlight w:val="none"/>
          <w:lang w:val="zh-CN"/>
        </w:rPr>
        <w:t>分包意向协议</w:t>
      </w:r>
      <w:r>
        <w:rPr>
          <w:rFonts w:hint="eastAsia" w:ascii="宋体" w:hAnsi="宋体" w:eastAsia="宋体" w:cs="宋体"/>
          <w:b/>
          <w:bCs/>
          <w:color w:val="auto"/>
          <w:sz w:val="21"/>
          <w:szCs w:val="21"/>
          <w:highlight w:val="none"/>
        </w:rPr>
        <w:t>中中小企业、小微企业合同金额应当达到的比例要求填写。</w:t>
      </w:r>
      <w:r>
        <w:rPr>
          <w:rFonts w:hint="eastAsia" w:ascii="宋体" w:hAnsi="宋体" w:eastAsia="宋体" w:cs="宋体"/>
          <w:b/>
          <w:bCs/>
          <w:color w:val="auto"/>
          <w:kern w:val="0"/>
          <w:sz w:val="21"/>
          <w:szCs w:val="21"/>
          <w:highlight w:val="none"/>
          <w:lang w:val="zh-CN"/>
        </w:rPr>
        <w:t>）</w:t>
      </w:r>
      <w:bookmarkEnd w:id="319"/>
    </w:p>
    <w:p w14:paraId="57118D0E">
      <w:pPr>
        <w:keepNext w:val="0"/>
        <w:keepLines w:val="0"/>
        <w:pageBreakBefore w:val="0"/>
        <w:shd w:val="clear"/>
        <w:kinsoku/>
        <w:wordWrap/>
        <w:overflowPunct/>
        <w:topLinePunct w:val="0"/>
        <w:autoSpaceDE/>
        <w:autoSpaceDN/>
        <w:bidi w:val="0"/>
        <w:adjustRightInd/>
        <w:snapToGrid/>
        <w:spacing w:line="360" w:lineRule="auto"/>
        <w:ind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三、分包工作履行期限、地点、方式</w:t>
      </w:r>
    </w:p>
    <w:p w14:paraId="3A1FB10B">
      <w:pPr>
        <w:keepNext w:val="0"/>
        <w:keepLines w:val="0"/>
        <w:pageBreakBefore w:val="0"/>
        <w:shd w:val="clear"/>
        <w:kinsoku/>
        <w:wordWrap/>
        <w:overflowPunct/>
        <w:topLinePunct w:val="0"/>
        <w:autoSpaceDE/>
        <w:autoSpaceDN/>
        <w:bidi w:val="0"/>
        <w:adjustRightInd/>
        <w:snapToGrid/>
        <w:spacing w:line="360" w:lineRule="auto"/>
        <w:ind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四、质量</w:t>
      </w:r>
    </w:p>
    <w:p w14:paraId="63B0D3FB">
      <w:pPr>
        <w:keepNext w:val="0"/>
        <w:keepLines w:val="0"/>
        <w:pageBreakBefore w:val="0"/>
        <w:shd w:val="clear"/>
        <w:kinsoku/>
        <w:wordWrap/>
        <w:overflowPunct/>
        <w:topLinePunct w:val="0"/>
        <w:autoSpaceDE/>
        <w:autoSpaceDN/>
        <w:bidi w:val="0"/>
        <w:adjustRightInd/>
        <w:snapToGrid/>
        <w:spacing w:line="360" w:lineRule="auto"/>
        <w:ind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五、价款或者报酬</w:t>
      </w:r>
    </w:p>
    <w:p w14:paraId="27A5B0EE">
      <w:pPr>
        <w:keepNext w:val="0"/>
        <w:keepLines w:val="0"/>
        <w:pageBreakBefore w:val="0"/>
        <w:shd w:val="clear"/>
        <w:kinsoku/>
        <w:wordWrap/>
        <w:overflowPunct/>
        <w:topLinePunct w:val="0"/>
        <w:autoSpaceDE/>
        <w:autoSpaceDN/>
        <w:bidi w:val="0"/>
        <w:adjustRightInd/>
        <w:snapToGrid/>
        <w:spacing w:line="360" w:lineRule="auto"/>
        <w:ind w:left="573" w:leftChars="273"/>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六、违约责任</w:t>
      </w:r>
    </w:p>
    <w:p w14:paraId="5FC29AAB">
      <w:pPr>
        <w:keepNext w:val="0"/>
        <w:keepLines w:val="0"/>
        <w:pageBreakBefore w:val="0"/>
        <w:shd w:val="clear"/>
        <w:kinsoku/>
        <w:wordWrap/>
        <w:overflowPunct/>
        <w:topLinePunct w:val="0"/>
        <w:autoSpaceDE/>
        <w:autoSpaceDN/>
        <w:bidi w:val="0"/>
        <w:adjustRightInd/>
        <w:snapToGrid/>
        <w:spacing w:line="360" w:lineRule="auto"/>
        <w:ind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七、争议解决的办法</w:t>
      </w:r>
    </w:p>
    <w:p w14:paraId="475D5BEB">
      <w:pPr>
        <w:keepNext w:val="0"/>
        <w:keepLines w:val="0"/>
        <w:pageBreakBefore w:val="0"/>
        <w:shd w:val="clear"/>
        <w:kinsoku/>
        <w:wordWrap/>
        <w:overflowPunct/>
        <w:topLinePunct w:val="0"/>
        <w:autoSpaceDE/>
        <w:autoSpaceDN/>
        <w:bidi w:val="0"/>
        <w:adjustRightInd/>
        <w:snapToGrid/>
        <w:spacing w:line="360" w:lineRule="auto"/>
        <w:ind w:left="5128" w:leftChars="342" w:hanging="4410" w:hangingChars="21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投标人名称(电子签名)：</w:t>
      </w:r>
    </w:p>
    <w:p w14:paraId="4EBE5389">
      <w:pPr>
        <w:keepNext w:val="0"/>
        <w:keepLines w:val="0"/>
        <w:pageBreakBefore w:val="0"/>
        <w:shd w:val="clear"/>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分包投标人名称(电子签名/公章)：</w:t>
      </w:r>
    </w:p>
    <w:p w14:paraId="094721E9">
      <w:pPr>
        <w:keepNext w:val="0"/>
        <w:keepLines w:val="0"/>
        <w:pageBreakBefore w:val="0"/>
        <w:shd w:val="clear"/>
        <w:kinsoku/>
        <w:wordWrap/>
        <w:overflowPunct/>
        <w:topLinePunct w:val="0"/>
        <w:autoSpaceDE/>
        <w:autoSpaceDN/>
        <w:bidi w:val="0"/>
        <w:adjustRightInd/>
        <w:snapToGrid/>
        <w:spacing w:line="360" w:lineRule="auto"/>
        <w:ind w:firstLine="5040" w:firstLineChars="24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w:t>
      </w:r>
    </w:p>
    <w:p w14:paraId="5EBBA82B">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日期：  年  月   日</w:t>
      </w:r>
    </w:p>
    <w:p w14:paraId="48FB6D2C">
      <w:pPr>
        <w:keepNext w:val="0"/>
        <w:keepLines w:val="0"/>
        <w:pageBreakBefore w:val="0"/>
        <w:shd w:val="clear"/>
        <w:kinsoku/>
        <w:wordWrap/>
        <w:overflowPunct/>
        <w:topLinePunct w:val="0"/>
        <w:autoSpaceDE/>
        <w:autoSpaceDN/>
        <w:bidi w:val="0"/>
        <w:adjustRightInd/>
        <w:snapToGrid/>
        <w:spacing w:line="360" w:lineRule="auto"/>
        <w:textAlignment w:val="auto"/>
        <w:rPr>
          <w:rFonts w:hint="eastAsia" w:ascii="宋体" w:hAnsi="宋体" w:eastAsia="宋体" w:cs="宋体"/>
          <w:b/>
          <w:color w:val="auto"/>
          <w:spacing w:val="6"/>
          <w:sz w:val="21"/>
          <w:szCs w:val="21"/>
          <w:highlight w:val="none"/>
        </w:rPr>
      </w:pPr>
      <w:r>
        <w:rPr>
          <w:rFonts w:hint="eastAsia" w:ascii="宋体" w:hAnsi="宋体" w:eastAsia="宋体" w:cs="宋体"/>
          <w:color w:val="auto"/>
          <w:sz w:val="21"/>
          <w:szCs w:val="21"/>
          <w:highlight w:val="none"/>
        </w:rPr>
        <w:t>注：按本格式和要求提供。</w:t>
      </w:r>
      <w:r>
        <w:rPr>
          <w:rFonts w:hint="eastAsia" w:ascii="宋体" w:hAnsi="宋体" w:eastAsia="宋体" w:cs="宋体"/>
          <w:b/>
          <w:color w:val="auto"/>
          <w:spacing w:val="6"/>
          <w:sz w:val="21"/>
          <w:szCs w:val="21"/>
          <w:highlight w:val="none"/>
        </w:rPr>
        <w:br w:type="page"/>
      </w:r>
    </w:p>
    <w:p w14:paraId="584E855E">
      <w:pPr>
        <w:pStyle w:val="5"/>
        <w:pageBreakBefore w:val="0"/>
        <w:shd w:val="clear"/>
        <w:kinsoku/>
        <w:overflowPunct/>
        <w:topLinePunct w:val="0"/>
        <w:bidi w:val="0"/>
        <w:spacing w:line="360" w:lineRule="auto"/>
        <w:jc w:val="center"/>
        <w:rPr>
          <w:rFonts w:hint="eastAsia" w:ascii="宋体" w:hAnsi="宋体" w:eastAsia="宋体" w:cs="宋体"/>
          <w:color w:val="auto"/>
          <w:highlight w:val="none"/>
        </w:rPr>
      </w:pPr>
      <w:bookmarkStart w:id="320" w:name="_Toc16336"/>
      <w:bookmarkStart w:id="321" w:name="_Toc17281"/>
      <w:bookmarkStart w:id="322" w:name="_Toc5152"/>
      <w:bookmarkStart w:id="323" w:name="_Toc23835"/>
      <w:bookmarkStart w:id="324" w:name="_Toc18553"/>
      <w:bookmarkStart w:id="325" w:name="_Toc21041"/>
      <w:bookmarkStart w:id="326" w:name="_Toc27300"/>
      <w:bookmarkStart w:id="327" w:name="_Toc20958"/>
      <w:r>
        <w:rPr>
          <w:rFonts w:hint="eastAsia" w:ascii="宋体" w:hAnsi="宋体" w:eastAsia="宋体" w:cs="宋体"/>
          <w:color w:val="auto"/>
          <w:highlight w:val="none"/>
        </w:rPr>
        <w:t>附件7：中小企业声明函</w:t>
      </w:r>
      <w:bookmarkEnd w:id="320"/>
      <w:bookmarkEnd w:id="321"/>
      <w:bookmarkEnd w:id="322"/>
      <w:bookmarkEnd w:id="323"/>
      <w:bookmarkEnd w:id="324"/>
      <w:bookmarkEnd w:id="325"/>
      <w:bookmarkEnd w:id="326"/>
      <w:bookmarkEnd w:id="327"/>
    </w:p>
    <w:p w14:paraId="1025F6DA">
      <w:pPr>
        <w:pageBreakBefore w:val="0"/>
        <w:shd w:val="clear"/>
        <w:kinsoku/>
        <w:overflowPunct/>
        <w:topLinePunct w:val="0"/>
        <w:bidi w:val="0"/>
        <w:adjustRightInd w:val="0"/>
        <w:snapToGrid w:val="0"/>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中小企业声明函（服务）</w:t>
      </w:r>
    </w:p>
    <w:p w14:paraId="36F2633E">
      <w:pPr>
        <w:pageBreakBefore w:val="0"/>
        <w:shd w:val="clear"/>
        <w:kinsoku/>
        <w:overflowPunct/>
        <w:topLinePunct w:val="0"/>
        <w:bidi w:val="0"/>
        <w:adjustRightInd w:val="0"/>
        <w:snapToGrid w:val="0"/>
        <w:spacing w:line="360" w:lineRule="auto"/>
        <w:ind w:firstLine="525" w:firstLineChars="2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1"/>
          <w:szCs w:val="21"/>
          <w:highlight w:val="none"/>
          <w:u w:val="single"/>
        </w:rPr>
        <w:t>（</w:t>
      </w:r>
      <w:r>
        <w:rPr>
          <w:rFonts w:hint="eastAsia" w:ascii="宋体" w:hAnsi="宋体" w:eastAsia="宋体" w:cs="宋体"/>
          <w:color w:val="auto"/>
          <w:highlight w:val="none"/>
          <w:u w:val="single"/>
          <w:lang w:eastAsia="zh-CN"/>
        </w:rPr>
        <w:t>浙江理工大学</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none"/>
        </w:rPr>
        <w:t>的</w:t>
      </w:r>
      <w:r>
        <w:rPr>
          <w:rFonts w:hint="eastAsia" w:ascii="宋体" w:hAnsi="宋体" w:eastAsia="宋体" w:cs="宋体"/>
          <w:color w:val="auto"/>
          <w:sz w:val="21"/>
          <w:szCs w:val="21"/>
          <w:highlight w:val="none"/>
          <w:u w:val="single"/>
        </w:rPr>
        <w:t>（</w:t>
      </w:r>
      <w:r>
        <w:rPr>
          <w:rFonts w:hint="eastAsia" w:ascii="宋体" w:hAnsi="宋体" w:eastAsia="宋体" w:cs="宋体"/>
          <w:color w:val="auto"/>
          <w:highlight w:val="none"/>
          <w:u w:val="single"/>
          <w:lang w:eastAsia="zh-CN"/>
        </w:rPr>
        <w:t>浙江理工大学钱塘校区教育教学用房及设施提升改造工程结算审核造价咨询服务项目</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采购活动，</w:t>
      </w:r>
      <w:r>
        <w:rPr>
          <w:rFonts w:hint="eastAsia" w:ascii="宋体" w:hAnsi="宋体" w:eastAsia="宋体" w:cs="宋体"/>
          <w:b/>
          <w:bCs/>
          <w:color w:val="auto"/>
          <w:sz w:val="21"/>
          <w:szCs w:val="21"/>
          <w:highlight w:val="none"/>
        </w:rPr>
        <w:t>服务全部由符合政策要求的中小企业承接</w:t>
      </w:r>
      <w:r>
        <w:rPr>
          <w:rFonts w:hint="eastAsia" w:ascii="宋体" w:hAnsi="宋体" w:eastAsia="宋体" w:cs="宋体"/>
          <w:color w:val="auto"/>
          <w:sz w:val="21"/>
          <w:szCs w:val="21"/>
          <w:highlight w:val="none"/>
        </w:rPr>
        <w:t>。相关企业（含联合体中的中小企业、签订分包意向协议的中小企业）的具体情况如下：</w:t>
      </w:r>
    </w:p>
    <w:p w14:paraId="5670060F">
      <w:pPr>
        <w:pStyle w:val="82"/>
        <w:pageBreakBefore w:val="0"/>
        <w:shd w:val="clear"/>
        <w:tabs>
          <w:tab w:val="left" w:pos="1183"/>
          <w:tab w:val="left" w:pos="1484"/>
          <w:tab w:val="left" w:pos="4662"/>
          <w:tab w:val="left" w:pos="6903"/>
        </w:tabs>
        <w:kinsoku/>
        <w:overflowPunct/>
        <w:topLinePunct w:val="0"/>
        <w:autoSpaceDE w:val="0"/>
        <w:autoSpaceDN w:val="0"/>
        <w:bidi w:val="0"/>
        <w:adjustRightInd w:val="0"/>
        <w:snapToGrid w:val="0"/>
        <w:spacing w:line="360" w:lineRule="auto"/>
        <w:ind w:right="-65" w:rightChars="-31" w:firstLine="581" w:firstLineChars="277"/>
        <w:jc w:val="left"/>
        <w:rPr>
          <w:rFonts w:hint="eastAsia" w:ascii="宋体" w:hAnsi="宋体" w:eastAsia="宋体" w:cs="宋体"/>
          <w:iCs/>
          <w:color w:val="auto"/>
          <w:szCs w:val="21"/>
          <w:highlight w:val="none"/>
        </w:rPr>
      </w:pPr>
      <w:r>
        <w:rPr>
          <w:rFonts w:hint="eastAsia" w:ascii="宋体" w:hAnsi="宋体" w:eastAsia="宋体" w:cs="宋体"/>
          <w:color w:val="auto"/>
          <w:sz w:val="21"/>
          <w:szCs w:val="21"/>
          <w:highlight w:val="none"/>
        </w:rPr>
        <w:t>1.</w:t>
      </w:r>
      <w:r>
        <w:rPr>
          <w:rFonts w:hint="eastAsia" w:ascii="宋体" w:hAnsi="宋体" w:cs="宋体"/>
          <w:b/>
          <w:bCs/>
          <w:color w:val="auto"/>
          <w:sz w:val="21"/>
          <w:szCs w:val="21"/>
          <w:highlight w:val="none"/>
          <w:u w:val="single"/>
          <w:lang w:eastAsia="zh-CN"/>
        </w:rPr>
        <w:t>钱塘校区教育教学用房及设施提升改造工程结算审核造价咨询服务</w:t>
      </w:r>
      <w:r>
        <w:rPr>
          <w:rFonts w:hint="eastAsia" w:ascii="宋体" w:hAnsi="宋体" w:eastAsia="宋体" w:cs="宋体"/>
          <w:color w:val="auto"/>
          <w:sz w:val="21"/>
          <w:szCs w:val="21"/>
          <w:highlight w:val="none"/>
        </w:rPr>
        <w:t xml:space="preserve">，属于 </w:t>
      </w:r>
      <w:r>
        <w:rPr>
          <w:rFonts w:hint="eastAsia" w:ascii="宋体" w:hAnsi="宋体" w:eastAsia="宋体" w:cs="宋体"/>
          <w:b/>
          <w:bCs/>
          <w:color w:val="auto"/>
          <w:highlight w:val="none"/>
          <w:u w:val="single"/>
        </w:rPr>
        <w:t>其他未列明</w:t>
      </w:r>
      <w:r>
        <w:rPr>
          <w:rFonts w:hint="eastAsia" w:ascii="宋体" w:hAnsi="宋体" w:eastAsia="宋体" w:cs="宋体"/>
          <w:b/>
          <w:bCs/>
          <w:color w:val="auto"/>
          <w:highlight w:val="none"/>
          <w:u w:val="none"/>
        </w:rPr>
        <w:t>行业</w:t>
      </w:r>
      <w:r>
        <w:rPr>
          <w:rFonts w:hint="eastAsia" w:ascii="宋体" w:hAnsi="宋体" w:eastAsia="宋体" w:cs="宋体"/>
          <w:color w:val="auto"/>
          <w:sz w:val="21"/>
          <w:szCs w:val="21"/>
          <w:highlight w:val="none"/>
        </w:rPr>
        <w:t xml:space="preserve"> ；承建（承接）企业为 </w:t>
      </w:r>
      <w:r>
        <w:rPr>
          <w:rFonts w:hint="eastAsia" w:ascii="宋体" w:hAnsi="宋体" w:eastAsia="宋体" w:cs="宋体"/>
          <w:color w:val="auto"/>
          <w:sz w:val="21"/>
          <w:szCs w:val="21"/>
          <w:highlight w:val="none"/>
          <w:u w:val="single"/>
        </w:rPr>
        <w:t>（企业名称）</w:t>
      </w:r>
      <w:r>
        <w:rPr>
          <w:rFonts w:hint="eastAsia" w:ascii="宋体" w:hAnsi="宋体" w:eastAsia="宋体" w:cs="宋体"/>
          <w:color w:val="auto"/>
          <w:sz w:val="21"/>
          <w:szCs w:val="21"/>
          <w:highlight w:val="none"/>
        </w:rPr>
        <w:t xml:space="preserve"> ，从业人员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rPr>
        <w:t xml:space="preserve"> （中型企业、小型企业、微型企业） </w:t>
      </w:r>
      <w:r>
        <w:rPr>
          <w:rFonts w:hint="eastAsia" w:ascii="宋体" w:hAnsi="宋体" w:eastAsia="宋体" w:cs="宋体"/>
          <w:color w:val="auto"/>
          <w:sz w:val="21"/>
          <w:szCs w:val="21"/>
          <w:highlight w:val="none"/>
        </w:rPr>
        <w:t>；</w:t>
      </w:r>
      <w:r>
        <w:rPr>
          <w:rFonts w:hint="eastAsia" w:ascii="宋体" w:hAnsi="宋体" w:eastAsia="宋体" w:cs="宋体"/>
          <w:i/>
          <w:color w:val="auto"/>
          <w:w w:val="96"/>
          <w:szCs w:val="21"/>
          <w:highlight w:val="none"/>
          <w:u w:val="single"/>
        </w:rPr>
        <w:t>（</w:t>
      </w:r>
      <w:r>
        <w:rPr>
          <w:rFonts w:hint="eastAsia" w:ascii="宋体" w:hAnsi="宋体" w:eastAsia="宋体" w:cs="宋体"/>
          <w:b/>
          <w:bCs/>
          <w:i/>
          <w:color w:val="auto"/>
          <w:w w:val="96"/>
          <w:szCs w:val="21"/>
          <w:highlight w:val="none"/>
          <w:u w:val="single"/>
        </w:rPr>
        <w:t>特别说明：选择其中一种企业类型填写，不要全部写上</w:t>
      </w:r>
      <w:r>
        <w:rPr>
          <w:rFonts w:hint="eastAsia" w:ascii="宋体" w:hAnsi="宋体" w:eastAsia="宋体" w:cs="宋体"/>
          <w:b/>
          <w:bCs/>
          <w:i/>
          <w:color w:val="auto"/>
          <w:w w:val="96"/>
          <w:szCs w:val="21"/>
          <w:highlight w:val="none"/>
          <w:u w:val="single"/>
          <w:lang w:eastAsia="zh-CN"/>
        </w:rPr>
        <w:t>。</w:t>
      </w:r>
      <w:r>
        <w:rPr>
          <w:rFonts w:hint="eastAsia" w:ascii="宋体" w:hAnsi="宋体" w:eastAsia="宋体" w:cs="宋体"/>
          <w:i/>
          <w:color w:val="auto"/>
          <w:w w:val="96"/>
          <w:szCs w:val="21"/>
          <w:highlight w:val="none"/>
          <w:u w:val="single"/>
        </w:rPr>
        <w:t>）</w:t>
      </w:r>
    </w:p>
    <w:p w14:paraId="350FB45D">
      <w:pPr>
        <w:pageBreakBefore w:val="0"/>
        <w:shd w:val="clear"/>
        <w:kinsoku/>
        <w:overflowPunct/>
        <w:topLinePunct w:val="0"/>
        <w:bidi w:val="0"/>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14:paraId="05ABE0C1">
      <w:pPr>
        <w:pageBreakBefore w:val="0"/>
        <w:shd w:val="clear"/>
        <w:kinsoku/>
        <w:overflowPunct/>
        <w:topLinePunct w:val="0"/>
        <w:bidi w:val="0"/>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本企业对上述声明内容的真实性负责。如有虚假，将依法承担相应责任。</w:t>
      </w:r>
    </w:p>
    <w:p w14:paraId="353ED02D">
      <w:pPr>
        <w:pageBreakBefore w:val="0"/>
        <w:shd w:val="clear"/>
        <w:kinsoku/>
        <w:overflowPunct/>
        <w:topLinePunct w:val="0"/>
        <w:bidi w:val="0"/>
        <w:adjustRightInd w:val="0"/>
        <w:snapToGrid w:val="0"/>
        <w:spacing w:line="360" w:lineRule="auto"/>
        <w:ind w:right="1760"/>
        <w:jc w:val="right"/>
        <w:rPr>
          <w:rFonts w:hint="eastAsia" w:ascii="宋体" w:hAnsi="宋体" w:eastAsia="宋体" w:cs="宋体"/>
          <w:color w:val="auto"/>
          <w:sz w:val="21"/>
          <w:szCs w:val="21"/>
          <w:highlight w:val="none"/>
          <w:lang w:eastAsia="zh-CN"/>
        </w:rPr>
      </w:pPr>
    </w:p>
    <w:p w14:paraId="0BC35FF9">
      <w:pPr>
        <w:pageBreakBefore w:val="0"/>
        <w:shd w:val="clear"/>
        <w:kinsoku/>
        <w:overflowPunct/>
        <w:topLinePunct w:val="0"/>
        <w:bidi w:val="0"/>
        <w:adjustRightInd w:val="0"/>
        <w:snapToGrid w:val="0"/>
        <w:spacing w:line="360" w:lineRule="auto"/>
        <w:ind w:right="176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名称（电子签名）：</w:t>
      </w:r>
    </w:p>
    <w:p w14:paraId="4E0B6AA6">
      <w:pPr>
        <w:pageBreakBefore w:val="0"/>
        <w:shd w:val="clear"/>
        <w:kinsoku/>
        <w:overflowPunct/>
        <w:topLinePunct w:val="0"/>
        <w:bidi w:val="0"/>
        <w:adjustRightInd w:val="0"/>
        <w:snapToGrid w:val="0"/>
        <w:spacing w:line="360" w:lineRule="auto"/>
        <w:ind w:right="1120" w:firstLine="4725" w:firstLineChars="2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p>
    <w:p w14:paraId="15C44B69">
      <w:pPr>
        <w:pageBreakBefore w:val="0"/>
        <w:shd w:val="clear"/>
        <w:kinsoku/>
        <w:overflowPunct/>
        <w:topLinePunct w:val="0"/>
        <w:bidi w:val="0"/>
        <w:spacing w:line="360" w:lineRule="auto"/>
        <w:ind w:right="30" w:firstLine="494"/>
        <w:jc w:val="center"/>
        <w:rPr>
          <w:rFonts w:hint="eastAsia" w:ascii="宋体" w:hAnsi="宋体" w:eastAsia="宋体" w:cs="宋体"/>
          <w:color w:val="auto"/>
          <w:sz w:val="21"/>
          <w:szCs w:val="21"/>
          <w:highlight w:val="none"/>
        </w:rPr>
      </w:pPr>
    </w:p>
    <w:p w14:paraId="3C924FF6">
      <w:pPr>
        <w:pageBreakBefore w:val="0"/>
        <w:shd w:val="clear"/>
        <w:kinsoku/>
        <w:overflowPunct/>
        <w:topLinePunct w:val="0"/>
        <w:bidi w:val="0"/>
        <w:spacing w:line="360" w:lineRule="auto"/>
        <w:ind w:right="420"/>
        <w:rPr>
          <w:rFonts w:hint="eastAsia" w:ascii="宋体" w:hAnsi="宋体" w:eastAsia="宋体" w:cs="宋体"/>
          <w:color w:val="auto"/>
          <w:sz w:val="18"/>
          <w:szCs w:val="18"/>
          <w:highlight w:val="none"/>
        </w:rPr>
      </w:pPr>
    </w:p>
    <w:p w14:paraId="73A7A9C2">
      <w:pPr>
        <w:pageBreakBefore w:val="0"/>
        <w:shd w:val="clear"/>
        <w:kinsoku/>
        <w:overflowPunct/>
        <w:topLinePunct w:val="0"/>
        <w:bidi w:val="0"/>
        <w:spacing w:line="360" w:lineRule="auto"/>
        <w:ind w:right="420"/>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注：</w:t>
      </w:r>
    </w:p>
    <w:p w14:paraId="08ED19E1">
      <w:pPr>
        <w:pageBreakBefore w:val="0"/>
        <w:shd w:val="clear"/>
        <w:kinsoku/>
        <w:overflowPunct/>
        <w:topLinePunct w:val="0"/>
        <w:bidi w:val="0"/>
        <w:spacing w:line="360" w:lineRule="auto"/>
        <w:ind w:right="420" w:firstLine="181" w:firstLineChars="100"/>
        <w:rPr>
          <w:rFonts w:hint="eastAsia" w:ascii="宋体" w:hAnsi="宋体" w:eastAsia="宋体" w:cs="宋体"/>
          <w:b/>
          <w:bCs/>
          <w:color w:val="auto"/>
          <w:sz w:val="18"/>
          <w:szCs w:val="18"/>
          <w:highlight w:val="none"/>
        </w:rPr>
        <w:sectPr>
          <w:footerReference r:id="rId19" w:type="first"/>
          <w:footerReference r:id="rId17" w:type="default"/>
          <w:footerReference r:id="rId18" w:type="even"/>
          <w:pgSz w:w="11906" w:h="16838"/>
          <w:pgMar w:top="1417" w:right="1418" w:bottom="1417" w:left="1587" w:header="851" w:footer="992" w:gutter="0"/>
          <w:pgNumType w:fmt="decimal"/>
          <w:cols w:space="720" w:num="1"/>
          <w:titlePg/>
          <w:docGrid w:linePitch="312" w:charSpace="0"/>
        </w:sectPr>
      </w:pPr>
      <w:r>
        <w:rPr>
          <w:rFonts w:hint="eastAsia" w:ascii="宋体" w:hAnsi="宋体" w:eastAsia="宋体" w:cs="宋体"/>
          <w:b/>
          <w:bCs/>
          <w:color w:val="auto"/>
          <w:sz w:val="18"/>
          <w:szCs w:val="18"/>
          <w:highlight w:val="none"/>
        </w:rPr>
        <w:t>1</w:t>
      </w:r>
      <w:r>
        <w:rPr>
          <w:rFonts w:hint="eastAsia" w:ascii="宋体" w:hAnsi="宋体" w:eastAsia="宋体" w:cs="宋体"/>
          <w:b/>
          <w:bCs/>
          <w:color w:val="auto"/>
          <w:sz w:val="18"/>
          <w:szCs w:val="18"/>
          <w:highlight w:val="none"/>
          <w:lang w:val="en-US" w:eastAsia="zh-CN"/>
        </w:rPr>
        <w:t>.</w:t>
      </w:r>
      <w:r>
        <w:rPr>
          <w:rFonts w:hint="eastAsia" w:ascii="宋体" w:hAnsi="宋体" w:eastAsia="宋体" w:cs="宋体"/>
          <w:b/>
          <w:bCs/>
          <w:color w:val="auto"/>
          <w:sz w:val="18"/>
          <w:szCs w:val="18"/>
          <w:highlight w:val="none"/>
        </w:rPr>
        <w:t>填写要求：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③《中小企业声明函》填写企业类型错误或者未填写企业类型的，投标无效。</w:t>
      </w:r>
    </w:p>
    <w:p w14:paraId="2AE33448">
      <w:pPr>
        <w:pageBreakBefore w:val="0"/>
        <w:shd w:val="clear"/>
        <w:kinsoku/>
        <w:overflowPunct/>
        <w:topLinePunct w:val="0"/>
        <w:bidi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highlight w:val="none"/>
        </w:rPr>
        <w:drawing>
          <wp:inline distT="0" distB="0" distL="114300" distR="114300">
            <wp:extent cx="9387840" cy="5678170"/>
            <wp:effectExtent l="0" t="0" r="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22"/>
                    <a:stretch>
                      <a:fillRect/>
                    </a:stretch>
                  </pic:blipFill>
                  <pic:spPr>
                    <a:xfrm>
                      <a:off x="0" y="0"/>
                      <a:ext cx="9387840" cy="5678170"/>
                    </a:xfrm>
                    <a:prstGeom prst="rect">
                      <a:avLst/>
                    </a:prstGeom>
                    <a:noFill/>
                    <a:ln>
                      <a:noFill/>
                    </a:ln>
                  </pic:spPr>
                </pic:pic>
              </a:graphicData>
            </a:graphic>
          </wp:inline>
        </w:drawing>
      </w:r>
    </w:p>
    <w:sectPr>
      <w:footerReference r:id="rId20" w:type="default"/>
      <w:pgSz w:w="16838" w:h="11911" w:orient="landscape"/>
      <w:pgMar w:top="1701" w:right="1417" w:bottom="1417" w:left="1134" w:header="992" w:footer="850"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楷体_GB2312">
    <w:altName w:val="楷体"/>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CS?o｡ﾀ?">
    <w:altName w:val="Yu Gothic"/>
    <w:panose1 w:val="00000000000000000000"/>
    <w:charset w:val="80"/>
    <w:family w:val="modern"/>
    <w:pitch w:val="default"/>
    <w:sig w:usb0="00000000" w:usb1="00000000" w:usb2="00000010" w:usb3="00000000" w:csb0="00020000" w:csb1="00000000"/>
  </w:font>
  <w:font w:name="MS Mincho">
    <w:altName w:val="Yu Gothic UI"/>
    <w:panose1 w:val="02020609040205080304"/>
    <w:charset w:val="80"/>
    <w:family w:val="auto"/>
    <w:pitch w:val="default"/>
    <w:sig w:usb0="00000000" w:usb1="00000000" w:usb2="00000012" w:usb3="00000000" w:csb0="4002009F" w:csb1="DFD70000"/>
  </w:font>
  <w:font w:name="Arial Narrow">
    <w:panose1 w:val="020B0606020202030204"/>
    <w:charset w:val="00"/>
    <w:family w:val="swiss"/>
    <w:pitch w:val="default"/>
    <w:sig w:usb0="00000287" w:usb1="00000800" w:usb2="00000000" w:usb3="00000000" w:csb0="2000009F" w:csb1="DFD70000"/>
  </w:font>
  <w:font w:name="_x000B__x000C_">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roman"/>
    <w:pitch w:val="default"/>
    <w:sig w:usb0="00000000" w:usb1="00000000" w:usb2="0000003F" w:usb3="00000000" w:csb0="603F01FF" w:csb1="FFFF0000"/>
  </w:font>
  <w:font w:name="华文楷体">
    <w:panose1 w:val="02010600040101010101"/>
    <w:charset w:val="86"/>
    <w:family w:val="auto"/>
    <w:pitch w:val="default"/>
    <w:sig w:usb0="00000287" w:usb1="080F0000" w:usb2="00000000" w:usb3="00000000" w:csb0="0004009F" w:csb1="DFD70000"/>
  </w:font>
  <w:font w:name="Yu Gothic">
    <w:panose1 w:val="020B0400000000000000"/>
    <w:charset w:val="80"/>
    <w:family w:val="auto"/>
    <w:pitch w:val="default"/>
    <w:sig w:usb0="E00002FF" w:usb1="2AC7FDFF" w:usb2="00000016" w:usb3="00000000" w:csb0="2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28046">
    <w:pPr>
      <w:pStyle w:val="31"/>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B2DB4">
    <w:pPr>
      <w:pStyle w:val="31"/>
      <w:rPr>
        <w:rFonts w:ascii="仿宋_GB2312" w:eastAsia="仿宋_GB2312"/>
        <w:szCs w:val="24"/>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17B385">
                          <w:pPr>
                            <w:pStyle w:val="31"/>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B17B385">
                    <w:pPr>
                      <w:pStyle w:val="31"/>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EBC17">
    <w:pPr>
      <w:pStyle w:val="31"/>
      <w:framePr w:wrap="around" w:vAnchor="text" w:hAnchor="margin" w:xAlign="right" w:y="1"/>
      <w:rPr>
        <w:rStyle w:val="50"/>
      </w:rPr>
    </w:pPr>
    <w:r>
      <w:fldChar w:fldCharType="begin"/>
    </w:r>
    <w:r>
      <w:rPr>
        <w:rStyle w:val="50"/>
      </w:rPr>
      <w:instrText xml:space="preserve">PAGE  </w:instrText>
    </w:r>
    <w:r>
      <w:fldChar w:fldCharType="end"/>
    </w:r>
  </w:p>
  <w:p w14:paraId="0AD78481">
    <w:pPr>
      <w:pStyle w:val="3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EA59C">
    <w:pPr>
      <w:pStyle w:val="31"/>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075E83">
                          <w:pPr>
                            <w:pStyle w:val="31"/>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B075E83">
                    <w:pPr>
                      <w:pStyle w:val="31"/>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E7F13">
    <w:pPr>
      <w:pStyle w:val="31"/>
      <w:rPr>
        <w:rFonts w:hint="eastAsia"/>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751500">
                          <w:pPr>
                            <w:pStyle w:val="31"/>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1751500">
                    <w:pPr>
                      <w:pStyle w:val="31"/>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0E918">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B8296">
    <w:pPr>
      <w:pStyle w:val="31"/>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E30F8">
    <w:pPr>
      <w:pStyle w:val="31"/>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6F0FDEB">
                          <w:pPr>
                            <w:pStyle w:val="31"/>
                          </w:pPr>
                          <w:r>
                            <w:fldChar w:fldCharType="begin"/>
                          </w:r>
                          <w:r>
                            <w:instrText xml:space="preserve"> PAGE  \* MERGEFORMAT </w:instrText>
                          </w:r>
                          <w:r>
                            <w:fldChar w:fldCharType="separate"/>
                          </w:r>
                          <w:r>
                            <w:t>0</w:t>
                          </w:r>
                          <w: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&#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QGx41NIBAACjAwAADgAAAAAAAAABACAAAAAi&#10;AQAAZHJzL2Uyb0RvYy54bWxQSwUGAAAAAAYABgBZAQAAZgUAAAAA&#10;">
              <v:fill on="f" focussize="0,0"/>
              <v:stroke on="f" weight="1.25pt"/>
              <v:imagedata o:title=""/>
              <o:lock v:ext="edit" aspectratio="f"/>
              <v:textbox inset="0mm,0mm,0mm,0mm" style="mso-fit-shape-to-text:t;">
                <w:txbxContent>
                  <w:p w14:paraId="06F0FDEB">
                    <w:pPr>
                      <w:pStyle w:val="31"/>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AE0FB">
    <w:pPr>
      <w:rPr>
        <w:rFonts w:ascii="仿宋_GB2312" w:eastAsia="仿宋_GB2312"/>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ECC2C4">
                          <w:pPr>
                            <w:pStyle w:val="31"/>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EECC2C4">
                    <w:pPr>
                      <w:pStyle w:val="31"/>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DBC6D">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91D43B">
                          <w:pPr>
                            <w:pStyle w:val="3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D91D43B">
                    <w:pPr>
                      <w:pStyle w:val="3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08EB6">
    <w:pPr>
      <w:pStyle w:val="31"/>
      <w:rPr>
        <w:rFonts w:ascii="仿宋_GB2312" w:eastAsia="仿宋_GB2312"/>
        <w:szCs w:val="24"/>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F9F8B9">
                          <w:pPr>
                            <w:pStyle w:val="31"/>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5F9F8B9">
                    <w:pPr>
                      <w:pStyle w:val="31"/>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2F774">
    <w:pPr>
      <w:pStyle w:val="31"/>
      <w:framePr w:wrap="around" w:vAnchor="text" w:hAnchor="margin" w:xAlign="right" w:y="1"/>
      <w:rPr>
        <w:rStyle w:val="50"/>
      </w:rPr>
    </w:pPr>
    <w:r>
      <w:fldChar w:fldCharType="begin"/>
    </w:r>
    <w:r>
      <w:rPr>
        <w:rStyle w:val="50"/>
      </w:rPr>
      <w:instrText xml:space="preserve">PAGE  </w:instrText>
    </w:r>
    <w:r>
      <w:fldChar w:fldCharType="end"/>
    </w:r>
  </w:p>
  <w:p w14:paraId="61B96256">
    <w:pPr>
      <w:pStyle w:val="31"/>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31EB9">
    <w:pPr>
      <w:pStyle w:val="31"/>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1C946B">
                          <w:pPr>
                            <w:pStyle w:val="31"/>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21C946B">
                    <w:pPr>
                      <w:pStyle w:val="31"/>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63B87">
    <w:pPr>
      <w:pStyle w:val="32"/>
      <w:pBdr>
        <w:bottom w:val="single" w:color="auto" w:sz="4" w:space="0"/>
      </w:pBdr>
      <w:jc w:val="right"/>
      <w:rPr>
        <w:rFonts w:hint="eastAsia" w:ascii="宋体" w:hAnsi="宋体" w:cs="宋体"/>
      </w:rPr>
    </w:pPr>
    <w:r>
      <w:rPr>
        <w:rFonts w:hint="eastAsia" w:ascii="宋体" w:hAnsi="宋体" w:cs="宋体"/>
        <w:color w:val="000000"/>
        <w:sz w:val="21"/>
        <w:szCs w:val="21"/>
      </w:rPr>
      <w:t>浙江理工大学</w:t>
    </w:r>
    <w:r>
      <w:rPr>
        <w:rFonts w:hint="eastAsia" w:ascii="宋体" w:hAnsi="宋体" w:cs="宋体"/>
        <w:color w:val="000000"/>
        <w:sz w:val="21"/>
        <w:szCs w:val="21"/>
        <w:lang w:eastAsia="zh-CN"/>
      </w:rPr>
      <w:t>钱塘校区教育教学用房及设施提升改造工程结算审核造价咨询服务项目</w:t>
    </w:r>
    <w:r>
      <w:rPr>
        <w:rFonts w:hint="eastAsia" w:ascii="宋体" w:hAnsi="宋体" w:cs="宋体"/>
        <w:color w:val="000000"/>
        <w:sz w:val="21"/>
        <w:szCs w:val="21"/>
      </w:rPr>
      <w:t>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6F220">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E678D">
    <w:pPr>
      <w:pStyle w:val="32"/>
      <w:pBdr>
        <w:bottom w:val="single" w:color="auto" w:sz="4" w:space="0"/>
      </w:pBdr>
      <w:jc w:val="right"/>
      <w:rPr>
        <w:rFonts w:hint="eastAsia" w:ascii="宋体" w:hAnsi="宋体" w:cs="宋体"/>
      </w:rPr>
    </w:pPr>
    <w:r>
      <w:rPr>
        <w:rFonts w:hint="eastAsia" w:ascii="宋体" w:hAnsi="宋体" w:cs="宋体"/>
        <w:color w:val="000000"/>
        <w:sz w:val="21"/>
        <w:szCs w:val="21"/>
      </w:rPr>
      <w:t>浙江理工大学</w:t>
    </w:r>
    <w:r>
      <w:rPr>
        <w:rFonts w:hint="eastAsia" w:ascii="宋体" w:hAnsi="宋体" w:cs="宋体"/>
        <w:color w:val="000000"/>
        <w:sz w:val="21"/>
        <w:szCs w:val="21"/>
        <w:lang w:eastAsia="zh-CN"/>
      </w:rPr>
      <w:t>钱塘校区教育教学用房及设施提升改造工程结算审核造价咨询服务项目</w:t>
    </w:r>
    <w:r>
      <w:rPr>
        <w:rFonts w:hint="eastAsia" w:ascii="宋体" w:hAnsi="宋体" w:cs="宋体"/>
        <w:color w:val="000000"/>
        <w:sz w:val="21"/>
        <w:szCs w:val="21"/>
      </w:rPr>
      <w:t>采购文件</w:t>
    </w:r>
  </w:p>
  <w:p w14:paraId="38C66D4C">
    <w:pPr>
      <w:pStyle w:val="32"/>
      <w:pBdr>
        <w:top w:val="none" w:color="auto" w:sz="0" w:space="1"/>
        <w:left w:val="none" w:color="auto" w:sz="0" w:space="4"/>
        <w:bottom w:val="none" w:color="auto" w:sz="0" w:space="1"/>
        <w:right w:val="none" w:color="auto" w:sz="0" w:space="4"/>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18258">
    <w:pPr>
      <w:pStyle w:val="32"/>
      <w:pBdr>
        <w:bottom w:val="single" w:color="auto" w:sz="4" w:space="0"/>
      </w:pBdr>
      <w:jc w:val="right"/>
    </w:pPr>
    <w:r>
      <w:rPr>
        <w:rFonts w:hint="eastAsia" w:ascii="宋体" w:hAnsi="宋体" w:eastAsia="宋体" w:cs="宋体"/>
      </w:rPr>
      <w:t xml:space="preserve">   </w:t>
    </w:r>
    <w:r>
      <w:rPr>
        <w:rFonts w:hint="eastAsia" w:ascii="宋体" w:hAnsi="宋体" w:cs="宋体"/>
        <w:color w:val="000000"/>
        <w:sz w:val="21"/>
        <w:szCs w:val="21"/>
      </w:rPr>
      <w:t>浙江理工大学</w:t>
    </w:r>
    <w:r>
      <w:rPr>
        <w:rFonts w:hint="eastAsia" w:ascii="宋体" w:hAnsi="宋体" w:cs="宋体"/>
        <w:color w:val="000000"/>
        <w:sz w:val="21"/>
        <w:szCs w:val="21"/>
        <w:lang w:eastAsia="zh-CN"/>
      </w:rPr>
      <w:t>钱塘校区教育教学用房及设施提升改造工程结算审核造价咨询服务项目</w:t>
    </w:r>
    <w:r>
      <w:rPr>
        <w:rFonts w:hint="eastAsia" w:ascii="宋体" w:hAnsi="宋体" w:cs="宋体"/>
        <w:color w:val="000000"/>
        <w:sz w:val="21"/>
        <w:szCs w:val="21"/>
      </w:rPr>
      <w:t>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2875D">
    <w:pPr>
      <w:pStyle w:val="32"/>
      <w:pBdr>
        <w:bottom w:val="single" w:color="auto" w:sz="4" w:space="0"/>
      </w:pBdr>
      <w:ind w:firstLine="210" w:firstLineChars="100"/>
      <w:jc w:val="both"/>
    </w:pPr>
    <w:r>
      <w:rPr>
        <w:rFonts w:hint="eastAsia" w:ascii="宋体" w:hAnsi="宋体" w:cs="宋体"/>
        <w:color w:val="000000"/>
        <w:sz w:val="21"/>
        <w:szCs w:val="21"/>
      </w:rPr>
      <w:t>浙江理工大学</w:t>
    </w:r>
    <w:r>
      <w:rPr>
        <w:rFonts w:hint="eastAsia" w:ascii="宋体" w:hAnsi="宋体" w:cs="宋体"/>
        <w:color w:val="000000"/>
        <w:sz w:val="21"/>
        <w:szCs w:val="21"/>
        <w:lang w:eastAsia="zh-CN"/>
      </w:rPr>
      <w:t>钱塘校区教育教学用房及设施提升改造工程结算审核造价咨询服务项目</w:t>
    </w:r>
    <w:r>
      <w:rPr>
        <w:rFonts w:hint="eastAsia" w:ascii="宋体" w:hAnsi="宋体" w:cs="宋体"/>
        <w:color w:val="000000"/>
        <w:sz w:val="21"/>
        <w:szCs w:val="21"/>
      </w:rPr>
      <w:t>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26FFFC"/>
    <w:multiLevelType w:val="singleLevel"/>
    <w:tmpl w:val="9A26FFFC"/>
    <w:lvl w:ilvl="0" w:tentative="0">
      <w:start w:val="5"/>
      <w:numFmt w:val="decimal"/>
      <w:suff w:val="nothing"/>
      <w:lvlText w:val="%1、"/>
      <w:lvlJc w:val="left"/>
    </w:lvl>
  </w:abstractNum>
  <w:abstractNum w:abstractNumId="1">
    <w:nsid w:val="B6ED5973"/>
    <w:multiLevelType w:val="singleLevel"/>
    <w:tmpl w:val="B6ED5973"/>
    <w:lvl w:ilvl="0" w:tentative="0">
      <w:start w:val="1"/>
      <w:numFmt w:val="decimal"/>
      <w:lvlText w:val="(%1)"/>
      <w:lvlJc w:val="left"/>
      <w:pPr>
        <w:ind w:left="425" w:hanging="425"/>
      </w:pPr>
      <w:rPr>
        <w:rFonts w:hint="default"/>
        <w:b w:val="0"/>
        <w:bCs w:val="0"/>
      </w:rPr>
    </w:lvl>
  </w:abstractNum>
  <w:abstractNum w:abstractNumId="2">
    <w:nsid w:val="CA38D5C2"/>
    <w:multiLevelType w:val="multilevel"/>
    <w:tmpl w:val="CA38D5C2"/>
    <w:lvl w:ilvl="0" w:tentative="0">
      <w:start w:val="1"/>
      <w:numFmt w:val="decimal"/>
      <w:lvlText w:val="%1."/>
      <w:lvlJc w:val="left"/>
      <w:pPr>
        <w:ind w:left="57" w:leftChars="0" w:hanging="57" w:firstLineChars="0"/>
      </w:pPr>
      <w:rPr>
        <w:rFonts w:hint="default"/>
      </w:rPr>
    </w:lvl>
    <w:lvl w:ilvl="1" w:tentative="0">
      <w:start w:val="1"/>
      <w:numFmt w:val="decimal"/>
      <w:lvlText w:val="%1.%2."/>
      <w:lvlJc w:val="left"/>
      <w:pPr>
        <w:ind w:left="567" w:hanging="567"/>
      </w:pPr>
      <w:rPr>
        <w:rFonts w:hint="default" w:ascii="宋体" w:hAnsi="宋体" w:eastAsia="宋体" w:cs="宋体"/>
        <w:i w:val="0"/>
        <w:iCs w:val="0"/>
        <w:color w:val="000000" w:themeColor="text1"/>
        <w14:textFill>
          <w14:solidFill>
            <w14:schemeClr w14:val="tx1"/>
          </w14:solidFill>
        </w14:textFill>
      </w:rPr>
    </w:lvl>
    <w:lvl w:ilvl="2" w:tentative="0">
      <w:start w:val="1"/>
      <w:numFmt w:val="decimal"/>
      <w:lvlText w:val="%1.%2.%3."/>
      <w:lvlJc w:val="left"/>
      <w:pPr>
        <w:ind w:left="850" w:hanging="85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
    <w:nsid w:val="D9EC99C5"/>
    <w:multiLevelType w:val="singleLevel"/>
    <w:tmpl w:val="D9EC99C5"/>
    <w:lvl w:ilvl="0" w:tentative="0">
      <w:start w:val="1"/>
      <w:numFmt w:val="decimal"/>
      <w:lvlText w:val="(%1)"/>
      <w:lvlJc w:val="left"/>
      <w:pPr>
        <w:ind w:left="425" w:hanging="425"/>
      </w:pPr>
      <w:rPr>
        <w:rFonts w:hint="default"/>
        <w:b/>
        <w:bCs/>
      </w:rPr>
    </w:lvl>
  </w:abstractNum>
  <w:abstractNum w:abstractNumId="4">
    <w:nsid w:val="18F9F8B6"/>
    <w:multiLevelType w:val="singleLevel"/>
    <w:tmpl w:val="18F9F8B6"/>
    <w:lvl w:ilvl="0" w:tentative="0">
      <w:start w:val="1"/>
      <w:numFmt w:val="decimal"/>
      <w:suff w:val="nothing"/>
      <w:lvlText w:val="(%1)"/>
      <w:lvlJc w:val="left"/>
      <w:pPr>
        <w:ind w:left="0" w:leftChars="0" w:firstLine="0" w:firstLineChars="0"/>
      </w:pPr>
      <w:rPr>
        <w:rFonts w:hint="default"/>
      </w:rPr>
    </w:lvl>
  </w:abstractNum>
  <w:abstractNum w:abstractNumId="5">
    <w:nsid w:val="4BBD75E6"/>
    <w:multiLevelType w:val="singleLevel"/>
    <w:tmpl w:val="4BBD75E6"/>
    <w:lvl w:ilvl="0" w:tentative="0">
      <w:start w:val="1"/>
      <w:numFmt w:val="decimal"/>
      <w:suff w:val="nothing"/>
      <w:lvlText w:val="（%1）"/>
      <w:lvlJc w:val="left"/>
    </w:lvl>
  </w:abstractNum>
  <w:num w:numId="1">
    <w:abstractNumId w:val="1"/>
  </w:num>
  <w:num w:numId="2">
    <w:abstractNumId w:val="3"/>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1N2VjMzhjYmYwNmU2MmMxOTYxNDNkNzIyMzFjOGMifQ=="/>
  </w:docVars>
  <w:rsids>
    <w:rsidRoot w:val="00172A27"/>
    <w:rsid w:val="00001E56"/>
    <w:rsid w:val="0000396E"/>
    <w:rsid w:val="00004478"/>
    <w:rsid w:val="000151EB"/>
    <w:rsid w:val="000173D9"/>
    <w:rsid w:val="00023C95"/>
    <w:rsid w:val="00033EE6"/>
    <w:rsid w:val="000364DE"/>
    <w:rsid w:val="00036535"/>
    <w:rsid w:val="000371E8"/>
    <w:rsid w:val="000445EB"/>
    <w:rsid w:val="00050BD9"/>
    <w:rsid w:val="00053E49"/>
    <w:rsid w:val="00056429"/>
    <w:rsid w:val="00063A1A"/>
    <w:rsid w:val="0006711B"/>
    <w:rsid w:val="0006742A"/>
    <w:rsid w:val="00067A80"/>
    <w:rsid w:val="00067D63"/>
    <w:rsid w:val="0007753E"/>
    <w:rsid w:val="0008108E"/>
    <w:rsid w:val="00082EC3"/>
    <w:rsid w:val="00091E58"/>
    <w:rsid w:val="00096A49"/>
    <w:rsid w:val="000A26A0"/>
    <w:rsid w:val="000A7899"/>
    <w:rsid w:val="000B0696"/>
    <w:rsid w:val="000B4C37"/>
    <w:rsid w:val="000B7C98"/>
    <w:rsid w:val="000C0241"/>
    <w:rsid w:val="000C296B"/>
    <w:rsid w:val="000C314E"/>
    <w:rsid w:val="000E5537"/>
    <w:rsid w:val="00111DAF"/>
    <w:rsid w:val="0011283B"/>
    <w:rsid w:val="00112976"/>
    <w:rsid w:val="00114CF3"/>
    <w:rsid w:val="001236DA"/>
    <w:rsid w:val="001307EB"/>
    <w:rsid w:val="00132FF2"/>
    <w:rsid w:val="00140949"/>
    <w:rsid w:val="001474A4"/>
    <w:rsid w:val="001662B9"/>
    <w:rsid w:val="001A2705"/>
    <w:rsid w:val="001A3C11"/>
    <w:rsid w:val="001B3D36"/>
    <w:rsid w:val="001B666B"/>
    <w:rsid w:val="001C45D1"/>
    <w:rsid w:val="001C464B"/>
    <w:rsid w:val="001C5282"/>
    <w:rsid w:val="001D028B"/>
    <w:rsid w:val="001D0DE0"/>
    <w:rsid w:val="001E07E0"/>
    <w:rsid w:val="001F136F"/>
    <w:rsid w:val="001F4AAA"/>
    <w:rsid w:val="0020144A"/>
    <w:rsid w:val="00205FDC"/>
    <w:rsid w:val="002161CA"/>
    <w:rsid w:val="00244BE9"/>
    <w:rsid w:val="00252D74"/>
    <w:rsid w:val="00255979"/>
    <w:rsid w:val="00255D75"/>
    <w:rsid w:val="00260A47"/>
    <w:rsid w:val="00261C5B"/>
    <w:rsid w:val="00271A3C"/>
    <w:rsid w:val="00273D40"/>
    <w:rsid w:val="00280335"/>
    <w:rsid w:val="002851C3"/>
    <w:rsid w:val="002A0A4C"/>
    <w:rsid w:val="002A6597"/>
    <w:rsid w:val="002B06D1"/>
    <w:rsid w:val="002B7F8B"/>
    <w:rsid w:val="002C2B43"/>
    <w:rsid w:val="002C3E6B"/>
    <w:rsid w:val="002D06E1"/>
    <w:rsid w:val="002D3FEA"/>
    <w:rsid w:val="002D780C"/>
    <w:rsid w:val="002E4523"/>
    <w:rsid w:val="002E7540"/>
    <w:rsid w:val="002F5751"/>
    <w:rsid w:val="00301A3B"/>
    <w:rsid w:val="00312338"/>
    <w:rsid w:val="003167FF"/>
    <w:rsid w:val="0033728A"/>
    <w:rsid w:val="00340FBD"/>
    <w:rsid w:val="003458DD"/>
    <w:rsid w:val="00346FD6"/>
    <w:rsid w:val="0035269E"/>
    <w:rsid w:val="003577F6"/>
    <w:rsid w:val="00361C53"/>
    <w:rsid w:val="00371116"/>
    <w:rsid w:val="0037302D"/>
    <w:rsid w:val="00373E7F"/>
    <w:rsid w:val="00375001"/>
    <w:rsid w:val="00376577"/>
    <w:rsid w:val="00377D84"/>
    <w:rsid w:val="00380738"/>
    <w:rsid w:val="003846B2"/>
    <w:rsid w:val="00391928"/>
    <w:rsid w:val="003919E1"/>
    <w:rsid w:val="003A48E1"/>
    <w:rsid w:val="003B3663"/>
    <w:rsid w:val="003D0ACF"/>
    <w:rsid w:val="003D0F5F"/>
    <w:rsid w:val="003D4FE5"/>
    <w:rsid w:val="003D62AA"/>
    <w:rsid w:val="003E445D"/>
    <w:rsid w:val="003E4D6D"/>
    <w:rsid w:val="003E76A2"/>
    <w:rsid w:val="003F19B5"/>
    <w:rsid w:val="003F298D"/>
    <w:rsid w:val="004040C3"/>
    <w:rsid w:val="004241E3"/>
    <w:rsid w:val="004278F1"/>
    <w:rsid w:val="0043095A"/>
    <w:rsid w:val="00431055"/>
    <w:rsid w:val="00433B4B"/>
    <w:rsid w:val="00437005"/>
    <w:rsid w:val="004545CA"/>
    <w:rsid w:val="0046312D"/>
    <w:rsid w:val="004652D2"/>
    <w:rsid w:val="00470959"/>
    <w:rsid w:val="00471CFD"/>
    <w:rsid w:val="00474574"/>
    <w:rsid w:val="00480642"/>
    <w:rsid w:val="004A1324"/>
    <w:rsid w:val="004A3F59"/>
    <w:rsid w:val="004B212A"/>
    <w:rsid w:val="004B354D"/>
    <w:rsid w:val="004D09F0"/>
    <w:rsid w:val="004D1FE1"/>
    <w:rsid w:val="004D4196"/>
    <w:rsid w:val="004D4D0B"/>
    <w:rsid w:val="004E0815"/>
    <w:rsid w:val="004F220B"/>
    <w:rsid w:val="004F29EC"/>
    <w:rsid w:val="004F2FE1"/>
    <w:rsid w:val="004F3A58"/>
    <w:rsid w:val="004F54AA"/>
    <w:rsid w:val="004F550E"/>
    <w:rsid w:val="004F653D"/>
    <w:rsid w:val="00500F82"/>
    <w:rsid w:val="0052516E"/>
    <w:rsid w:val="00527F3E"/>
    <w:rsid w:val="00542801"/>
    <w:rsid w:val="0054542F"/>
    <w:rsid w:val="0055186A"/>
    <w:rsid w:val="00565B42"/>
    <w:rsid w:val="00566AEF"/>
    <w:rsid w:val="005923FB"/>
    <w:rsid w:val="0059694F"/>
    <w:rsid w:val="005A1025"/>
    <w:rsid w:val="005D3123"/>
    <w:rsid w:val="005E181F"/>
    <w:rsid w:val="005E6149"/>
    <w:rsid w:val="005F4032"/>
    <w:rsid w:val="00600A3F"/>
    <w:rsid w:val="006358C5"/>
    <w:rsid w:val="00646EED"/>
    <w:rsid w:val="0066425D"/>
    <w:rsid w:val="006802A2"/>
    <w:rsid w:val="006907C1"/>
    <w:rsid w:val="006939FC"/>
    <w:rsid w:val="00697C01"/>
    <w:rsid w:val="006A232A"/>
    <w:rsid w:val="006A36D5"/>
    <w:rsid w:val="006A5767"/>
    <w:rsid w:val="006B55CD"/>
    <w:rsid w:val="006D3A10"/>
    <w:rsid w:val="006D753A"/>
    <w:rsid w:val="006E2A6C"/>
    <w:rsid w:val="006E3886"/>
    <w:rsid w:val="006F15FC"/>
    <w:rsid w:val="006F3E6E"/>
    <w:rsid w:val="00700BC8"/>
    <w:rsid w:val="007031BD"/>
    <w:rsid w:val="0071174F"/>
    <w:rsid w:val="0071519C"/>
    <w:rsid w:val="00720826"/>
    <w:rsid w:val="007239AA"/>
    <w:rsid w:val="00723BA4"/>
    <w:rsid w:val="007347A8"/>
    <w:rsid w:val="007524E0"/>
    <w:rsid w:val="007536BE"/>
    <w:rsid w:val="007704B1"/>
    <w:rsid w:val="00775D40"/>
    <w:rsid w:val="00781837"/>
    <w:rsid w:val="007823CF"/>
    <w:rsid w:val="00792D0A"/>
    <w:rsid w:val="0079652A"/>
    <w:rsid w:val="007C552C"/>
    <w:rsid w:val="007D3403"/>
    <w:rsid w:val="007F5CA2"/>
    <w:rsid w:val="0080136F"/>
    <w:rsid w:val="00806699"/>
    <w:rsid w:val="00807C1C"/>
    <w:rsid w:val="00811AE1"/>
    <w:rsid w:val="0082579B"/>
    <w:rsid w:val="00827882"/>
    <w:rsid w:val="00831073"/>
    <w:rsid w:val="008523D4"/>
    <w:rsid w:val="008561C8"/>
    <w:rsid w:val="00863B15"/>
    <w:rsid w:val="00864583"/>
    <w:rsid w:val="00873832"/>
    <w:rsid w:val="00882251"/>
    <w:rsid w:val="0089426F"/>
    <w:rsid w:val="008A27A6"/>
    <w:rsid w:val="008B365F"/>
    <w:rsid w:val="008B6EF3"/>
    <w:rsid w:val="008C194F"/>
    <w:rsid w:val="008C4BC7"/>
    <w:rsid w:val="008C597D"/>
    <w:rsid w:val="008D0582"/>
    <w:rsid w:val="008D3C24"/>
    <w:rsid w:val="008E1AD7"/>
    <w:rsid w:val="008E637C"/>
    <w:rsid w:val="008F7D01"/>
    <w:rsid w:val="009072E5"/>
    <w:rsid w:val="00910F4C"/>
    <w:rsid w:val="00917B9E"/>
    <w:rsid w:val="00932BD4"/>
    <w:rsid w:val="0093363C"/>
    <w:rsid w:val="009506F2"/>
    <w:rsid w:val="009561E6"/>
    <w:rsid w:val="00971B09"/>
    <w:rsid w:val="00975676"/>
    <w:rsid w:val="009B2C10"/>
    <w:rsid w:val="009B59D2"/>
    <w:rsid w:val="009C0E6D"/>
    <w:rsid w:val="009C1567"/>
    <w:rsid w:val="009C5B37"/>
    <w:rsid w:val="009C67E9"/>
    <w:rsid w:val="009C797E"/>
    <w:rsid w:val="009D0543"/>
    <w:rsid w:val="009D0DDC"/>
    <w:rsid w:val="009D1220"/>
    <w:rsid w:val="009D25EA"/>
    <w:rsid w:val="009D7429"/>
    <w:rsid w:val="009D7EFB"/>
    <w:rsid w:val="009E29F7"/>
    <w:rsid w:val="009E4A8A"/>
    <w:rsid w:val="009F206D"/>
    <w:rsid w:val="009F4908"/>
    <w:rsid w:val="009F557F"/>
    <w:rsid w:val="00A00775"/>
    <w:rsid w:val="00A02ABC"/>
    <w:rsid w:val="00A047AA"/>
    <w:rsid w:val="00A04A75"/>
    <w:rsid w:val="00A04F8F"/>
    <w:rsid w:val="00A06B32"/>
    <w:rsid w:val="00A10C7D"/>
    <w:rsid w:val="00A1343F"/>
    <w:rsid w:val="00A2501C"/>
    <w:rsid w:val="00A33491"/>
    <w:rsid w:val="00A34D63"/>
    <w:rsid w:val="00A34F2B"/>
    <w:rsid w:val="00A50C08"/>
    <w:rsid w:val="00A64A15"/>
    <w:rsid w:val="00A702A9"/>
    <w:rsid w:val="00A70D13"/>
    <w:rsid w:val="00A767D0"/>
    <w:rsid w:val="00A8066B"/>
    <w:rsid w:val="00A92FFB"/>
    <w:rsid w:val="00A93FC0"/>
    <w:rsid w:val="00A94D98"/>
    <w:rsid w:val="00A97D06"/>
    <w:rsid w:val="00AA410D"/>
    <w:rsid w:val="00AA6793"/>
    <w:rsid w:val="00AA7912"/>
    <w:rsid w:val="00AA7C07"/>
    <w:rsid w:val="00AB1E3E"/>
    <w:rsid w:val="00AC0163"/>
    <w:rsid w:val="00AD5656"/>
    <w:rsid w:val="00AD77EE"/>
    <w:rsid w:val="00AE0282"/>
    <w:rsid w:val="00AE1A20"/>
    <w:rsid w:val="00AE4E6E"/>
    <w:rsid w:val="00AF341D"/>
    <w:rsid w:val="00B0444C"/>
    <w:rsid w:val="00B057FD"/>
    <w:rsid w:val="00B12E13"/>
    <w:rsid w:val="00B14E38"/>
    <w:rsid w:val="00B234C2"/>
    <w:rsid w:val="00B27BEF"/>
    <w:rsid w:val="00B27DD7"/>
    <w:rsid w:val="00B46D44"/>
    <w:rsid w:val="00B51E27"/>
    <w:rsid w:val="00B63DF2"/>
    <w:rsid w:val="00B750BD"/>
    <w:rsid w:val="00B8103A"/>
    <w:rsid w:val="00B878F6"/>
    <w:rsid w:val="00B96E56"/>
    <w:rsid w:val="00BA1E0D"/>
    <w:rsid w:val="00BA577A"/>
    <w:rsid w:val="00BA6208"/>
    <w:rsid w:val="00BA64EB"/>
    <w:rsid w:val="00BB2521"/>
    <w:rsid w:val="00BB6771"/>
    <w:rsid w:val="00BC170D"/>
    <w:rsid w:val="00BC46F3"/>
    <w:rsid w:val="00BD2D21"/>
    <w:rsid w:val="00BE136D"/>
    <w:rsid w:val="00BE4640"/>
    <w:rsid w:val="00BF40B3"/>
    <w:rsid w:val="00C022FB"/>
    <w:rsid w:val="00C06B0F"/>
    <w:rsid w:val="00C103FD"/>
    <w:rsid w:val="00C1372F"/>
    <w:rsid w:val="00C13CF4"/>
    <w:rsid w:val="00C146B3"/>
    <w:rsid w:val="00C15D7E"/>
    <w:rsid w:val="00C17F0A"/>
    <w:rsid w:val="00C239C7"/>
    <w:rsid w:val="00C36642"/>
    <w:rsid w:val="00C3672B"/>
    <w:rsid w:val="00C36CB6"/>
    <w:rsid w:val="00C37ACA"/>
    <w:rsid w:val="00C4636D"/>
    <w:rsid w:val="00C568C3"/>
    <w:rsid w:val="00C747A1"/>
    <w:rsid w:val="00C76B54"/>
    <w:rsid w:val="00C76F02"/>
    <w:rsid w:val="00C77444"/>
    <w:rsid w:val="00C80386"/>
    <w:rsid w:val="00C81CE0"/>
    <w:rsid w:val="00C83691"/>
    <w:rsid w:val="00C83733"/>
    <w:rsid w:val="00C839F9"/>
    <w:rsid w:val="00C90DED"/>
    <w:rsid w:val="00C95402"/>
    <w:rsid w:val="00CA4188"/>
    <w:rsid w:val="00CA4F76"/>
    <w:rsid w:val="00CB5D2B"/>
    <w:rsid w:val="00CB6394"/>
    <w:rsid w:val="00CC1307"/>
    <w:rsid w:val="00CC6586"/>
    <w:rsid w:val="00CC7090"/>
    <w:rsid w:val="00CD0199"/>
    <w:rsid w:val="00CD4ED5"/>
    <w:rsid w:val="00CE70F7"/>
    <w:rsid w:val="00CE78DD"/>
    <w:rsid w:val="00CF4CC8"/>
    <w:rsid w:val="00D027DA"/>
    <w:rsid w:val="00D05FAF"/>
    <w:rsid w:val="00D11F79"/>
    <w:rsid w:val="00D1761F"/>
    <w:rsid w:val="00D20019"/>
    <w:rsid w:val="00D2195C"/>
    <w:rsid w:val="00D227EA"/>
    <w:rsid w:val="00D2534B"/>
    <w:rsid w:val="00D31DA9"/>
    <w:rsid w:val="00D34B9F"/>
    <w:rsid w:val="00D35E8E"/>
    <w:rsid w:val="00D61159"/>
    <w:rsid w:val="00D61F52"/>
    <w:rsid w:val="00D65057"/>
    <w:rsid w:val="00D71BDF"/>
    <w:rsid w:val="00D71F9C"/>
    <w:rsid w:val="00D755AB"/>
    <w:rsid w:val="00D96CCD"/>
    <w:rsid w:val="00DA2635"/>
    <w:rsid w:val="00DA692B"/>
    <w:rsid w:val="00DC2D9B"/>
    <w:rsid w:val="00DD1A81"/>
    <w:rsid w:val="00DE7222"/>
    <w:rsid w:val="00DF070C"/>
    <w:rsid w:val="00DF56AD"/>
    <w:rsid w:val="00DF5723"/>
    <w:rsid w:val="00E03064"/>
    <w:rsid w:val="00E0770D"/>
    <w:rsid w:val="00E169CF"/>
    <w:rsid w:val="00E16BA3"/>
    <w:rsid w:val="00E23444"/>
    <w:rsid w:val="00E25909"/>
    <w:rsid w:val="00E260E6"/>
    <w:rsid w:val="00E309C7"/>
    <w:rsid w:val="00E32D71"/>
    <w:rsid w:val="00E41D4E"/>
    <w:rsid w:val="00E438FF"/>
    <w:rsid w:val="00E43DC1"/>
    <w:rsid w:val="00E465CF"/>
    <w:rsid w:val="00E52CCA"/>
    <w:rsid w:val="00E53716"/>
    <w:rsid w:val="00E56245"/>
    <w:rsid w:val="00E568CF"/>
    <w:rsid w:val="00E76F26"/>
    <w:rsid w:val="00E901C8"/>
    <w:rsid w:val="00E94094"/>
    <w:rsid w:val="00E941BD"/>
    <w:rsid w:val="00EA0DAE"/>
    <w:rsid w:val="00EA55DA"/>
    <w:rsid w:val="00EB17DC"/>
    <w:rsid w:val="00EC4FF2"/>
    <w:rsid w:val="00ED0811"/>
    <w:rsid w:val="00ED23D6"/>
    <w:rsid w:val="00EF231F"/>
    <w:rsid w:val="00EF502F"/>
    <w:rsid w:val="00F050B6"/>
    <w:rsid w:val="00F057E6"/>
    <w:rsid w:val="00F11557"/>
    <w:rsid w:val="00F1486C"/>
    <w:rsid w:val="00F16532"/>
    <w:rsid w:val="00F17641"/>
    <w:rsid w:val="00F20DC4"/>
    <w:rsid w:val="00F222B2"/>
    <w:rsid w:val="00F251D9"/>
    <w:rsid w:val="00F263DC"/>
    <w:rsid w:val="00F32409"/>
    <w:rsid w:val="00F3248B"/>
    <w:rsid w:val="00F3307C"/>
    <w:rsid w:val="00F33F05"/>
    <w:rsid w:val="00F42052"/>
    <w:rsid w:val="00F52B2E"/>
    <w:rsid w:val="00F53CE7"/>
    <w:rsid w:val="00F548C4"/>
    <w:rsid w:val="00F64AA5"/>
    <w:rsid w:val="00F6554E"/>
    <w:rsid w:val="00F6671F"/>
    <w:rsid w:val="00F67079"/>
    <w:rsid w:val="00F723A9"/>
    <w:rsid w:val="00F8405C"/>
    <w:rsid w:val="00F86D16"/>
    <w:rsid w:val="00F93265"/>
    <w:rsid w:val="00F93EFE"/>
    <w:rsid w:val="00FA1C44"/>
    <w:rsid w:val="00FA3B25"/>
    <w:rsid w:val="00FC02BF"/>
    <w:rsid w:val="00FC1946"/>
    <w:rsid w:val="00FC43EC"/>
    <w:rsid w:val="00FC6360"/>
    <w:rsid w:val="00FD5426"/>
    <w:rsid w:val="00FE2BA1"/>
    <w:rsid w:val="00FE56AD"/>
    <w:rsid w:val="00FE6D09"/>
    <w:rsid w:val="00FF3F0D"/>
    <w:rsid w:val="00FF466A"/>
    <w:rsid w:val="01242C13"/>
    <w:rsid w:val="01433A3C"/>
    <w:rsid w:val="016834AF"/>
    <w:rsid w:val="016A18BB"/>
    <w:rsid w:val="01794A21"/>
    <w:rsid w:val="01976229"/>
    <w:rsid w:val="01981D96"/>
    <w:rsid w:val="01A026F0"/>
    <w:rsid w:val="01AC5842"/>
    <w:rsid w:val="01BB3CD7"/>
    <w:rsid w:val="01E572E6"/>
    <w:rsid w:val="02205968"/>
    <w:rsid w:val="023D593B"/>
    <w:rsid w:val="023F0464"/>
    <w:rsid w:val="025C1016"/>
    <w:rsid w:val="02932217"/>
    <w:rsid w:val="02A92B78"/>
    <w:rsid w:val="02C00B3F"/>
    <w:rsid w:val="02CB0EA4"/>
    <w:rsid w:val="02E35069"/>
    <w:rsid w:val="02EB1417"/>
    <w:rsid w:val="02F25DD2"/>
    <w:rsid w:val="02FE4EAA"/>
    <w:rsid w:val="03217B69"/>
    <w:rsid w:val="03256B9E"/>
    <w:rsid w:val="03296A45"/>
    <w:rsid w:val="0335525D"/>
    <w:rsid w:val="033F29FA"/>
    <w:rsid w:val="035B12CD"/>
    <w:rsid w:val="03771E7F"/>
    <w:rsid w:val="038652C6"/>
    <w:rsid w:val="03936BB9"/>
    <w:rsid w:val="03A9328A"/>
    <w:rsid w:val="03B32E7A"/>
    <w:rsid w:val="03B870CA"/>
    <w:rsid w:val="03BE7AAE"/>
    <w:rsid w:val="03CA6F75"/>
    <w:rsid w:val="03D74731"/>
    <w:rsid w:val="03E502B0"/>
    <w:rsid w:val="03FB03BA"/>
    <w:rsid w:val="041B4C2B"/>
    <w:rsid w:val="04267CCB"/>
    <w:rsid w:val="042E2198"/>
    <w:rsid w:val="044819E6"/>
    <w:rsid w:val="046532AA"/>
    <w:rsid w:val="04763EE5"/>
    <w:rsid w:val="04806B11"/>
    <w:rsid w:val="048B5BE2"/>
    <w:rsid w:val="04AF44F0"/>
    <w:rsid w:val="04B2779A"/>
    <w:rsid w:val="04D213A5"/>
    <w:rsid w:val="04E13A54"/>
    <w:rsid w:val="04FC5702"/>
    <w:rsid w:val="05145BD8"/>
    <w:rsid w:val="05281726"/>
    <w:rsid w:val="055F2BB9"/>
    <w:rsid w:val="05776166"/>
    <w:rsid w:val="05824075"/>
    <w:rsid w:val="05893817"/>
    <w:rsid w:val="05BC183A"/>
    <w:rsid w:val="05CA2696"/>
    <w:rsid w:val="05E11832"/>
    <w:rsid w:val="05E63737"/>
    <w:rsid w:val="06015859"/>
    <w:rsid w:val="061D0ABC"/>
    <w:rsid w:val="065C00A9"/>
    <w:rsid w:val="0677122A"/>
    <w:rsid w:val="06AC236D"/>
    <w:rsid w:val="06AD62E4"/>
    <w:rsid w:val="06C632EC"/>
    <w:rsid w:val="06C66228"/>
    <w:rsid w:val="06D74D2C"/>
    <w:rsid w:val="06FC6923"/>
    <w:rsid w:val="0717375D"/>
    <w:rsid w:val="07272FEF"/>
    <w:rsid w:val="073065CD"/>
    <w:rsid w:val="07352BCC"/>
    <w:rsid w:val="0754675F"/>
    <w:rsid w:val="075E33B7"/>
    <w:rsid w:val="075E47E1"/>
    <w:rsid w:val="07611FC2"/>
    <w:rsid w:val="077B67C3"/>
    <w:rsid w:val="07810992"/>
    <w:rsid w:val="07951EC6"/>
    <w:rsid w:val="07C45D98"/>
    <w:rsid w:val="07C766EF"/>
    <w:rsid w:val="07F6398C"/>
    <w:rsid w:val="07F81306"/>
    <w:rsid w:val="080F5EFD"/>
    <w:rsid w:val="081B54CF"/>
    <w:rsid w:val="084A4981"/>
    <w:rsid w:val="086A1FB2"/>
    <w:rsid w:val="08915791"/>
    <w:rsid w:val="08C67131"/>
    <w:rsid w:val="08DD1D65"/>
    <w:rsid w:val="08F85505"/>
    <w:rsid w:val="09023E0B"/>
    <w:rsid w:val="09173EE8"/>
    <w:rsid w:val="09364775"/>
    <w:rsid w:val="094D3FF6"/>
    <w:rsid w:val="094E5EB9"/>
    <w:rsid w:val="095011A8"/>
    <w:rsid w:val="09590CF0"/>
    <w:rsid w:val="09647A9E"/>
    <w:rsid w:val="097405D5"/>
    <w:rsid w:val="098826F0"/>
    <w:rsid w:val="099A67D6"/>
    <w:rsid w:val="099E2019"/>
    <w:rsid w:val="09A11113"/>
    <w:rsid w:val="09BA5503"/>
    <w:rsid w:val="09C22DCB"/>
    <w:rsid w:val="09C37BCC"/>
    <w:rsid w:val="09F64B10"/>
    <w:rsid w:val="0A6670D4"/>
    <w:rsid w:val="0A690634"/>
    <w:rsid w:val="0A783D73"/>
    <w:rsid w:val="0AA350C7"/>
    <w:rsid w:val="0AAC0293"/>
    <w:rsid w:val="0AB16EAD"/>
    <w:rsid w:val="0ACC49C4"/>
    <w:rsid w:val="0ADD5EFD"/>
    <w:rsid w:val="0AE565E1"/>
    <w:rsid w:val="0AE65C7A"/>
    <w:rsid w:val="0AE67C59"/>
    <w:rsid w:val="0AEB64A8"/>
    <w:rsid w:val="0AED3445"/>
    <w:rsid w:val="0AF14638"/>
    <w:rsid w:val="0B340228"/>
    <w:rsid w:val="0B472137"/>
    <w:rsid w:val="0B48684A"/>
    <w:rsid w:val="0B49165D"/>
    <w:rsid w:val="0B533B29"/>
    <w:rsid w:val="0B631A54"/>
    <w:rsid w:val="0B6A19F7"/>
    <w:rsid w:val="0B903B6D"/>
    <w:rsid w:val="0BA61553"/>
    <w:rsid w:val="0BAB0918"/>
    <w:rsid w:val="0BE0144B"/>
    <w:rsid w:val="0BE10566"/>
    <w:rsid w:val="0C14281A"/>
    <w:rsid w:val="0C2776DF"/>
    <w:rsid w:val="0C3236E7"/>
    <w:rsid w:val="0C5167DC"/>
    <w:rsid w:val="0C6D71DA"/>
    <w:rsid w:val="0C790A16"/>
    <w:rsid w:val="0CC13EA1"/>
    <w:rsid w:val="0CC5361B"/>
    <w:rsid w:val="0CC95D46"/>
    <w:rsid w:val="0CD07F38"/>
    <w:rsid w:val="0CD31EEE"/>
    <w:rsid w:val="0D1129FD"/>
    <w:rsid w:val="0D2729F3"/>
    <w:rsid w:val="0D4D1329"/>
    <w:rsid w:val="0D5864B2"/>
    <w:rsid w:val="0D6A1AC0"/>
    <w:rsid w:val="0D9A0057"/>
    <w:rsid w:val="0DA87805"/>
    <w:rsid w:val="0DB50187"/>
    <w:rsid w:val="0DBB0F93"/>
    <w:rsid w:val="0DEC6F42"/>
    <w:rsid w:val="0DF356B2"/>
    <w:rsid w:val="0E5866DB"/>
    <w:rsid w:val="0E60507D"/>
    <w:rsid w:val="0E7D0549"/>
    <w:rsid w:val="0E941A26"/>
    <w:rsid w:val="0E9C4BA7"/>
    <w:rsid w:val="0EAA475B"/>
    <w:rsid w:val="0EBF144C"/>
    <w:rsid w:val="0EC10175"/>
    <w:rsid w:val="0EF36D83"/>
    <w:rsid w:val="0EF426BB"/>
    <w:rsid w:val="0F29704D"/>
    <w:rsid w:val="0F39623B"/>
    <w:rsid w:val="0F474DFC"/>
    <w:rsid w:val="0F607627"/>
    <w:rsid w:val="0F8E7C67"/>
    <w:rsid w:val="0FD33857"/>
    <w:rsid w:val="0FD41F31"/>
    <w:rsid w:val="0FE6547D"/>
    <w:rsid w:val="10240C99"/>
    <w:rsid w:val="1051038C"/>
    <w:rsid w:val="10710382"/>
    <w:rsid w:val="1082485A"/>
    <w:rsid w:val="108D4AB0"/>
    <w:rsid w:val="10915F80"/>
    <w:rsid w:val="10990A55"/>
    <w:rsid w:val="109C580E"/>
    <w:rsid w:val="10B65D95"/>
    <w:rsid w:val="10CF1C84"/>
    <w:rsid w:val="10E50428"/>
    <w:rsid w:val="10EB69DE"/>
    <w:rsid w:val="10F378F4"/>
    <w:rsid w:val="10F55783"/>
    <w:rsid w:val="10FD39C4"/>
    <w:rsid w:val="110E3E23"/>
    <w:rsid w:val="11141772"/>
    <w:rsid w:val="1124702B"/>
    <w:rsid w:val="11373992"/>
    <w:rsid w:val="1139494B"/>
    <w:rsid w:val="113B45F9"/>
    <w:rsid w:val="114306D4"/>
    <w:rsid w:val="117143B2"/>
    <w:rsid w:val="11811A5F"/>
    <w:rsid w:val="1189308F"/>
    <w:rsid w:val="11902A8A"/>
    <w:rsid w:val="119A7465"/>
    <w:rsid w:val="11B562D3"/>
    <w:rsid w:val="11D566EF"/>
    <w:rsid w:val="12130FC5"/>
    <w:rsid w:val="122D652B"/>
    <w:rsid w:val="123A101D"/>
    <w:rsid w:val="12A400B1"/>
    <w:rsid w:val="12B427A8"/>
    <w:rsid w:val="12C14EC5"/>
    <w:rsid w:val="12C55168"/>
    <w:rsid w:val="12D20075"/>
    <w:rsid w:val="12EB69CE"/>
    <w:rsid w:val="12EB72D5"/>
    <w:rsid w:val="12F708E7"/>
    <w:rsid w:val="12F72695"/>
    <w:rsid w:val="12F9584C"/>
    <w:rsid w:val="130A6291"/>
    <w:rsid w:val="13113756"/>
    <w:rsid w:val="132A2BDA"/>
    <w:rsid w:val="133B2641"/>
    <w:rsid w:val="13465BC3"/>
    <w:rsid w:val="1379231B"/>
    <w:rsid w:val="139174B9"/>
    <w:rsid w:val="139C34AF"/>
    <w:rsid w:val="139E5A9A"/>
    <w:rsid w:val="13B82F7F"/>
    <w:rsid w:val="13BB084D"/>
    <w:rsid w:val="13C46A1B"/>
    <w:rsid w:val="13C91735"/>
    <w:rsid w:val="13CA1266"/>
    <w:rsid w:val="13E83525"/>
    <w:rsid w:val="13E8633B"/>
    <w:rsid w:val="13E94203"/>
    <w:rsid w:val="13F15346"/>
    <w:rsid w:val="140212F1"/>
    <w:rsid w:val="14057548"/>
    <w:rsid w:val="14496661"/>
    <w:rsid w:val="145B492E"/>
    <w:rsid w:val="148C0BDB"/>
    <w:rsid w:val="14961447"/>
    <w:rsid w:val="149C689C"/>
    <w:rsid w:val="14A64372"/>
    <w:rsid w:val="14AF52CE"/>
    <w:rsid w:val="14C111AC"/>
    <w:rsid w:val="14E45275"/>
    <w:rsid w:val="14FE41AE"/>
    <w:rsid w:val="1504385E"/>
    <w:rsid w:val="15124CA8"/>
    <w:rsid w:val="152939E1"/>
    <w:rsid w:val="153E27FD"/>
    <w:rsid w:val="15442C35"/>
    <w:rsid w:val="155D18F7"/>
    <w:rsid w:val="155E2E9F"/>
    <w:rsid w:val="15604361"/>
    <w:rsid w:val="15816A54"/>
    <w:rsid w:val="15A85EC8"/>
    <w:rsid w:val="15B55363"/>
    <w:rsid w:val="15C169AC"/>
    <w:rsid w:val="15C52642"/>
    <w:rsid w:val="15E35D08"/>
    <w:rsid w:val="16275A7D"/>
    <w:rsid w:val="162E0AC3"/>
    <w:rsid w:val="1651030E"/>
    <w:rsid w:val="16565CE9"/>
    <w:rsid w:val="16595D91"/>
    <w:rsid w:val="17816E9B"/>
    <w:rsid w:val="17A87B51"/>
    <w:rsid w:val="17B81F3B"/>
    <w:rsid w:val="17ED243B"/>
    <w:rsid w:val="17FB2994"/>
    <w:rsid w:val="17FC587B"/>
    <w:rsid w:val="18110CF1"/>
    <w:rsid w:val="183028D1"/>
    <w:rsid w:val="186164AA"/>
    <w:rsid w:val="186C06F1"/>
    <w:rsid w:val="18CC2AE1"/>
    <w:rsid w:val="18D771F0"/>
    <w:rsid w:val="18E77E0D"/>
    <w:rsid w:val="18E90CD1"/>
    <w:rsid w:val="18EF7EC7"/>
    <w:rsid w:val="18FF04F5"/>
    <w:rsid w:val="1927222A"/>
    <w:rsid w:val="19350FC6"/>
    <w:rsid w:val="19536845"/>
    <w:rsid w:val="195E16BF"/>
    <w:rsid w:val="19773E90"/>
    <w:rsid w:val="19923117"/>
    <w:rsid w:val="199649B5"/>
    <w:rsid w:val="199902B4"/>
    <w:rsid w:val="19AC7816"/>
    <w:rsid w:val="19BE2A18"/>
    <w:rsid w:val="19D27DA3"/>
    <w:rsid w:val="19E16A6A"/>
    <w:rsid w:val="19E26DAC"/>
    <w:rsid w:val="1A136006"/>
    <w:rsid w:val="1A226249"/>
    <w:rsid w:val="1A2A4D7A"/>
    <w:rsid w:val="1A3641C6"/>
    <w:rsid w:val="1A710D5C"/>
    <w:rsid w:val="1A755A9D"/>
    <w:rsid w:val="1A7D5B75"/>
    <w:rsid w:val="1AB14235"/>
    <w:rsid w:val="1AC6675E"/>
    <w:rsid w:val="1AE62BF0"/>
    <w:rsid w:val="1AED7170"/>
    <w:rsid w:val="1B01545C"/>
    <w:rsid w:val="1B0A6A85"/>
    <w:rsid w:val="1B0E67CD"/>
    <w:rsid w:val="1B3A2711"/>
    <w:rsid w:val="1B3A477A"/>
    <w:rsid w:val="1B473FA6"/>
    <w:rsid w:val="1B55025B"/>
    <w:rsid w:val="1B665E07"/>
    <w:rsid w:val="1B6B1E72"/>
    <w:rsid w:val="1B903686"/>
    <w:rsid w:val="1BAF5235"/>
    <w:rsid w:val="1BC55301"/>
    <w:rsid w:val="1BDC309F"/>
    <w:rsid w:val="1BF12377"/>
    <w:rsid w:val="1BF27ED5"/>
    <w:rsid w:val="1C1E2754"/>
    <w:rsid w:val="1C225C02"/>
    <w:rsid w:val="1C577B84"/>
    <w:rsid w:val="1C5F3784"/>
    <w:rsid w:val="1C887545"/>
    <w:rsid w:val="1C913B5A"/>
    <w:rsid w:val="1CB11B06"/>
    <w:rsid w:val="1CD31A7D"/>
    <w:rsid w:val="1CD37CCF"/>
    <w:rsid w:val="1CD706C1"/>
    <w:rsid w:val="1D387488"/>
    <w:rsid w:val="1D4D182F"/>
    <w:rsid w:val="1D6203E3"/>
    <w:rsid w:val="1D767C76"/>
    <w:rsid w:val="1D794AB3"/>
    <w:rsid w:val="1D8B5D0F"/>
    <w:rsid w:val="1D8D7FB4"/>
    <w:rsid w:val="1D8F2F1D"/>
    <w:rsid w:val="1DAA04F5"/>
    <w:rsid w:val="1DB30A05"/>
    <w:rsid w:val="1DB4071F"/>
    <w:rsid w:val="1DB6360A"/>
    <w:rsid w:val="1DC97D96"/>
    <w:rsid w:val="1DEF255C"/>
    <w:rsid w:val="1DF058A1"/>
    <w:rsid w:val="1E1E141D"/>
    <w:rsid w:val="1E2D3F4F"/>
    <w:rsid w:val="1E3113B5"/>
    <w:rsid w:val="1E4644CC"/>
    <w:rsid w:val="1E4A3FC0"/>
    <w:rsid w:val="1E4A7D9A"/>
    <w:rsid w:val="1E564DBF"/>
    <w:rsid w:val="1E7A58AB"/>
    <w:rsid w:val="1E7C7773"/>
    <w:rsid w:val="1E7F05B2"/>
    <w:rsid w:val="1E911BEF"/>
    <w:rsid w:val="1EC870B0"/>
    <w:rsid w:val="1ED90602"/>
    <w:rsid w:val="1F262635"/>
    <w:rsid w:val="1F297403"/>
    <w:rsid w:val="1F6A3BAE"/>
    <w:rsid w:val="1F7C289F"/>
    <w:rsid w:val="1FA645C2"/>
    <w:rsid w:val="1FAB6CE1"/>
    <w:rsid w:val="1FB3007D"/>
    <w:rsid w:val="1FB913FE"/>
    <w:rsid w:val="1FC13C36"/>
    <w:rsid w:val="1FC86FB2"/>
    <w:rsid w:val="1FCC09DD"/>
    <w:rsid w:val="1FDB23A3"/>
    <w:rsid w:val="1FF11517"/>
    <w:rsid w:val="20017C8D"/>
    <w:rsid w:val="20087376"/>
    <w:rsid w:val="201900EE"/>
    <w:rsid w:val="202F348C"/>
    <w:rsid w:val="203B2999"/>
    <w:rsid w:val="20625A14"/>
    <w:rsid w:val="20653333"/>
    <w:rsid w:val="208D5545"/>
    <w:rsid w:val="20BD4F1E"/>
    <w:rsid w:val="20BD6CCC"/>
    <w:rsid w:val="20D34741"/>
    <w:rsid w:val="20D547AE"/>
    <w:rsid w:val="20D91FEB"/>
    <w:rsid w:val="211E47B1"/>
    <w:rsid w:val="21221225"/>
    <w:rsid w:val="21277B96"/>
    <w:rsid w:val="213B0E23"/>
    <w:rsid w:val="213E7A5D"/>
    <w:rsid w:val="214C438B"/>
    <w:rsid w:val="216D06F2"/>
    <w:rsid w:val="21803001"/>
    <w:rsid w:val="2188742E"/>
    <w:rsid w:val="21A34E14"/>
    <w:rsid w:val="21A65541"/>
    <w:rsid w:val="21BF6859"/>
    <w:rsid w:val="21C27070"/>
    <w:rsid w:val="21D70261"/>
    <w:rsid w:val="21DB0BBB"/>
    <w:rsid w:val="21F7445F"/>
    <w:rsid w:val="21F93D33"/>
    <w:rsid w:val="22143E55"/>
    <w:rsid w:val="222A4EAF"/>
    <w:rsid w:val="222D26A8"/>
    <w:rsid w:val="223E5BEA"/>
    <w:rsid w:val="224C7E9B"/>
    <w:rsid w:val="22743D02"/>
    <w:rsid w:val="228B768D"/>
    <w:rsid w:val="22912943"/>
    <w:rsid w:val="22A7378F"/>
    <w:rsid w:val="22B1623E"/>
    <w:rsid w:val="22D41146"/>
    <w:rsid w:val="22E047E0"/>
    <w:rsid w:val="22EC3898"/>
    <w:rsid w:val="22EF5136"/>
    <w:rsid w:val="22F77849"/>
    <w:rsid w:val="23016F07"/>
    <w:rsid w:val="23061CAF"/>
    <w:rsid w:val="230963C7"/>
    <w:rsid w:val="23386ADD"/>
    <w:rsid w:val="23460BD9"/>
    <w:rsid w:val="2398002D"/>
    <w:rsid w:val="23BC0851"/>
    <w:rsid w:val="23C04AC5"/>
    <w:rsid w:val="23C76286"/>
    <w:rsid w:val="23D52FF0"/>
    <w:rsid w:val="23E56285"/>
    <w:rsid w:val="23FE2357"/>
    <w:rsid w:val="24461297"/>
    <w:rsid w:val="24785678"/>
    <w:rsid w:val="247C4642"/>
    <w:rsid w:val="248F727C"/>
    <w:rsid w:val="24977803"/>
    <w:rsid w:val="24AB019A"/>
    <w:rsid w:val="24B6415E"/>
    <w:rsid w:val="24C63A20"/>
    <w:rsid w:val="24D942F0"/>
    <w:rsid w:val="251672D5"/>
    <w:rsid w:val="251F3280"/>
    <w:rsid w:val="252E63EA"/>
    <w:rsid w:val="2533755C"/>
    <w:rsid w:val="25416241"/>
    <w:rsid w:val="255303A0"/>
    <w:rsid w:val="256E27F4"/>
    <w:rsid w:val="25931026"/>
    <w:rsid w:val="25B4044A"/>
    <w:rsid w:val="25BC5CB5"/>
    <w:rsid w:val="25C36217"/>
    <w:rsid w:val="25DE44C9"/>
    <w:rsid w:val="26140373"/>
    <w:rsid w:val="262B46D7"/>
    <w:rsid w:val="266427D3"/>
    <w:rsid w:val="26644CF8"/>
    <w:rsid w:val="267267AA"/>
    <w:rsid w:val="2675674A"/>
    <w:rsid w:val="26846979"/>
    <w:rsid w:val="268B606C"/>
    <w:rsid w:val="26953940"/>
    <w:rsid w:val="26962499"/>
    <w:rsid w:val="269E4739"/>
    <w:rsid w:val="26AA02F7"/>
    <w:rsid w:val="26C012C4"/>
    <w:rsid w:val="26E116F4"/>
    <w:rsid w:val="26F507CC"/>
    <w:rsid w:val="27051B6A"/>
    <w:rsid w:val="27881D2F"/>
    <w:rsid w:val="27C1615F"/>
    <w:rsid w:val="27D911AE"/>
    <w:rsid w:val="27E03EB4"/>
    <w:rsid w:val="280C2F29"/>
    <w:rsid w:val="283F0E13"/>
    <w:rsid w:val="287B628F"/>
    <w:rsid w:val="289F2FF8"/>
    <w:rsid w:val="28A96DE5"/>
    <w:rsid w:val="28B30360"/>
    <w:rsid w:val="28E0346E"/>
    <w:rsid w:val="28F93061"/>
    <w:rsid w:val="293E708B"/>
    <w:rsid w:val="296F2383"/>
    <w:rsid w:val="29930F11"/>
    <w:rsid w:val="29950586"/>
    <w:rsid w:val="29AD3C4A"/>
    <w:rsid w:val="29BD120F"/>
    <w:rsid w:val="29C769C8"/>
    <w:rsid w:val="29D204FB"/>
    <w:rsid w:val="29F21E5A"/>
    <w:rsid w:val="29F36D30"/>
    <w:rsid w:val="29F574D6"/>
    <w:rsid w:val="29FA4667"/>
    <w:rsid w:val="2A0C65CE"/>
    <w:rsid w:val="2A1D6494"/>
    <w:rsid w:val="2A3A3DC7"/>
    <w:rsid w:val="2A5D4CB4"/>
    <w:rsid w:val="2AA333D6"/>
    <w:rsid w:val="2AA809EC"/>
    <w:rsid w:val="2AA902C1"/>
    <w:rsid w:val="2AAD7DB1"/>
    <w:rsid w:val="2ACF5A8C"/>
    <w:rsid w:val="2ADF4AAE"/>
    <w:rsid w:val="2AEF3F25"/>
    <w:rsid w:val="2AF51552"/>
    <w:rsid w:val="2B020FF9"/>
    <w:rsid w:val="2B02634F"/>
    <w:rsid w:val="2B073965"/>
    <w:rsid w:val="2B242804"/>
    <w:rsid w:val="2B2621F1"/>
    <w:rsid w:val="2B2B00BA"/>
    <w:rsid w:val="2B312790"/>
    <w:rsid w:val="2B522706"/>
    <w:rsid w:val="2B833DCF"/>
    <w:rsid w:val="2B9C72A6"/>
    <w:rsid w:val="2BEA293F"/>
    <w:rsid w:val="2C043A01"/>
    <w:rsid w:val="2C0E585C"/>
    <w:rsid w:val="2C153E60"/>
    <w:rsid w:val="2C176AE0"/>
    <w:rsid w:val="2C3216DF"/>
    <w:rsid w:val="2C561360"/>
    <w:rsid w:val="2C621724"/>
    <w:rsid w:val="2C7843EE"/>
    <w:rsid w:val="2C9863C0"/>
    <w:rsid w:val="2CA25B64"/>
    <w:rsid w:val="2CAF5097"/>
    <w:rsid w:val="2CB949F3"/>
    <w:rsid w:val="2CBA18BB"/>
    <w:rsid w:val="2CCD23B6"/>
    <w:rsid w:val="2CF05E93"/>
    <w:rsid w:val="2D127610"/>
    <w:rsid w:val="2D255821"/>
    <w:rsid w:val="2D306A77"/>
    <w:rsid w:val="2D683FBD"/>
    <w:rsid w:val="2D8A43D9"/>
    <w:rsid w:val="2D8E5D42"/>
    <w:rsid w:val="2D962D8D"/>
    <w:rsid w:val="2D9B65E7"/>
    <w:rsid w:val="2DA3549B"/>
    <w:rsid w:val="2DA46B3A"/>
    <w:rsid w:val="2DA65AC5"/>
    <w:rsid w:val="2DA76895"/>
    <w:rsid w:val="2DDC0D17"/>
    <w:rsid w:val="2DE01706"/>
    <w:rsid w:val="2DFF7667"/>
    <w:rsid w:val="2E072923"/>
    <w:rsid w:val="2E086516"/>
    <w:rsid w:val="2E470321"/>
    <w:rsid w:val="2E4C78E1"/>
    <w:rsid w:val="2E4F2F2D"/>
    <w:rsid w:val="2E690493"/>
    <w:rsid w:val="2E8F59B1"/>
    <w:rsid w:val="2EBC4436"/>
    <w:rsid w:val="2ECB1A27"/>
    <w:rsid w:val="2ECE6548"/>
    <w:rsid w:val="2ED3590C"/>
    <w:rsid w:val="2EFC1307"/>
    <w:rsid w:val="2F155F25"/>
    <w:rsid w:val="2F6971AB"/>
    <w:rsid w:val="2F726378"/>
    <w:rsid w:val="2FC978DE"/>
    <w:rsid w:val="2FE23FCB"/>
    <w:rsid w:val="2FF400F4"/>
    <w:rsid w:val="300C5C74"/>
    <w:rsid w:val="300D77D0"/>
    <w:rsid w:val="30387810"/>
    <w:rsid w:val="30424923"/>
    <w:rsid w:val="30640F12"/>
    <w:rsid w:val="3083447C"/>
    <w:rsid w:val="30A43A04"/>
    <w:rsid w:val="30B441C3"/>
    <w:rsid w:val="30BE43E4"/>
    <w:rsid w:val="30FD4EC2"/>
    <w:rsid w:val="310B343B"/>
    <w:rsid w:val="310D28FD"/>
    <w:rsid w:val="31165068"/>
    <w:rsid w:val="311741D6"/>
    <w:rsid w:val="3118587F"/>
    <w:rsid w:val="312415B4"/>
    <w:rsid w:val="312608BD"/>
    <w:rsid w:val="312622CD"/>
    <w:rsid w:val="31603DCF"/>
    <w:rsid w:val="318E58E2"/>
    <w:rsid w:val="31C132B8"/>
    <w:rsid w:val="31D40319"/>
    <w:rsid w:val="31D93389"/>
    <w:rsid w:val="31F65A58"/>
    <w:rsid w:val="32263C46"/>
    <w:rsid w:val="32435C17"/>
    <w:rsid w:val="32485814"/>
    <w:rsid w:val="324A6858"/>
    <w:rsid w:val="32667BF2"/>
    <w:rsid w:val="32A457A0"/>
    <w:rsid w:val="330C460D"/>
    <w:rsid w:val="33421C25"/>
    <w:rsid w:val="334603F1"/>
    <w:rsid w:val="33527747"/>
    <w:rsid w:val="338B4774"/>
    <w:rsid w:val="33955886"/>
    <w:rsid w:val="33B7415E"/>
    <w:rsid w:val="33C75B50"/>
    <w:rsid w:val="341A06B8"/>
    <w:rsid w:val="34500FFC"/>
    <w:rsid w:val="34817E59"/>
    <w:rsid w:val="34832720"/>
    <w:rsid w:val="34850D8A"/>
    <w:rsid w:val="34940253"/>
    <w:rsid w:val="349D2B54"/>
    <w:rsid w:val="34A044E2"/>
    <w:rsid w:val="34A913BC"/>
    <w:rsid w:val="34B36043"/>
    <w:rsid w:val="34B52D05"/>
    <w:rsid w:val="34B955A4"/>
    <w:rsid w:val="34BF2BBB"/>
    <w:rsid w:val="34C73F94"/>
    <w:rsid w:val="34DB2264"/>
    <w:rsid w:val="34E16FD5"/>
    <w:rsid w:val="34E6186B"/>
    <w:rsid w:val="34E6283D"/>
    <w:rsid w:val="35233213"/>
    <w:rsid w:val="35386432"/>
    <w:rsid w:val="35852EE6"/>
    <w:rsid w:val="358718E2"/>
    <w:rsid w:val="359528C1"/>
    <w:rsid w:val="35AD5109"/>
    <w:rsid w:val="35E6224B"/>
    <w:rsid w:val="36280E49"/>
    <w:rsid w:val="36301CAE"/>
    <w:rsid w:val="364D7479"/>
    <w:rsid w:val="36525ABC"/>
    <w:rsid w:val="366B14B6"/>
    <w:rsid w:val="36A24CBE"/>
    <w:rsid w:val="36B84ED5"/>
    <w:rsid w:val="36BC7D30"/>
    <w:rsid w:val="36E25286"/>
    <w:rsid w:val="371C6A47"/>
    <w:rsid w:val="372069F5"/>
    <w:rsid w:val="37294C73"/>
    <w:rsid w:val="3733163E"/>
    <w:rsid w:val="37543839"/>
    <w:rsid w:val="37585C03"/>
    <w:rsid w:val="375E2E18"/>
    <w:rsid w:val="37655478"/>
    <w:rsid w:val="379007F5"/>
    <w:rsid w:val="379A346B"/>
    <w:rsid w:val="37B71B23"/>
    <w:rsid w:val="37C404E8"/>
    <w:rsid w:val="37CE2251"/>
    <w:rsid w:val="37EF25FC"/>
    <w:rsid w:val="380354B4"/>
    <w:rsid w:val="38134DDD"/>
    <w:rsid w:val="382D2531"/>
    <w:rsid w:val="384839EE"/>
    <w:rsid w:val="38591578"/>
    <w:rsid w:val="388264ED"/>
    <w:rsid w:val="38AB6509"/>
    <w:rsid w:val="38B1476E"/>
    <w:rsid w:val="38C67BAB"/>
    <w:rsid w:val="38CF0064"/>
    <w:rsid w:val="38D2190B"/>
    <w:rsid w:val="38D46E50"/>
    <w:rsid w:val="38D8249D"/>
    <w:rsid w:val="38DB20ED"/>
    <w:rsid w:val="38E4519F"/>
    <w:rsid w:val="39243F17"/>
    <w:rsid w:val="3941700D"/>
    <w:rsid w:val="394C66DD"/>
    <w:rsid w:val="394F4560"/>
    <w:rsid w:val="396518BA"/>
    <w:rsid w:val="39761CB6"/>
    <w:rsid w:val="39764D37"/>
    <w:rsid w:val="39BD1F51"/>
    <w:rsid w:val="39BD1F9E"/>
    <w:rsid w:val="39EB26A4"/>
    <w:rsid w:val="3A0558D8"/>
    <w:rsid w:val="3A0F18D6"/>
    <w:rsid w:val="3A175247"/>
    <w:rsid w:val="3A1C71C2"/>
    <w:rsid w:val="3A467830"/>
    <w:rsid w:val="3A490593"/>
    <w:rsid w:val="3A4E64DB"/>
    <w:rsid w:val="3A776BA4"/>
    <w:rsid w:val="3A802DEC"/>
    <w:rsid w:val="3A98366A"/>
    <w:rsid w:val="3AB11F68"/>
    <w:rsid w:val="3ABE5C3A"/>
    <w:rsid w:val="3ADD023E"/>
    <w:rsid w:val="3AEA4709"/>
    <w:rsid w:val="3AF422D4"/>
    <w:rsid w:val="3AF86D4E"/>
    <w:rsid w:val="3B3A743F"/>
    <w:rsid w:val="3B3D0765"/>
    <w:rsid w:val="3B802375"/>
    <w:rsid w:val="3B88488F"/>
    <w:rsid w:val="3BB13E90"/>
    <w:rsid w:val="3BCE402B"/>
    <w:rsid w:val="3BD01B51"/>
    <w:rsid w:val="3C0F6270"/>
    <w:rsid w:val="3C266052"/>
    <w:rsid w:val="3C822BF4"/>
    <w:rsid w:val="3CA40291"/>
    <w:rsid w:val="3CB925E5"/>
    <w:rsid w:val="3CBF74BC"/>
    <w:rsid w:val="3CC976F6"/>
    <w:rsid w:val="3CD613E9"/>
    <w:rsid w:val="3CE435B4"/>
    <w:rsid w:val="3D0E03A1"/>
    <w:rsid w:val="3D1F3BD8"/>
    <w:rsid w:val="3D20796B"/>
    <w:rsid w:val="3D2364DC"/>
    <w:rsid w:val="3D29776B"/>
    <w:rsid w:val="3D3313E5"/>
    <w:rsid w:val="3D5A50C0"/>
    <w:rsid w:val="3D64203D"/>
    <w:rsid w:val="3D83329F"/>
    <w:rsid w:val="3D8527BD"/>
    <w:rsid w:val="3D9D0729"/>
    <w:rsid w:val="3DAC39CF"/>
    <w:rsid w:val="3DAE434A"/>
    <w:rsid w:val="3DE80D41"/>
    <w:rsid w:val="3E1321C9"/>
    <w:rsid w:val="3E1D6BA4"/>
    <w:rsid w:val="3E234D34"/>
    <w:rsid w:val="3E304B29"/>
    <w:rsid w:val="3E424779"/>
    <w:rsid w:val="3E4B6981"/>
    <w:rsid w:val="3E614CE2"/>
    <w:rsid w:val="3E67542E"/>
    <w:rsid w:val="3E792E42"/>
    <w:rsid w:val="3E7B2675"/>
    <w:rsid w:val="3E7E1019"/>
    <w:rsid w:val="3E80785E"/>
    <w:rsid w:val="3E9308ED"/>
    <w:rsid w:val="3E9B2264"/>
    <w:rsid w:val="3EBE084F"/>
    <w:rsid w:val="3EC32B74"/>
    <w:rsid w:val="3ED92825"/>
    <w:rsid w:val="3EDB7087"/>
    <w:rsid w:val="3EE0343D"/>
    <w:rsid w:val="3F04140B"/>
    <w:rsid w:val="3F062266"/>
    <w:rsid w:val="3F326DBB"/>
    <w:rsid w:val="3F4E4B32"/>
    <w:rsid w:val="3F634A8A"/>
    <w:rsid w:val="3F6C14C6"/>
    <w:rsid w:val="3FB455DD"/>
    <w:rsid w:val="3FDA1D33"/>
    <w:rsid w:val="3FE815EE"/>
    <w:rsid w:val="3FF87DC2"/>
    <w:rsid w:val="3FFB4CC3"/>
    <w:rsid w:val="402A21B3"/>
    <w:rsid w:val="40322DDA"/>
    <w:rsid w:val="404C551E"/>
    <w:rsid w:val="40750D59"/>
    <w:rsid w:val="40D554EA"/>
    <w:rsid w:val="40DC05C4"/>
    <w:rsid w:val="40EB3BA3"/>
    <w:rsid w:val="40EC294D"/>
    <w:rsid w:val="40ED2DFA"/>
    <w:rsid w:val="41567FFC"/>
    <w:rsid w:val="4173149A"/>
    <w:rsid w:val="4181533D"/>
    <w:rsid w:val="41883FA0"/>
    <w:rsid w:val="419F3437"/>
    <w:rsid w:val="41D57EC1"/>
    <w:rsid w:val="41E751EF"/>
    <w:rsid w:val="41E81277"/>
    <w:rsid w:val="42007BC3"/>
    <w:rsid w:val="4208380A"/>
    <w:rsid w:val="420C1364"/>
    <w:rsid w:val="422723C1"/>
    <w:rsid w:val="422F6EA6"/>
    <w:rsid w:val="423C2951"/>
    <w:rsid w:val="423F6EF0"/>
    <w:rsid w:val="42627E47"/>
    <w:rsid w:val="4265277D"/>
    <w:rsid w:val="4269685C"/>
    <w:rsid w:val="42797217"/>
    <w:rsid w:val="428B4BBB"/>
    <w:rsid w:val="42984A4B"/>
    <w:rsid w:val="42AC1AFD"/>
    <w:rsid w:val="42B46F45"/>
    <w:rsid w:val="42C80099"/>
    <w:rsid w:val="42CB6BCE"/>
    <w:rsid w:val="42D03DF9"/>
    <w:rsid w:val="43000F6E"/>
    <w:rsid w:val="432675D2"/>
    <w:rsid w:val="43452E25"/>
    <w:rsid w:val="4351111A"/>
    <w:rsid w:val="43804A43"/>
    <w:rsid w:val="43891467"/>
    <w:rsid w:val="43A05748"/>
    <w:rsid w:val="43B8278B"/>
    <w:rsid w:val="43C7067F"/>
    <w:rsid w:val="43DC17D0"/>
    <w:rsid w:val="43FB0B74"/>
    <w:rsid w:val="441060A4"/>
    <w:rsid w:val="44375156"/>
    <w:rsid w:val="4446349C"/>
    <w:rsid w:val="445C25FF"/>
    <w:rsid w:val="445D5F4C"/>
    <w:rsid w:val="446113F2"/>
    <w:rsid w:val="446374FE"/>
    <w:rsid w:val="447609FF"/>
    <w:rsid w:val="44815149"/>
    <w:rsid w:val="44897E3F"/>
    <w:rsid w:val="449A179A"/>
    <w:rsid w:val="44BE5080"/>
    <w:rsid w:val="44CC6C2E"/>
    <w:rsid w:val="44E93611"/>
    <w:rsid w:val="44F0511A"/>
    <w:rsid w:val="44F860AC"/>
    <w:rsid w:val="4512328A"/>
    <w:rsid w:val="45201CD0"/>
    <w:rsid w:val="4521341D"/>
    <w:rsid w:val="452151CC"/>
    <w:rsid w:val="45215971"/>
    <w:rsid w:val="45233189"/>
    <w:rsid w:val="4537679D"/>
    <w:rsid w:val="453B4135"/>
    <w:rsid w:val="453B4205"/>
    <w:rsid w:val="45733321"/>
    <w:rsid w:val="45742C88"/>
    <w:rsid w:val="457971DE"/>
    <w:rsid w:val="457F3FEF"/>
    <w:rsid w:val="45896BC7"/>
    <w:rsid w:val="45A95584"/>
    <w:rsid w:val="45B129C7"/>
    <w:rsid w:val="45C231AD"/>
    <w:rsid w:val="45FD6F20"/>
    <w:rsid w:val="46103030"/>
    <w:rsid w:val="461934A2"/>
    <w:rsid w:val="46366A55"/>
    <w:rsid w:val="46906CF6"/>
    <w:rsid w:val="46AF40F3"/>
    <w:rsid w:val="46B40B6B"/>
    <w:rsid w:val="46B831ED"/>
    <w:rsid w:val="46D64DD7"/>
    <w:rsid w:val="46F43BD9"/>
    <w:rsid w:val="470D1EAB"/>
    <w:rsid w:val="470E7C36"/>
    <w:rsid w:val="47136FD8"/>
    <w:rsid w:val="47147377"/>
    <w:rsid w:val="472C3214"/>
    <w:rsid w:val="47721D0E"/>
    <w:rsid w:val="479F5347"/>
    <w:rsid w:val="47B95771"/>
    <w:rsid w:val="47D14C87"/>
    <w:rsid w:val="480D3F42"/>
    <w:rsid w:val="48164085"/>
    <w:rsid w:val="48233009"/>
    <w:rsid w:val="482A083B"/>
    <w:rsid w:val="482B7945"/>
    <w:rsid w:val="483B2A48"/>
    <w:rsid w:val="484C049B"/>
    <w:rsid w:val="485D476D"/>
    <w:rsid w:val="486E4621"/>
    <w:rsid w:val="48A279E5"/>
    <w:rsid w:val="48B22AFA"/>
    <w:rsid w:val="48B41358"/>
    <w:rsid w:val="48CD24C3"/>
    <w:rsid w:val="48CF5EC3"/>
    <w:rsid w:val="48E83E7B"/>
    <w:rsid w:val="48EA0EEA"/>
    <w:rsid w:val="48EE1869"/>
    <w:rsid w:val="49415E3C"/>
    <w:rsid w:val="498D1559"/>
    <w:rsid w:val="49A34947"/>
    <w:rsid w:val="49AF27D4"/>
    <w:rsid w:val="49BA5C57"/>
    <w:rsid w:val="49BB4DFF"/>
    <w:rsid w:val="4A085002"/>
    <w:rsid w:val="4A4F03B0"/>
    <w:rsid w:val="4A58343D"/>
    <w:rsid w:val="4A594A24"/>
    <w:rsid w:val="4A890D0D"/>
    <w:rsid w:val="4A8C1339"/>
    <w:rsid w:val="4AAB7AF7"/>
    <w:rsid w:val="4AAF6A1F"/>
    <w:rsid w:val="4ABA6312"/>
    <w:rsid w:val="4ABB577A"/>
    <w:rsid w:val="4AC533FD"/>
    <w:rsid w:val="4AD03C7D"/>
    <w:rsid w:val="4ADB0FBC"/>
    <w:rsid w:val="4AE9143A"/>
    <w:rsid w:val="4AEB2504"/>
    <w:rsid w:val="4AFB201B"/>
    <w:rsid w:val="4AFC1651"/>
    <w:rsid w:val="4B0C5FD6"/>
    <w:rsid w:val="4B2A660D"/>
    <w:rsid w:val="4B35377F"/>
    <w:rsid w:val="4B3D4D2C"/>
    <w:rsid w:val="4B425E9C"/>
    <w:rsid w:val="4B487954"/>
    <w:rsid w:val="4B660844"/>
    <w:rsid w:val="4B6D51D2"/>
    <w:rsid w:val="4B82395B"/>
    <w:rsid w:val="4B895879"/>
    <w:rsid w:val="4B8A588A"/>
    <w:rsid w:val="4B92472D"/>
    <w:rsid w:val="4BB15C21"/>
    <w:rsid w:val="4BD23B4D"/>
    <w:rsid w:val="4BEC4400"/>
    <w:rsid w:val="4BEF781C"/>
    <w:rsid w:val="4C334A6B"/>
    <w:rsid w:val="4C350CE3"/>
    <w:rsid w:val="4C481290"/>
    <w:rsid w:val="4C615547"/>
    <w:rsid w:val="4C7A31D4"/>
    <w:rsid w:val="4C975D73"/>
    <w:rsid w:val="4CC060D7"/>
    <w:rsid w:val="4CD46FC7"/>
    <w:rsid w:val="4CE53F94"/>
    <w:rsid w:val="4D043409"/>
    <w:rsid w:val="4D1A1400"/>
    <w:rsid w:val="4D1D5511"/>
    <w:rsid w:val="4D31541B"/>
    <w:rsid w:val="4D4F3090"/>
    <w:rsid w:val="4D510618"/>
    <w:rsid w:val="4D514AC7"/>
    <w:rsid w:val="4D9A572B"/>
    <w:rsid w:val="4DCD57DE"/>
    <w:rsid w:val="4DE1374A"/>
    <w:rsid w:val="4E3653FD"/>
    <w:rsid w:val="4E374813"/>
    <w:rsid w:val="4E3D3DE0"/>
    <w:rsid w:val="4E473566"/>
    <w:rsid w:val="4E4B7F31"/>
    <w:rsid w:val="4E4F1F27"/>
    <w:rsid w:val="4E5972CA"/>
    <w:rsid w:val="4E6B62AA"/>
    <w:rsid w:val="4E706E24"/>
    <w:rsid w:val="4E755F28"/>
    <w:rsid w:val="4E8B47DA"/>
    <w:rsid w:val="4E916F1E"/>
    <w:rsid w:val="4E934C59"/>
    <w:rsid w:val="4EA5389D"/>
    <w:rsid w:val="4EB733D6"/>
    <w:rsid w:val="4EBA5298"/>
    <w:rsid w:val="4EC5306C"/>
    <w:rsid w:val="4EE864BD"/>
    <w:rsid w:val="4F1A23F8"/>
    <w:rsid w:val="4F2837C4"/>
    <w:rsid w:val="4F321DBF"/>
    <w:rsid w:val="4F396A11"/>
    <w:rsid w:val="4F4D1362"/>
    <w:rsid w:val="4F747965"/>
    <w:rsid w:val="4F895111"/>
    <w:rsid w:val="4FAD5711"/>
    <w:rsid w:val="4FCD414D"/>
    <w:rsid w:val="4FCF4787"/>
    <w:rsid w:val="500D05BC"/>
    <w:rsid w:val="501F416D"/>
    <w:rsid w:val="50250ED4"/>
    <w:rsid w:val="504F7091"/>
    <w:rsid w:val="50744D60"/>
    <w:rsid w:val="50803083"/>
    <w:rsid w:val="509C05EE"/>
    <w:rsid w:val="50AD68A1"/>
    <w:rsid w:val="50C01D3C"/>
    <w:rsid w:val="512C5B05"/>
    <w:rsid w:val="51431745"/>
    <w:rsid w:val="51517CCA"/>
    <w:rsid w:val="516C5EED"/>
    <w:rsid w:val="51722F47"/>
    <w:rsid w:val="517D2127"/>
    <w:rsid w:val="51954F77"/>
    <w:rsid w:val="519D485E"/>
    <w:rsid w:val="519F7BA4"/>
    <w:rsid w:val="51AD19CD"/>
    <w:rsid w:val="51B15B29"/>
    <w:rsid w:val="51CB1DCC"/>
    <w:rsid w:val="51D81D56"/>
    <w:rsid w:val="51E54CE6"/>
    <w:rsid w:val="51F46B32"/>
    <w:rsid w:val="52140592"/>
    <w:rsid w:val="523C2CD5"/>
    <w:rsid w:val="524C3FFD"/>
    <w:rsid w:val="525E7A5F"/>
    <w:rsid w:val="52616865"/>
    <w:rsid w:val="52782D1F"/>
    <w:rsid w:val="5285772D"/>
    <w:rsid w:val="528943B0"/>
    <w:rsid w:val="52992700"/>
    <w:rsid w:val="52A36D3A"/>
    <w:rsid w:val="52A80CDA"/>
    <w:rsid w:val="52AB4AE5"/>
    <w:rsid w:val="52D05428"/>
    <w:rsid w:val="52D27826"/>
    <w:rsid w:val="52D802AE"/>
    <w:rsid w:val="52DC2732"/>
    <w:rsid w:val="52E046B8"/>
    <w:rsid w:val="52E73B6C"/>
    <w:rsid w:val="53093E80"/>
    <w:rsid w:val="531C6B04"/>
    <w:rsid w:val="53365130"/>
    <w:rsid w:val="533C3D72"/>
    <w:rsid w:val="53407165"/>
    <w:rsid w:val="53420E0D"/>
    <w:rsid w:val="536B6DE8"/>
    <w:rsid w:val="5391323F"/>
    <w:rsid w:val="5395765E"/>
    <w:rsid w:val="53C140E5"/>
    <w:rsid w:val="53CB7B14"/>
    <w:rsid w:val="53CE2D77"/>
    <w:rsid w:val="53DC1490"/>
    <w:rsid w:val="53E977FC"/>
    <w:rsid w:val="54583D83"/>
    <w:rsid w:val="545E35F5"/>
    <w:rsid w:val="546724CF"/>
    <w:rsid w:val="548670BA"/>
    <w:rsid w:val="54890733"/>
    <w:rsid w:val="54914639"/>
    <w:rsid w:val="549608F9"/>
    <w:rsid w:val="549C486F"/>
    <w:rsid w:val="54AF6CC4"/>
    <w:rsid w:val="54B8031D"/>
    <w:rsid w:val="54DB1C81"/>
    <w:rsid w:val="54EB3100"/>
    <w:rsid w:val="54F41F66"/>
    <w:rsid w:val="551D5901"/>
    <w:rsid w:val="55344AA7"/>
    <w:rsid w:val="55787787"/>
    <w:rsid w:val="558E065B"/>
    <w:rsid w:val="55B03049"/>
    <w:rsid w:val="55BF392A"/>
    <w:rsid w:val="55D903ED"/>
    <w:rsid w:val="55FA184D"/>
    <w:rsid w:val="56082C9C"/>
    <w:rsid w:val="560C7DD4"/>
    <w:rsid w:val="560E70A6"/>
    <w:rsid w:val="562770B6"/>
    <w:rsid w:val="563A2813"/>
    <w:rsid w:val="56427760"/>
    <w:rsid w:val="56883D42"/>
    <w:rsid w:val="568D1ECF"/>
    <w:rsid w:val="568E6439"/>
    <w:rsid w:val="56A81C1A"/>
    <w:rsid w:val="56AF7BB9"/>
    <w:rsid w:val="56B20379"/>
    <w:rsid w:val="56BB64F8"/>
    <w:rsid w:val="56BF4B95"/>
    <w:rsid w:val="56D91D6D"/>
    <w:rsid w:val="56E7459A"/>
    <w:rsid w:val="56F544DF"/>
    <w:rsid w:val="571E77BD"/>
    <w:rsid w:val="572528F9"/>
    <w:rsid w:val="57394071"/>
    <w:rsid w:val="57877235"/>
    <w:rsid w:val="579568DE"/>
    <w:rsid w:val="57A914F6"/>
    <w:rsid w:val="57A9177C"/>
    <w:rsid w:val="57C15F97"/>
    <w:rsid w:val="57CD79FB"/>
    <w:rsid w:val="57D17F4B"/>
    <w:rsid w:val="57F534D0"/>
    <w:rsid w:val="57F934C0"/>
    <w:rsid w:val="5809104C"/>
    <w:rsid w:val="580E16BF"/>
    <w:rsid w:val="583F6838"/>
    <w:rsid w:val="58504FA2"/>
    <w:rsid w:val="58647451"/>
    <w:rsid w:val="586A7D56"/>
    <w:rsid w:val="58775304"/>
    <w:rsid w:val="5887350A"/>
    <w:rsid w:val="58951C97"/>
    <w:rsid w:val="589A2E73"/>
    <w:rsid w:val="58B0410D"/>
    <w:rsid w:val="58C62C27"/>
    <w:rsid w:val="58C963C2"/>
    <w:rsid w:val="58CC2A45"/>
    <w:rsid w:val="58D77C23"/>
    <w:rsid w:val="58F00CE5"/>
    <w:rsid w:val="58FC5AEF"/>
    <w:rsid w:val="591210A0"/>
    <w:rsid w:val="591E45BB"/>
    <w:rsid w:val="59460892"/>
    <w:rsid w:val="595016A4"/>
    <w:rsid w:val="59637709"/>
    <w:rsid w:val="596379A9"/>
    <w:rsid w:val="59663F5E"/>
    <w:rsid w:val="5967369D"/>
    <w:rsid w:val="597D0736"/>
    <w:rsid w:val="598B6E78"/>
    <w:rsid w:val="59D17D75"/>
    <w:rsid w:val="59D471D7"/>
    <w:rsid w:val="59F14DF8"/>
    <w:rsid w:val="5A366F84"/>
    <w:rsid w:val="5A3C3F0A"/>
    <w:rsid w:val="5A3F0176"/>
    <w:rsid w:val="5A513A05"/>
    <w:rsid w:val="5A7E6195"/>
    <w:rsid w:val="5A8F5421"/>
    <w:rsid w:val="5AAD360B"/>
    <w:rsid w:val="5AE8322E"/>
    <w:rsid w:val="5AF727FF"/>
    <w:rsid w:val="5AFE3B8D"/>
    <w:rsid w:val="5B0D7295"/>
    <w:rsid w:val="5B206399"/>
    <w:rsid w:val="5B543387"/>
    <w:rsid w:val="5B5437AD"/>
    <w:rsid w:val="5B7E4CCE"/>
    <w:rsid w:val="5BB43FD5"/>
    <w:rsid w:val="5BBD53BB"/>
    <w:rsid w:val="5BD133DF"/>
    <w:rsid w:val="5BD366A4"/>
    <w:rsid w:val="5BE617EA"/>
    <w:rsid w:val="5C3E78DA"/>
    <w:rsid w:val="5C640E34"/>
    <w:rsid w:val="5C6D3417"/>
    <w:rsid w:val="5C71213D"/>
    <w:rsid w:val="5C7145EF"/>
    <w:rsid w:val="5C877BB2"/>
    <w:rsid w:val="5CA20832"/>
    <w:rsid w:val="5CA72002"/>
    <w:rsid w:val="5CAA4AD6"/>
    <w:rsid w:val="5CB07109"/>
    <w:rsid w:val="5CE12021"/>
    <w:rsid w:val="5CF211BB"/>
    <w:rsid w:val="5D145950"/>
    <w:rsid w:val="5D1D449F"/>
    <w:rsid w:val="5D1E7B16"/>
    <w:rsid w:val="5D556EAE"/>
    <w:rsid w:val="5D5D0075"/>
    <w:rsid w:val="5D651182"/>
    <w:rsid w:val="5D8B3B5B"/>
    <w:rsid w:val="5DA17435"/>
    <w:rsid w:val="5DBB5724"/>
    <w:rsid w:val="5DEC4171"/>
    <w:rsid w:val="5DED10A9"/>
    <w:rsid w:val="5DF748EC"/>
    <w:rsid w:val="5E1F592C"/>
    <w:rsid w:val="5E2733FB"/>
    <w:rsid w:val="5E2D6537"/>
    <w:rsid w:val="5E3C350F"/>
    <w:rsid w:val="5E657918"/>
    <w:rsid w:val="5E785A05"/>
    <w:rsid w:val="5E7A0AB0"/>
    <w:rsid w:val="5E7A8D14"/>
    <w:rsid w:val="5E934E20"/>
    <w:rsid w:val="5E9C0BE0"/>
    <w:rsid w:val="5EAF6035"/>
    <w:rsid w:val="5ED846F5"/>
    <w:rsid w:val="5EE267E4"/>
    <w:rsid w:val="5EE44E48"/>
    <w:rsid w:val="5EFB7621"/>
    <w:rsid w:val="5EFF0ED2"/>
    <w:rsid w:val="5F021772"/>
    <w:rsid w:val="5F131BD1"/>
    <w:rsid w:val="5F705246"/>
    <w:rsid w:val="5FA8383B"/>
    <w:rsid w:val="5FC47C89"/>
    <w:rsid w:val="5FD2383A"/>
    <w:rsid w:val="5FD73AA6"/>
    <w:rsid w:val="5FD85EAF"/>
    <w:rsid w:val="5FE06E86"/>
    <w:rsid w:val="601670FF"/>
    <w:rsid w:val="60606A01"/>
    <w:rsid w:val="60687CFB"/>
    <w:rsid w:val="60826C62"/>
    <w:rsid w:val="608F1BD3"/>
    <w:rsid w:val="609E7AC4"/>
    <w:rsid w:val="60AA2CCB"/>
    <w:rsid w:val="60C81D7A"/>
    <w:rsid w:val="60CB69BE"/>
    <w:rsid w:val="60EC63F1"/>
    <w:rsid w:val="60F47184"/>
    <w:rsid w:val="610C0686"/>
    <w:rsid w:val="61955CA5"/>
    <w:rsid w:val="61AB3DC3"/>
    <w:rsid w:val="61C94415"/>
    <w:rsid w:val="61DA7A62"/>
    <w:rsid w:val="620F1DEC"/>
    <w:rsid w:val="62320DDC"/>
    <w:rsid w:val="623460E6"/>
    <w:rsid w:val="623C4F9B"/>
    <w:rsid w:val="62461BBC"/>
    <w:rsid w:val="6267321B"/>
    <w:rsid w:val="62874806"/>
    <w:rsid w:val="628B5453"/>
    <w:rsid w:val="62970C2B"/>
    <w:rsid w:val="62983D63"/>
    <w:rsid w:val="62A34248"/>
    <w:rsid w:val="62D578C9"/>
    <w:rsid w:val="62DF39AC"/>
    <w:rsid w:val="62EC597B"/>
    <w:rsid w:val="62FF5E1E"/>
    <w:rsid w:val="634F6AED"/>
    <w:rsid w:val="636447A9"/>
    <w:rsid w:val="637D5832"/>
    <w:rsid w:val="639A0A6F"/>
    <w:rsid w:val="639D5F0D"/>
    <w:rsid w:val="639F1B2F"/>
    <w:rsid w:val="63A231B5"/>
    <w:rsid w:val="63AD6E57"/>
    <w:rsid w:val="63AF2E7A"/>
    <w:rsid w:val="63B03E93"/>
    <w:rsid w:val="63B425DD"/>
    <w:rsid w:val="63BF2418"/>
    <w:rsid w:val="63CC1CCC"/>
    <w:rsid w:val="63CE2986"/>
    <w:rsid w:val="63D862F0"/>
    <w:rsid w:val="63FE569C"/>
    <w:rsid w:val="64160610"/>
    <w:rsid w:val="641D655D"/>
    <w:rsid w:val="642B3919"/>
    <w:rsid w:val="644840CB"/>
    <w:rsid w:val="644E2285"/>
    <w:rsid w:val="648F5723"/>
    <w:rsid w:val="64963088"/>
    <w:rsid w:val="64A55079"/>
    <w:rsid w:val="64B0068F"/>
    <w:rsid w:val="64B0634B"/>
    <w:rsid w:val="64C60289"/>
    <w:rsid w:val="64DE64F9"/>
    <w:rsid w:val="650C334B"/>
    <w:rsid w:val="650D6CA7"/>
    <w:rsid w:val="651B482C"/>
    <w:rsid w:val="652F3A16"/>
    <w:rsid w:val="6531045A"/>
    <w:rsid w:val="653F37FF"/>
    <w:rsid w:val="654B373B"/>
    <w:rsid w:val="655C5FA7"/>
    <w:rsid w:val="65691302"/>
    <w:rsid w:val="656B493C"/>
    <w:rsid w:val="656D3AB0"/>
    <w:rsid w:val="6573450E"/>
    <w:rsid w:val="657F3B1C"/>
    <w:rsid w:val="65815627"/>
    <w:rsid w:val="658F1D57"/>
    <w:rsid w:val="65A31661"/>
    <w:rsid w:val="65AD379D"/>
    <w:rsid w:val="65AE4402"/>
    <w:rsid w:val="65D33265"/>
    <w:rsid w:val="65DD0D4C"/>
    <w:rsid w:val="65E6167B"/>
    <w:rsid w:val="65F16C53"/>
    <w:rsid w:val="65F64EA6"/>
    <w:rsid w:val="65FA7647"/>
    <w:rsid w:val="6608728E"/>
    <w:rsid w:val="66290C46"/>
    <w:rsid w:val="66335F59"/>
    <w:rsid w:val="663A1836"/>
    <w:rsid w:val="66482D7B"/>
    <w:rsid w:val="664C0C25"/>
    <w:rsid w:val="664F5C5B"/>
    <w:rsid w:val="66550DFD"/>
    <w:rsid w:val="66767732"/>
    <w:rsid w:val="66806FBB"/>
    <w:rsid w:val="66BC2840"/>
    <w:rsid w:val="66C01109"/>
    <w:rsid w:val="66DA149B"/>
    <w:rsid w:val="66E75E1D"/>
    <w:rsid w:val="66F66984"/>
    <w:rsid w:val="66F87770"/>
    <w:rsid w:val="66FB71D3"/>
    <w:rsid w:val="67026EE3"/>
    <w:rsid w:val="671A7494"/>
    <w:rsid w:val="672A1A11"/>
    <w:rsid w:val="67420658"/>
    <w:rsid w:val="67515045"/>
    <w:rsid w:val="675178A4"/>
    <w:rsid w:val="678B25E7"/>
    <w:rsid w:val="67A50830"/>
    <w:rsid w:val="67B5211B"/>
    <w:rsid w:val="67E85689"/>
    <w:rsid w:val="67F307F2"/>
    <w:rsid w:val="68400AB2"/>
    <w:rsid w:val="686728A7"/>
    <w:rsid w:val="689466BA"/>
    <w:rsid w:val="689A44D2"/>
    <w:rsid w:val="68E47A64"/>
    <w:rsid w:val="68E52AA5"/>
    <w:rsid w:val="68E94352"/>
    <w:rsid w:val="68E956DD"/>
    <w:rsid w:val="68F058E5"/>
    <w:rsid w:val="690618FD"/>
    <w:rsid w:val="695C3EA1"/>
    <w:rsid w:val="696778E1"/>
    <w:rsid w:val="69781887"/>
    <w:rsid w:val="698A1D49"/>
    <w:rsid w:val="69945F1A"/>
    <w:rsid w:val="699B1D2D"/>
    <w:rsid w:val="69A47FF6"/>
    <w:rsid w:val="69B70299"/>
    <w:rsid w:val="69BF2F1C"/>
    <w:rsid w:val="69C356D6"/>
    <w:rsid w:val="69D152E0"/>
    <w:rsid w:val="69D57630"/>
    <w:rsid w:val="69DD1BB9"/>
    <w:rsid w:val="69F81799"/>
    <w:rsid w:val="6A267199"/>
    <w:rsid w:val="6A4E3ABD"/>
    <w:rsid w:val="6A5F7EB4"/>
    <w:rsid w:val="6AA14535"/>
    <w:rsid w:val="6AAD49F4"/>
    <w:rsid w:val="6AC116A8"/>
    <w:rsid w:val="6ADB08CD"/>
    <w:rsid w:val="6B0B560C"/>
    <w:rsid w:val="6B144879"/>
    <w:rsid w:val="6B1F2B66"/>
    <w:rsid w:val="6B2E0537"/>
    <w:rsid w:val="6B353BDC"/>
    <w:rsid w:val="6B421A04"/>
    <w:rsid w:val="6B441F4F"/>
    <w:rsid w:val="6B56531F"/>
    <w:rsid w:val="6B580656"/>
    <w:rsid w:val="6B8428B4"/>
    <w:rsid w:val="6BCA73D5"/>
    <w:rsid w:val="6BCD392F"/>
    <w:rsid w:val="6BEA3CBA"/>
    <w:rsid w:val="6BF372AD"/>
    <w:rsid w:val="6C267CEF"/>
    <w:rsid w:val="6C271424"/>
    <w:rsid w:val="6C3118E9"/>
    <w:rsid w:val="6C411B2C"/>
    <w:rsid w:val="6C4F65F0"/>
    <w:rsid w:val="6C9E3F84"/>
    <w:rsid w:val="6CC61024"/>
    <w:rsid w:val="6CCB2A5C"/>
    <w:rsid w:val="6CCE109B"/>
    <w:rsid w:val="6CD45AAA"/>
    <w:rsid w:val="6CE47F86"/>
    <w:rsid w:val="6CEF474A"/>
    <w:rsid w:val="6CF1162C"/>
    <w:rsid w:val="6CF272CA"/>
    <w:rsid w:val="6D005FF3"/>
    <w:rsid w:val="6D2C15DB"/>
    <w:rsid w:val="6D35161C"/>
    <w:rsid w:val="6D3A60CF"/>
    <w:rsid w:val="6D5B6C1D"/>
    <w:rsid w:val="6D622672"/>
    <w:rsid w:val="6D652811"/>
    <w:rsid w:val="6D763A57"/>
    <w:rsid w:val="6D77332B"/>
    <w:rsid w:val="6D7C36BA"/>
    <w:rsid w:val="6DEF3963"/>
    <w:rsid w:val="6E35541C"/>
    <w:rsid w:val="6E451788"/>
    <w:rsid w:val="6E493180"/>
    <w:rsid w:val="6E541B46"/>
    <w:rsid w:val="6E560BE9"/>
    <w:rsid w:val="6E623FDB"/>
    <w:rsid w:val="6E751657"/>
    <w:rsid w:val="6E924FE2"/>
    <w:rsid w:val="6EB011EB"/>
    <w:rsid w:val="6EBE7286"/>
    <w:rsid w:val="6EC553D5"/>
    <w:rsid w:val="6EC63F7B"/>
    <w:rsid w:val="6ED80CE0"/>
    <w:rsid w:val="6EDE4C77"/>
    <w:rsid w:val="6EE157C2"/>
    <w:rsid w:val="6EE57608"/>
    <w:rsid w:val="6F021B69"/>
    <w:rsid w:val="6F074349"/>
    <w:rsid w:val="6F173F34"/>
    <w:rsid w:val="6F40256E"/>
    <w:rsid w:val="6F4B4A6F"/>
    <w:rsid w:val="6F7D3FA6"/>
    <w:rsid w:val="6F83245B"/>
    <w:rsid w:val="6FC844B0"/>
    <w:rsid w:val="6FC91D09"/>
    <w:rsid w:val="6FEA3F10"/>
    <w:rsid w:val="6FEB4920"/>
    <w:rsid w:val="6FFB19DB"/>
    <w:rsid w:val="70027824"/>
    <w:rsid w:val="702E0619"/>
    <w:rsid w:val="7036571F"/>
    <w:rsid w:val="703A5210"/>
    <w:rsid w:val="70430C64"/>
    <w:rsid w:val="705C2137"/>
    <w:rsid w:val="7080500F"/>
    <w:rsid w:val="708A562C"/>
    <w:rsid w:val="70935D5A"/>
    <w:rsid w:val="70936354"/>
    <w:rsid w:val="70BE54E1"/>
    <w:rsid w:val="70CE3CD6"/>
    <w:rsid w:val="70F2134F"/>
    <w:rsid w:val="71050DFC"/>
    <w:rsid w:val="71412EFE"/>
    <w:rsid w:val="7176061E"/>
    <w:rsid w:val="71994AA2"/>
    <w:rsid w:val="719B548F"/>
    <w:rsid w:val="71B23F18"/>
    <w:rsid w:val="71D821BD"/>
    <w:rsid w:val="71F03F73"/>
    <w:rsid w:val="71F57FE5"/>
    <w:rsid w:val="71F675E2"/>
    <w:rsid w:val="72254698"/>
    <w:rsid w:val="723F383C"/>
    <w:rsid w:val="725620A9"/>
    <w:rsid w:val="72A10532"/>
    <w:rsid w:val="72C07522"/>
    <w:rsid w:val="72D0499C"/>
    <w:rsid w:val="72D72F0A"/>
    <w:rsid w:val="72F40F30"/>
    <w:rsid w:val="731A6169"/>
    <w:rsid w:val="73223DF1"/>
    <w:rsid w:val="73627701"/>
    <w:rsid w:val="736631E1"/>
    <w:rsid w:val="73871026"/>
    <w:rsid w:val="738D0B84"/>
    <w:rsid w:val="73BE43FE"/>
    <w:rsid w:val="74064E51"/>
    <w:rsid w:val="74232A0F"/>
    <w:rsid w:val="74302ADE"/>
    <w:rsid w:val="744F6468"/>
    <w:rsid w:val="74552A02"/>
    <w:rsid w:val="74633D61"/>
    <w:rsid w:val="746F110A"/>
    <w:rsid w:val="74714F78"/>
    <w:rsid w:val="74981804"/>
    <w:rsid w:val="74A62A32"/>
    <w:rsid w:val="74CC57E0"/>
    <w:rsid w:val="74CE598A"/>
    <w:rsid w:val="74DA01CE"/>
    <w:rsid w:val="74E11CE7"/>
    <w:rsid w:val="74E90FB2"/>
    <w:rsid w:val="74FA6D1C"/>
    <w:rsid w:val="750556C0"/>
    <w:rsid w:val="75153BE3"/>
    <w:rsid w:val="75234062"/>
    <w:rsid w:val="75285984"/>
    <w:rsid w:val="753D1077"/>
    <w:rsid w:val="756D24DF"/>
    <w:rsid w:val="757A24EA"/>
    <w:rsid w:val="758510F8"/>
    <w:rsid w:val="75A60898"/>
    <w:rsid w:val="75E53387"/>
    <w:rsid w:val="75F44C98"/>
    <w:rsid w:val="75F87CD4"/>
    <w:rsid w:val="760B2BCC"/>
    <w:rsid w:val="7629425B"/>
    <w:rsid w:val="764346F2"/>
    <w:rsid w:val="76976535"/>
    <w:rsid w:val="769B0408"/>
    <w:rsid w:val="76C801CA"/>
    <w:rsid w:val="76FA1628"/>
    <w:rsid w:val="76FC7E62"/>
    <w:rsid w:val="77040325"/>
    <w:rsid w:val="77052BDB"/>
    <w:rsid w:val="772207AC"/>
    <w:rsid w:val="77571B2C"/>
    <w:rsid w:val="775920E8"/>
    <w:rsid w:val="776E6AB1"/>
    <w:rsid w:val="776F3C10"/>
    <w:rsid w:val="778E7BEF"/>
    <w:rsid w:val="779473C7"/>
    <w:rsid w:val="77995F0D"/>
    <w:rsid w:val="77B8461E"/>
    <w:rsid w:val="77E912C9"/>
    <w:rsid w:val="7803603C"/>
    <w:rsid w:val="78182DED"/>
    <w:rsid w:val="78260025"/>
    <w:rsid w:val="78346968"/>
    <w:rsid w:val="783708A9"/>
    <w:rsid w:val="783E33C3"/>
    <w:rsid w:val="78446BBD"/>
    <w:rsid w:val="784F1296"/>
    <w:rsid w:val="785B5D23"/>
    <w:rsid w:val="78655389"/>
    <w:rsid w:val="78834278"/>
    <w:rsid w:val="789C1423"/>
    <w:rsid w:val="78AF7413"/>
    <w:rsid w:val="78C1101D"/>
    <w:rsid w:val="78D665EA"/>
    <w:rsid w:val="78E05ACF"/>
    <w:rsid w:val="78E26444"/>
    <w:rsid w:val="78E9231B"/>
    <w:rsid w:val="78F41366"/>
    <w:rsid w:val="78F41CD4"/>
    <w:rsid w:val="78F97AF7"/>
    <w:rsid w:val="79134850"/>
    <w:rsid w:val="791A21AC"/>
    <w:rsid w:val="791F2A74"/>
    <w:rsid w:val="792118F0"/>
    <w:rsid w:val="792F31F7"/>
    <w:rsid w:val="79535A94"/>
    <w:rsid w:val="79647BD1"/>
    <w:rsid w:val="79670FAE"/>
    <w:rsid w:val="796D2EB7"/>
    <w:rsid w:val="797A12D2"/>
    <w:rsid w:val="79821501"/>
    <w:rsid w:val="799A6E40"/>
    <w:rsid w:val="79A04E76"/>
    <w:rsid w:val="79A64908"/>
    <w:rsid w:val="79AE30B7"/>
    <w:rsid w:val="79B23B36"/>
    <w:rsid w:val="79BA116F"/>
    <w:rsid w:val="79BC6A5A"/>
    <w:rsid w:val="79D17055"/>
    <w:rsid w:val="79E93CD4"/>
    <w:rsid w:val="79FA156C"/>
    <w:rsid w:val="7A200FC6"/>
    <w:rsid w:val="7A454EDD"/>
    <w:rsid w:val="7A67422A"/>
    <w:rsid w:val="7A821A65"/>
    <w:rsid w:val="7A8F6082"/>
    <w:rsid w:val="7A995229"/>
    <w:rsid w:val="7A9B02A0"/>
    <w:rsid w:val="7ABC4A73"/>
    <w:rsid w:val="7AF04140"/>
    <w:rsid w:val="7AFE4F2E"/>
    <w:rsid w:val="7B2E71D8"/>
    <w:rsid w:val="7B335A63"/>
    <w:rsid w:val="7B452CBB"/>
    <w:rsid w:val="7B6B203B"/>
    <w:rsid w:val="7B7B38F2"/>
    <w:rsid w:val="7BA83FCD"/>
    <w:rsid w:val="7C024D00"/>
    <w:rsid w:val="7C0B6643"/>
    <w:rsid w:val="7C3946D8"/>
    <w:rsid w:val="7C41114A"/>
    <w:rsid w:val="7C5238E1"/>
    <w:rsid w:val="7C5A528B"/>
    <w:rsid w:val="7C6158D2"/>
    <w:rsid w:val="7C673FB1"/>
    <w:rsid w:val="7C710DC8"/>
    <w:rsid w:val="7C887303"/>
    <w:rsid w:val="7C923CDE"/>
    <w:rsid w:val="7CA273D9"/>
    <w:rsid w:val="7CCE5944"/>
    <w:rsid w:val="7CD12A58"/>
    <w:rsid w:val="7CD93DFA"/>
    <w:rsid w:val="7CF53C93"/>
    <w:rsid w:val="7D00503A"/>
    <w:rsid w:val="7D1D5C9D"/>
    <w:rsid w:val="7D2E4828"/>
    <w:rsid w:val="7DBC38D5"/>
    <w:rsid w:val="7DD32800"/>
    <w:rsid w:val="7DDE2123"/>
    <w:rsid w:val="7DE37724"/>
    <w:rsid w:val="7DEE0D61"/>
    <w:rsid w:val="7DF54524"/>
    <w:rsid w:val="7E022A7E"/>
    <w:rsid w:val="7E0230E5"/>
    <w:rsid w:val="7E525E1A"/>
    <w:rsid w:val="7E5A25B0"/>
    <w:rsid w:val="7E5A3003"/>
    <w:rsid w:val="7E6624AA"/>
    <w:rsid w:val="7E6EF040"/>
    <w:rsid w:val="7E73447D"/>
    <w:rsid w:val="7E744576"/>
    <w:rsid w:val="7E9703CF"/>
    <w:rsid w:val="7ECD724F"/>
    <w:rsid w:val="7EE550A7"/>
    <w:rsid w:val="7F037115"/>
    <w:rsid w:val="7F093C4D"/>
    <w:rsid w:val="7F181840"/>
    <w:rsid w:val="7F311A1A"/>
    <w:rsid w:val="7F435763"/>
    <w:rsid w:val="7F8901BE"/>
    <w:rsid w:val="7F942DB0"/>
    <w:rsid w:val="7FA82C2F"/>
    <w:rsid w:val="7FB73304"/>
    <w:rsid w:val="ED7FD91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7"/>
    <w:qFormat/>
    <w:uiPriority w:val="0"/>
    <w:pPr>
      <w:keepNext/>
      <w:keepLines/>
      <w:spacing w:beforeLines="0" w:afterLines="0" w:line="360" w:lineRule="auto"/>
      <w:outlineLvl w:val="0"/>
    </w:pPr>
    <w:rPr>
      <w:rFonts w:ascii="Times New Roman" w:hAnsi="Times New Roman" w:eastAsia="宋体"/>
      <w:b/>
      <w:bCs/>
      <w:kern w:val="44"/>
      <w:sz w:val="36"/>
      <w:szCs w:val="44"/>
    </w:rPr>
  </w:style>
  <w:style w:type="paragraph" w:styleId="5">
    <w:name w:val="heading 2"/>
    <w:basedOn w:val="1"/>
    <w:next w:val="1"/>
    <w:link w:val="140"/>
    <w:qFormat/>
    <w:uiPriority w:val="0"/>
    <w:pPr>
      <w:keepNext/>
      <w:keepLines/>
      <w:adjustRightInd w:val="0"/>
      <w:spacing w:beforeLines="0" w:afterLines="0" w:line="360" w:lineRule="auto"/>
      <w:jc w:val="left"/>
      <w:outlineLvl w:val="1"/>
    </w:pPr>
    <w:rPr>
      <w:rFonts w:ascii="黑体" w:hAnsi="黑体" w:eastAsia="宋体"/>
      <w:b/>
      <w:bCs/>
      <w:sz w:val="30"/>
      <w:szCs w:val="32"/>
    </w:rPr>
  </w:style>
  <w:style w:type="paragraph" w:styleId="6">
    <w:name w:val="heading 3"/>
    <w:basedOn w:val="1"/>
    <w:next w:val="1"/>
    <w:link w:val="141"/>
    <w:qFormat/>
    <w:uiPriority w:val="0"/>
    <w:pPr>
      <w:keepNext/>
      <w:keepLines/>
      <w:spacing w:beforeLines="0" w:afterLines="0" w:line="360" w:lineRule="auto"/>
      <w:outlineLvl w:val="2"/>
    </w:pPr>
    <w:rPr>
      <w:rFonts w:ascii="Times New Roman" w:hAnsi="Times New Roman" w:eastAsia="宋体"/>
      <w:b/>
      <w:bCs/>
      <w:sz w:val="28"/>
      <w:szCs w:val="32"/>
    </w:rPr>
  </w:style>
  <w:style w:type="paragraph" w:styleId="7">
    <w:name w:val="heading 4"/>
    <w:basedOn w:val="1"/>
    <w:next w:val="8"/>
    <w:qFormat/>
    <w:uiPriority w:val="0"/>
    <w:pPr>
      <w:keepNext/>
      <w:widowControl/>
      <w:jc w:val="center"/>
      <w:outlineLvl w:val="3"/>
    </w:pPr>
    <w:rPr>
      <w:rFonts w:ascii="MS Sans Serif" w:hAnsi="仿宋_GB2312" w:eastAsia="MS Sans Serif"/>
      <w:snapToGrid w:val="0"/>
      <w:kern w:val="0"/>
      <w:sz w:val="24"/>
      <w:szCs w:val="20"/>
    </w:rPr>
  </w:style>
  <w:style w:type="paragraph" w:styleId="9">
    <w:name w:val="heading 5"/>
    <w:basedOn w:val="1"/>
    <w:next w:val="1"/>
    <w:qFormat/>
    <w:uiPriority w:val="0"/>
    <w:pPr>
      <w:widowControl/>
      <w:spacing w:before="240" w:beforeLines="0" w:after="60" w:afterLines="0"/>
      <w:jc w:val="left"/>
      <w:outlineLvl w:val="4"/>
    </w:pPr>
    <w:rPr>
      <w:rFonts w:ascii="MS Sans Serif" w:eastAsia="MS Sans Serif"/>
      <w:kern w:val="0"/>
      <w:sz w:val="24"/>
      <w:szCs w:val="20"/>
    </w:rPr>
  </w:style>
  <w:style w:type="paragraph" w:styleId="10">
    <w:name w:val="heading 6"/>
    <w:basedOn w:val="1"/>
    <w:next w:val="8"/>
    <w:qFormat/>
    <w:uiPriority w:val="0"/>
    <w:pPr>
      <w:keepNext/>
      <w:keepLines/>
      <w:spacing w:before="240" w:beforeLines="0" w:after="64" w:afterLines="0" w:line="320" w:lineRule="auto"/>
      <w:outlineLvl w:val="5"/>
    </w:pPr>
    <w:rPr>
      <w:rFonts w:ascii="黑体" w:hAnsi="黑体" w:eastAsia="楷体"/>
      <w:b/>
      <w:sz w:val="24"/>
      <w:szCs w:val="20"/>
    </w:rPr>
  </w:style>
  <w:style w:type="paragraph" w:styleId="11">
    <w:name w:val="heading 7"/>
    <w:basedOn w:val="1"/>
    <w:next w:val="8"/>
    <w:qFormat/>
    <w:uiPriority w:val="0"/>
    <w:pPr>
      <w:keepNext/>
      <w:keepLines/>
      <w:spacing w:before="240" w:beforeLines="0" w:after="64" w:afterLines="0" w:line="320" w:lineRule="auto"/>
      <w:outlineLvl w:val="6"/>
    </w:pPr>
    <w:rPr>
      <w:b/>
      <w:sz w:val="24"/>
      <w:szCs w:val="20"/>
    </w:rPr>
  </w:style>
  <w:style w:type="paragraph" w:styleId="12">
    <w:name w:val="heading 8"/>
    <w:basedOn w:val="1"/>
    <w:next w:val="8"/>
    <w:qFormat/>
    <w:uiPriority w:val="0"/>
    <w:pPr>
      <w:keepNext/>
      <w:keepLines/>
      <w:spacing w:before="240" w:beforeLines="0" w:after="64" w:afterLines="0" w:line="320" w:lineRule="auto"/>
      <w:outlineLvl w:val="7"/>
    </w:pPr>
    <w:rPr>
      <w:rFonts w:ascii="黑体" w:hAnsi="黑体" w:eastAsia="楷体"/>
      <w:sz w:val="24"/>
      <w:szCs w:val="20"/>
    </w:rPr>
  </w:style>
  <w:style w:type="paragraph" w:styleId="13">
    <w:name w:val="heading 9"/>
    <w:basedOn w:val="1"/>
    <w:next w:val="8"/>
    <w:qFormat/>
    <w:uiPriority w:val="0"/>
    <w:pPr>
      <w:keepNext/>
      <w:keepLines/>
      <w:spacing w:before="240" w:beforeLines="0" w:after="64" w:afterLines="0" w:line="320" w:lineRule="auto"/>
      <w:outlineLvl w:val="8"/>
    </w:pPr>
    <w:rPr>
      <w:rFonts w:ascii="黑体" w:hAnsi="黑体" w:eastAsia="楷体"/>
      <w:szCs w:val="20"/>
    </w:rPr>
  </w:style>
  <w:style w:type="character" w:default="1" w:styleId="48">
    <w:name w:val="Default Paragraph Font"/>
    <w:semiHidden/>
    <w:qFormat/>
    <w:uiPriority w:val="0"/>
  </w:style>
  <w:style w:type="table" w:default="1" w:styleId="46">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3"/>
    <w:qFormat/>
    <w:uiPriority w:val="0"/>
    <w:pPr>
      <w:spacing w:after="120" w:line="240" w:lineRule="auto"/>
      <w:ind w:left="420" w:leftChars="200" w:firstLine="420" w:firstLineChars="200"/>
    </w:pPr>
    <w:rPr>
      <w:sz w:val="21"/>
    </w:rPr>
  </w:style>
  <w:style w:type="paragraph" w:customStyle="1" w:styleId="3">
    <w:name w:val="Body Text Indent1"/>
    <w:basedOn w:val="1"/>
    <w:qFormat/>
    <w:uiPriority w:val="0"/>
    <w:pPr>
      <w:spacing w:line="200" w:lineRule="exact"/>
      <w:ind w:firstLine="301"/>
    </w:pPr>
    <w:rPr>
      <w:rFonts w:ascii="宋体" w:hAnsi="Courier New"/>
      <w:spacing w:val="-4"/>
      <w:kern w:val="2"/>
      <w:sz w:val="18"/>
    </w:rPr>
  </w:style>
  <w:style w:type="paragraph" w:styleId="8">
    <w:name w:val="Normal Indent"/>
    <w:basedOn w:val="1"/>
    <w:link w:val="58"/>
    <w:qFormat/>
    <w:uiPriority w:val="0"/>
    <w:pPr>
      <w:widowControl/>
      <w:ind w:firstLine="420"/>
      <w:jc w:val="left"/>
    </w:pPr>
    <w:rPr>
      <w:rFonts w:ascii="Arial" w:hAnsi="Arial" w:cs="Arial"/>
      <w:kern w:val="0"/>
      <w:sz w:val="20"/>
      <w:szCs w:val="20"/>
    </w:rPr>
  </w:style>
  <w:style w:type="paragraph" w:styleId="14">
    <w:name w:val="toc 7"/>
    <w:basedOn w:val="1"/>
    <w:next w:val="1"/>
    <w:semiHidden/>
    <w:qFormat/>
    <w:uiPriority w:val="0"/>
    <w:pPr>
      <w:ind w:left="1260"/>
      <w:jc w:val="left"/>
    </w:pPr>
    <w:rPr>
      <w:sz w:val="18"/>
      <w:szCs w:val="18"/>
    </w:rPr>
  </w:style>
  <w:style w:type="paragraph" w:styleId="15">
    <w:name w:val="List Number"/>
    <w:basedOn w:val="1"/>
    <w:qFormat/>
    <w:uiPriority w:val="0"/>
    <w:pPr>
      <w:widowControl/>
      <w:tabs>
        <w:tab w:val="left" w:pos="420"/>
        <w:tab w:val="left" w:pos="454"/>
      </w:tabs>
      <w:spacing w:after="156" w:afterLines="50"/>
      <w:ind w:left="454" w:hanging="284"/>
      <w:jc w:val="left"/>
    </w:pPr>
    <w:rPr>
      <w:kern w:val="0"/>
      <w:sz w:val="24"/>
      <w:szCs w:val="20"/>
    </w:rPr>
  </w:style>
  <w:style w:type="paragraph" w:styleId="16">
    <w:name w:val="caption"/>
    <w:basedOn w:val="1"/>
    <w:next w:val="1"/>
    <w:qFormat/>
    <w:uiPriority w:val="0"/>
    <w:rPr>
      <w:rFonts w:ascii="黑体" w:hAnsi="黑体" w:eastAsia="楷体" w:cs="黑体"/>
      <w:sz w:val="20"/>
      <w:szCs w:val="20"/>
    </w:rPr>
  </w:style>
  <w:style w:type="paragraph" w:styleId="17">
    <w:name w:val="Document Map"/>
    <w:basedOn w:val="1"/>
    <w:semiHidden/>
    <w:qFormat/>
    <w:uiPriority w:val="0"/>
    <w:pPr>
      <w:shd w:val="clear" w:color="auto" w:fill="000080"/>
    </w:pPr>
  </w:style>
  <w:style w:type="paragraph" w:styleId="18">
    <w:name w:val="annotation text"/>
    <w:basedOn w:val="1"/>
    <w:semiHidden/>
    <w:qFormat/>
    <w:uiPriority w:val="0"/>
    <w:pPr>
      <w:jc w:val="left"/>
    </w:pPr>
  </w:style>
  <w:style w:type="paragraph" w:styleId="19">
    <w:name w:val="Body Text"/>
    <w:basedOn w:val="1"/>
    <w:next w:val="20"/>
    <w:qFormat/>
    <w:uiPriority w:val="0"/>
    <w:pPr>
      <w:spacing w:after="120" w:afterLines="0"/>
    </w:pPr>
  </w:style>
  <w:style w:type="paragraph" w:customStyle="1" w:styleId="20">
    <w:name w:val="Default"/>
    <w:qFormat/>
    <w:uiPriority w:val="0"/>
    <w:pPr>
      <w:widowControl w:val="0"/>
      <w:autoSpaceDE w:val="0"/>
      <w:autoSpaceDN w:val="0"/>
      <w:adjustRightInd w:val="0"/>
    </w:pPr>
    <w:rPr>
      <w:rFonts w:ascii="楷体" w:hAnsi="Times New Roman" w:eastAsia="楷体" w:cs="Times New Roman"/>
      <w:color w:val="000000"/>
      <w:sz w:val="24"/>
      <w:szCs w:val="24"/>
      <w:lang w:val="en-US" w:eastAsia="zh-CN" w:bidi="ar-SA"/>
    </w:rPr>
  </w:style>
  <w:style w:type="paragraph" w:styleId="21">
    <w:name w:val="Body Text Indent"/>
    <w:basedOn w:val="1"/>
    <w:next w:val="1"/>
    <w:link w:val="56"/>
    <w:qFormat/>
    <w:uiPriority w:val="0"/>
    <w:pPr>
      <w:adjustRightInd w:val="0"/>
      <w:spacing w:line="360" w:lineRule="auto"/>
      <w:ind w:firstLine="490"/>
      <w:jc w:val="left"/>
    </w:pPr>
    <w:rPr>
      <w:rFonts w:ascii="Century Gothic" w:hAnsi="Century Gothic" w:eastAsia="Century Gothic"/>
      <w:sz w:val="24"/>
      <w:szCs w:val="20"/>
    </w:rPr>
  </w:style>
  <w:style w:type="paragraph" w:styleId="22">
    <w:name w:val="List Number 3"/>
    <w:basedOn w:val="1"/>
    <w:qFormat/>
    <w:uiPriority w:val="0"/>
    <w:pPr>
      <w:widowControl/>
      <w:tabs>
        <w:tab w:val="left" w:pos="482"/>
        <w:tab w:val="left" w:pos="1157"/>
      </w:tabs>
      <w:spacing w:after="156" w:afterLines="50"/>
      <w:ind w:left="482" w:hanging="340"/>
      <w:jc w:val="left"/>
    </w:pPr>
    <w:rPr>
      <w:kern w:val="0"/>
      <w:sz w:val="24"/>
      <w:szCs w:val="20"/>
    </w:rPr>
  </w:style>
  <w:style w:type="paragraph" w:styleId="23">
    <w:name w:val="Block Text"/>
    <w:basedOn w:val="1"/>
    <w:qFormat/>
    <w:uiPriority w:val="0"/>
    <w:pPr>
      <w:adjustRightInd w:val="0"/>
      <w:snapToGrid w:val="0"/>
      <w:spacing w:line="300" w:lineRule="auto"/>
      <w:ind w:left="958" w:rightChars="-120"/>
      <w:jc w:val="left"/>
    </w:pPr>
    <w:rPr>
      <w:rFonts w:hint="eastAsia" w:ascii="Century Gothic" w:hAnsi="Century Gothic"/>
      <w:sz w:val="28"/>
      <w:szCs w:val="20"/>
    </w:rPr>
  </w:style>
  <w:style w:type="paragraph" w:styleId="24">
    <w:name w:val="toc 5"/>
    <w:basedOn w:val="1"/>
    <w:next w:val="1"/>
    <w:semiHidden/>
    <w:qFormat/>
    <w:uiPriority w:val="0"/>
    <w:pPr>
      <w:ind w:left="840"/>
      <w:jc w:val="left"/>
    </w:pPr>
    <w:rPr>
      <w:sz w:val="18"/>
      <w:szCs w:val="18"/>
    </w:rPr>
  </w:style>
  <w:style w:type="paragraph" w:styleId="25">
    <w:name w:val="toc 3"/>
    <w:basedOn w:val="1"/>
    <w:next w:val="1"/>
    <w:semiHidden/>
    <w:qFormat/>
    <w:uiPriority w:val="0"/>
    <w:pPr>
      <w:ind w:left="420"/>
      <w:jc w:val="left"/>
    </w:pPr>
    <w:rPr>
      <w:i/>
      <w:iCs/>
      <w:sz w:val="20"/>
      <w:szCs w:val="20"/>
    </w:rPr>
  </w:style>
  <w:style w:type="paragraph" w:styleId="26">
    <w:name w:val="Plain Text"/>
    <w:basedOn w:val="1"/>
    <w:link w:val="59"/>
    <w:qFormat/>
    <w:uiPriority w:val="0"/>
    <w:rPr>
      <w:rFonts w:ascii="Century Gothic" w:hAnsi="楷体_GB2312" w:eastAsia="Century Gothic" w:cs="楷体_GB2312"/>
      <w:szCs w:val="21"/>
    </w:rPr>
  </w:style>
  <w:style w:type="paragraph" w:styleId="27">
    <w:name w:val="toc 8"/>
    <w:basedOn w:val="1"/>
    <w:next w:val="1"/>
    <w:semiHidden/>
    <w:qFormat/>
    <w:uiPriority w:val="0"/>
    <w:pPr>
      <w:ind w:left="1470"/>
      <w:jc w:val="left"/>
    </w:pPr>
    <w:rPr>
      <w:sz w:val="18"/>
      <w:szCs w:val="18"/>
    </w:rPr>
  </w:style>
  <w:style w:type="paragraph" w:styleId="28">
    <w:name w:val="Date"/>
    <w:basedOn w:val="1"/>
    <w:next w:val="1"/>
    <w:qFormat/>
    <w:uiPriority w:val="0"/>
    <w:pPr>
      <w:ind w:left="100" w:leftChars="2500"/>
    </w:pPr>
  </w:style>
  <w:style w:type="paragraph" w:styleId="29">
    <w:name w:val="Body Text Indent 2"/>
    <w:basedOn w:val="1"/>
    <w:qFormat/>
    <w:uiPriority w:val="0"/>
    <w:pPr>
      <w:adjustRightInd w:val="0"/>
      <w:spacing w:line="360" w:lineRule="auto"/>
      <w:ind w:firstLine="504" w:firstLineChars="210"/>
      <w:jc w:val="left"/>
    </w:pPr>
    <w:rPr>
      <w:rFonts w:hint="eastAsia" w:ascii="Century Gothic" w:hAnsi="Century Gothic"/>
      <w:sz w:val="24"/>
      <w:szCs w:val="20"/>
    </w:rPr>
  </w:style>
  <w:style w:type="paragraph" w:styleId="30">
    <w:name w:val="Balloon Text"/>
    <w:basedOn w:val="1"/>
    <w:semiHidden/>
    <w:qFormat/>
    <w:uiPriority w:val="0"/>
    <w:rPr>
      <w:sz w:val="18"/>
      <w:szCs w:val="18"/>
    </w:rPr>
  </w:style>
  <w:style w:type="paragraph" w:styleId="31">
    <w:name w:val="footer"/>
    <w:basedOn w:val="1"/>
    <w:link w:val="60"/>
    <w:qFormat/>
    <w:uiPriority w:val="0"/>
    <w:pPr>
      <w:tabs>
        <w:tab w:val="center" w:pos="4153"/>
        <w:tab w:val="right" w:pos="8306"/>
      </w:tabs>
      <w:adjustRightInd w:val="0"/>
      <w:jc w:val="left"/>
    </w:pPr>
    <w:rPr>
      <w:rFonts w:eastAsia="Century Gothic"/>
      <w:sz w:val="18"/>
      <w:szCs w:val="20"/>
    </w:rPr>
  </w:style>
  <w:style w:type="paragraph" w:styleId="32">
    <w:name w:val="header"/>
    <w:basedOn w:val="1"/>
    <w:qFormat/>
    <w:uiPriority w:val="0"/>
    <w:pPr>
      <w:pBdr>
        <w:bottom w:val="single" w:color="auto" w:sz="6" w:space="1"/>
      </w:pBdr>
      <w:tabs>
        <w:tab w:val="center" w:pos="4153"/>
        <w:tab w:val="right" w:pos="8306"/>
      </w:tabs>
      <w:adjustRightInd w:val="0"/>
      <w:jc w:val="center"/>
    </w:pPr>
    <w:rPr>
      <w:sz w:val="18"/>
      <w:szCs w:val="20"/>
    </w:rPr>
  </w:style>
  <w:style w:type="paragraph" w:styleId="33">
    <w:name w:val="toc 1"/>
    <w:basedOn w:val="1"/>
    <w:next w:val="1"/>
    <w:qFormat/>
    <w:uiPriority w:val="39"/>
    <w:pPr>
      <w:tabs>
        <w:tab w:val="right" w:leader="dot" w:pos="8720"/>
      </w:tabs>
      <w:spacing w:before="120" w:beforeLines="0" w:after="120" w:afterLines="0"/>
      <w:jc w:val="left"/>
    </w:pPr>
    <w:rPr>
      <w:rFonts w:ascii="Century Gothic" w:hAnsi="Century Gothic"/>
      <w:bCs/>
      <w:caps/>
      <w:sz w:val="20"/>
      <w:szCs w:val="20"/>
    </w:rPr>
  </w:style>
  <w:style w:type="paragraph" w:styleId="34">
    <w:name w:val="toc 4"/>
    <w:basedOn w:val="1"/>
    <w:next w:val="1"/>
    <w:semiHidden/>
    <w:qFormat/>
    <w:uiPriority w:val="0"/>
    <w:pPr>
      <w:ind w:left="630"/>
      <w:jc w:val="left"/>
    </w:pPr>
    <w:rPr>
      <w:sz w:val="18"/>
      <w:szCs w:val="18"/>
    </w:rPr>
  </w:style>
  <w:style w:type="paragraph" w:styleId="35">
    <w:name w:val="toc 6"/>
    <w:basedOn w:val="1"/>
    <w:next w:val="1"/>
    <w:semiHidden/>
    <w:qFormat/>
    <w:uiPriority w:val="0"/>
    <w:pPr>
      <w:ind w:left="1050"/>
      <w:jc w:val="left"/>
    </w:pPr>
    <w:rPr>
      <w:sz w:val="18"/>
      <w:szCs w:val="18"/>
    </w:rPr>
  </w:style>
  <w:style w:type="paragraph" w:styleId="36">
    <w:name w:val="List 5"/>
    <w:basedOn w:val="1"/>
    <w:qFormat/>
    <w:uiPriority w:val="0"/>
    <w:pPr>
      <w:ind w:left="100" w:leftChars="800" w:hanging="200" w:hangingChars="200"/>
    </w:pPr>
    <w:rPr>
      <w:szCs w:val="20"/>
    </w:rPr>
  </w:style>
  <w:style w:type="paragraph" w:styleId="37">
    <w:name w:val="Body Text Indent 3"/>
    <w:basedOn w:val="1"/>
    <w:qFormat/>
    <w:uiPriority w:val="0"/>
    <w:pPr>
      <w:spacing w:after="120" w:afterLines="0"/>
      <w:ind w:left="420" w:leftChars="200"/>
    </w:pPr>
    <w:rPr>
      <w:sz w:val="16"/>
      <w:szCs w:val="16"/>
    </w:rPr>
  </w:style>
  <w:style w:type="paragraph" w:styleId="38">
    <w:name w:val="toc 2"/>
    <w:basedOn w:val="1"/>
    <w:next w:val="1"/>
    <w:qFormat/>
    <w:uiPriority w:val="39"/>
    <w:pPr>
      <w:tabs>
        <w:tab w:val="right" w:leader="dot" w:pos="8720"/>
      </w:tabs>
      <w:adjustRightInd w:val="0"/>
      <w:snapToGrid w:val="0"/>
      <w:jc w:val="left"/>
    </w:pPr>
    <w:rPr>
      <w:smallCaps/>
      <w:sz w:val="20"/>
      <w:szCs w:val="20"/>
    </w:rPr>
  </w:style>
  <w:style w:type="paragraph" w:styleId="39">
    <w:name w:val="toc 9"/>
    <w:basedOn w:val="1"/>
    <w:next w:val="1"/>
    <w:semiHidden/>
    <w:qFormat/>
    <w:uiPriority w:val="0"/>
    <w:pPr>
      <w:ind w:left="1680"/>
      <w:jc w:val="left"/>
    </w:pPr>
    <w:rPr>
      <w:sz w:val="18"/>
      <w:szCs w:val="18"/>
    </w:rPr>
  </w:style>
  <w:style w:type="paragraph" w:styleId="40">
    <w:name w:val="Body Text 2"/>
    <w:basedOn w:val="1"/>
    <w:qFormat/>
    <w:uiPriority w:val="0"/>
    <w:rPr>
      <w:sz w:val="24"/>
    </w:rPr>
  </w:style>
  <w:style w:type="paragraph" w:styleId="41">
    <w:name w:val="Normal (Web)"/>
    <w:basedOn w:val="1"/>
    <w:qFormat/>
    <w:uiPriority w:val="0"/>
    <w:pPr>
      <w:widowControl/>
      <w:shd w:val="clear" w:color="auto" w:fill="FFFFFF"/>
      <w:spacing w:before="100" w:beforeLines="0" w:beforeAutospacing="1" w:after="100" w:afterLines="0" w:afterAutospacing="1"/>
      <w:jc w:val="left"/>
    </w:pPr>
    <w:rPr>
      <w:rFonts w:ascii="Century Gothic" w:hAnsi="Century Gothic"/>
      <w:kern w:val="0"/>
      <w:sz w:val="18"/>
      <w:szCs w:val="18"/>
    </w:rPr>
  </w:style>
  <w:style w:type="paragraph" w:styleId="42">
    <w:name w:val="Title"/>
    <w:basedOn w:val="1"/>
    <w:qFormat/>
    <w:uiPriority w:val="0"/>
    <w:pPr>
      <w:tabs>
        <w:tab w:val="left" w:pos="1200"/>
      </w:tabs>
      <w:spacing w:after="624" w:afterLines="200"/>
      <w:ind w:left="1440" w:hanging="720"/>
      <w:jc w:val="center"/>
    </w:pPr>
    <w:rPr>
      <w:b/>
      <w:bCs/>
      <w:spacing w:val="60"/>
      <w:sz w:val="32"/>
    </w:rPr>
  </w:style>
  <w:style w:type="paragraph" w:styleId="43">
    <w:name w:val="annotation subject"/>
    <w:basedOn w:val="18"/>
    <w:next w:val="18"/>
    <w:semiHidden/>
    <w:qFormat/>
    <w:uiPriority w:val="0"/>
    <w:rPr>
      <w:b/>
      <w:bCs/>
    </w:rPr>
  </w:style>
  <w:style w:type="paragraph" w:styleId="44">
    <w:name w:val="Body Text First Indent"/>
    <w:basedOn w:val="19"/>
    <w:next w:val="35"/>
    <w:qFormat/>
    <w:uiPriority w:val="0"/>
    <w:pPr>
      <w:ind w:firstLine="420"/>
    </w:pPr>
  </w:style>
  <w:style w:type="paragraph" w:styleId="45">
    <w:name w:val="Body Text First Indent 2"/>
    <w:basedOn w:val="21"/>
    <w:next w:val="1"/>
    <w:unhideWhenUsed/>
    <w:qFormat/>
    <w:uiPriority w:val="99"/>
    <w:pPr>
      <w:ind w:firstLine="420"/>
    </w:pPr>
  </w:style>
  <w:style w:type="table" w:styleId="47">
    <w:name w:val="Table Grid"/>
    <w:basedOn w:val="46"/>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qFormat/>
    <w:uiPriority w:val="0"/>
    <w:rPr>
      <w:b/>
    </w:rPr>
  </w:style>
  <w:style w:type="character" w:styleId="50">
    <w:name w:val="page number"/>
    <w:basedOn w:val="48"/>
    <w:qFormat/>
    <w:uiPriority w:val="0"/>
  </w:style>
  <w:style w:type="character" w:styleId="51">
    <w:name w:val="FollowedHyperlink"/>
    <w:qFormat/>
    <w:uiPriority w:val="0"/>
    <w:rPr>
      <w:color w:val="800080"/>
      <w:u w:val="single"/>
    </w:rPr>
  </w:style>
  <w:style w:type="character" w:styleId="52">
    <w:name w:val="Hyperlink"/>
    <w:qFormat/>
    <w:uiPriority w:val="0"/>
    <w:rPr>
      <w:color w:val="0000FF"/>
      <w:u w:val="single"/>
    </w:rPr>
  </w:style>
  <w:style w:type="character" w:styleId="53">
    <w:name w:val="annotation reference"/>
    <w:semiHidden/>
    <w:qFormat/>
    <w:uiPriority w:val="0"/>
    <w:rPr>
      <w:sz w:val="21"/>
      <w:szCs w:val="21"/>
    </w:rPr>
  </w:style>
  <w:style w:type="paragraph" w:customStyle="1" w:styleId="54">
    <w:name w:val="正文空2字"/>
    <w:basedOn w:val="5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55">
    <w:name w:val="左对齐正文"/>
    <w:qFormat/>
    <w:uiPriority w:val="99"/>
    <w:rPr>
      <w:rFonts w:ascii="Calibri" w:hAnsi="Calibri" w:eastAsia="仿宋_GB2312" w:cs="Calibri"/>
      <w:kern w:val="2"/>
      <w:sz w:val="32"/>
      <w:szCs w:val="32"/>
      <w:lang w:val="en-US" w:eastAsia="zh-CN" w:bidi="ar-SA"/>
    </w:rPr>
  </w:style>
  <w:style w:type="character" w:customStyle="1" w:styleId="56">
    <w:name w:val="正文文本缩进 字符"/>
    <w:link w:val="21"/>
    <w:semiHidden/>
    <w:qFormat/>
    <w:uiPriority w:val="0"/>
    <w:rPr>
      <w:rFonts w:ascii="Century Gothic" w:hAnsi="Century Gothic" w:eastAsia="Century Gothic"/>
      <w:kern w:val="2"/>
      <w:sz w:val="24"/>
      <w:lang w:val="en-US" w:eastAsia="zh-CN" w:bidi="ar-SA"/>
    </w:rPr>
  </w:style>
  <w:style w:type="character" w:customStyle="1" w:styleId="57">
    <w:name w:val="标题 1 字符"/>
    <w:link w:val="4"/>
    <w:qFormat/>
    <w:uiPriority w:val="0"/>
    <w:rPr>
      <w:rFonts w:ascii="Times New Roman" w:hAnsi="Times New Roman" w:eastAsia="宋体"/>
      <w:b/>
      <w:bCs/>
      <w:kern w:val="44"/>
      <w:sz w:val="36"/>
      <w:szCs w:val="44"/>
      <w:lang w:val="en-US" w:eastAsia="zh-CN" w:bidi="ar-SA"/>
    </w:rPr>
  </w:style>
  <w:style w:type="character" w:customStyle="1" w:styleId="58">
    <w:name w:val="正文缩进 字符"/>
    <w:link w:val="8"/>
    <w:qFormat/>
    <w:uiPriority w:val="0"/>
    <w:rPr>
      <w:rFonts w:ascii="Arial" w:hAnsi="Arial" w:eastAsia="宋体" w:cs="Arial"/>
      <w:lang w:val="en-US" w:eastAsia="zh-CN" w:bidi="ar-SA"/>
    </w:rPr>
  </w:style>
  <w:style w:type="character" w:customStyle="1" w:styleId="59">
    <w:name w:val="纯文本 字符"/>
    <w:link w:val="26"/>
    <w:qFormat/>
    <w:uiPriority w:val="0"/>
    <w:rPr>
      <w:rFonts w:ascii="Century Gothic" w:hAnsi="楷体_GB2312" w:eastAsia="Century Gothic" w:cs="楷体_GB2312"/>
      <w:kern w:val="2"/>
      <w:sz w:val="21"/>
      <w:szCs w:val="21"/>
      <w:lang w:val="en-US" w:eastAsia="zh-CN" w:bidi="ar-SA"/>
    </w:rPr>
  </w:style>
  <w:style w:type="character" w:customStyle="1" w:styleId="60">
    <w:name w:val="页脚 字符"/>
    <w:link w:val="31"/>
    <w:qFormat/>
    <w:uiPriority w:val="0"/>
    <w:rPr>
      <w:rFonts w:eastAsia="Century Gothic"/>
      <w:kern w:val="2"/>
      <w:sz w:val="18"/>
      <w:lang w:val="en-US" w:eastAsia="zh-CN" w:bidi="ar-SA"/>
    </w:rPr>
  </w:style>
  <w:style w:type="paragraph" w:customStyle="1" w:styleId="61">
    <w:name w:val="DAS正文"/>
    <w:basedOn w:val="1"/>
    <w:qFormat/>
    <w:uiPriority w:val="0"/>
    <w:pPr>
      <w:spacing w:line="360" w:lineRule="auto"/>
      <w:ind w:right="181" w:firstLine="480" w:firstLineChars="200"/>
    </w:pPr>
    <w:rPr>
      <w:rFonts w:ascii="Verdana" w:hAnsi="Verdana"/>
      <w:sz w:val="24"/>
    </w:rPr>
  </w:style>
  <w:style w:type="character" w:customStyle="1" w:styleId="62">
    <w:name w:val="正文2 Char"/>
    <w:link w:val="63"/>
    <w:qFormat/>
    <w:uiPriority w:val="0"/>
    <w:rPr>
      <w:rFonts w:eastAsia="宋体"/>
      <w:kern w:val="2"/>
      <w:sz w:val="24"/>
      <w:lang w:val="en-US" w:eastAsia="zh-CN" w:bidi="ar-SA"/>
    </w:rPr>
  </w:style>
  <w:style w:type="paragraph" w:customStyle="1" w:styleId="63">
    <w:name w:val="正文2"/>
    <w:basedOn w:val="1"/>
    <w:link w:val="62"/>
    <w:qFormat/>
    <w:uiPriority w:val="0"/>
    <w:pPr>
      <w:spacing w:before="156" w:beforeLines="0" w:line="360" w:lineRule="auto"/>
      <w:ind w:firstLine="510" w:firstLineChars="200"/>
    </w:pPr>
    <w:rPr>
      <w:sz w:val="24"/>
      <w:szCs w:val="20"/>
    </w:rPr>
  </w:style>
  <w:style w:type="character" w:customStyle="1" w:styleId="64">
    <w:name w:val=" Char Char"/>
    <w:qFormat/>
    <w:uiPriority w:val="0"/>
    <w:rPr>
      <w:rFonts w:ascii="Courier New" w:eastAsia="Courier New"/>
      <w:color w:val="FF0000"/>
      <w:kern w:val="2"/>
      <w:sz w:val="24"/>
      <w:szCs w:val="24"/>
      <w:u w:val="single"/>
      <w:lang w:val="en-US" w:eastAsia="zh-CN" w:bidi="ar-SA"/>
    </w:rPr>
  </w:style>
  <w:style w:type="character" w:customStyle="1" w:styleId="65">
    <w:name w:val="font01"/>
    <w:qFormat/>
    <w:uiPriority w:val="0"/>
    <w:rPr>
      <w:rFonts w:hint="eastAsia" w:ascii="仿宋" w:hAnsi="仿宋" w:eastAsia="仿宋" w:cs="仿宋"/>
      <w:color w:val="000000"/>
      <w:sz w:val="24"/>
      <w:szCs w:val="24"/>
      <w:u w:val="none"/>
    </w:rPr>
  </w:style>
  <w:style w:type="character" w:customStyle="1" w:styleId="66">
    <w:name w:val="标准文本 Char"/>
    <w:link w:val="67"/>
    <w:qFormat/>
    <w:uiPriority w:val="0"/>
    <w:rPr>
      <w:rFonts w:eastAsia="宋体" w:cs="宋体"/>
      <w:kern w:val="2"/>
      <w:sz w:val="24"/>
      <w:lang w:val="en-US" w:eastAsia="zh-CN" w:bidi="ar-SA"/>
    </w:rPr>
  </w:style>
  <w:style w:type="paragraph" w:customStyle="1" w:styleId="67">
    <w:name w:val="标准文本"/>
    <w:basedOn w:val="1"/>
    <w:link w:val="66"/>
    <w:qFormat/>
    <w:uiPriority w:val="0"/>
    <w:pPr>
      <w:spacing w:line="360" w:lineRule="auto"/>
      <w:ind w:firstLine="480" w:firstLineChars="200"/>
    </w:pPr>
    <w:rPr>
      <w:rFonts w:cs="宋体"/>
      <w:sz w:val="24"/>
      <w:szCs w:val="20"/>
    </w:rPr>
  </w:style>
  <w:style w:type="character" w:customStyle="1" w:styleId="68">
    <w:name w:val="zbggtop11 style5"/>
    <w:qFormat/>
    <w:uiPriority w:val="0"/>
  </w:style>
  <w:style w:type="character" w:customStyle="1" w:styleId="69">
    <w:name w:val="bulletintext1"/>
    <w:qFormat/>
    <w:uiPriority w:val="0"/>
    <w:rPr>
      <w:color w:val="000000"/>
      <w:sz w:val="18"/>
    </w:rPr>
  </w:style>
  <w:style w:type="character" w:customStyle="1" w:styleId="70">
    <w:name w:val="tpc_content1"/>
    <w:qFormat/>
    <w:uiPriority w:val="0"/>
    <w:rPr>
      <w:sz w:val="20"/>
      <w:szCs w:val="20"/>
    </w:rPr>
  </w:style>
  <w:style w:type="character" w:customStyle="1" w:styleId="71">
    <w:name w:val="NormalCharacter"/>
    <w:semiHidden/>
    <w:qFormat/>
    <w:uiPriority w:val="0"/>
    <w:rPr>
      <w:snapToGrid w:val="0"/>
      <w:sz w:val="21"/>
      <w:lang w:val="en-US" w:eastAsia="zh-CN" w:bidi="ar-SA"/>
    </w:rPr>
  </w:style>
  <w:style w:type="character" w:customStyle="1" w:styleId="72">
    <w:name w:val="font11"/>
    <w:qFormat/>
    <w:uiPriority w:val="0"/>
    <w:rPr>
      <w:rFonts w:ascii="Calibri" w:hAnsi="Calibri" w:cs="Calibri"/>
      <w:color w:val="000000"/>
      <w:sz w:val="24"/>
      <w:szCs w:val="24"/>
      <w:u w:val="none"/>
    </w:rPr>
  </w:style>
  <w:style w:type="character" w:customStyle="1" w:styleId="73">
    <w:name w:val=" Char Char21"/>
    <w:qFormat/>
    <w:uiPriority w:val="0"/>
    <w:rPr>
      <w:rFonts w:eastAsia="Century Gothic"/>
      <w:b/>
      <w:bCs/>
      <w:kern w:val="44"/>
      <w:sz w:val="32"/>
      <w:szCs w:val="44"/>
      <w:lang w:val="en-US" w:eastAsia="zh-CN" w:bidi="ar-SA"/>
    </w:rPr>
  </w:style>
  <w:style w:type="character" w:customStyle="1" w:styleId="74">
    <w:name w:val="style1"/>
    <w:qFormat/>
    <w:uiPriority w:val="0"/>
  </w:style>
  <w:style w:type="character" w:customStyle="1" w:styleId="75">
    <w:name w:val=" Char Char12"/>
    <w:qFormat/>
    <w:uiPriority w:val="0"/>
    <w:rPr>
      <w:rFonts w:ascii="Century Gothic" w:hAnsi="楷体_GB2312" w:eastAsia="Century Gothic" w:cs="楷体_GB2312"/>
      <w:kern w:val="2"/>
      <w:sz w:val="21"/>
      <w:szCs w:val="21"/>
      <w:lang w:val="en-US" w:eastAsia="zh-CN" w:bidi="ar-SA"/>
    </w:rPr>
  </w:style>
  <w:style w:type="character" w:customStyle="1" w:styleId="76">
    <w:name w:val="font81"/>
    <w:qFormat/>
    <w:uiPriority w:val="0"/>
    <w:rPr>
      <w:rFonts w:hint="eastAsia" w:ascii="宋体" w:hAnsi="宋体" w:eastAsia="宋体" w:cs="宋体"/>
      <w:color w:val="000000"/>
      <w:sz w:val="24"/>
      <w:szCs w:val="24"/>
      <w:u w:val="none"/>
    </w:rPr>
  </w:style>
  <w:style w:type="character" w:customStyle="1" w:styleId="77">
    <w:name w:val="zbggmain style9"/>
    <w:qFormat/>
    <w:uiPriority w:val="0"/>
    <w:rPr>
      <w:rFonts w:ascii="Courier New" w:eastAsia="Courier New"/>
      <w:b/>
      <w:kern w:val="2"/>
      <w:sz w:val="32"/>
      <w:szCs w:val="32"/>
      <w:lang w:val="en-US" w:eastAsia="zh-CN" w:bidi="ar-SA"/>
    </w:rPr>
  </w:style>
  <w:style w:type="character" w:customStyle="1" w:styleId="78">
    <w:name w:val="普通文字 Char Char1"/>
    <w:qFormat/>
    <w:uiPriority w:val="0"/>
    <w:rPr>
      <w:rFonts w:ascii="Century Gothic" w:hAnsi="楷体_GB2312" w:eastAsia="Century Gothic" w:cs="楷体_GB2312"/>
      <w:kern w:val="2"/>
      <w:sz w:val="21"/>
      <w:szCs w:val="21"/>
      <w:lang w:val="en-US" w:eastAsia="zh-CN" w:bidi="ar-SA"/>
    </w:rPr>
  </w:style>
  <w:style w:type="character" w:customStyle="1" w:styleId="79">
    <w:name w:val="font21"/>
    <w:qFormat/>
    <w:uiPriority w:val="0"/>
    <w:rPr>
      <w:rFonts w:hint="eastAsia" w:ascii="仿宋" w:hAnsi="仿宋" w:eastAsia="仿宋" w:cs="仿宋"/>
      <w:color w:val="000000"/>
      <w:sz w:val="24"/>
      <w:szCs w:val="24"/>
      <w:u w:val="none"/>
    </w:rPr>
  </w:style>
  <w:style w:type="paragraph" w:customStyle="1" w:styleId="80">
    <w:name w:val="Blockquote"/>
    <w:basedOn w:val="1"/>
    <w:qFormat/>
    <w:uiPriority w:val="0"/>
    <w:pPr>
      <w:autoSpaceDE w:val="0"/>
      <w:autoSpaceDN w:val="0"/>
      <w:adjustRightInd w:val="0"/>
      <w:spacing w:before="100" w:beforeLines="0" w:after="100" w:afterLines="0"/>
      <w:ind w:left="360" w:right="360"/>
      <w:jc w:val="left"/>
    </w:pPr>
    <w:rPr>
      <w:kern w:val="0"/>
      <w:sz w:val="24"/>
      <w:szCs w:val="20"/>
    </w:rPr>
  </w:style>
  <w:style w:type="paragraph" w:customStyle="1" w:styleId="81">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styleId="82">
    <w:name w:val="List Paragraph"/>
    <w:basedOn w:val="1"/>
    <w:qFormat/>
    <w:uiPriority w:val="0"/>
    <w:pPr>
      <w:ind w:firstLine="420" w:firstLineChars="200"/>
    </w:pPr>
    <w:rPr>
      <w:rFonts w:ascii="Times New Roman" w:hAnsi="Times New Roman" w:cs="Times New Roman"/>
    </w:rPr>
  </w:style>
  <w:style w:type="paragraph" w:customStyle="1" w:styleId="83">
    <w:name w:val=" Char1"/>
    <w:basedOn w:val="1"/>
    <w:qFormat/>
    <w:uiPriority w:val="0"/>
    <w:pPr>
      <w:widowControl/>
      <w:spacing w:after="160" w:afterLines="0" w:line="240" w:lineRule="exact"/>
      <w:jc w:val="left"/>
    </w:pPr>
    <w:rPr>
      <w:szCs w:val="20"/>
    </w:rPr>
  </w:style>
  <w:style w:type="paragraph" w:customStyle="1" w:styleId="84">
    <w:name w:val="小节"/>
    <w:basedOn w:val="6"/>
    <w:qFormat/>
    <w:uiPriority w:val="0"/>
    <w:pPr>
      <w:spacing w:before="200" w:beforeLines="0" w:after="200" w:afterLines="0" w:line="560" w:lineRule="exact"/>
      <w:jc w:val="left"/>
    </w:pPr>
    <w:rPr>
      <w:rFonts w:ascii="Century Gothic" w:hAnsi="Century Gothic"/>
      <w:bCs w:val="0"/>
      <w:color w:val="000000"/>
      <w:spacing w:val="10"/>
      <w:kern w:val="24"/>
      <w:sz w:val="28"/>
    </w:rPr>
  </w:style>
  <w:style w:type="paragraph" w:customStyle="1" w:styleId="85">
    <w:name w:val="font1"/>
    <w:basedOn w:val="1"/>
    <w:qFormat/>
    <w:uiPriority w:val="0"/>
    <w:pPr>
      <w:widowControl/>
      <w:spacing w:before="100" w:beforeLines="0" w:beforeAutospacing="1" w:after="100" w:afterLines="0" w:afterAutospacing="1"/>
      <w:jc w:val="left"/>
    </w:pPr>
    <w:rPr>
      <w:rFonts w:ascii="Century Gothic" w:hAnsi="Century Gothic"/>
      <w:kern w:val="0"/>
      <w:sz w:val="24"/>
      <w:szCs w:val="20"/>
    </w:rPr>
  </w:style>
  <w:style w:type="paragraph" w:customStyle="1" w:styleId="86">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87">
    <w:name w:val="合同正文"/>
    <w:basedOn w:val="1"/>
    <w:qFormat/>
    <w:uiPriority w:val="0"/>
    <w:pPr>
      <w:ind w:firstLine="586" w:firstLineChars="200"/>
    </w:pPr>
    <w:rPr>
      <w:rFonts w:ascii="仿宋_GB2312" w:hAnsi="宋体" w:eastAsia="仿宋_GB2312"/>
      <w:color w:val="2A2B2D"/>
      <w:w w:val="105"/>
      <w:sz w:val="28"/>
      <w:szCs w:val="28"/>
      <w:lang w:val="zh-CN" w:eastAsia="zh-CN"/>
    </w:rPr>
  </w:style>
  <w:style w:type="paragraph" w:customStyle="1" w:styleId="88">
    <w:name w:val="xl31"/>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Narrow" w:hAnsi="Century Gothic" w:eastAsia="Arial Narrow" w:cs="Century Gothic"/>
      <w:kern w:val="0"/>
      <w:sz w:val="24"/>
    </w:rPr>
  </w:style>
  <w:style w:type="paragraph" w:customStyle="1" w:styleId="89">
    <w:name w:val="_Style 83"/>
    <w:unhideWhenUsed/>
    <w:qFormat/>
    <w:uiPriority w:val="99"/>
    <w:rPr>
      <w:rFonts w:ascii="Times New Roman" w:hAnsi="Times New Roman" w:eastAsia="宋体" w:cs="Times New Roman"/>
      <w:kern w:val="2"/>
      <w:sz w:val="21"/>
      <w:szCs w:val="24"/>
      <w:lang w:val="en-US" w:eastAsia="zh-CN" w:bidi="ar-SA"/>
    </w:rPr>
  </w:style>
  <w:style w:type="paragraph" w:customStyle="1" w:styleId="90">
    <w:name w:val="正文1"/>
    <w:basedOn w:val="25"/>
    <w:qFormat/>
    <w:uiPriority w:val="0"/>
    <w:pPr>
      <w:tabs>
        <w:tab w:val="right" w:leader="dot" w:pos="8268"/>
      </w:tabs>
      <w:ind w:left="0" w:leftChars="0" w:firstLine="480" w:firstLineChars="200"/>
    </w:pPr>
    <w:rPr>
      <w:rFonts w:ascii="仿宋_GB2312" w:hAnsi="Courier New" w:eastAsia="仿宋_GB2312"/>
      <w:kern w:val="28"/>
      <w:sz w:val="24"/>
    </w:rPr>
  </w:style>
  <w:style w:type="paragraph" w:customStyle="1" w:styleId="91">
    <w:name w:val="标书标题3"/>
    <w:basedOn w:val="6"/>
    <w:qFormat/>
    <w:uiPriority w:val="0"/>
    <w:pPr>
      <w:keepLines w:val="0"/>
      <w:widowControl/>
      <w:adjustRightInd w:val="0"/>
      <w:snapToGrid w:val="0"/>
      <w:spacing w:before="120" w:beforeLines="0" w:after="60" w:afterLines="0" w:line="300" w:lineRule="auto"/>
      <w:jc w:val="left"/>
    </w:pPr>
    <w:rPr>
      <w:rFonts w:ascii="_x000B__x000C_" w:hAnsi="_x000B__x000C_" w:eastAsia="Courier New"/>
      <w:b w:val="0"/>
      <w:bCs w:val="0"/>
      <w:color w:val="000000"/>
      <w:kern w:val="0"/>
      <w:sz w:val="28"/>
    </w:rPr>
  </w:style>
  <w:style w:type="paragraph" w:customStyle="1" w:styleId="92">
    <w:name w:val=" Char"/>
    <w:basedOn w:val="1"/>
    <w:qFormat/>
    <w:uiPriority w:val="0"/>
    <w:rPr>
      <w:rFonts w:ascii="Courier New" w:eastAsia="Courier New"/>
      <w:b/>
      <w:sz w:val="32"/>
      <w:szCs w:val="32"/>
    </w:rPr>
  </w:style>
  <w:style w:type="paragraph" w:customStyle="1" w:styleId="93">
    <w:name w:val="xl32"/>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center"/>
      <w:textAlignment w:val="center"/>
    </w:pPr>
    <w:rPr>
      <w:rFonts w:ascii="Arial Narrow" w:hAnsi="Century Gothic" w:eastAsia="Arial Narrow" w:cs="Century Gothic"/>
      <w:kern w:val="0"/>
      <w:sz w:val="24"/>
    </w:rPr>
  </w:style>
  <w:style w:type="paragraph" w:customStyle="1" w:styleId="94">
    <w:name w:val="xl36"/>
    <w:basedOn w:val="1"/>
    <w:qFormat/>
    <w:uiPriority w:val="0"/>
    <w:pPr>
      <w:widowControl/>
      <w:pBdr>
        <w:left w:val="single" w:color="auto" w:sz="4" w:space="0"/>
        <w:right w:val="single" w:color="auto" w:sz="4" w:space="0"/>
      </w:pBdr>
      <w:spacing w:before="100" w:beforeLines="0" w:beforeAutospacing="1" w:after="100" w:afterLines="0" w:afterAutospacing="1"/>
      <w:jc w:val="center"/>
      <w:textAlignment w:val="center"/>
    </w:pPr>
    <w:rPr>
      <w:rFonts w:ascii="Arial Narrow" w:hAnsi="Century Gothic" w:eastAsia="Arial Narrow" w:cs="Century Gothic"/>
      <w:kern w:val="0"/>
      <w:sz w:val="24"/>
    </w:rPr>
  </w:style>
  <w:style w:type="paragraph" w:customStyle="1" w:styleId="9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Narrow" w:hAnsi="Century Gothic" w:eastAsia="Arial Narrow" w:cs="Century Gothic"/>
      <w:kern w:val="0"/>
      <w:sz w:val="24"/>
    </w:rPr>
  </w:style>
  <w:style w:type="paragraph" w:customStyle="1" w:styleId="96">
    <w:name w:val="xl35"/>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center"/>
      <w:textAlignment w:val="center"/>
    </w:pPr>
    <w:rPr>
      <w:rFonts w:ascii="Arial Narrow" w:hAnsi="Century Gothic" w:eastAsia="Arial Narrow" w:cs="Century Gothic"/>
      <w:kern w:val="0"/>
      <w:sz w:val="24"/>
    </w:rPr>
  </w:style>
  <w:style w:type="paragraph" w:customStyle="1" w:styleId="97">
    <w:name w:val="xl30"/>
    <w:basedOn w:val="1"/>
    <w:qFormat/>
    <w:uiPriority w:val="0"/>
    <w:pPr>
      <w:widowControl/>
      <w:pBdr>
        <w:left w:val="single" w:color="auto" w:sz="4" w:space="0"/>
        <w:right w:val="single" w:color="auto" w:sz="4" w:space="0"/>
      </w:pBdr>
      <w:spacing w:before="100" w:beforeLines="0" w:beforeAutospacing="1" w:after="100" w:afterLines="0" w:afterAutospacing="1"/>
      <w:jc w:val="center"/>
      <w:textAlignment w:val="center"/>
    </w:pPr>
    <w:rPr>
      <w:rFonts w:ascii="Arial Narrow" w:hAnsi="Century Gothic" w:eastAsia="Arial Narrow" w:cs="Century Gothic"/>
      <w:kern w:val="0"/>
      <w:sz w:val="24"/>
    </w:rPr>
  </w:style>
  <w:style w:type="paragraph" w:customStyle="1" w:styleId="98">
    <w:name w:val=" Char3 Char Char Char"/>
    <w:basedOn w:val="1"/>
    <w:qFormat/>
    <w:uiPriority w:val="0"/>
    <w:pPr>
      <w:widowControl/>
      <w:spacing w:after="160" w:afterLines="0" w:line="240" w:lineRule="exact"/>
      <w:jc w:val="left"/>
    </w:pPr>
    <w:rPr>
      <w:szCs w:val="20"/>
    </w:rPr>
  </w:style>
  <w:style w:type="paragraph" w:customStyle="1" w:styleId="99">
    <w:name w:val="表头"/>
    <w:basedOn w:val="1"/>
    <w:qFormat/>
    <w:uiPriority w:val="0"/>
    <w:pPr>
      <w:adjustRightInd w:val="0"/>
      <w:spacing w:before="60" w:after="60" w:line="420" w:lineRule="atLeast"/>
      <w:jc w:val="left"/>
      <w:textAlignment w:val="baseline"/>
    </w:pPr>
    <w:rPr>
      <w:rFonts w:ascii="黑体" w:hAnsi="Times New Roman" w:eastAsia="黑体" w:cs="Times New Roman"/>
      <w:b/>
      <w:kern w:val="0"/>
      <w:szCs w:val="20"/>
    </w:rPr>
  </w:style>
  <w:style w:type="paragraph" w:customStyle="1" w:styleId="100">
    <w:name w:val="标书标题2"/>
    <w:basedOn w:val="5"/>
    <w:qFormat/>
    <w:uiPriority w:val="0"/>
    <w:pPr>
      <w:keepLines w:val="0"/>
      <w:widowControl/>
      <w:tabs>
        <w:tab w:val="left" w:pos="1320"/>
      </w:tabs>
      <w:snapToGrid w:val="0"/>
      <w:spacing w:before="156" w:beforeLines="50" w:after="60" w:afterLines="0" w:line="300" w:lineRule="auto"/>
      <w:ind w:left="1320" w:hanging="420"/>
      <w:jc w:val="both"/>
    </w:pPr>
    <w:rPr>
      <w:rFonts w:ascii="_x000B__x000C_" w:hAnsi="_x000B__x000C_" w:eastAsia="Courier New"/>
      <w:color w:val="000000"/>
      <w:kern w:val="0"/>
      <w:sz w:val="28"/>
      <w:szCs w:val="20"/>
    </w:rPr>
  </w:style>
  <w:style w:type="paragraph" w:customStyle="1" w:styleId="101">
    <w:name w:val="xl27"/>
    <w:basedOn w:val="1"/>
    <w:qFormat/>
    <w:uiPriority w:val="0"/>
    <w:pPr>
      <w:widowControl/>
      <w:pBdr>
        <w:bottom w:val="single" w:color="auto" w:sz="4" w:space="0"/>
      </w:pBdr>
      <w:spacing w:before="100" w:beforeLines="0" w:beforeAutospacing="1" w:after="100" w:afterLines="0" w:afterAutospacing="1"/>
      <w:jc w:val="center"/>
      <w:textAlignment w:val="center"/>
    </w:pPr>
    <w:rPr>
      <w:rFonts w:ascii="Arial Narrow" w:hAnsi="Century Gothic" w:eastAsia="Arial Narrow" w:cs="Century Gothic"/>
      <w:kern w:val="0"/>
      <w:sz w:val="36"/>
      <w:szCs w:val="36"/>
    </w:rPr>
  </w:style>
  <w:style w:type="paragraph" w:customStyle="1" w:styleId="102">
    <w:name w:val=" Char Char11 Char Char Char Char Char Char Char Char Char Char Char"/>
    <w:basedOn w:val="1"/>
    <w:qFormat/>
    <w:uiPriority w:val="0"/>
    <w:pPr>
      <w:spacing w:line="360" w:lineRule="auto"/>
    </w:pPr>
    <w:rPr>
      <w:rFonts w:eastAsia="黑体"/>
      <w:snapToGrid w:val="0"/>
      <w:kern w:val="0"/>
      <w:szCs w:val="21"/>
    </w:rPr>
  </w:style>
  <w:style w:type="paragraph" w:customStyle="1" w:styleId="103">
    <w:name w:val="xl38"/>
    <w:basedOn w:val="1"/>
    <w:qFormat/>
    <w:uiPriority w:val="0"/>
    <w:pPr>
      <w:widowControl/>
      <w:spacing w:before="100" w:beforeLines="0" w:beforeAutospacing="1" w:after="100" w:afterLines="0" w:afterAutospacing="1"/>
      <w:jc w:val="left"/>
    </w:pPr>
    <w:rPr>
      <w:rFonts w:ascii="Century Gothic" w:hAnsi="Century Gothic" w:cs="Century Gothic"/>
      <w:kern w:val="0"/>
      <w:sz w:val="18"/>
      <w:szCs w:val="18"/>
    </w:rPr>
  </w:style>
  <w:style w:type="paragraph" w:customStyle="1" w:styleId="104">
    <w:name w:val="xl29"/>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center"/>
      <w:textAlignment w:val="center"/>
    </w:pPr>
    <w:rPr>
      <w:rFonts w:ascii="Arial Narrow" w:hAnsi="Century Gothic" w:eastAsia="Arial Narrow" w:cs="Century Gothic"/>
      <w:kern w:val="0"/>
      <w:sz w:val="24"/>
    </w:rPr>
  </w:style>
  <w:style w:type="paragraph" w:customStyle="1" w:styleId="10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06">
    <w:name w:val="font6"/>
    <w:basedOn w:val="1"/>
    <w:qFormat/>
    <w:uiPriority w:val="0"/>
    <w:pPr>
      <w:widowControl/>
      <w:spacing w:before="100" w:beforeLines="0" w:beforeAutospacing="1" w:after="100" w:afterLines="0" w:afterAutospacing="1"/>
      <w:jc w:val="left"/>
    </w:pPr>
    <w:rPr>
      <w:kern w:val="0"/>
      <w:sz w:val="18"/>
      <w:szCs w:val="18"/>
    </w:rPr>
  </w:style>
  <w:style w:type="paragraph" w:customStyle="1" w:styleId="107">
    <w:name w:val="标书标题4"/>
    <w:basedOn w:val="7"/>
    <w:qFormat/>
    <w:uiPriority w:val="0"/>
    <w:pPr>
      <w:widowControl w:val="0"/>
      <w:adjustRightInd w:val="0"/>
      <w:snapToGrid w:val="0"/>
      <w:spacing w:line="300" w:lineRule="auto"/>
      <w:jc w:val="both"/>
    </w:pPr>
    <w:rPr>
      <w:rFonts w:ascii="_x000B__x000C_" w:hAnsi="_x000B__x000C_" w:eastAsia="Courier New"/>
      <w:b/>
      <w:snapToGrid/>
      <w:color w:val="000000"/>
      <w:sz w:val="28"/>
      <w:szCs w:val="32"/>
    </w:rPr>
  </w:style>
  <w:style w:type="paragraph" w:customStyle="1" w:styleId="108">
    <w:name w:val="title11"/>
    <w:basedOn w:val="1"/>
    <w:qFormat/>
    <w:uiPriority w:val="0"/>
    <w:pPr>
      <w:spacing w:before="150" w:beforeAutospacing="0" w:after="0" w:afterAutospacing="0"/>
      <w:ind w:left="0" w:right="0" w:firstLine="0"/>
      <w:jc w:val="left"/>
    </w:pPr>
    <w:rPr>
      <w:b/>
      <w:kern w:val="0"/>
      <w:lang w:val="en-US" w:eastAsia="zh-CN" w:bidi="ar"/>
    </w:rPr>
  </w:style>
  <w:style w:type="paragraph" w:customStyle="1" w:styleId="109">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10">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11">
    <w:name w:val="No Spacing"/>
    <w:qFormat/>
    <w:uiPriority w:val="0"/>
    <w:rPr>
      <w:rFonts w:ascii="Times New Roman" w:hAnsi="Times New Roman" w:eastAsia="宋体" w:cs="Times New Roman"/>
      <w:sz w:val="22"/>
      <w:szCs w:val="22"/>
      <w:lang w:val="en-US" w:eastAsia="en-US" w:bidi="ar-SA"/>
    </w:rPr>
  </w:style>
  <w:style w:type="paragraph" w:customStyle="1" w:styleId="112">
    <w:name w:val="Plain Text"/>
    <w:basedOn w:val="86"/>
    <w:qFormat/>
    <w:uiPriority w:val="0"/>
    <w:pPr>
      <w:widowControl/>
      <w:jc w:val="left"/>
    </w:pPr>
    <w:rPr>
      <w:rFonts w:ascii="宋体" w:hAnsi="Courier New"/>
    </w:rPr>
  </w:style>
  <w:style w:type="paragraph" w:customStyle="1" w:styleId="113">
    <w:name w:val="样式51"/>
    <w:basedOn w:val="7"/>
    <w:qFormat/>
    <w:uiPriority w:val="0"/>
    <w:pPr>
      <w:keepLines/>
      <w:widowControl w:val="0"/>
      <w:spacing w:before="280" w:beforeLines="0" w:after="290" w:afterLines="0" w:line="376" w:lineRule="auto"/>
    </w:pPr>
    <w:rPr>
      <w:rFonts w:ascii="Century Gothic" w:hAnsi="Century Gothic" w:eastAsia="Century Gothic"/>
      <w:b/>
      <w:bCs/>
      <w:snapToGrid/>
      <w:kern w:val="2"/>
      <w:sz w:val="32"/>
      <w:szCs w:val="32"/>
    </w:rPr>
  </w:style>
  <w:style w:type="paragraph" w:customStyle="1" w:styleId="114">
    <w:name w:val="p0"/>
    <w:basedOn w:val="1"/>
    <w:unhideWhenUsed/>
    <w:qFormat/>
    <w:uiPriority w:val="0"/>
    <w:pPr>
      <w:widowControl/>
    </w:pPr>
    <w:rPr>
      <w:rFonts w:hint="eastAsia"/>
    </w:rPr>
  </w:style>
  <w:style w:type="paragraph" w:customStyle="1" w:styleId="115">
    <w:name w:val="[Normal]"/>
    <w:qFormat/>
    <w:uiPriority w:val="0"/>
    <w:rPr>
      <w:rFonts w:ascii="宋体" w:hAnsi="宋体" w:eastAsia="宋体" w:cs="Times New Roman"/>
      <w:sz w:val="24"/>
      <w:szCs w:val="22"/>
      <w:lang w:val="zh-CN" w:eastAsia="zh-CN" w:bidi="ar-SA"/>
    </w:rPr>
  </w:style>
  <w:style w:type="paragraph" w:customStyle="1" w:styleId="116">
    <w:name w:val="List Paragraph1"/>
    <w:basedOn w:val="1"/>
    <w:qFormat/>
    <w:uiPriority w:val="0"/>
    <w:pPr>
      <w:ind w:firstLine="420" w:firstLineChars="200"/>
    </w:pPr>
    <w:rPr>
      <w:szCs w:val="24"/>
    </w:rPr>
  </w:style>
  <w:style w:type="paragraph" w:customStyle="1" w:styleId="117">
    <w:name w:val="font5"/>
    <w:basedOn w:val="1"/>
    <w:qFormat/>
    <w:uiPriority w:val="0"/>
    <w:pPr>
      <w:widowControl/>
      <w:spacing w:before="100" w:beforeLines="0" w:beforeAutospacing="1" w:after="100" w:afterLines="0" w:afterAutospacing="1"/>
      <w:jc w:val="left"/>
    </w:pPr>
    <w:rPr>
      <w:rFonts w:ascii="Century Gothic" w:hAnsi="Century Gothic" w:cs="Century Gothic"/>
      <w:kern w:val="0"/>
      <w:sz w:val="18"/>
      <w:szCs w:val="18"/>
    </w:rPr>
  </w:style>
  <w:style w:type="paragraph" w:customStyle="1" w:styleId="118">
    <w:name w:val=" Char Char Char Char Char Char Char Char"/>
    <w:basedOn w:val="1"/>
    <w:qFormat/>
    <w:uiPriority w:val="0"/>
    <w:pPr>
      <w:tabs>
        <w:tab w:val="left" w:pos="360"/>
      </w:tabs>
    </w:pPr>
    <w:rPr>
      <w:rFonts w:ascii="Calibri" w:hAnsi="Calibri" w:cs="Times New Roman"/>
      <w:szCs w:val="20"/>
    </w:rPr>
  </w:style>
  <w:style w:type="paragraph" w:customStyle="1" w:styleId="119">
    <w:name w:val=" Char Char Char Char Char"/>
    <w:basedOn w:val="1"/>
    <w:qFormat/>
    <w:uiPriority w:val="0"/>
    <w:pPr>
      <w:widowControl/>
      <w:spacing w:after="160" w:afterLines="0" w:line="240" w:lineRule="exact"/>
      <w:jc w:val="left"/>
    </w:pPr>
    <w:rPr>
      <w:rFonts w:ascii="Verdana" w:hAnsi="Verdana" w:eastAsia="华文细黑" w:cs="Times New Roman"/>
    </w:rPr>
  </w:style>
  <w:style w:type="paragraph" w:customStyle="1" w:styleId="120">
    <w:name w:val="正文段"/>
    <w:basedOn w:val="1"/>
    <w:qFormat/>
    <w:uiPriority w:val="0"/>
    <w:pPr>
      <w:widowControl/>
      <w:snapToGrid w:val="0"/>
      <w:spacing w:after="156" w:afterLines="50"/>
      <w:ind w:firstLine="200" w:firstLineChars="200"/>
    </w:pPr>
    <w:rPr>
      <w:kern w:val="0"/>
      <w:sz w:val="24"/>
      <w:szCs w:val="20"/>
    </w:rPr>
  </w:style>
  <w:style w:type="paragraph" w:customStyle="1" w:styleId="121">
    <w:name w:val="Body Text 2"/>
    <w:basedOn w:val="1"/>
    <w:qFormat/>
    <w:uiPriority w:val="0"/>
    <w:pPr>
      <w:adjustRightInd w:val="0"/>
      <w:spacing w:line="300" w:lineRule="auto"/>
      <w:jc w:val="center"/>
    </w:pPr>
    <w:rPr>
      <w:rFonts w:hint="eastAsia" w:ascii="Century Gothic" w:hAnsi="Century Gothic"/>
      <w:sz w:val="24"/>
      <w:szCs w:val="20"/>
    </w:rPr>
  </w:style>
  <w:style w:type="paragraph" w:customStyle="1" w:styleId="122">
    <w:name w:val=" Char Char Char Char"/>
    <w:basedOn w:val="1"/>
    <w:qFormat/>
    <w:uiPriority w:val="0"/>
    <w:rPr>
      <w:rFonts w:cs="Times New Roman"/>
      <w:szCs w:val="20"/>
    </w:rPr>
  </w:style>
  <w:style w:type="paragraph" w:customStyle="1" w:styleId="123">
    <w:name w:val="节"/>
    <w:basedOn w:val="5"/>
    <w:qFormat/>
    <w:uiPriority w:val="0"/>
    <w:pPr>
      <w:adjustRightInd/>
      <w:spacing w:before="160" w:beforeLines="0" w:after="160" w:afterLines="0" w:line="720" w:lineRule="exact"/>
      <w:jc w:val="center"/>
    </w:pPr>
    <w:rPr>
      <w:rFonts w:ascii="Arial" w:hAnsi="Arial"/>
      <w:b w:val="0"/>
      <w:color w:val="000000"/>
      <w:spacing w:val="14"/>
      <w:kern w:val="24"/>
      <w:sz w:val="28"/>
      <w:szCs w:val="20"/>
    </w:rPr>
  </w:style>
  <w:style w:type="paragraph" w:customStyle="1" w:styleId="124">
    <w:name w:val="xl22"/>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rFonts w:hint="eastAsia" w:ascii="Arial Unicode MS" w:hAnsi="Arial Unicode MS" w:eastAsia="Arial Unicode MS" w:cs="Times New Roman"/>
      <w:kern w:val="0"/>
      <w:sz w:val="24"/>
      <w:szCs w:val="20"/>
    </w:rPr>
  </w:style>
  <w:style w:type="paragraph" w:customStyle="1" w:styleId="125">
    <w:name w:val="xl33"/>
    <w:basedOn w:val="1"/>
    <w:qFormat/>
    <w:uiPriority w:val="0"/>
    <w:pPr>
      <w:widowControl/>
      <w:pBdr>
        <w:left w:val="single" w:color="auto" w:sz="4" w:space="0"/>
        <w:right w:val="single" w:color="auto" w:sz="4" w:space="0"/>
      </w:pBdr>
      <w:spacing w:before="100" w:beforeLines="0" w:beforeAutospacing="1" w:after="100" w:afterLines="0" w:afterAutospacing="1"/>
      <w:jc w:val="center"/>
      <w:textAlignment w:val="center"/>
    </w:pPr>
    <w:rPr>
      <w:rFonts w:ascii="Arial Narrow" w:hAnsi="Century Gothic" w:eastAsia="Arial Narrow" w:cs="Century Gothic"/>
      <w:kern w:val="0"/>
      <w:sz w:val="24"/>
    </w:rPr>
  </w:style>
  <w:style w:type="paragraph" w:customStyle="1" w:styleId="126">
    <w:name w:val="xl34"/>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Narrow" w:hAnsi="Century Gothic" w:eastAsia="Arial Narrow" w:cs="Century Gothic"/>
      <w:kern w:val="0"/>
      <w:sz w:val="24"/>
    </w:rPr>
  </w:style>
  <w:style w:type="paragraph" w:customStyle="1" w:styleId="127">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Narrow" w:hAnsi="Century Gothic" w:eastAsia="Arial Narrow" w:cs="Century Gothic"/>
      <w:kern w:val="0"/>
      <w:sz w:val="24"/>
    </w:rPr>
  </w:style>
  <w:style w:type="paragraph" w:customStyle="1" w:styleId="128">
    <w:name w:val="首行缩进"/>
    <w:basedOn w:val="1"/>
    <w:qFormat/>
    <w:uiPriority w:val="0"/>
    <w:pPr>
      <w:spacing w:line="360" w:lineRule="auto"/>
      <w:ind w:firstLine="480" w:firstLineChars="200"/>
    </w:pPr>
    <w:rPr>
      <w:rFonts w:hAnsi="宋体" w:cs="宋体"/>
      <w:sz w:val="24"/>
    </w:rPr>
  </w:style>
  <w:style w:type="paragraph" w:customStyle="1" w:styleId="129">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Narrow" w:hAnsi="Century Gothic" w:eastAsia="Arial Narrow" w:cs="Century Gothic"/>
      <w:kern w:val="0"/>
      <w:sz w:val="24"/>
    </w:rPr>
  </w:style>
  <w:style w:type="paragraph" w:customStyle="1" w:styleId="130">
    <w:name w:val="表格文字"/>
    <w:basedOn w:val="1"/>
    <w:next w:val="8"/>
    <w:qFormat/>
    <w:uiPriority w:val="0"/>
    <w:pPr>
      <w:adjustRightInd/>
      <w:ind w:firstLine="200" w:firstLineChars="200"/>
    </w:pPr>
    <w:rPr>
      <w:rFonts w:ascii="Arial" w:hAnsi="Arial"/>
      <w:spacing w:val="-5"/>
      <w:kern w:val="0"/>
      <w:sz w:val="24"/>
      <w:szCs w:val="20"/>
    </w:rPr>
  </w:style>
  <w:style w:type="paragraph" w:customStyle="1" w:styleId="13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hAnsi="楷体_GB2312"/>
      <w:kern w:val="0"/>
      <w:sz w:val="20"/>
      <w:szCs w:val="20"/>
    </w:rPr>
  </w:style>
  <w:style w:type="paragraph" w:customStyle="1" w:styleId="132">
    <w:name w:val="xl37"/>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Narrow" w:hAnsi="Century Gothic" w:eastAsia="Arial Narrow" w:cs="Century Gothic"/>
      <w:kern w:val="0"/>
      <w:sz w:val="24"/>
    </w:rPr>
  </w:style>
  <w:style w:type="paragraph" w:customStyle="1" w:styleId="133">
    <w:name w:val="Char"/>
    <w:basedOn w:val="1"/>
    <w:qFormat/>
    <w:uiPriority w:val="0"/>
  </w:style>
  <w:style w:type="paragraph" w:customStyle="1" w:styleId="134">
    <w:name w:val="正文文字格式"/>
    <w:basedOn w:val="1"/>
    <w:qFormat/>
    <w:uiPriority w:val="0"/>
    <w:pPr>
      <w:spacing w:line="460" w:lineRule="exact"/>
      <w:ind w:firstLine="505"/>
      <w:jc w:val="left"/>
    </w:pPr>
    <w:rPr>
      <w:rFonts w:ascii="Century Gothic"/>
      <w:kern w:val="24"/>
      <w:sz w:val="24"/>
      <w:szCs w:val="20"/>
    </w:rPr>
  </w:style>
  <w:style w:type="paragraph" w:customStyle="1" w:styleId="13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kern w:val="0"/>
      <w:sz w:val="24"/>
    </w:rPr>
  </w:style>
  <w:style w:type="paragraph" w:customStyle="1" w:styleId="136">
    <w:name w:val="Table Paragraph"/>
    <w:basedOn w:val="1"/>
    <w:qFormat/>
    <w:uiPriority w:val="1"/>
  </w:style>
  <w:style w:type="paragraph" w:customStyle="1" w:styleId="137">
    <w:name w:val="纯文本_0_0"/>
    <w:basedOn w:val="138"/>
    <w:autoRedefine/>
    <w:qFormat/>
    <w:uiPriority w:val="0"/>
    <w:rPr>
      <w:rFonts w:ascii="宋体" w:hAnsi="Courier New"/>
      <w:szCs w:val="21"/>
    </w:rPr>
  </w:style>
  <w:style w:type="paragraph" w:customStyle="1" w:styleId="13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9">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character" w:customStyle="1" w:styleId="140">
    <w:name w:val="标题 2 Char"/>
    <w:link w:val="5"/>
    <w:qFormat/>
    <w:uiPriority w:val="0"/>
    <w:rPr>
      <w:rFonts w:ascii="黑体" w:hAnsi="黑体" w:eastAsia="宋体"/>
      <w:b/>
      <w:bCs/>
      <w:sz w:val="30"/>
      <w:szCs w:val="32"/>
    </w:rPr>
  </w:style>
  <w:style w:type="character" w:customStyle="1" w:styleId="141">
    <w:name w:val="标题 3 Char"/>
    <w:link w:val="6"/>
    <w:qFormat/>
    <w:uiPriority w:val="0"/>
    <w:rPr>
      <w:rFonts w:ascii="Times New Roman" w:hAnsi="Times New Roman" w:eastAsia="宋体"/>
      <w:b/>
      <w:bCs/>
      <w:sz w:val="28"/>
      <w:szCs w:val="32"/>
    </w:rPr>
  </w:style>
  <w:style w:type="paragraph" w:customStyle="1" w:styleId="14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143">
    <w:name w:val="表格"/>
    <w:basedOn w:val="1"/>
    <w:qFormat/>
    <w:uiPriority w:val="0"/>
    <w:pPr>
      <w:snapToGrid w:val="0"/>
      <w:ind w:firstLine="42" w:firstLineChars="21"/>
    </w:pPr>
    <w:rPr>
      <w:rFonts w:ascii="宋体" w:hAnsi="宋体"/>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68</Pages>
  <Words>10962</Words>
  <Characters>11512</Characters>
  <Lines>354</Lines>
  <Paragraphs>99</Paragraphs>
  <TotalTime>28</TotalTime>
  <ScaleCrop>false</ScaleCrop>
  <LinksUpToDate>false</LinksUpToDate>
  <CharactersWithSpaces>11718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2022-11-02T14:00:00Z</dcterms:created>
  <dc:creator>微软用户</dc:creator>
  <cp:lastModifiedBy>浙江国际-钱妍</cp:lastModifiedBy>
  <cp:lastPrinted>2025-06-11T02:54:00Z</cp:lastPrinted>
  <dcterms:modified xsi:type="dcterms:W3CDTF">2025-06-23T13:14:51Z</dcterms:modified>
  <dc:title>杭州下沙服务外包人才培训基地</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C9C732E0546A4F0AAEF00ED074CBCFC8_13</vt:lpwstr>
  </property>
  <property fmtid="{D5CDD505-2E9C-101B-9397-08002B2CF9AE}" pid="4" name="KSOTemplateDocerSaveRecord">
    <vt:lpwstr>eyJoZGlkIjoiZjU1N2VjMzhjYmYwNmU2MmMxOTYxNDNkNzIyMzFjOGMiLCJ1c2VySWQiOiI2NTA0MjU5MjYifQ==</vt:lpwstr>
  </property>
</Properties>
</file>