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9018C">
      <w:pPr>
        <w:adjustRightInd w:val="0"/>
        <w:snapToGrid w:val="0"/>
        <w:spacing w:line="360" w:lineRule="auto"/>
        <w:rPr>
          <w:rFonts w:hint="eastAsia" w:ascii="仿宋" w:hAnsi="仿宋" w:eastAsia="仿宋" w:cs="仿宋"/>
          <w:w w:val="80"/>
          <w:sz w:val="52"/>
          <w:szCs w:val="52"/>
          <w:highlight w:val="none"/>
          <w:lang w:bidi="th-TH"/>
        </w:rPr>
      </w:pPr>
    </w:p>
    <w:p w14:paraId="06A442E4">
      <w:pPr>
        <w:pStyle w:val="19"/>
        <w:adjustRightInd w:val="0"/>
        <w:snapToGrid w:val="0"/>
        <w:spacing w:line="360" w:lineRule="auto"/>
        <w:ind w:firstLine="0"/>
        <w:rPr>
          <w:rFonts w:hint="eastAsia" w:ascii="仿宋" w:hAnsi="仿宋" w:eastAsia="仿宋" w:cs="仿宋"/>
          <w:highlight w:val="none"/>
        </w:rPr>
      </w:pPr>
    </w:p>
    <w:p w14:paraId="31549605">
      <w:pPr>
        <w:rPr>
          <w:rFonts w:hint="eastAsia" w:ascii="仿宋" w:hAnsi="仿宋" w:eastAsia="仿宋" w:cs="仿宋"/>
          <w:highlight w:val="none"/>
        </w:rPr>
      </w:pPr>
    </w:p>
    <w:p w14:paraId="2B2EFC24">
      <w:pPr>
        <w:pStyle w:val="19"/>
        <w:adjustRightInd w:val="0"/>
        <w:snapToGrid w:val="0"/>
        <w:spacing w:line="360" w:lineRule="auto"/>
        <w:ind w:firstLine="0"/>
        <w:rPr>
          <w:rFonts w:hint="eastAsia" w:ascii="仿宋" w:hAnsi="仿宋" w:eastAsia="仿宋" w:cs="仿宋"/>
          <w:highlight w:val="none"/>
        </w:rPr>
      </w:pPr>
    </w:p>
    <w:p w14:paraId="1F9CA12A">
      <w:pPr>
        <w:pStyle w:val="65"/>
        <w:widowControl w:val="0"/>
        <w:adjustRightInd w:val="0"/>
        <w:snapToGrid w:val="0"/>
        <w:spacing w:line="360" w:lineRule="auto"/>
        <w:ind w:firstLine="0"/>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跨境零售进口商品</w:t>
      </w:r>
    </w:p>
    <w:p w14:paraId="7498EFE3">
      <w:pPr>
        <w:pStyle w:val="65"/>
        <w:widowControl w:val="0"/>
        <w:adjustRightInd w:val="0"/>
        <w:snapToGrid w:val="0"/>
        <w:spacing w:line="360" w:lineRule="auto"/>
        <w:ind w:firstLine="0"/>
        <w:jc w:val="center"/>
        <w:rPr>
          <w:rFonts w:hint="eastAsia" w:ascii="仿宋" w:hAnsi="仿宋" w:eastAsia="仿宋" w:cs="仿宋"/>
          <w:color w:val="000000" w:themeColor="text1"/>
          <w:szCs w:val="44"/>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质量安全风险监测服务项目</w:t>
      </w:r>
    </w:p>
    <w:p w14:paraId="06563320">
      <w:pPr>
        <w:adjustRightInd w:val="0"/>
        <w:snapToGrid w:val="0"/>
        <w:spacing w:line="360" w:lineRule="auto"/>
        <w:jc w:val="center"/>
        <w:rPr>
          <w:rFonts w:hint="eastAsia" w:ascii="仿宋" w:hAnsi="仿宋" w:eastAsia="仿宋" w:cs="仿宋"/>
          <w:b/>
          <w:szCs w:val="84"/>
          <w:highlight w:val="none"/>
        </w:rPr>
      </w:pPr>
    </w:p>
    <w:p w14:paraId="40EED1E5">
      <w:pPr>
        <w:adjustRightInd w:val="0"/>
        <w:snapToGrid w:val="0"/>
        <w:spacing w:line="360" w:lineRule="auto"/>
        <w:jc w:val="center"/>
        <w:rPr>
          <w:rFonts w:hint="eastAsia" w:ascii="仿宋" w:hAnsi="仿宋" w:eastAsia="仿宋" w:cs="仿宋"/>
          <w:b/>
          <w:szCs w:val="84"/>
          <w:highlight w:val="none"/>
        </w:rPr>
      </w:pPr>
      <w:r>
        <w:rPr>
          <w:rFonts w:hint="eastAsia" w:ascii="仿宋" w:hAnsi="仿宋" w:eastAsia="仿宋" w:cs="仿宋"/>
          <w:b/>
          <w:szCs w:val="84"/>
          <w:highlight w:val="none"/>
        </w:rPr>
        <w:t>（电子招投标）</w:t>
      </w:r>
    </w:p>
    <w:p w14:paraId="0AC1B603">
      <w:pPr>
        <w:pStyle w:val="18"/>
        <w:rPr>
          <w:rFonts w:hint="eastAsia" w:ascii="仿宋" w:hAnsi="仿宋" w:eastAsia="仿宋" w:cs="仿宋"/>
          <w:highlight w:val="none"/>
        </w:rPr>
      </w:pPr>
    </w:p>
    <w:p w14:paraId="58E1C043">
      <w:pPr>
        <w:jc w:val="center"/>
        <w:rPr>
          <w:rFonts w:hint="eastAsia" w:ascii="仿宋" w:hAnsi="仿宋" w:eastAsia="仿宋" w:cs="仿宋"/>
          <w:b/>
          <w:szCs w:val="84"/>
          <w:highlight w:val="none"/>
        </w:rPr>
      </w:pPr>
    </w:p>
    <w:p w14:paraId="489F6B3A">
      <w:pPr>
        <w:jc w:val="center"/>
        <w:rPr>
          <w:rFonts w:hint="eastAsia" w:ascii="仿宋" w:hAnsi="仿宋" w:eastAsia="仿宋" w:cs="仿宋"/>
          <w:b/>
          <w:szCs w:val="84"/>
          <w:highlight w:val="none"/>
        </w:rPr>
      </w:pPr>
    </w:p>
    <w:p w14:paraId="3CFB3965">
      <w:pPr>
        <w:spacing w:line="360" w:lineRule="auto"/>
        <w:jc w:val="center"/>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采 购 文 件</w:t>
      </w:r>
    </w:p>
    <w:p w14:paraId="6B3247F0">
      <w:pPr>
        <w:jc w:val="center"/>
        <w:rPr>
          <w:rFonts w:hint="eastAsia" w:ascii="仿宋" w:hAnsi="仿宋" w:eastAsia="仿宋" w:cs="仿宋"/>
          <w:b/>
          <w:szCs w:val="84"/>
          <w:highlight w:val="none"/>
        </w:rPr>
      </w:pPr>
    </w:p>
    <w:p w14:paraId="77A02D16">
      <w:pPr>
        <w:jc w:val="center"/>
        <w:rPr>
          <w:rFonts w:hint="eastAsia" w:ascii="仿宋" w:hAnsi="仿宋" w:eastAsia="仿宋" w:cs="仿宋"/>
          <w:b/>
          <w:szCs w:val="84"/>
          <w:highlight w:val="none"/>
        </w:rPr>
      </w:pPr>
    </w:p>
    <w:p w14:paraId="65FD9DCA">
      <w:pPr>
        <w:spacing w:line="360" w:lineRule="auto"/>
        <w:jc w:val="center"/>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QTCG-GK-2025-109</w:t>
      </w:r>
    </w:p>
    <w:p w14:paraId="4A8044C7">
      <w:pPr>
        <w:pStyle w:val="26"/>
        <w:ind w:left="5250"/>
        <w:rPr>
          <w:rFonts w:hint="eastAsia" w:ascii="仿宋" w:hAnsi="仿宋" w:eastAsia="仿宋" w:cs="仿宋"/>
          <w:b/>
          <w:szCs w:val="28"/>
          <w:highlight w:val="none"/>
        </w:rPr>
      </w:pPr>
    </w:p>
    <w:p w14:paraId="7258A186">
      <w:pPr>
        <w:rPr>
          <w:rFonts w:hint="eastAsia" w:ascii="仿宋" w:hAnsi="仿宋" w:eastAsia="仿宋" w:cs="仿宋"/>
          <w:b/>
          <w:highlight w:val="none"/>
        </w:rPr>
      </w:pPr>
    </w:p>
    <w:p w14:paraId="199AF2BD">
      <w:pPr>
        <w:rPr>
          <w:rFonts w:hint="eastAsia" w:ascii="仿宋" w:hAnsi="仿宋" w:eastAsia="仿宋" w:cs="仿宋"/>
          <w:b/>
          <w:highlight w:val="none"/>
        </w:rPr>
      </w:pPr>
    </w:p>
    <w:p w14:paraId="15A49B4B">
      <w:pPr>
        <w:rPr>
          <w:rFonts w:hint="eastAsia" w:ascii="仿宋" w:hAnsi="仿宋" w:eastAsia="仿宋" w:cs="仿宋"/>
          <w:b/>
          <w:highlight w:val="none"/>
        </w:rPr>
      </w:pPr>
    </w:p>
    <w:p w14:paraId="6C7CC556">
      <w:pPr>
        <w:rPr>
          <w:rFonts w:hint="eastAsia" w:ascii="仿宋" w:hAnsi="仿宋" w:eastAsia="仿宋" w:cs="仿宋"/>
          <w:b/>
          <w:highlight w:val="none"/>
        </w:rPr>
      </w:pPr>
    </w:p>
    <w:p w14:paraId="53F434F7">
      <w:pPr>
        <w:rPr>
          <w:rFonts w:hint="eastAsia" w:ascii="仿宋" w:hAnsi="仿宋" w:eastAsia="仿宋" w:cs="仿宋"/>
          <w:b/>
          <w:highlight w:val="none"/>
        </w:rPr>
      </w:pPr>
    </w:p>
    <w:p w14:paraId="5A53AD22">
      <w:pPr>
        <w:rPr>
          <w:rFonts w:hint="eastAsia" w:ascii="仿宋" w:hAnsi="仿宋" w:eastAsia="仿宋" w:cs="仿宋"/>
          <w:b/>
          <w:highlight w:val="none"/>
        </w:rPr>
      </w:pPr>
    </w:p>
    <w:tbl>
      <w:tblPr>
        <w:tblStyle w:val="45"/>
        <w:tblW w:w="6499" w:type="dxa"/>
        <w:jc w:val="center"/>
        <w:tblLayout w:type="fixed"/>
        <w:tblCellMar>
          <w:top w:w="0" w:type="dxa"/>
          <w:left w:w="108" w:type="dxa"/>
          <w:bottom w:w="0" w:type="dxa"/>
          <w:right w:w="108" w:type="dxa"/>
        </w:tblCellMar>
      </w:tblPr>
      <w:tblGrid>
        <w:gridCol w:w="2160"/>
        <w:gridCol w:w="260"/>
        <w:gridCol w:w="4079"/>
      </w:tblGrid>
      <w:tr w14:paraId="6B6AC2C2">
        <w:trPr>
          <w:trHeight w:val="680" w:hRule="atLeast"/>
          <w:jc w:val="center"/>
        </w:trPr>
        <w:tc>
          <w:tcPr>
            <w:tcW w:w="2160" w:type="dxa"/>
            <w:noWrap/>
            <w:vAlign w:val="center"/>
          </w:tcPr>
          <w:p w14:paraId="51F19315">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采购人</w:t>
            </w:r>
          </w:p>
        </w:tc>
        <w:tc>
          <w:tcPr>
            <w:tcW w:w="260" w:type="dxa"/>
            <w:noWrap/>
            <w:vAlign w:val="center"/>
          </w:tcPr>
          <w:p w14:paraId="31A3BED6">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4079" w:type="dxa"/>
            <w:noWrap/>
            <w:vAlign w:val="center"/>
          </w:tcPr>
          <w:p w14:paraId="221440B6">
            <w:pPr>
              <w:snapToGrid w:val="0"/>
              <w:jc w:val="distribute"/>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杭州综合保税区管理办公室</w:t>
            </w:r>
          </w:p>
        </w:tc>
      </w:tr>
      <w:tr w14:paraId="1F99258B">
        <w:tblPrEx>
          <w:tblCellMar>
            <w:top w:w="0" w:type="dxa"/>
            <w:left w:w="108" w:type="dxa"/>
            <w:bottom w:w="0" w:type="dxa"/>
            <w:right w:w="108" w:type="dxa"/>
          </w:tblCellMar>
        </w:tblPrEx>
        <w:trPr>
          <w:trHeight w:val="297" w:hRule="atLeast"/>
          <w:jc w:val="center"/>
        </w:trPr>
        <w:tc>
          <w:tcPr>
            <w:tcW w:w="2160" w:type="dxa"/>
            <w:noWrap/>
            <w:vAlign w:val="center"/>
          </w:tcPr>
          <w:p w14:paraId="2BF868A7">
            <w:pPr>
              <w:snapToGrid w:val="0"/>
              <w:jc w:val="distribute"/>
              <w:rPr>
                <w:rFonts w:hint="eastAsia" w:ascii="仿宋" w:hAnsi="仿宋" w:eastAsia="仿宋" w:cs="仿宋"/>
                <w:b/>
                <w:sz w:val="22"/>
                <w:szCs w:val="22"/>
                <w:highlight w:val="none"/>
              </w:rPr>
            </w:pPr>
          </w:p>
        </w:tc>
        <w:tc>
          <w:tcPr>
            <w:tcW w:w="260" w:type="dxa"/>
            <w:noWrap/>
            <w:vAlign w:val="center"/>
          </w:tcPr>
          <w:p w14:paraId="4F2F01B8">
            <w:pPr>
              <w:snapToGrid w:val="0"/>
              <w:jc w:val="distribute"/>
              <w:rPr>
                <w:rFonts w:hint="eastAsia" w:ascii="仿宋" w:hAnsi="仿宋" w:eastAsia="仿宋" w:cs="仿宋"/>
                <w:b/>
                <w:sz w:val="22"/>
                <w:szCs w:val="22"/>
                <w:highlight w:val="none"/>
              </w:rPr>
            </w:pPr>
          </w:p>
        </w:tc>
        <w:tc>
          <w:tcPr>
            <w:tcW w:w="4079" w:type="dxa"/>
            <w:noWrap/>
            <w:vAlign w:val="center"/>
          </w:tcPr>
          <w:p w14:paraId="285A8653">
            <w:pPr>
              <w:snapToGrid w:val="0"/>
              <w:jc w:val="distribute"/>
              <w:rPr>
                <w:rFonts w:hint="eastAsia" w:ascii="仿宋" w:hAnsi="仿宋" w:eastAsia="仿宋" w:cs="仿宋"/>
                <w:b/>
                <w:sz w:val="22"/>
                <w:szCs w:val="22"/>
                <w:highlight w:val="none"/>
              </w:rPr>
            </w:pPr>
          </w:p>
        </w:tc>
      </w:tr>
      <w:tr w14:paraId="4B3B74C2">
        <w:tblPrEx>
          <w:tblCellMar>
            <w:top w:w="0" w:type="dxa"/>
            <w:left w:w="108" w:type="dxa"/>
            <w:bottom w:w="0" w:type="dxa"/>
            <w:right w:w="108" w:type="dxa"/>
          </w:tblCellMar>
        </w:tblPrEx>
        <w:trPr>
          <w:trHeight w:val="680" w:hRule="atLeast"/>
          <w:jc w:val="center"/>
        </w:trPr>
        <w:tc>
          <w:tcPr>
            <w:tcW w:w="2160" w:type="dxa"/>
            <w:noWrap/>
            <w:vAlign w:val="center"/>
          </w:tcPr>
          <w:p w14:paraId="5C91F66F">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采购代理机构</w:t>
            </w:r>
          </w:p>
        </w:tc>
        <w:tc>
          <w:tcPr>
            <w:tcW w:w="260" w:type="dxa"/>
            <w:noWrap/>
            <w:vAlign w:val="center"/>
          </w:tcPr>
          <w:p w14:paraId="7231250F">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4079" w:type="dxa"/>
            <w:noWrap/>
            <w:vAlign w:val="center"/>
          </w:tcPr>
          <w:p w14:paraId="6F901837">
            <w:pPr>
              <w:snapToGrid w:val="0"/>
              <w:jc w:val="distribute"/>
              <w:rPr>
                <w:rFonts w:hint="eastAsia" w:ascii="仿宋" w:hAnsi="仿宋" w:eastAsia="仿宋" w:cs="仿宋"/>
                <w:b/>
                <w:sz w:val="32"/>
                <w:szCs w:val="32"/>
                <w:highlight w:val="none"/>
              </w:rPr>
            </w:pPr>
            <w:r>
              <w:rPr>
                <w:rFonts w:hint="eastAsia" w:ascii="仿宋" w:hAnsi="仿宋" w:eastAsia="仿宋" w:cs="仿宋"/>
                <w:b/>
                <w:color w:val="000000" w:themeColor="text1"/>
                <w:sz w:val="32"/>
                <w:szCs w:val="32"/>
                <w:highlight w:val="none"/>
                <w14:textFill>
                  <w14:solidFill>
                    <w14:schemeClr w14:val="tx1"/>
                  </w14:solidFill>
                </w14:textFill>
              </w:rPr>
              <w:t>浙江国际招投标有限公司</w:t>
            </w:r>
          </w:p>
        </w:tc>
      </w:tr>
      <w:tr w14:paraId="5EC3B3B8">
        <w:tblPrEx>
          <w:tblCellMar>
            <w:top w:w="0" w:type="dxa"/>
            <w:left w:w="108" w:type="dxa"/>
            <w:bottom w:w="0" w:type="dxa"/>
            <w:right w:w="108" w:type="dxa"/>
          </w:tblCellMar>
        </w:tblPrEx>
        <w:trPr>
          <w:trHeight w:val="462" w:hRule="atLeast"/>
          <w:jc w:val="center"/>
        </w:trPr>
        <w:tc>
          <w:tcPr>
            <w:tcW w:w="2160" w:type="dxa"/>
            <w:noWrap/>
            <w:vAlign w:val="center"/>
          </w:tcPr>
          <w:p w14:paraId="08368100">
            <w:pPr>
              <w:snapToGrid w:val="0"/>
              <w:jc w:val="distribute"/>
              <w:rPr>
                <w:rFonts w:hint="eastAsia" w:ascii="仿宋" w:hAnsi="仿宋" w:eastAsia="仿宋" w:cs="仿宋"/>
                <w:b/>
                <w:sz w:val="30"/>
                <w:szCs w:val="30"/>
                <w:highlight w:val="none"/>
              </w:rPr>
            </w:pPr>
          </w:p>
        </w:tc>
        <w:tc>
          <w:tcPr>
            <w:tcW w:w="260" w:type="dxa"/>
            <w:noWrap/>
            <w:vAlign w:val="center"/>
          </w:tcPr>
          <w:p w14:paraId="456BEAF7">
            <w:pPr>
              <w:snapToGrid w:val="0"/>
              <w:jc w:val="distribute"/>
              <w:rPr>
                <w:rFonts w:hint="eastAsia" w:ascii="仿宋" w:hAnsi="仿宋" w:eastAsia="仿宋" w:cs="仿宋"/>
                <w:b/>
                <w:sz w:val="30"/>
                <w:szCs w:val="30"/>
                <w:highlight w:val="none"/>
              </w:rPr>
            </w:pPr>
          </w:p>
        </w:tc>
        <w:tc>
          <w:tcPr>
            <w:tcW w:w="4079" w:type="dxa"/>
            <w:noWrap/>
            <w:vAlign w:val="center"/>
          </w:tcPr>
          <w:p w14:paraId="5F6D8CA6">
            <w:pPr>
              <w:snapToGrid w:val="0"/>
              <w:jc w:val="distribute"/>
              <w:rPr>
                <w:rFonts w:hint="eastAsia" w:ascii="仿宋" w:hAnsi="仿宋" w:eastAsia="仿宋" w:cs="仿宋"/>
                <w:b/>
                <w:sz w:val="30"/>
                <w:szCs w:val="30"/>
                <w:highlight w:val="none"/>
              </w:rPr>
            </w:pPr>
          </w:p>
        </w:tc>
      </w:tr>
      <w:tr w14:paraId="1D01CE61">
        <w:tblPrEx>
          <w:tblCellMar>
            <w:top w:w="0" w:type="dxa"/>
            <w:left w:w="108" w:type="dxa"/>
            <w:bottom w:w="0" w:type="dxa"/>
            <w:right w:w="108" w:type="dxa"/>
          </w:tblCellMar>
        </w:tblPrEx>
        <w:trPr>
          <w:trHeight w:val="680" w:hRule="atLeast"/>
          <w:jc w:val="center"/>
        </w:trPr>
        <w:tc>
          <w:tcPr>
            <w:tcW w:w="6499" w:type="dxa"/>
            <w:gridSpan w:val="3"/>
            <w:noWrap/>
            <w:vAlign w:val="bottom"/>
          </w:tcPr>
          <w:p w14:paraId="26CBF028">
            <w:pPr>
              <w:snapToGrid w:val="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2025年0</w:t>
            </w:r>
            <w:r>
              <w:rPr>
                <w:rFonts w:hint="eastAsia" w:ascii="仿宋" w:hAnsi="仿宋" w:eastAsia="仿宋" w:cs="仿宋"/>
                <w:b/>
                <w:sz w:val="30"/>
                <w:szCs w:val="30"/>
                <w:highlight w:val="none"/>
                <w:lang w:val="en-US" w:eastAsia="zh-CN"/>
              </w:rPr>
              <w:t>6</w:t>
            </w:r>
            <w:r>
              <w:rPr>
                <w:rFonts w:hint="eastAsia" w:ascii="仿宋" w:hAnsi="仿宋" w:eastAsia="仿宋" w:cs="仿宋"/>
                <w:b/>
                <w:sz w:val="30"/>
                <w:szCs w:val="30"/>
                <w:highlight w:val="none"/>
              </w:rPr>
              <w:t>月</w:t>
            </w:r>
          </w:p>
        </w:tc>
      </w:tr>
    </w:tbl>
    <w:p w14:paraId="103428B4">
      <w:pPr>
        <w:pStyle w:val="24"/>
        <w:spacing w:line="360" w:lineRule="auto"/>
        <w:jc w:val="center"/>
        <w:rPr>
          <w:rFonts w:hint="eastAsia" w:ascii="仿宋" w:hAnsi="仿宋" w:eastAsia="仿宋" w:cs="仿宋"/>
          <w:b/>
          <w:sz w:val="32"/>
          <w:szCs w:val="32"/>
          <w:highlight w:val="none"/>
        </w:rPr>
      </w:pPr>
      <w:r>
        <w:rPr>
          <w:rFonts w:hint="eastAsia" w:ascii="仿宋" w:hAnsi="仿宋" w:eastAsia="仿宋" w:cs="仿宋"/>
          <w:b/>
          <w:sz w:val="48"/>
          <w:szCs w:val="48"/>
          <w:highlight w:val="none"/>
        </w:rPr>
        <w:br w:type="page"/>
      </w:r>
      <w:r>
        <w:rPr>
          <w:rFonts w:hint="eastAsia" w:ascii="仿宋" w:hAnsi="仿宋" w:eastAsia="仿宋" w:cs="仿宋"/>
          <w:b/>
          <w:sz w:val="32"/>
          <w:szCs w:val="32"/>
          <w:highlight w:val="none"/>
        </w:rPr>
        <w:t>目    录</w:t>
      </w:r>
    </w:p>
    <w:p w14:paraId="57F1CBF3">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b/>
          <w:caps w:val="0"/>
          <w:sz w:val="21"/>
          <w:szCs w:val="21"/>
          <w:highlight w:val="none"/>
        </w:rPr>
        <w:fldChar w:fldCharType="begin"/>
      </w:r>
      <w:r>
        <w:rPr>
          <w:rFonts w:hint="eastAsia" w:ascii="仿宋" w:hAnsi="仿宋" w:eastAsia="仿宋" w:cs="仿宋"/>
          <w:b/>
          <w:caps w:val="0"/>
          <w:sz w:val="21"/>
          <w:szCs w:val="21"/>
          <w:highlight w:val="none"/>
        </w:rPr>
        <w:instrText xml:space="preserve"> TOC \o "1-2" \u </w:instrText>
      </w:r>
      <w:r>
        <w:rPr>
          <w:rFonts w:hint="eastAsia" w:ascii="仿宋" w:hAnsi="仿宋" w:eastAsia="仿宋" w:cs="仿宋"/>
          <w:b/>
          <w:caps w:val="0"/>
          <w:sz w:val="21"/>
          <w:szCs w:val="21"/>
          <w:highlight w:val="none"/>
        </w:rPr>
        <w:fldChar w:fldCharType="separate"/>
      </w:r>
      <w:r>
        <w:rPr>
          <w:rFonts w:hint="eastAsia" w:ascii="仿宋" w:hAnsi="仿宋" w:eastAsia="仿宋" w:cs="仿宋"/>
          <w:sz w:val="24"/>
          <w:szCs w:val="40"/>
          <w:highlight w:val="none"/>
        </w:rPr>
        <w:t>第一部分  采购公告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_Toc13451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p>
    <w:p w14:paraId="7C4A65B5">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40"/>
          <w:highlight w:val="none"/>
        </w:rPr>
        <w:t>前 附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p>
    <w:p w14:paraId="6CEE07AF">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第二部分  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_Toc28292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p>
    <w:p w14:paraId="2A64CD31">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第三部分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_Toc11107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p>
    <w:p w14:paraId="3C9974B0">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第四部分  评标办法</w:t>
      </w:r>
      <w:bookmarkStart w:id="172" w:name="_GoBack"/>
      <w:bookmarkEnd w:id="172"/>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p>
    <w:p w14:paraId="636AD9B1">
      <w:pPr>
        <w:pStyle w:val="37"/>
        <w:tabs>
          <w:tab w:val="right" w:leader="dot" w:pos="8306"/>
          <w:tab w:val="clear" w:pos="8720"/>
        </w:tabs>
        <w:spacing w:line="360" w:lineRule="auto"/>
        <w:ind w:firstLine="264" w:firstLineChars="110"/>
        <w:rPr>
          <w:rFonts w:hint="eastAsia" w:ascii="仿宋" w:hAnsi="仿宋" w:eastAsia="仿宋" w:cs="仿宋"/>
          <w:sz w:val="24"/>
          <w:szCs w:val="24"/>
          <w:highlight w:val="none"/>
        </w:rPr>
      </w:pPr>
      <w:r>
        <w:rPr>
          <w:rFonts w:hint="eastAsia" w:ascii="仿宋" w:hAnsi="仿宋" w:eastAsia="仿宋" w:cs="仿宋"/>
          <w:sz w:val="24"/>
          <w:szCs w:val="36"/>
          <w:highlight w:val="none"/>
        </w:rPr>
        <w:t>评标办法前附表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_Toc11969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p>
    <w:p w14:paraId="311B0C2A">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40"/>
          <w:highlight w:val="none"/>
        </w:rPr>
        <w:t>第五部分  合同条款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p>
    <w:p w14:paraId="3E700902">
      <w:pPr>
        <w:pStyle w:val="32"/>
        <w:tabs>
          <w:tab w:val="right" w:leader="dot" w:pos="8306"/>
          <w:tab w:val="clear" w:pos="8720"/>
        </w:tabs>
        <w:adjustRightInd w:val="0"/>
        <w:snapToGrid w:val="0"/>
        <w:spacing w:line="360" w:lineRule="auto"/>
        <w:rPr>
          <w:rFonts w:hint="eastAsia" w:ascii="仿宋" w:hAnsi="仿宋" w:eastAsia="仿宋" w:cs="仿宋"/>
          <w:highlight w:val="none"/>
        </w:rPr>
      </w:pPr>
      <w:r>
        <w:rPr>
          <w:rFonts w:hint="eastAsia" w:ascii="仿宋" w:hAnsi="仿宋" w:eastAsia="仿宋" w:cs="仿宋"/>
          <w:sz w:val="24"/>
          <w:szCs w:val="40"/>
          <w:highlight w:val="none"/>
        </w:rPr>
        <w:t>第六部分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_Toc21370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75</w:t>
      </w:r>
      <w:r>
        <w:rPr>
          <w:rFonts w:hint="eastAsia" w:ascii="仿宋" w:hAnsi="仿宋" w:eastAsia="仿宋" w:cs="仿宋"/>
          <w:sz w:val="24"/>
          <w:szCs w:val="24"/>
          <w:highlight w:val="none"/>
        </w:rPr>
        <w:fldChar w:fldCharType="end"/>
      </w:r>
    </w:p>
    <w:p w14:paraId="6B7993C3">
      <w:pPr>
        <w:pStyle w:val="37"/>
        <w:tabs>
          <w:tab w:val="right" w:leader="dot" w:pos="8306"/>
          <w:tab w:val="clear" w:pos="8720"/>
        </w:tabs>
        <w:rPr>
          <w:rFonts w:hint="eastAsia" w:ascii="仿宋" w:hAnsi="仿宋" w:eastAsia="仿宋" w:cs="仿宋"/>
          <w:highlight w:val="none"/>
        </w:rPr>
      </w:pPr>
    </w:p>
    <w:p w14:paraId="7520C966">
      <w:pPr>
        <w:pStyle w:val="32"/>
        <w:tabs>
          <w:tab w:val="right" w:leader="dot" w:pos="8306"/>
          <w:tab w:val="clear" w:pos="8720"/>
        </w:tabs>
        <w:rPr>
          <w:rFonts w:hint="eastAsia" w:ascii="仿宋" w:hAnsi="仿宋" w:eastAsia="仿宋" w:cs="仿宋"/>
          <w:highlight w:val="none"/>
        </w:rPr>
      </w:pPr>
    </w:p>
    <w:p w14:paraId="5E1572BE">
      <w:pPr>
        <w:jc w:val="center"/>
        <w:rPr>
          <w:rFonts w:hint="eastAsia" w:ascii="仿宋" w:hAnsi="仿宋" w:eastAsia="仿宋"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szCs w:val="21"/>
          <w:highlight w:val="none"/>
        </w:rPr>
        <w:fldChar w:fldCharType="end"/>
      </w:r>
    </w:p>
    <w:p w14:paraId="3A910C98">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bookmarkStart w:id="0" w:name="_Toc21665"/>
      <w:bookmarkStart w:id="1" w:name="_Toc13451"/>
      <w:r>
        <w:rPr>
          <w:rFonts w:hint="eastAsia" w:ascii="仿宋" w:hAnsi="仿宋" w:eastAsia="仿宋" w:cs="仿宋"/>
          <w:b/>
          <w:sz w:val="30"/>
          <w:szCs w:val="30"/>
          <w:highlight w:val="none"/>
        </w:rPr>
        <w:t>第一部分  采购公告</w:t>
      </w:r>
      <w:bookmarkEnd w:id="0"/>
      <w:bookmarkEnd w:id="1"/>
    </w:p>
    <w:p w14:paraId="6F82BDA8">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项目概况                                                    </w:t>
      </w:r>
    </w:p>
    <w:p w14:paraId="0AEECC8E">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跨境零售进口商品质量安全风险监测服务项目</w:t>
      </w:r>
      <w:r>
        <w:rPr>
          <w:rFonts w:hint="eastAsia" w:ascii="仿宋" w:hAnsi="仿宋" w:eastAsia="仿宋" w:cs="仿宋"/>
          <w:kern w:val="0"/>
          <w:sz w:val="24"/>
          <w:highlight w:val="none"/>
        </w:rPr>
        <w:t>招标项目的潜在投标人应在政采云平台线上获取（下载）招标文件，并于 2025年</w:t>
      </w:r>
      <w:r>
        <w:rPr>
          <w:rFonts w:hint="eastAsia" w:ascii="仿宋" w:hAnsi="仿宋" w:eastAsia="仿宋" w:cs="仿宋"/>
          <w:kern w:val="0"/>
          <w:sz w:val="24"/>
          <w:highlight w:val="none"/>
          <w:lang w:val="en-US" w:eastAsia="zh-CN"/>
        </w:rPr>
        <w:t>07月22日</w:t>
      </w:r>
      <w:r>
        <w:rPr>
          <w:rFonts w:hint="eastAsia" w:ascii="仿宋" w:hAnsi="仿宋" w:eastAsia="仿宋" w:cs="仿宋"/>
          <w:kern w:val="0"/>
          <w:sz w:val="24"/>
          <w:highlight w:val="none"/>
        </w:rPr>
        <w:t xml:space="preserve"> 09:30（北京时间）前递交（上传）投标文件。      </w:t>
      </w:r>
    </w:p>
    <w:p w14:paraId="039B3546">
      <w:pPr>
        <w:pStyle w:val="41"/>
        <w:adjustRightInd w:val="0"/>
        <w:snapToGrid w:val="0"/>
        <w:spacing w:beforeAutospacing="0" w:afterAutospacing="0" w:line="360" w:lineRule="auto"/>
        <w:jc w:val="both"/>
        <w:rPr>
          <w:rFonts w:hint="eastAsia" w:ascii="仿宋" w:hAnsi="仿宋" w:eastAsia="仿宋" w:cs="仿宋"/>
          <w:sz w:val="24"/>
          <w:szCs w:val="24"/>
          <w:highlight w:val="none"/>
        </w:rPr>
      </w:pPr>
    </w:p>
    <w:p w14:paraId="573C9726">
      <w:pPr>
        <w:pStyle w:val="41"/>
        <w:adjustRightInd w:val="0"/>
        <w:snapToGrid w:val="0"/>
        <w:spacing w:beforeAutospacing="0" w:afterAutospacing="0"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一、项目基本情况</w:t>
      </w:r>
    </w:p>
    <w:p w14:paraId="4979B7C4">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QTCG-GK-2025-109</w:t>
      </w:r>
    </w:p>
    <w:p w14:paraId="053B03A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跨境零售进口商品质量安全风险监测服务项目</w:t>
      </w:r>
    </w:p>
    <w:p w14:paraId="424AD51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eastAsia="zh-CN"/>
        </w:rPr>
        <w:t>2800000</w:t>
      </w:r>
    </w:p>
    <w:p w14:paraId="4C5EE4D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w:t>
      </w:r>
    </w:p>
    <w:p w14:paraId="739443C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602CBB0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716A7AF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标项名称：跨境零售进口商品质量安全风险监测服务项目</w:t>
      </w:r>
    </w:p>
    <w:p w14:paraId="6AC0B14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数量：不限</w:t>
      </w:r>
    </w:p>
    <w:p w14:paraId="5FCAFFD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预算金额（元）：2800000</w:t>
      </w:r>
    </w:p>
    <w:p w14:paraId="2A120E2F">
      <w:pPr>
        <w:pStyle w:val="41"/>
        <w:adjustRightInd w:val="0"/>
        <w:snapToGrid w:val="0"/>
        <w:spacing w:beforeAutospacing="0" w:afterAutospacing="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简要规格描述或项目基本概况介绍、用途：跨境零售进口商品质量安全风险监测服务项目，服务内容包括：跨境电商商品（消费品、电器产品、普通食品、保健品、化妆品、日化用品、动植物产品等商品）的检验检测、数据汇总、质量分析报告等工作，具体以招标文件第三部分采购需求为准,供应商可点击本公告下方“浏览采购文件”查看采购需求</w:t>
      </w:r>
      <w:r>
        <w:rPr>
          <w:rFonts w:hint="eastAsia" w:ascii="仿宋" w:hAnsi="仿宋" w:eastAsia="仿宋" w:cs="仿宋"/>
          <w:sz w:val="24"/>
          <w:szCs w:val="24"/>
          <w:highlight w:val="none"/>
          <w:lang w:val="en-US" w:eastAsia="zh-CN"/>
        </w:rPr>
        <w:t>。</w:t>
      </w:r>
    </w:p>
    <w:p w14:paraId="0680D20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599BFDB">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2094F27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合同履约期限：标项 1</w:t>
      </w:r>
      <w:r>
        <w:rPr>
          <w:rFonts w:hint="eastAsia" w:ascii="仿宋" w:hAnsi="仿宋" w:eastAsia="仿宋" w:cs="仿宋"/>
          <w:sz w:val="24"/>
          <w:szCs w:val="24"/>
          <w:highlight w:val="none"/>
          <w:lang w:val="en-US" w:eastAsia="zh-CN"/>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整体服务期为1年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具体起止时间按采购人要求。</w:t>
      </w:r>
    </w:p>
    <w:p w14:paraId="384EDE4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本项目（是）接受联合体投标。</w:t>
      </w:r>
    </w:p>
    <w:p w14:paraId="5DABA62E">
      <w:pPr>
        <w:pStyle w:val="41"/>
        <w:adjustRightInd w:val="0"/>
        <w:snapToGrid w:val="0"/>
        <w:spacing w:beforeAutospacing="0" w:afterAutospacing="0"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557241C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1. </w:t>
      </w:r>
      <w:bookmarkStart w:id="2" w:name="OLE_LINK6"/>
      <w:bookmarkStart w:id="3" w:name="OLE_LINK7"/>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2"/>
      <w:bookmarkEnd w:id="3"/>
    </w:p>
    <w:p w14:paraId="05CC5A44">
      <w:pPr>
        <w:spacing w:line="360" w:lineRule="auto"/>
        <w:ind w:firstLine="480"/>
        <w:rPr>
          <w:rFonts w:hint="eastAsia" w:ascii="仿宋" w:hAnsi="仿宋" w:eastAsia="仿宋" w:cs="仿宋"/>
          <w:snapToGrid w:val="0"/>
          <w:kern w:val="28"/>
          <w:sz w:val="24"/>
          <w:szCs w:val="20"/>
          <w:highlight w:val="none"/>
        </w:rPr>
      </w:pPr>
      <w:bookmarkStart w:id="4" w:name="OLE_LINK8"/>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lang w:val="en-US" w:eastAsia="zh-CN"/>
        </w:rPr>
        <w:t>无</w:t>
      </w:r>
      <w:r>
        <w:rPr>
          <w:rFonts w:hint="eastAsia" w:ascii="仿宋" w:hAnsi="仿宋" w:eastAsia="仿宋" w:cs="仿宋"/>
          <w:snapToGrid w:val="0"/>
          <w:kern w:val="28"/>
          <w:sz w:val="24"/>
          <w:szCs w:val="20"/>
          <w:highlight w:val="none"/>
        </w:rPr>
        <w:t>。</w:t>
      </w:r>
    </w:p>
    <w:bookmarkEnd w:id="4"/>
    <w:p w14:paraId="0491E7B5">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3.本项目的特定资格要求：无。</w:t>
      </w:r>
    </w:p>
    <w:p w14:paraId="082130A3">
      <w:pPr>
        <w:pStyle w:val="41"/>
        <w:adjustRightInd w:val="0"/>
        <w:snapToGrid w:val="0"/>
        <w:spacing w:beforeAutospacing="0" w:afterAutospacing="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三、获取招标文件</w:t>
      </w:r>
    </w:p>
    <w:p w14:paraId="53D20D6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07月22日</w:t>
      </w:r>
      <w:r>
        <w:rPr>
          <w:rFonts w:hint="eastAsia" w:ascii="仿宋" w:hAnsi="仿宋" w:eastAsia="仿宋" w:cs="仿宋"/>
          <w:sz w:val="24"/>
          <w:highlight w:val="none"/>
        </w:rPr>
        <w:t>，每天上午00:00至12:00 ，下午12:00至23:59（北京时间，线上获取法定节假日均可，线下获取文件法定节假日除外）</w:t>
      </w:r>
    </w:p>
    <w:p w14:paraId="132B6E8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bCs/>
          <w:sz w:val="24"/>
          <w:highlight w:val="none"/>
        </w:rPr>
        <w:t>政采云平台线上获取</w:t>
      </w:r>
      <w:r>
        <w:rPr>
          <w:rFonts w:hint="eastAsia" w:ascii="仿宋" w:hAnsi="仿宋" w:eastAsia="仿宋" w:cs="仿宋"/>
          <w:sz w:val="24"/>
          <w:highlight w:val="none"/>
        </w:rPr>
        <w:t xml:space="preserve"> </w:t>
      </w:r>
    </w:p>
    <w:p w14:paraId="0922A87C">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3CE2238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993BFC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1220A31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2025年</w:t>
      </w:r>
      <w:r>
        <w:rPr>
          <w:rFonts w:hint="eastAsia" w:ascii="仿宋" w:hAnsi="仿宋" w:eastAsia="仿宋" w:cs="仿宋"/>
          <w:sz w:val="24"/>
          <w:highlight w:val="none"/>
          <w:u w:val="single"/>
          <w:lang w:val="en-US" w:eastAsia="zh-CN"/>
        </w:rPr>
        <w:t>07月22日</w:t>
      </w:r>
      <w:r>
        <w:rPr>
          <w:rFonts w:hint="eastAsia" w:ascii="仿宋" w:hAnsi="仿宋" w:eastAsia="仿宋" w:cs="仿宋"/>
          <w:sz w:val="24"/>
          <w:highlight w:val="none"/>
          <w:u w:val="single"/>
        </w:rPr>
        <w:t>09:30</w:t>
      </w:r>
      <w:r>
        <w:rPr>
          <w:rFonts w:hint="eastAsia" w:ascii="仿宋" w:hAnsi="仿宋" w:eastAsia="仿宋" w:cs="仿宋"/>
          <w:sz w:val="24"/>
          <w:highlight w:val="none"/>
        </w:rPr>
        <w:t>（北京时间）</w:t>
      </w:r>
    </w:p>
    <w:p w14:paraId="3189F4F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投标地点（网址）：请登录政采云投标客户端投标</w:t>
      </w:r>
      <w:r>
        <w:rPr>
          <w:rFonts w:hint="eastAsia" w:ascii="仿宋" w:hAnsi="仿宋" w:eastAsia="仿宋" w:cs="仿宋"/>
          <w:sz w:val="24"/>
          <w:highlight w:val="none"/>
        </w:rPr>
        <w:t xml:space="preserve"> </w:t>
      </w:r>
    </w:p>
    <w:p w14:paraId="583EADE2">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07月22日</w:t>
      </w:r>
      <w:r>
        <w:rPr>
          <w:rFonts w:hint="eastAsia" w:ascii="仿宋" w:hAnsi="仿宋" w:eastAsia="仿宋" w:cs="仿宋"/>
          <w:sz w:val="24"/>
          <w:highlight w:val="none"/>
          <w:u w:val="single"/>
        </w:rPr>
        <w:t>09:30</w:t>
      </w:r>
    </w:p>
    <w:p w14:paraId="553B82A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49368B3C">
      <w:pPr>
        <w:spacing w:line="360" w:lineRule="auto"/>
        <w:ind w:firstLine="1446" w:firstLineChars="6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（线下）：</w:t>
      </w:r>
      <w:r>
        <w:rPr>
          <w:rFonts w:hint="eastAsia" w:ascii="仿宋" w:hAnsi="仿宋" w:eastAsia="仿宋" w:cs="仿宋"/>
          <w:color w:val="000000" w:themeColor="text1"/>
          <w:sz w:val="24"/>
          <w:highlight w:val="none"/>
          <w14:textFill>
            <w14:solidFill>
              <w14:schemeClr w14:val="tx1"/>
            </w14:solidFill>
          </w14:textFill>
        </w:rPr>
        <w:t>杭州市钱塘区金沙大道600号东楼6楼</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号开标室</w:t>
      </w:r>
    </w:p>
    <w:p w14:paraId="7C3B7AC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 xml:space="preserve">、公告期限 </w:t>
      </w:r>
    </w:p>
    <w:p w14:paraId="1D26FE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3656CB70">
      <w:pPr>
        <w:spacing w:line="360" w:lineRule="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六</w:t>
      </w:r>
      <w:r>
        <w:rPr>
          <w:rFonts w:hint="eastAsia" w:ascii="仿宋" w:hAnsi="仿宋" w:eastAsia="仿宋" w:cs="仿宋"/>
          <w:b/>
          <w:sz w:val="24"/>
          <w:highlight w:val="none"/>
        </w:rPr>
        <w:t>、其他补充事宜</w:t>
      </w:r>
    </w:p>
    <w:p w14:paraId="6C2CBFE3">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8C98FBA">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909284">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490070">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w:t>
      </w:r>
    </w:p>
    <w:p w14:paraId="14251BE9">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（1）需要落实的政府采购政策：包括节约资源、保护环境、支持创新、促进中小企业发展等。详见招标文件的第二部分总则。</w:t>
      </w:r>
    </w:p>
    <w:p w14:paraId="1B6EB69B">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F9831C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（3）</w:t>
      </w:r>
      <w:r>
        <w:rPr>
          <w:rFonts w:hint="eastAsia" w:ascii="仿宋" w:hAnsi="仿宋" w:eastAsia="仿宋" w:cs="仿宋"/>
          <w:sz w:val="24"/>
          <w:szCs w:val="24"/>
          <w:highlight w:val="none"/>
        </w:rPr>
        <w:t>钱塘区政府采购支持中小企业信用融资：</w:t>
      </w:r>
    </w:p>
    <w:p w14:paraId="7ACE37E6">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6256DCF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A.适用对象：在浙江“政采云”平台注册入库，并取得钱塘区政府采购合同的中小企业供应商。</w:t>
      </w:r>
    </w:p>
    <w:p w14:paraId="6BE368D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14:paraId="1AD55EB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69FB78E5">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852AE">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（5）本项目采购文件公告期限为本公告发布之日起5个工作日。</w:t>
      </w:r>
    </w:p>
    <w:p w14:paraId="665F277A">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七</w:t>
      </w:r>
      <w:r>
        <w:rPr>
          <w:rFonts w:hint="eastAsia" w:ascii="仿宋" w:hAnsi="仿宋" w:eastAsia="仿宋" w:cs="仿宋"/>
          <w:b/>
          <w:bCs/>
          <w:sz w:val="24"/>
          <w:szCs w:val="24"/>
          <w:highlight w:val="none"/>
        </w:rPr>
        <w:t>、对本次采购提出询问、质疑、投诉，请按以下方式联系　　　</w:t>
      </w:r>
      <w:r>
        <w:rPr>
          <w:rFonts w:hint="eastAsia" w:ascii="仿宋" w:hAnsi="仿宋" w:eastAsia="仿宋" w:cs="仿宋"/>
          <w:sz w:val="24"/>
          <w:szCs w:val="24"/>
          <w:highlight w:val="none"/>
        </w:rPr>
        <w:t>　　　　　　　　　</w:t>
      </w:r>
    </w:p>
    <w:p w14:paraId="242C47D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044004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名称：</w:t>
      </w:r>
      <w:r>
        <w:rPr>
          <w:rFonts w:hint="eastAsia" w:ascii="仿宋" w:hAnsi="仿宋" w:eastAsia="仿宋" w:cs="仿宋"/>
          <w:sz w:val="24"/>
          <w:szCs w:val="24"/>
          <w:highlight w:val="none"/>
          <w:lang w:eastAsia="zh-CN"/>
        </w:rPr>
        <w:t>杭州综合保税区管理办公室</w:t>
      </w:r>
      <w:r>
        <w:rPr>
          <w:rFonts w:hint="eastAsia" w:ascii="仿宋" w:hAnsi="仿宋" w:eastAsia="仿宋" w:cs="仿宋"/>
          <w:sz w:val="24"/>
          <w:szCs w:val="24"/>
          <w:highlight w:val="none"/>
        </w:rPr>
        <w:t>　　　　　　　　　</w:t>
      </w:r>
    </w:p>
    <w:p w14:paraId="38261A34">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地址：</w:t>
      </w:r>
      <w:r>
        <w:rPr>
          <w:rFonts w:hint="eastAsia" w:ascii="仿宋" w:hAnsi="仿宋" w:eastAsia="仿宋" w:cs="仿宋"/>
          <w:sz w:val="24"/>
          <w:highlight w:val="none"/>
        </w:rPr>
        <w:t>杭州市钱塘区下沙12号大街18号</w:t>
      </w:r>
    </w:p>
    <w:p w14:paraId="560967E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传真：  / </w:t>
      </w:r>
    </w:p>
    <w:p w14:paraId="462EF2B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highlight w:val="none"/>
          <w:lang w:val="en-US" w:eastAsia="zh-CN"/>
        </w:rPr>
        <w:t>李伟军</w:t>
      </w:r>
      <w:r>
        <w:rPr>
          <w:rFonts w:hint="eastAsia" w:ascii="仿宋" w:hAnsi="仿宋" w:eastAsia="仿宋" w:cs="仿宋"/>
          <w:sz w:val="24"/>
          <w:szCs w:val="24"/>
          <w:highlight w:val="none"/>
        </w:rPr>
        <w:t>　　　　　　　</w:t>
      </w:r>
    </w:p>
    <w:p w14:paraId="1E675F9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项目联系方式（询问）：</w:t>
      </w:r>
      <w:r>
        <w:rPr>
          <w:rFonts w:hint="eastAsia" w:ascii="仿宋" w:hAnsi="仿宋" w:eastAsia="仿宋" w:cs="仿宋"/>
          <w:color w:val="auto"/>
          <w:sz w:val="24"/>
          <w:highlight w:val="none"/>
          <w:lang w:val="en-US" w:eastAsia="zh-CN"/>
        </w:rPr>
        <w:t>0571-86085926</w:t>
      </w:r>
      <w:r>
        <w:rPr>
          <w:rFonts w:hint="eastAsia" w:ascii="仿宋" w:hAnsi="仿宋" w:eastAsia="仿宋" w:cs="仿宋"/>
          <w:sz w:val="24"/>
          <w:szCs w:val="24"/>
          <w:highlight w:val="none"/>
        </w:rPr>
        <w:t xml:space="preserve"> </w:t>
      </w:r>
    </w:p>
    <w:p w14:paraId="4884FA2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质疑联系人：许浩明</w:t>
      </w:r>
    </w:p>
    <w:p w14:paraId="7E0B934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w:t>
      </w:r>
      <w:r>
        <w:rPr>
          <w:rFonts w:hint="eastAsia" w:ascii="仿宋" w:hAnsi="仿宋" w:eastAsia="仿宋" w:cs="仿宋"/>
          <w:sz w:val="24"/>
          <w:szCs w:val="24"/>
          <w:highlight w:val="none"/>
          <w:lang w:val="en-US" w:eastAsia="zh-CN"/>
        </w:rPr>
        <w:t>0571-</w:t>
      </w:r>
      <w:r>
        <w:rPr>
          <w:rFonts w:hint="eastAsia" w:ascii="仿宋" w:hAnsi="仿宋" w:eastAsia="仿宋" w:cs="仿宋"/>
          <w:sz w:val="24"/>
          <w:szCs w:val="24"/>
          <w:highlight w:val="none"/>
        </w:rPr>
        <w:t>86959708</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（请通过以下路径在线提起质疑：政采云-项目采购-询问质疑投诉-质疑列表）　　　</w:t>
      </w:r>
    </w:p>
    <w:p w14:paraId="3E509FE0">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1A96DC23">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名称：浙江国际招投标有限公司 　　　　　　　　　　　</w:t>
      </w:r>
    </w:p>
    <w:p w14:paraId="3956ACDC">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地址：浙江省杭州市西湖区文三路90号东部软件园1号楼3楼 </w:t>
      </w:r>
    </w:p>
    <w:p w14:paraId="7B6828D1">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传真： 0571-88473411   　</w:t>
      </w:r>
    </w:p>
    <w:p w14:paraId="1B3EFAA4">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项目联系人（询问）：唐稳 　   　　　　　　　　　　　</w:t>
      </w:r>
    </w:p>
    <w:p w14:paraId="1D38FD76">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项目联系方式（询问）：0571-81061825 </w:t>
      </w:r>
    </w:p>
    <w:p w14:paraId="21D43B36">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质疑联系人：赵娟 </w:t>
      </w:r>
    </w:p>
    <w:p w14:paraId="4A488A60">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质疑联系方式：0571-81061819（请通过以下路径在线提起质疑：政采云-项目采购-询问质疑投诉-质疑列表）　</w:t>
      </w:r>
    </w:p>
    <w:p w14:paraId="549E7FE8">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3.同级政府采购监督管理部门</w:t>
      </w:r>
    </w:p>
    <w:p w14:paraId="7BE170B5">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名称：杭州市钱塘区财政局、浙江省政府采购行政裁决服务中心 (杭州)</w:t>
      </w:r>
    </w:p>
    <w:p w14:paraId="5595BB7C">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地址：杭州市上城区清泰街549号城建综合大楼11楼 (快递仅限ems或顺丰)             </w:t>
      </w:r>
    </w:p>
    <w:p w14:paraId="727D71F8">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传真：      </w:t>
      </w:r>
    </w:p>
    <w:p w14:paraId="50ECBDCA">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联 系 人：匡老师</w:t>
      </w:r>
    </w:p>
    <w:p w14:paraId="3611EB4F">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监督投诉电话：0571-87807798  （仅限投诉事项）</w:t>
      </w:r>
    </w:p>
    <w:p w14:paraId="546459D2">
      <w:pPr>
        <w:pStyle w:val="41"/>
        <w:adjustRightInd w:val="0"/>
        <w:snapToGrid w:val="0"/>
        <w:spacing w:beforeAutospacing="0" w:afterAutospacing="0" w:line="360" w:lineRule="auto"/>
        <w:rPr>
          <w:rFonts w:hint="eastAsia" w:ascii="仿宋" w:hAnsi="仿宋" w:eastAsia="仿宋" w:cs="仿宋"/>
          <w:sz w:val="24"/>
          <w:szCs w:val="24"/>
          <w:highlight w:val="none"/>
        </w:rPr>
      </w:pPr>
    </w:p>
    <w:p w14:paraId="53B9821E">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8A1AF0D">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CA问题联系电话（人工）：汇信CA 400-888-4636；天谷CA 400-087-8198。</w:t>
      </w:r>
    </w:p>
    <w:p w14:paraId="0E790FB3">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5" w:name="_Toc1014"/>
      <w:r>
        <w:rPr>
          <w:rFonts w:hint="eastAsia" w:ascii="仿宋" w:hAnsi="仿宋" w:eastAsia="仿宋" w:cs="仿宋"/>
          <w:b/>
          <w:sz w:val="30"/>
          <w:szCs w:val="30"/>
          <w:highlight w:val="none"/>
        </w:rPr>
        <w:t>前 附 表</w:t>
      </w:r>
      <w:bookmarkEnd w:id="5"/>
    </w:p>
    <w:tbl>
      <w:tblPr>
        <w:tblStyle w:val="45"/>
        <w:tblW w:w="85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6D7C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noWrap/>
            <w:vAlign w:val="center"/>
          </w:tcPr>
          <w:p w14:paraId="015142B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l2br w:val="nil"/>
              <w:tr2bl w:val="nil"/>
            </w:tcBorders>
            <w:noWrap/>
            <w:vAlign w:val="center"/>
          </w:tcPr>
          <w:p w14:paraId="3098FD2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l2br w:val="nil"/>
              <w:tr2bl w:val="nil"/>
            </w:tcBorders>
            <w:noWrap/>
            <w:vAlign w:val="center"/>
          </w:tcPr>
          <w:p w14:paraId="28143B05">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1C7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0" w:hRule="atLeast"/>
        </w:trPr>
        <w:tc>
          <w:tcPr>
            <w:tcW w:w="629" w:type="dxa"/>
            <w:tcBorders>
              <w:tl2br w:val="nil"/>
              <w:tr2bl w:val="nil"/>
            </w:tcBorders>
            <w:noWrap/>
            <w:vAlign w:val="center"/>
          </w:tcPr>
          <w:p w14:paraId="651CF56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l2br w:val="nil"/>
              <w:tr2bl w:val="nil"/>
            </w:tcBorders>
            <w:noWrap/>
            <w:vAlign w:val="center"/>
          </w:tcPr>
          <w:p w14:paraId="3841F6F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l2br w:val="nil"/>
              <w:tr2bl w:val="nil"/>
            </w:tcBorders>
            <w:noWrap/>
            <w:vAlign w:val="center"/>
          </w:tcPr>
          <w:p w14:paraId="45294793">
            <w:pPr>
              <w:adjustRightInd w:val="0"/>
              <w:snapToGrid w:val="0"/>
              <w:spacing w:line="400" w:lineRule="exact"/>
              <w:rPr>
                <w:rFonts w:hint="eastAsia" w:ascii="仿宋" w:hAnsi="仿宋" w:eastAsia="仿宋" w:cs="仿宋"/>
                <w:b/>
                <w:kern w:val="0"/>
                <w:sz w:val="24"/>
                <w:highlight w:val="none"/>
              </w:rPr>
            </w:pPr>
            <w:r>
              <w:rPr>
                <w:rFonts w:hint="eastAsia" w:ascii="仿宋" w:hAnsi="仿宋" w:eastAsia="仿宋" w:cs="仿宋"/>
                <w:sz w:val="24"/>
                <w:highlight w:val="none"/>
              </w:rPr>
              <w:t>服务类</w:t>
            </w:r>
          </w:p>
        </w:tc>
      </w:tr>
      <w:tr w14:paraId="199EE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629" w:type="dxa"/>
            <w:vMerge w:val="restart"/>
            <w:tcBorders>
              <w:tl2br w:val="nil"/>
              <w:tr2bl w:val="nil"/>
            </w:tcBorders>
            <w:noWrap/>
            <w:vAlign w:val="center"/>
          </w:tcPr>
          <w:p w14:paraId="7DA4C336">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vMerge w:val="restart"/>
            <w:tcBorders>
              <w:tl2br w:val="nil"/>
              <w:tr2bl w:val="nil"/>
            </w:tcBorders>
            <w:noWrap/>
            <w:vAlign w:val="center"/>
          </w:tcPr>
          <w:p w14:paraId="3EFB957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l2br w:val="nil"/>
              <w:tr2bl w:val="nil"/>
            </w:tcBorders>
            <w:noWrap/>
            <w:vAlign w:val="center"/>
          </w:tcPr>
          <w:p w14:paraId="40A0C90F">
            <w:pPr>
              <w:adjustRightInd w:val="0"/>
              <w:snapToGrid w:val="0"/>
              <w:rPr>
                <w:rFonts w:hint="eastAsia" w:ascii="仿宋" w:hAnsi="仿宋" w:eastAsia="仿宋" w:cs="仿宋"/>
                <w:b/>
                <w:kern w:val="0"/>
                <w:sz w:val="24"/>
                <w:highlight w:val="none"/>
              </w:rPr>
            </w:pPr>
            <w:r>
              <w:rPr>
                <w:rFonts w:hint="eastAsia" w:ascii="仿宋" w:hAnsi="仿宋" w:eastAsia="仿宋" w:cs="仿宋"/>
                <w:b/>
                <w:bCs/>
                <w:kern w:val="0"/>
                <w:sz w:val="24"/>
                <w:highlight w:val="none"/>
              </w:rPr>
              <w:t>标的为：</w:t>
            </w:r>
            <w:r>
              <w:rPr>
                <w:rFonts w:hint="eastAsia" w:ascii="仿宋" w:hAnsi="仿宋" w:eastAsia="仿宋" w:cs="仿宋"/>
                <w:b/>
                <w:bCs/>
                <w:kern w:val="0"/>
                <w:sz w:val="24"/>
                <w:highlight w:val="none"/>
                <w:u w:val="single"/>
                <w:lang w:eastAsia="zh-CN"/>
              </w:rPr>
              <w:t>跨境零售进口商品质量安全风险监测服务项目</w:t>
            </w:r>
            <w:r>
              <w:rPr>
                <w:rFonts w:hint="eastAsia" w:ascii="仿宋" w:hAnsi="仿宋" w:eastAsia="仿宋" w:cs="仿宋"/>
                <w:b/>
                <w:bCs/>
                <w:kern w:val="0"/>
                <w:sz w:val="24"/>
                <w:highlight w:val="none"/>
                <w:u w:val="single"/>
              </w:rPr>
              <w:t xml:space="preserve"> </w:t>
            </w:r>
            <w:r>
              <w:rPr>
                <w:rFonts w:hint="eastAsia" w:ascii="仿宋" w:hAnsi="仿宋" w:eastAsia="仿宋" w:cs="仿宋"/>
                <w:b/>
                <w:bCs/>
                <w:kern w:val="0"/>
                <w:sz w:val="24"/>
                <w:highlight w:val="none"/>
              </w:rPr>
              <w:t>，属于</w:t>
            </w:r>
            <w:r>
              <w:rPr>
                <w:rFonts w:hint="eastAsia" w:ascii="仿宋" w:hAnsi="仿宋" w:eastAsia="仿宋" w:cs="仿宋"/>
                <w:b/>
                <w:bCs/>
                <w:kern w:val="0"/>
                <w:sz w:val="24"/>
                <w:highlight w:val="none"/>
                <w:u w:val="single"/>
              </w:rPr>
              <w:t xml:space="preserve"> 其他未列明行业 </w:t>
            </w:r>
          </w:p>
        </w:tc>
      </w:tr>
      <w:tr w14:paraId="14706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93" w:hRule="atLeast"/>
        </w:trPr>
        <w:tc>
          <w:tcPr>
            <w:tcW w:w="629" w:type="dxa"/>
            <w:vMerge w:val="continue"/>
            <w:tcBorders>
              <w:tl2br w:val="nil"/>
              <w:tr2bl w:val="nil"/>
            </w:tcBorders>
            <w:noWrap/>
            <w:vAlign w:val="center"/>
          </w:tcPr>
          <w:p w14:paraId="08ED2077">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504FDD38">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659626CE">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其他未列明行业中，从业人员300人以下的为中小微型企业。其中，从业人员100人及以上的为中型企业；从业人员10人及以上的为小型企业；从业人员10人以下的为微型企业。</w:t>
            </w:r>
          </w:p>
        </w:tc>
      </w:tr>
      <w:tr w14:paraId="10EB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93" w:hRule="atLeast"/>
        </w:trPr>
        <w:tc>
          <w:tcPr>
            <w:tcW w:w="629" w:type="dxa"/>
            <w:vMerge w:val="continue"/>
            <w:tcBorders>
              <w:tl2br w:val="nil"/>
              <w:tr2bl w:val="nil"/>
            </w:tcBorders>
            <w:noWrap/>
            <w:vAlign w:val="center"/>
          </w:tcPr>
          <w:p w14:paraId="5718CB3E">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61299274">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55AB8B58">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（1）投标人填写中小企业声明函时，标的为</w:t>
            </w:r>
            <w:r>
              <w:rPr>
                <w:rFonts w:hint="eastAsia" w:ascii="仿宋" w:hAnsi="仿宋" w:eastAsia="仿宋" w:cs="仿宋"/>
                <w:kern w:val="0"/>
                <w:sz w:val="24"/>
                <w:highlight w:val="none"/>
                <w:u w:val="single"/>
                <w:lang w:eastAsia="zh-CN"/>
              </w:rPr>
              <w:t>跨境零售进口商品质量安全风险监测服务项目</w:t>
            </w:r>
            <w:r>
              <w:rPr>
                <w:rFonts w:hint="eastAsia" w:ascii="仿宋" w:hAnsi="仿宋" w:eastAsia="仿宋" w:cs="仿宋"/>
                <w:kern w:val="0"/>
                <w:sz w:val="24"/>
                <w:highlight w:val="none"/>
              </w:rPr>
              <w:t>，所属行业为</w:t>
            </w:r>
            <w:r>
              <w:rPr>
                <w:rFonts w:hint="eastAsia" w:ascii="仿宋" w:hAnsi="仿宋" w:eastAsia="仿宋" w:cs="仿宋"/>
                <w:kern w:val="0"/>
                <w:sz w:val="24"/>
                <w:highlight w:val="none"/>
                <w:u w:val="single"/>
              </w:rPr>
              <w:t>其他未列明行业</w:t>
            </w:r>
            <w:r>
              <w:rPr>
                <w:rFonts w:hint="eastAsia" w:ascii="仿宋" w:hAnsi="仿宋" w:eastAsia="仿宋" w:cs="仿宋"/>
                <w:kern w:val="0"/>
                <w:sz w:val="24"/>
                <w:highlight w:val="none"/>
              </w:rPr>
              <w:t>；</w:t>
            </w:r>
          </w:p>
          <w:p w14:paraId="3405B503">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（2）从业人员、营业收入、资产总额填报上一年度数据，无上一年度数据的新成立企业可不填报；</w:t>
            </w:r>
          </w:p>
          <w:p w14:paraId="1EED4DBF">
            <w:pPr>
              <w:adjustRightInd w:val="0"/>
              <w:snapToGrid w:val="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color w:val="000000" w:themeColor="text1"/>
                <w:kern w:val="0"/>
                <w:sz w:val="24"/>
                <w:highlight w:val="none"/>
                <w14:textFill>
                  <w14:solidFill>
                    <w14:schemeClr w14:val="tx1"/>
                  </w14:solidFill>
                </w14:textFill>
              </w:rPr>
              <w:t>中型企业、小型企业、微型企业等3种</w:t>
            </w:r>
            <w:r>
              <w:rPr>
                <w:rFonts w:hint="eastAsia" w:ascii="仿宋" w:hAnsi="仿宋" w:eastAsia="仿宋" w:cs="仿宋"/>
                <w:kern w:val="0"/>
                <w:sz w:val="24"/>
                <w:highlight w:val="none"/>
              </w:rPr>
              <w:t>企业类型，结合以上数据，依据《中小企业划型标准规定》（工信部联企业〔2011〕300号）确定的</w:t>
            </w:r>
            <w:r>
              <w:rPr>
                <w:rFonts w:hint="eastAsia" w:ascii="仿宋" w:hAnsi="仿宋" w:eastAsia="仿宋" w:cs="仿宋"/>
                <w:kern w:val="0"/>
                <w:sz w:val="24"/>
                <w:highlight w:val="none"/>
                <w:u w:val="single"/>
              </w:rPr>
              <w:t>其他未列明行业</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填写时应明确是中型或小型或微型</w:t>
            </w:r>
            <w:r>
              <w:rPr>
                <w:rFonts w:hint="eastAsia" w:ascii="仿宋" w:hAnsi="仿宋" w:eastAsia="仿宋" w:cs="仿宋"/>
                <w:kern w:val="0"/>
                <w:sz w:val="24"/>
                <w:highlight w:val="none"/>
              </w:rPr>
              <w:t>。</w:t>
            </w:r>
          </w:p>
        </w:tc>
      </w:tr>
      <w:tr w14:paraId="23E79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68A30E3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l2br w:val="nil"/>
              <w:tr2bl w:val="nil"/>
            </w:tcBorders>
            <w:noWrap/>
            <w:vAlign w:val="center"/>
          </w:tcPr>
          <w:p w14:paraId="6391FD4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l2br w:val="nil"/>
              <w:tr2bl w:val="nil"/>
            </w:tcBorders>
            <w:noWrap/>
            <w:vAlign w:val="center"/>
          </w:tcPr>
          <w:p w14:paraId="25D87327">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本项目不允许采购进口产品。</w:t>
            </w:r>
          </w:p>
          <w:p w14:paraId="73D72D38">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403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135D62B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l2br w:val="nil"/>
              <w:tr2bl w:val="nil"/>
            </w:tcBorders>
            <w:noWrap/>
            <w:vAlign w:val="center"/>
          </w:tcPr>
          <w:p w14:paraId="64F0FE50">
            <w:pPr>
              <w:adjustRightInd w:val="0"/>
              <w:snapToGrid w:val="0"/>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l2br w:val="nil"/>
              <w:tr2bl w:val="nil"/>
            </w:tcBorders>
            <w:noWrap/>
            <w:vAlign w:val="center"/>
          </w:tcPr>
          <w:p w14:paraId="739738E6">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同意将非主体、非关键性的工作分包。</w:t>
            </w:r>
          </w:p>
          <w:p w14:paraId="34FD8337">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同意向小微企业合理分包。</w:t>
            </w:r>
          </w:p>
          <w:p w14:paraId="72CEDFD5">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C</w:t>
            </w:r>
            <w:r>
              <w:rPr>
                <w:rFonts w:hint="eastAsia" w:ascii="仿宋" w:hAnsi="仿宋" w:eastAsia="仿宋" w:cs="仿宋"/>
                <w:sz w:val="24"/>
                <w:highlight w:val="none"/>
              </w:rPr>
              <w:t>不同意分包。</w:t>
            </w:r>
          </w:p>
        </w:tc>
      </w:tr>
      <w:tr w14:paraId="2DAC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33" w:hRule="atLeast"/>
        </w:trPr>
        <w:tc>
          <w:tcPr>
            <w:tcW w:w="629" w:type="dxa"/>
            <w:tcBorders>
              <w:tl2br w:val="nil"/>
              <w:tr2bl w:val="nil"/>
            </w:tcBorders>
            <w:noWrap/>
            <w:vAlign w:val="center"/>
          </w:tcPr>
          <w:p w14:paraId="05D0202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l2br w:val="nil"/>
              <w:tr2bl w:val="nil"/>
            </w:tcBorders>
            <w:noWrap/>
            <w:vAlign w:val="center"/>
          </w:tcPr>
          <w:p w14:paraId="40E14BE2">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noWrap/>
            <w:vAlign w:val="center"/>
          </w:tcPr>
          <w:p w14:paraId="77733C32">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21B0AFA2">
            <w:pPr>
              <w:snapToGrid w:val="0"/>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p w14:paraId="1121E225">
            <w:pPr>
              <w:snapToGrid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C不统一组织，供应商在获取采购文件后，自行至项目现场考察。地点：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 xml:space="preserve"> ，联系人：</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，联系方式：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tc>
      </w:tr>
      <w:tr w14:paraId="77CA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1302FA54">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l2br w:val="nil"/>
              <w:tr2bl w:val="nil"/>
            </w:tcBorders>
            <w:noWrap/>
            <w:vAlign w:val="center"/>
          </w:tcPr>
          <w:p w14:paraId="67F414FC">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l2br w:val="nil"/>
              <w:tr2bl w:val="nil"/>
            </w:tcBorders>
            <w:noWrap/>
            <w:vAlign w:val="center"/>
          </w:tcPr>
          <w:p w14:paraId="113435C8">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17B81C34">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B要求提供，</w:t>
            </w:r>
          </w:p>
          <w:p w14:paraId="1A623651">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snapToGrid w:val="0"/>
                <w:kern w:val="28"/>
                <w:sz w:val="24"/>
                <w:highlight w:val="none"/>
                <w:u w:val="single"/>
              </w:rPr>
              <w:t xml:space="preserve">  /  </w:t>
            </w:r>
            <w:r>
              <w:rPr>
                <w:rFonts w:hint="eastAsia" w:ascii="仿宋" w:hAnsi="仿宋" w:eastAsia="仿宋" w:cs="仿宋"/>
                <w:snapToGrid w:val="0"/>
                <w:kern w:val="28"/>
                <w:sz w:val="24"/>
                <w:highlight w:val="none"/>
              </w:rPr>
              <w:t>；</w:t>
            </w:r>
          </w:p>
          <w:p w14:paraId="773F90D8">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样品制作的标准和要求：</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2100500B">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314DFEBD">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否；</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w:t>
            </w:r>
          </w:p>
          <w:p w14:paraId="39940E0F">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；地点：</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506C1E5C">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F631B27">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z w:val="24"/>
                <w:highlight w:val="none"/>
              </w:rPr>
              <w:t>制作、运输、安装和保管样品所发生的一切费用由投标人自理。</w:t>
            </w:r>
          </w:p>
        </w:tc>
      </w:tr>
      <w:tr w14:paraId="27BB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2" w:hRule="atLeast"/>
        </w:trPr>
        <w:tc>
          <w:tcPr>
            <w:tcW w:w="629" w:type="dxa"/>
            <w:tcBorders>
              <w:tl2br w:val="nil"/>
              <w:tr2bl w:val="nil"/>
            </w:tcBorders>
            <w:noWrap/>
            <w:vAlign w:val="center"/>
          </w:tcPr>
          <w:p w14:paraId="411FEDC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l2br w:val="nil"/>
              <w:tr2bl w:val="nil"/>
            </w:tcBorders>
            <w:noWrap/>
            <w:vAlign w:val="center"/>
          </w:tcPr>
          <w:p w14:paraId="3E1937E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noWrap/>
            <w:vAlign w:val="center"/>
          </w:tcPr>
          <w:p w14:paraId="168F5A4E">
            <w:pPr>
              <w:adjustRightInd w:val="0"/>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53C8D04">
            <w:pPr>
              <w:adjustRightInd w:val="0"/>
              <w:snapToGrid w:val="0"/>
              <w:spacing w:line="40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B组织。</w:t>
            </w:r>
          </w:p>
          <w:p w14:paraId="12F7E031">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人。讲解演示结束后按要求解答评标委员会提问。</w:t>
            </w:r>
          </w:p>
          <w:p w14:paraId="00E0321D">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1563A771">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73932EC7">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14:paraId="6503B4DD">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09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noWrap/>
            <w:vAlign w:val="center"/>
          </w:tcPr>
          <w:p w14:paraId="41A06D5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l2br w:val="nil"/>
              <w:tr2bl w:val="nil"/>
            </w:tcBorders>
            <w:noWrap/>
            <w:vAlign w:val="center"/>
          </w:tcPr>
          <w:p w14:paraId="17C6416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l2br w:val="nil"/>
              <w:tr2bl w:val="nil"/>
            </w:tcBorders>
            <w:noWrap/>
            <w:vAlign w:val="center"/>
          </w:tcPr>
          <w:p w14:paraId="2DCD08F8">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02A9B402">
            <w:pPr>
              <w:adjustRightInd w:val="0"/>
              <w:snapToGrid w:val="0"/>
              <w:spacing w:line="400" w:lineRule="exact"/>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307F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noWrap/>
            <w:vAlign w:val="center"/>
          </w:tcPr>
          <w:p w14:paraId="4EF682F8">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75359394">
            <w:pPr>
              <w:adjustRightInd w:val="0"/>
              <w:snapToGrid w:val="0"/>
              <w:spacing w:line="400" w:lineRule="exact"/>
              <w:jc w:val="center"/>
              <w:rPr>
                <w:rFonts w:hint="eastAsia" w:ascii="仿宋" w:hAnsi="仿宋" w:eastAsia="仿宋" w:cs="仿宋"/>
                <w:b/>
                <w:sz w:val="24"/>
                <w:highlight w:val="none"/>
              </w:rPr>
            </w:pPr>
          </w:p>
        </w:tc>
        <w:tc>
          <w:tcPr>
            <w:tcW w:w="6095" w:type="dxa"/>
            <w:tcBorders>
              <w:tl2br w:val="nil"/>
              <w:tr2bl w:val="nil"/>
            </w:tcBorders>
            <w:noWrap/>
            <w:vAlign w:val="center"/>
          </w:tcPr>
          <w:p w14:paraId="15F147DA">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4519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7" w:hRule="atLeast"/>
        </w:trPr>
        <w:tc>
          <w:tcPr>
            <w:tcW w:w="629" w:type="dxa"/>
            <w:tcBorders>
              <w:tl2br w:val="nil"/>
              <w:tr2bl w:val="nil"/>
            </w:tcBorders>
            <w:noWrap/>
            <w:vAlign w:val="center"/>
          </w:tcPr>
          <w:p w14:paraId="6A42E56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l2br w:val="nil"/>
              <w:tr2bl w:val="nil"/>
            </w:tcBorders>
            <w:noWrap/>
            <w:vAlign w:val="center"/>
          </w:tcPr>
          <w:p w14:paraId="4BD5057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l2br w:val="nil"/>
              <w:tr2bl w:val="nil"/>
            </w:tcBorders>
            <w:noWrap/>
            <w:vAlign w:val="center"/>
          </w:tcPr>
          <w:p w14:paraId="1FCEEA80">
            <w:pPr>
              <w:pStyle w:val="18"/>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2C974437">
            <w:pPr>
              <w:pStyle w:val="18"/>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A无</w:t>
            </w:r>
          </w:p>
          <w:p w14:paraId="26E4A0F1">
            <w:pPr>
              <w:pStyle w:val="18"/>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B 政府</w:t>
            </w:r>
            <w:r>
              <w:rPr>
                <w:rFonts w:hint="eastAsia" w:ascii="仿宋" w:hAnsi="仿宋" w:eastAsia="仿宋" w:cs="仿宋"/>
                <w:sz w:val="24"/>
                <w:highlight w:val="none"/>
              </w:rPr>
              <w:t>强制采购节能产品</w:t>
            </w:r>
            <w:r>
              <w:rPr>
                <w:rFonts w:hint="eastAsia" w:ascii="仿宋" w:hAnsi="仿宋" w:eastAsia="仿宋" w:cs="仿宋"/>
                <w:kern w:val="0"/>
                <w:sz w:val="24"/>
                <w:highlight w:val="none"/>
              </w:rPr>
              <w:t>：</w:t>
            </w:r>
          </w:p>
          <w:p w14:paraId="0AACB83E">
            <w:pPr>
              <w:pStyle w:val="18"/>
              <w:rPr>
                <w:rFonts w:hint="eastAsia" w:ascii="仿宋" w:hAnsi="仿宋" w:eastAsia="仿宋" w:cs="仿宋"/>
                <w:sz w:val="24"/>
                <w:highlight w:val="none"/>
                <w:u w:val="single"/>
              </w:rPr>
            </w:pPr>
            <w:r>
              <w:rPr>
                <w:rFonts w:hint="eastAsia" w:ascii="仿宋" w:hAnsi="仿宋" w:eastAsia="仿宋" w:cs="仿宋"/>
                <w:sz w:val="24"/>
                <w:highlight w:val="none"/>
              </w:rPr>
              <w:t>（1）；</w:t>
            </w:r>
          </w:p>
          <w:p w14:paraId="06FAB03C">
            <w:pPr>
              <w:pStyle w:val="18"/>
              <w:rPr>
                <w:rFonts w:hint="eastAsia" w:ascii="仿宋" w:hAnsi="仿宋" w:eastAsia="仿宋" w:cs="仿宋"/>
                <w:sz w:val="24"/>
                <w:highlight w:val="none"/>
              </w:rPr>
            </w:pPr>
            <w:r>
              <w:rPr>
                <w:rFonts w:hint="eastAsia" w:ascii="仿宋" w:hAnsi="仿宋" w:eastAsia="仿宋" w:cs="仿宋"/>
                <w:sz w:val="24"/>
                <w:highlight w:val="none"/>
              </w:rPr>
              <w:t>（2）……</w:t>
            </w:r>
          </w:p>
          <w:p w14:paraId="456858F1">
            <w:pPr>
              <w:pStyle w:val="18"/>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 xml:space="preserve">C </w:t>
            </w:r>
            <w:r>
              <w:rPr>
                <w:rFonts w:hint="eastAsia" w:ascii="仿宋" w:hAnsi="仿宋" w:eastAsia="仿宋" w:cs="仿宋"/>
                <w:sz w:val="24"/>
                <w:highlight w:val="none"/>
              </w:rPr>
              <w:t>政府优先采购节能产品</w:t>
            </w:r>
            <w:r>
              <w:rPr>
                <w:rFonts w:hint="eastAsia" w:ascii="仿宋" w:hAnsi="仿宋" w:eastAsia="仿宋" w:cs="仿宋"/>
                <w:kern w:val="0"/>
                <w:sz w:val="24"/>
                <w:highlight w:val="none"/>
              </w:rPr>
              <w:t>：</w:t>
            </w:r>
          </w:p>
          <w:p w14:paraId="5D09FB6C">
            <w:pPr>
              <w:pStyle w:val="18"/>
              <w:rPr>
                <w:rFonts w:hint="eastAsia" w:ascii="仿宋" w:hAnsi="仿宋" w:eastAsia="仿宋" w:cs="仿宋"/>
                <w:sz w:val="24"/>
                <w:highlight w:val="none"/>
                <w:u w:val="singl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03B0D726">
            <w:pPr>
              <w:pStyle w:val="18"/>
              <w:rPr>
                <w:rFonts w:hint="eastAsia" w:ascii="仿宋" w:hAnsi="仿宋" w:eastAsia="仿宋" w:cs="仿宋"/>
                <w:sz w:val="24"/>
                <w:highlight w:val="none"/>
              </w:rPr>
            </w:pPr>
            <w:r>
              <w:rPr>
                <w:rFonts w:hint="eastAsia" w:ascii="仿宋" w:hAnsi="仿宋" w:eastAsia="仿宋" w:cs="仿宋"/>
                <w:sz w:val="24"/>
                <w:highlight w:val="none"/>
              </w:rPr>
              <w:t>（2）……</w:t>
            </w:r>
          </w:p>
          <w:p w14:paraId="4A6C7A24">
            <w:pPr>
              <w:pStyle w:val="18"/>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rPr>
              <w:t xml:space="preserve">D </w:t>
            </w:r>
            <w:r>
              <w:rPr>
                <w:rFonts w:hint="eastAsia" w:ascii="仿宋" w:hAnsi="仿宋" w:eastAsia="仿宋" w:cs="仿宋"/>
                <w:sz w:val="24"/>
                <w:highlight w:val="none"/>
              </w:rPr>
              <w:t>政府优先采购环境标志产品</w:t>
            </w:r>
            <w:r>
              <w:rPr>
                <w:rFonts w:hint="eastAsia" w:ascii="仿宋" w:hAnsi="仿宋" w:eastAsia="仿宋" w:cs="仿宋"/>
                <w:kern w:val="0"/>
                <w:sz w:val="24"/>
                <w:highlight w:val="none"/>
              </w:rPr>
              <w:t>：</w:t>
            </w:r>
          </w:p>
          <w:p w14:paraId="507140B4">
            <w:pPr>
              <w:pStyle w:val="18"/>
              <w:rPr>
                <w:rFonts w:hint="eastAsia" w:ascii="仿宋" w:hAnsi="仿宋" w:eastAsia="仿宋" w:cs="仿宋"/>
                <w:sz w:val="24"/>
                <w:highlight w:val="non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1BED3078">
            <w:pPr>
              <w:pStyle w:val="18"/>
              <w:rPr>
                <w:rFonts w:hint="eastAsia" w:ascii="仿宋" w:hAnsi="仿宋" w:eastAsia="仿宋" w:cs="仿宋"/>
                <w:sz w:val="24"/>
                <w:highlight w:val="none"/>
              </w:rPr>
            </w:pPr>
            <w:r>
              <w:rPr>
                <w:rFonts w:hint="eastAsia" w:ascii="仿宋" w:hAnsi="仿宋" w:eastAsia="仿宋" w:cs="仿宋"/>
                <w:sz w:val="24"/>
                <w:highlight w:val="none"/>
              </w:rPr>
              <w:t>（2）……</w:t>
            </w:r>
          </w:p>
        </w:tc>
      </w:tr>
      <w:tr w14:paraId="04A0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tcBorders>
              <w:tl2br w:val="nil"/>
              <w:tr2bl w:val="nil"/>
            </w:tcBorders>
            <w:noWrap/>
            <w:vAlign w:val="center"/>
          </w:tcPr>
          <w:p w14:paraId="66B9B9D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l2br w:val="nil"/>
              <w:tr2bl w:val="nil"/>
            </w:tcBorders>
            <w:noWrap/>
            <w:vAlign w:val="center"/>
          </w:tcPr>
          <w:p w14:paraId="44613269">
            <w:pPr>
              <w:adjustRightInd w:val="0"/>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报价要求（下有）</w:t>
            </w:r>
          </w:p>
        </w:tc>
        <w:tc>
          <w:tcPr>
            <w:tcW w:w="6095" w:type="dxa"/>
            <w:tcBorders>
              <w:tl2br w:val="nil"/>
              <w:tr2bl w:val="nil"/>
            </w:tcBorders>
            <w:noWrap/>
            <w:vAlign w:val="center"/>
          </w:tcPr>
          <w:p w14:paraId="5DA4356D">
            <w:pPr>
              <w:tabs>
                <w:tab w:val="left" w:pos="3570"/>
              </w:tabs>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highlight w:val="none"/>
                <w14:textFill>
                  <w14:solidFill>
                    <w14:schemeClr w14:val="tx1"/>
                  </w14:solidFill>
                </w14:textFill>
              </w:rPr>
              <w:t>开标一览表（报价表）是报价的唯一载体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37F44B9A">
            <w:p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6D70DB08">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7B1DDB31">
            <w:pPr>
              <w:numPr>
                <w:ilvl w:val="0"/>
                <w:numId w:val="2"/>
              </w:numPr>
              <w:adjustRightInd w:val="0"/>
              <w:snapToGrid w:val="0"/>
              <w:spacing w:line="400" w:lineRule="exact"/>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6814CA77">
            <w:pPr>
              <w:numPr>
                <w:ilvl w:val="0"/>
                <w:numId w:val="2"/>
              </w:numPr>
              <w:adjustRightInd w:val="0"/>
              <w:snapToGrid w:val="0"/>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6212E484">
            <w:pPr>
              <w:numPr>
                <w:ilvl w:val="0"/>
                <w:numId w:val="2"/>
              </w:numPr>
              <w:adjustRightInd w:val="0"/>
              <w:snapToGrid w:val="0"/>
              <w:spacing w:line="400" w:lineRule="exact"/>
              <w:rPr>
                <w:rFonts w:hint="eastAsia"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CF9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restart"/>
            <w:tcBorders>
              <w:tl2br w:val="nil"/>
              <w:tr2bl w:val="nil"/>
            </w:tcBorders>
            <w:noWrap/>
            <w:vAlign w:val="center"/>
          </w:tcPr>
          <w:p w14:paraId="40188309">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l2br w:val="nil"/>
              <w:tr2bl w:val="nil"/>
            </w:tcBorders>
            <w:noWrap/>
            <w:vAlign w:val="center"/>
          </w:tcPr>
          <w:p w14:paraId="2451E50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l2br w:val="nil"/>
              <w:tr2bl w:val="nil"/>
            </w:tcBorders>
            <w:noWrap/>
            <w:vAlign w:val="center"/>
          </w:tcPr>
          <w:p w14:paraId="6C954976">
            <w:pPr>
              <w:adjustRightInd w:val="0"/>
              <w:snapToGrid w:val="0"/>
              <w:spacing w:line="400" w:lineRule="exact"/>
              <w:rPr>
                <w:rFonts w:hint="eastAsia" w:ascii="仿宋" w:hAnsi="仿宋" w:eastAsia="仿宋" w:cs="仿宋"/>
                <w:b/>
                <w:sz w:val="24"/>
                <w:highlight w:val="none"/>
              </w:rPr>
            </w:pPr>
            <w:r>
              <w:rPr>
                <w:rFonts w:hint="eastAsia" w:ascii="仿宋" w:hAnsi="仿宋" w:eastAsia="仿宋"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76C6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 w:hRule="atLeast"/>
        </w:trPr>
        <w:tc>
          <w:tcPr>
            <w:tcW w:w="629" w:type="dxa"/>
            <w:vMerge w:val="continue"/>
            <w:tcBorders>
              <w:tl2br w:val="nil"/>
              <w:tr2bl w:val="nil"/>
            </w:tcBorders>
            <w:noWrap/>
            <w:vAlign w:val="center"/>
          </w:tcPr>
          <w:p w14:paraId="7D4AB046">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2F253C88">
            <w:pPr>
              <w:adjustRightInd w:val="0"/>
              <w:snapToGrid w:val="0"/>
              <w:spacing w:line="400" w:lineRule="exact"/>
              <w:ind w:firstLine="482" w:firstLineChars="200"/>
              <w:rPr>
                <w:rFonts w:hint="eastAsia" w:ascii="仿宋" w:hAnsi="仿宋" w:eastAsia="仿宋" w:cs="仿宋"/>
                <w:b/>
                <w:sz w:val="24"/>
                <w:highlight w:val="none"/>
              </w:rPr>
            </w:pPr>
          </w:p>
        </w:tc>
        <w:tc>
          <w:tcPr>
            <w:tcW w:w="6095" w:type="dxa"/>
            <w:tcBorders>
              <w:tl2br w:val="nil"/>
              <w:tr2bl w:val="nil"/>
            </w:tcBorders>
            <w:noWrap/>
            <w:vAlign w:val="center"/>
          </w:tcPr>
          <w:p w14:paraId="5FFC3883">
            <w:pPr>
              <w:adjustRightInd w:val="0"/>
              <w:snapToGrid w:val="0"/>
              <w:spacing w:line="400" w:lineRule="exact"/>
              <w:ind w:firstLine="480" w:firstLineChars="200"/>
              <w:rPr>
                <w:rFonts w:hint="eastAsia" w:ascii="仿宋" w:hAnsi="仿宋" w:eastAsia="仿宋" w:cs="仿宋"/>
                <w:b/>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FF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629" w:type="dxa"/>
            <w:tcBorders>
              <w:tl2br w:val="nil"/>
              <w:tr2bl w:val="nil"/>
            </w:tcBorders>
            <w:noWrap/>
            <w:vAlign w:val="center"/>
          </w:tcPr>
          <w:p w14:paraId="195BDE35">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l2br w:val="nil"/>
              <w:tr2bl w:val="nil"/>
            </w:tcBorders>
            <w:noWrap/>
            <w:vAlign w:val="center"/>
          </w:tcPr>
          <w:p w14:paraId="3F5005FF">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l2br w:val="nil"/>
              <w:tr2bl w:val="nil"/>
            </w:tcBorders>
            <w:noWrap/>
            <w:vAlign w:val="center"/>
          </w:tcPr>
          <w:p w14:paraId="5A1E5355">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u w:val="single"/>
              </w:rPr>
              <w:t xml:space="preserve"> 杭州市文三路90号东部软件园一号楼319室  </w:t>
            </w:r>
            <w:r>
              <w:rPr>
                <w:rFonts w:hint="eastAsia" w:ascii="仿宋" w:hAnsi="仿宋" w:eastAsia="仿宋" w:cs="仿宋"/>
                <w:kern w:val="28"/>
                <w:sz w:val="24"/>
                <w:szCs w:val="24"/>
                <w:highlight w:val="none"/>
              </w:rPr>
              <w:t>；</w:t>
            </w:r>
          </w:p>
          <w:p w14:paraId="5118A34A">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b/>
                <w:bCs/>
                <w:kern w:val="28"/>
                <w:sz w:val="24"/>
                <w:szCs w:val="24"/>
                <w:highlight w:val="none"/>
              </w:rPr>
              <w:t>因开标地点与代理机构办公地点不在同一处，备份文件如开标当天送出或可以收到的，</w:t>
            </w:r>
            <w:r>
              <w:rPr>
                <w:rFonts w:hint="eastAsia" w:ascii="仿宋" w:hAnsi="仿宋" w:eastAsia="仿宋" w:cs="仿宋"/>
                <w:kern w:val="28"/>
                <w:sz w:val="24"/>
                <w:szCs w:val="24"/>
                <w:highlight w:val="none"/>
              </w:rPr>
              <w:t>请在投标截止时间之前，送至</w:t>
            </w:r>
            <w:r>
              <w:rPr>
                <w:rFonts w:hint="eastAsia" w:ascii="仿宋" w:hAnsi="仿宋" w:eastAsia="仿宋" w:cs="仿宋"/>
                <w:sz w:val="24"/>
                <w:highlight w:val="none"/>
                <w:u w:val="single"/>
              </w:rPr>
              <w:t>杭州市钱塘区金沙大道600号东楼6楼</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rPr>
              <w:t>号开标室</w:t>
            </w:r>
            <w:r>
              <w:rPr>
                <w:rFonts w:hint="eastAsia" w:ascii="仿宋" w:hAnsi="仿宋" w:eastAsia="仿宋" w:cs="仿宋"/>
                <w:sz w:val="24"/>
                <w:highlight w:val="none"/>
              </w:rPr>
              <w:t>。</w:t>
            </w:r>
          </w:p>
          <w:p w14:paraId="2A39D3F5">
            <w:pPr>
              <w:pStyle w:val="24"/>
              <w:adjustRightInd w:val="0"/>
              <w:snapToGrid w:val="0"/>
              <w:spacing w:line="400" w:lineRule="exact"/>
              <w:rPr>
                <w:rFonts w:hint="eastAsia" w:ascii="仿宋" w:hAnsi="仿宋" w:eastAsia="仿宋" w:cs="仿宋"/>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 xml:space="preserve"> 唐稳，13777483506 </w:t>
            </w:r>
            <w:r>
              <w:rPr>
                <w:rFonts w:hint="eastAsia" w:ascii="仿宋" w:hAnsi="仿宋" w:eastAsia="仿宋" w:cs="仿宋"/>
                <w:sz w:val="24"/>
                <w:szCs w:val="24"/>
                <w:highlight w:val="none"/>
              </w:rPr>
              <w:t>。</w:t>
            </w:r>
          </w:p>
          <w:p w14:paraId="28932DBF">
            <w:pPr>
              <w:pStyle w:val="24"/>
              <w:adjustRightInd w:val="0"/>
              <w:snapToGrid w:val="0"/>
              <w:spacing w:line="400" w:lineRule="exact"/>
              <w:rPr>
                <w:rFonts w:hint="eastAsia" w:ascii="仿宋" w:hAnsi="仿宋" w:eastAsia="仿宋" w:cs="仿宋"/>
                <w:b/>
                <w:kern w:val="0"/>
                <w:sz w:val="24"/>
                <w:highlight w:val="none"/>
                <w:lang w:val="zh-CN"/>
              </w:rPr>
            </w:pPr>
            <w:r>
              <w:rPr>
                <w:rFonts w:hint="eastAsia" w:ascii="仿宋" w:hAnsi="仿宋" w:eastAsia="仿宋" w:cs="仿宋"/>
                <w:b/>
                <w:sz w:val="24"/>
                <w:szCs w:val="24"/>
                <w:highlight w:val="none"/>
              </w:rPr>
              <w:t>采购人、采购机构不强制或变相强制投标人提交备份投标文件。</w:t>
            </w:r>
          </w:p>
        </w:tc>
      </w:tr>
      <w:tr w14:paraId="0277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rPr>
        <w:tc>
          <w:tcPr>
            <w:tcW w:w="629" w:type="dxa"/>
            <w:tcBorders>
              <w:tl2br w:val="nil"/>
              <w:tr2bl w:val="nil"/>
            </w:tcBorders>
            <w:noWrap/>
            <w:vAlign w:val="center"/>
          </w:tcPr>
          <w:p w14:paraId="0B53DD3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l2br w:val="nil"/>
              <w:tr2bl w:val="nil"/>
            </w:tcBorders>
            <w:noWrap/>
            <w:vAlign w:val="center"/>
          </w:tcPr>
          <w:p w14:paraId="49FE9819">
            <w:pPr>
              <w:adjustRightInd w:val="0"/>
              <w:snapToGrid w:val="0"/>
              <w:jc w:val="center"/>
              <w:rPr>
                <w:rFonts w:hint="eastAsia" w:ascii="仿宋" w:hAnsi="仿宋" w:eastAsia="仿宋" w:cs="仿宋"/>
                <w:b/>
                <w:sz w:val="24"/>
                <w:highlight w:val="none"/>
              </w:rPr>
            </w:pPr>
            <w:r>
              <w:rPr>
                <w:rFonts w:hint="eastAsia" w:ascii="仿宋" w:hAnsi="仿宋" w:eastAsia="仿宋" w:cs="仿宋"/>
                <w:sz w:val="24"/>
                <w:highlight w:val="none"/>
              </w:rPr>
              <w:t>采购代理服务费</w:t>
            </w:r>
          </w:p>
        </w:tc>
        <w:tc>
          <w:tcPr>
            <w:tcW w:w="6095" w:type="dxa"/>
            <w:tcBorders>
              <w:tl2br w:val="nil"/>
              <w:tr2bl w:val="nil"/>
            </w:tcBorders>
            <w:noWrap/>
            <w:vAlign w:val="center"/>
          </w:tcPr>
          <w:p w14:paraId="2B59213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1.本项目的采购代理费由</w:t>
            </w:r>
            <w:r>
              <w:rPr>
                <w:rFonts w:hint="eastAsia" w:ascii="仿宋" w:hAnsi="仿宋" w:eastAsia="仿宋" w:cs="仿宋"/>
                <w:sz w:val="24"/>
                <w:highlight w:val="none"/>
                <w:lang w:val="en-US" w:eastAsia="zh-CN"/>
              </w:rPr>
              <w:t>各标项</w:t>
            </w:r>
            <w:r>
              <w:rPr>
                <w:rFonts w:hint="eastAsia" w:ascii="仿宋" w:hAnsi="仿宋" w:eastAsia="仿宋" w:cs="仿宋"/>
                <w:sz w:val="24"/>
                <w:highlight w:val="none"/>
              </w:rPr>
              <w:t>中标人支付；以中标金额为计费基准，计费标准按《计价格</w:t>
            </w:r>
            <w:r>
              <w:rPr>
                <w:rFonts w:hint="eastAsia" w:ascii="仿宋" w:hAnsi="仿宋" w:eastAsia="仿宋" w:cs="仿宋"/>
                <w:sz w:val="24"/>
                <w:highlight w:val="none"/>
                <w:lang w:eastAsia="zh-CN"/>
              </w:rPr>
              <w:t>〔2002〕</w:t>
            </w:r>
            <w:r>
              <w:rPr>
                <w:rFonts w:hint="eastAsia" w:ascii="仿宋" w:hAnsi="仿宋" w:eastAsia="仿宋" w:cs="仿宋"/>
                <w:sz w:val="24"/>
                <w:highlight w:val="none"/>
              </w:rPr>
              <w:t>1980号》及《发改办价格</w:t>
            </w:r>
            <w:r>
              <w:rPr>
                <w:rFonts w:hint="eastAsia" w:ascii="仿宋" w:hAnsi="仿宋" w:eastAsia="仿宋" w:cs="仿宋"/>
                <w:sz w:val="24"/>
                <w:highlight w:val="none"/>
                <w:lang w:eastAsia="zh-CN"/>
              </w:rPr>
              <w:t>〔2003〕</w:t>
            </w:r>
            <w:r>
              <w:rPr>
                <w:rFonts w:hint="eastAsia" w:ascii="仿宋" w:hAnsi="仿宋" w:eastAsia="仿宋" w:cs="仿宋"/>
                <w:sz w:val="24"/>
                <w:highlight w:val="none"/>
              </w:rPr>
              <w:t>857号》文件中服务类收费标准计算；服务类收费标准如下（差额</w:t>
            </w:r>
            <w:r>
              <w:rPr>
                <w:rFonts w:hint="eastAsia" w:ascii="仿宋" w:hAnsi="仿宋" w:eastAsia="仿宋" w:cs="仿宋"/>
                <w:sz w:val="24"/>
                <w:highlight w:val="none"/>
                <w:lang w:val="en-US" w:eastAsia="zh-CN"/>
              </w:rPr>
              <w:t>累进</w:t>
            </w:r>
            <w:r>
              <w:rPr>
                <w:rFonts w:hint="eastAsia" w:ascii="仿宋" w:hAnsi="仿宋" w:eastAsia="仿宋" w:cs="仿宋"/>
                <w:sz w:val="24"/>
                <w:highlight w:val="none"/>
              </w:rPr>
              <w:t>法）：</w:t>
            </w:r>
          </w:p>
          <w:tbl>
            <w:tblPr>
              <w:tblStyle w:val="45"/>
              <w:tblW w:w="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612"/>
            </w:tblGrid>
            <w:tr w14:paraId="5EB9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18" w:type="dxa"/>
                </w:tcPr>
                <w:p w14:paraId="50F445D9">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中标金额</w:t>
                  </w:r>
                </w:p>
              </w:tc>
              <w:tc>
                <w:tcPr>
                  <w:tcW w:w="1612" w:type="dxa"/>
                </w:tcPr>
                <w:p w14:paraId="50342C0E">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标准费率</w:t>
                  </w:r>
                </w:p>
              </w:tc>
            </w:tr>
            <w:tr w14:paraId="56CF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18" w:type="dxa"/>
                </w:tcPr>
                <w:p w14:paraId="16C849C6">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≤100万元</w:t>
                  </w:r>
                </w:p>
              </w:tc>
              <w:tc>
                <w:tcPr>
                  <w:tcW w:w="1612" w:type="dxa"/>
                </w:tcPr>
                <w:p w14:paraId="273CAF60">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1.5%</w:t>
                  </w:r>
                </w:p>
              </w:tc>
            </w:tr>
            <w:tr w14:paraId="4476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18" w:type="dxa"/>
                </w:tcPr>
                <w:p w14:paraId="02BEE286">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100-500</w:t>
                  </w:r>
                </w:p>
              </w:tc>
              <w:tc>
                <w:tcPr>
                  <w:tcW w:w="1612" w:type="dxa"/>
                </w:tcPr>
                <w:p w14:paraId="07AB6CAB">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0.8%</w:t>
                  </w:r>
                </w:p>
              </w:tc>
            </w:tr>
            <w:tr w14:paraId="1DE0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18" w:type="dxa"/>
                </w:tcPr>
                <w:p w14:paraId="095C3F7F">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500-1000</w:t>
                  </w:r>
                </w:p>
              </w:tc>
              <w:tc>
                <w:tcPr>
                  <w:tcW w:w="1612" w:type="dxa"/>
                </w:tcPr>
                <w:p w14:paraId="2958B9E8">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0.45%</w:t>
                  </w:r>
                </w:p>
              </w:tc>
            </w:tr>
          </w:tbl>
          <w:p w14:paraId="433413DA">
            <w:pPr>
              <w:pStyle w:val="24"/>
              <w:adjustRightInd w:val="0"/>
              <w:snapToGrid w:val="0"/>
              <w:rPr>
                <w:rFonts w:hint="eastAsia" w:ascii="仿宋" w:hAnsi="仿宋" w:eastAsia="仿宋" w:cs="仿宋"/>
                <w:sz w:val="24"/>
                <w:highlight w:val="none"/>
              </w:rPr>
            </w:pPr>
          </w:p>
          <w:p w14:paraId="0CDFDF1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2.结算方式及时间为：在结果公告发布5个工作日内由中标人一次性向采购代理机构付清。</w:t>
            </w:r>
          </w:p>
          <w:p w14:paraId="13666B5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3A35194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2C73576B">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6687D6A1">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60C1E290">
            <w:pPr>
              <w:pStyle w:val="24"/>
              <w:adjustRightInd w:val="0"/>
              <w:snapToGrid w:val="0"/>
              <w:rPr>
                <w:rFonts w:hint="eastAsia" w:ascii="仿宋" w:hAnsi="仿宋" w:eastAsia="仿宋" w:cs="仿宋"/>
                <w:highlight w:val="none"/>
              </w:rPr>
            </w:pPr>
            <w:r>
              <w:rPr>
                <w:rFonts w:hint="eastAsia" w:ascii="仿宋" w:hAnsi="仿宋" w:eastAsia="仿宋" w:cs="仿宋"/>
                <w:sz w:val="24"/>
                <w:highlight w:val="none"/>
              </w:rPr>
              <w:t>4、中标、成交供应商放弃中标、成交资格导致重新采购的，应当承担支付代理费和专家评审费等费用在内的赔偿责任。</w:t>
            </w:r>
          </w:p>
        </w:tc>
      </w:tr>
      <w:tr w14:paraId="4A64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restart"/>
            <w:tcBorders>
              <w:tl2br w:val="nil"/>
              <w:tr2bl w:val="nil"/>
            </w:tcBorders>
            <w:noWrap/>
            <w:vAlign w:val="center"/>
          </w:tcPr>
          <w:p w14:paraId="6FDDCA01">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p w14:paraId="1F3D5F84">
            <w:pPr>
              <w:adjustRightInd w:val="0"/>
              <w:snapToGrid w:val="0"/>
              <w:spacing w:line="400" w:lineRule="exact"/>
              <w:jc w:val="center"/>
              <w:rPr>
                <w:rFonts w:hint="eastAsia" w:ascii="仿宋" w:hAnsi="仿宋" w:eastAsia="仿宋" w:cs="仿宋"/>
                <w:sz w:val="24"/>
                <w:highlight w:val="none"/>
              </w:rPr>
            </w:pPr>
          </w:p>
        </w:tc>
        <w:tc>
          <w:tcPr>
            <w:tcW w:w="1843" w:type="dxa"/>
            <w:vMerge w:val="restart"/>
            <w:tcBorders>
              <w:tl2br w:val="nil"/>
              <w:tr2bl w:val="nil"/>
            </w:tcBorders>
            <w:noWrap/>
            <w:vAlign w:val="center"/>
          </w:tcPr>
          <w:p w14:paraId="2594FA6A">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联合体投标说明</w:t>
            </w:r>
          </w:p>
          <w:p w14:paraId="7C4DA9BC">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02CB526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以联合体形式参与投标的，资格文件中：</w:t>
            </w:r>
          </w:p>
          <w:p w14:paraId="66201AB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1、联合体各方均应提供“符合参加采购活动应当具备的一般条件的承诺函”，否则资格审查不通过。（承诺函格式见采购文件第六部分）</w:t>
            </w:r>
          </w:p>
          <w:p w14:paraId="306E1D1C">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t>2、资格文件中必须提供联合协议，否则资格审查不通过。（联合协议格式见采购文件第六部分）</w:t>
            </w:r>
          </w:p>
        </w:tc>
      </w:tr>
      <w:tr w14:paraId="2ADB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190AE358">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08729895">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372AE431">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34AC5A62">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联合体投标的，按联合体协议约定的分工内容出具相应的业绩证明材料。承担相同工作的各方或工作内容存在部</w:t>
            </w:r>
            <w:r>
              <w:rPr>
                <w:rFonts w:hint="eastAsia" w:ascii="仿宋" w:hAnsi="仿宋" w:eastAsia="仿宋" w:cs="仿宋"/>
                <w:kern w:val="28"/>
                <w:sz w:val="24"/>
                <w:szCs w:val="24"/>
                <w:highlight w:val="none"/>
              </w:rPr>
              <w:t xml:space="preserve"> 分相同的，业绩数量以提供材料较少的一方为准。</w:t>
            </w:r>
          </w:p>
          <w:p w14:paraId="3CFD3057">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联合体投标的，由联合体牵头方出具相应的业绩证明材料。</w:t>
            </w:r>
          </w:p>
          <w:p w14:paraId="081D77FF">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w:t>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110D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trPr>
        <w:tc>
          <w:tcPr>
            <w:tcW w:w="629" w:type="dxa"/>
            <w:vMerge w:val="continue"/>
            <w:tcBorders>
              <w:tl2br w:val="nil"/>
              <w:tr2bl w:val="nil"/>
            </w:tcBorders>
            <w:noWrap/>
            <w:vAlign w:val="center"/>
          </w:tcPr>
          <w:p w14:paraId="56A72ED9">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l2br w:val="nil"/>
              <w:tr2bl w:val="nil"/>
            </w:tcBorders>
            <w:noWrap/>
            <w:vAlign w:val="center"/>
          </w:tcPr>
          <w:p w14:paraId="4DE9B385">
            <w:pPr>
              <w:adjustRightInd w:val="0"/>
              <w:snapToGrid w:val="0"/>
              <w:jc w:val="center"/>
              <w:rPr>
                <w:rFonts w:hint="eastAsia" w:ascii="仿宋" w:hAnsi="仿宋" w:eastAsia="仿宋" w:cs="仿宋"/>
                <w:sz w:val="24"/>
                <w:highlight w:val="none"/>
              </w:rPr>
            </w:pPr>
          </w:p>
        </w:tc>
        <w:tc>
          <w:tcPr>
            <w:tcW w:w="6095" w:type="dxa"/>
            <w:tcBorders>
              <w:tl2br w:val="nil"/>
              <w:tr2bl w:val="nil"/>
            </w:tcBorders>
            <w:noWrap/>
            <w:vAlign w:val="center"/>
          </w:tcPr>
          <w:p w14:paraId="1E09304E">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2BB93700">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联合体投标的，联合体各方均需按招标文件第四部分评标标准要求提供资信证明文件，否则视为不符合相关要求。</w:t>
            </w:r>
          </w:p>
          <w:p w14:paraId="0DC7D8D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联合体投标的，联合体牵头方或者联合体成员根据分工按招标文件第四部分评标标准要求提供资信证明文件的，视为符合了相关要求。</w:t>
            </w:r>
          </w:p>
          <w:p w14:paraId="18D0EFF4">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t>☐</w:t>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        </w:t>
            </w:r>
          </w:p>
        </w:tc>
      </w:tr>
      <w:tr w14:paraId="044D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5C35912B">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843" w:type="dxa"/>
            <w:tcBorders>
              <w:tl2br w:val="nil"/>
              <w:tr2bl w:val="nil"/>
            </w:tcBorders>
            <w:noWrap/>
            <w:vAlign w:val="center"/>
          </w:tcPr>
          <w:p w14:paraId="12D479A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钱塘区公共资源交易领域突出问题专项整治线索征集公告</w:t>
            </w:r>
          </w:p>
        </w:tc>
        <w:tc>
          <w:tcPr>
            <w:tcW w:w="6095" w:type="dxa"/>
            <w:tcBorders>
              <w:tl2br w:val="nil"/>
              <w:tr2bl w:val="nil"/>
            </w:tcBorders>
            <w:noWrap/>
            <w:vAlign w:val="center"/>
          </w:tcPr>
          <w:p w14:paraId="3CA923F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为进一步贯彻落实省市区“招投标领域专项整治与提升”工作要求，维护公平竞争的市场环境，现开设公共资源交易领域违法线索征集渠道，线索反馈联系方式如下：</w:t>
            </w:r>
          </w:p>
          <w:p w14:paraId="5B4C1415">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 xml:space="preserve">钱塘区财政局：ryp2001@163.com </w:t>
            </w:r>
          </w:p>
          <w:p w14:paraId="0E486644">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钱塘区公共资源交易管理办公室:qtqgzb@163.com</w:t>
            </w:r>
          </w:p>
        </w:tc>
      </w:tr>
      <w:tr w14:paraId="6535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17" w:hRule="atLeast"/>
        </w:trPr>
        <w:tc>
          <w:tcPr>
            <w:tcW w:w="629" w:type="dxa"/>
            <w:tcBorders>
              <w:tl2br w:val="nil"/>
              <w:tr2bl w:val="nil"/>
            </w:tcBorders>
            <w:noWrap/>
            <w:vAlign w:val="center"/>
          </w:tcPr>
          <w:p w14:paraId="56D36DBC">
            <w:pPr>
              <w:adjustRightInd w:val="0"/>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l2br w:val="nil"/>
              <w:tr2bl w:val="nil"/>
            </w:tcBorders>
            <w:noWrap/>
            <w:vAlign w:val="center"/>
          </w:tcPr>
          <w:p w14:paraId="5CAED06E">
            <w:pPr>
              <w:snapToGrid w:val="0"/>
              <w:spacing w:line="360" w:lineRule="auto"/>
              <w:jc w:val="center"/>
              <w:rPr>
                <w:rFonts w:hint="eastAsia" w:ascii="仿宋" w:hAnsi="仿宋" w:eastAsia="仿宋" w:cs="仿宋"/>
                <w:sz w:val="24"/>
                <w:highlight w:val="none"/>
              </w:rPr>
            </w:pPr>
            <w:r>
              <w:rPr>
                <w:rFonts w:hint="eastAsia" w:ascii="仿宋" w:hAnsi="仿宋" w:eastAsia="仿宋" w:cs="仿宋"/>
                <w:b/>
                <w:bCs/>
                <w:sz w:val="24"/>
                <w:highlight w:val="none"/>
                <w:lang w:val="en-US" w:eastAsia="zh-CN"/>
              </w:rPr>
              <w:t>材料审核</w:t>
            </w:r>
          </w:p>
        </w:tc>
        <w:tc>
          <w:tcPr>
            <w:tcW w:w="6095" w:type="dxa"/>
            <w:tcBorders>
              <w:tl2br w:val="nil"/>
              <w:tr2bl w:val="nil"/>
            </w:tcBorders>
            <w:noWrap/>
            <w:vAlign w:val="center"/>
          </w:tcPr>
          <w:p w14:paraId="210AD140">
            <w:pPr>
              <w:pStyle w:val="24"/>
              <w:snapToGrid w:val="0"/>
              <w:spacing w:line="400" w:lineRule="exact"/>
              <w:rPr>
                <w:rFonts w:hint="eastAsia" w:ascii="仿宋" w:hAnsi="仿宋" w:eastAsia="仿宋" w:cs="仿宋"/>
                <w:color w:val="FF0000"/>
                <w:kern w:val="28"/>
                <w:sz w:val="24"/>
                <w:szCs w:val="24"/>
                <w:highlight w:val="none"/>
                <w:lang w:eastAsia="zh-CN"/>
              </w:rPr>
            </w:pPr>
            <w:r>
              <w:rPr>
                <w:rFonts w:hint="eastAsia" w:ascii="仿宋" w:hAnsi="仿宋" w:eastAsia="仿宋" w:cs="仿宋"/>
                <w:color w:val="FF0000"/>
                <w:kern w:val="28"/>
                <w:sz w:val="24"/>
                <w:szCs w:val="24"/>
                <w:highlight w:val="none"/>
                <w:lang w:val="en-US" w:eastAsia="zh-CN"/>
              </w:rPr>
              <w:t>根据《</w:t>
            </w:r>
            <w:r>
              <w:rPr>
                <w:rFonts w:hint="eastAsia" w:ascii="仿宋" w:hAnsi="仿宋" w:eastAsia="仿宋" w:cs="仿宋"/>
                <w:color w:val="FF0000"/>
                <w:kern w:val="28"/>
                <w:sz w:val="24"/>
                <w:szCs w:val="24"/>
                <w:highlight w:val="none"/>
              </w:rPr>
              <w:t>浙江省财政厅关于进一步规范政府采购秩序促进公平竞争的通知</w:t>
            </w:r>
            <w:r>
              <w:rPr>
                <w:rFonts w:hint="eastAsia" w:ascii="仿宋" w:hAnsi="仿宋" w:eastAsia="仿宋" w:cs="仿宋"/>
                <w:color w:val="FF0000"/>
                <w:kern w:val="28"/>
                <w:sz w:val="24"/>
                <w:szCs w:val="24"/>
                <w:highlight w:val="none"/>
                <w:lang w:val="en-US" w:eastAsia="zh-CN"/>
              </w:rPr>
              <w:t>》（</w:t>
            </w:r>
            <w:r>
              <w:rPr>
                <w:rFonts w:hint="eastAsia" w:ascii="仿宋" w:hAnsi="仿宋" w:eastAsia="仿宋" w:cs="仿宋"/>
                <w:color w:val="FF0000"/>
                <w:kern w:val="28"/>
                <w:sz w:val="24"/>
                <w:szCs w:val="24"/>
                <w:highlight w:val="none"/>
              </w:rPr>
              <w:t>浙财采监〔2025〕2号</w:t>
            </w:r>
            <w:r>
              <w:rPr>
                <w:rFonts w:hint="eastAsia" w:ascii="仿宋" w:hAnsi="仿宋" w:eastAsia="仿宋" w:cs="仿宋"/>
                <w:color w:val="FF0000"/>
                <w:kern w:val="28"/>
                <w:sz w:val="24"/>
                <w:szCs w:val="24"/>
                <w:highlight w:val="none"/>
                <w:lang w:val="en-US" w:eastAsia="zh-CN"/>
              </w:rPr>
              <w:t>）相关规定，</w:t>
            </w:r>
            <w:r>
              <w:rPr>
                <w:rFonts w:hint="eastAsia" w:ascii="仿宋" w:hAnsi="仿宋" w:eastAsia="仿宋" w:cs="仿宋"/>
                <w:b/>
                <w:bCs/>
                <w:color w:val="FF0000"/>
                <w:kern w:val="28"/>
                <w:sz w:val="24"/>
                <w:szCs w:val="24"/>
                <w:highlight w:val="none"/>
              </w:rPr>
              <w:t>评审结束后、合同签订前，采购人、采购代理机构</w:t>
            </w:r>
            <w:r>
              <w:rPr>
                <w:rFonts w:hint="eastAsia" w:ascii="仿宋" w:hAnsi="仿宋" w:eastAsia="仿宋" w:cs="仿宋"/>
                <w:b/>
                <w:bCs/>
                <w:color w:val="FF0000"/>
                <w:kern w:val="28"/>
                <w:sz w:val="24"/>
                <w:szCs w:val="24"/>
                <w:highlight w:val="none"/>
                <w:lang w:val="en-US" w:eastAsia="zh-CN"/>
              </w:rPr>
              <w:t>将</w:t>
            </w:r>
            <w:r>
              <w:rPr>
                <w:rFonts w:hint="eastAsia" w:ascii="仿宋" w:hAnsi="仿宋" w:eastAsia="仿宋" w:cs="仿宋"/>
                <w:b/>
                <w:bCs/>
                <w:color w:val="FF0000"/>
                <w:kern w:val="28"/>
                <w:sz w:val="24"/>
                <w:szCs w:val="24"/>
                <w:highlight w:val="none"/>
              </w:rPr>
              <w:t>通过网站查询、原件核对等方式对中标（成交）供应商在投标（响应）文件中涉及客观分评审内容的检测报告、认证证书等资料的真实性进行复核，复核情况详细记录，并纳入采购档案</w:t>
            </w:r>
            <w:r>
              <w:rPr>
                <w:rFonts w:hint="eastAsia" w:ascii="仿宋" w:hAnsi="仿宋" w:eastAsia="仿宋" w:cs="仿宋"/>
                <w:color w:val="FF0000"/>
                <w:kern w:val="28"/>
                <w:sz w:val="24"/>
                <w:szCs w:val="24"/>
                <w:highlight w:val="none"/>
                <w:lang w:eastAsia="zh-CN"/>
              </w:rPr>
              <w:t>。</w:t>
            </w:r>
          </w:p>
          <w:p w14:paraId="6067ECBC">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lang w:val="en-US" w:eastAsia="zh-CN"/>
              </w:rPr>
              <w:t>如</w:t>
            </w:r>
            <w:r>
              <w:rPr>
                <w:rFonts w:hint="eastAsia" w:ascii="仿宋" w:hAnsi="仿宋" w:eastAsia="仿宋" w:cs="仿宋"/>
                <w:kern w:val="28"/>
                <w:sz w:val="24"/>
                <w:szCs w:val="24"/>
                <w:highlight w:val="none"/>
              </w:rPr>
              <w:t>采购人</w:t>
            </w:r>
            <w:r>
              <w:rPr>
                <w:rFonts w:hint="eastAsia" w:ascii="仿宋" w:hAnsi="仿宋" w:eastAsia="仿宋" w:cs="仿宋"/>
                <w:kern w:val="28"/>
                <w:sz w:val="24"/>
                <w:szCs w:val="24"/>
                <w:highlight w:val="none"/>
                <w:lang w:val="en-US" w:eastAsia="zh-CN"/>
              </w:rPr>
              <w:t>或</w:t>
            </w:r>
            <w:r>
              <w:rPr>
                <w:rFonts w:hint="eastAsia" w:ascii="仿宋" w:hAnsi="仿宋" w:eastAsia="仿宋" w:cs="仿宋"/>
                <w:kern w:val="28"/>
                <w:sz w:val="24"/>
                <w:szCs w:val="24"/>
                <w:highlight w:val="none"/>
              </w:rPr>
              <w:t>采购代理机构</w:t>
            </w:r>
            <w:r>
              <w:rPr>
                <w:rFonts w:hint="eastAsia" w:ascii="仿宋" w:hAnsi="仿宋" w:eastAsia="仿宋" w:cs="仿宋"/>
                <w:kern w:val="28"/>
                <w:sz w:val="24"/>
                <w:szCs w:val="24"/>
                <w:highlight w:val="none"/>
                <w:lang w:val="en-US" w:eastAsia="zh-CN"/>
              </w:rPr>
              <w:t>向供应商要求提交</w:t>
            </w:r>
            <w:r>
              <w:rPr>
                <w:rFonts w:hint="eastAsia" w:ascii="仿宋" w:hAnsi="仿宋" w:eastAsia="仿宋" w:cs="仿宋"/>
                <w:kern w:val="28"/>
                <w:sz w:val="24"/>
                <w:szCs w:val="24"/>
                <w:highlight w:val="none"/>
              </w:rPr>
              <w:t>涉及客观分评审内容</w:t>
            </w:r>
            <w:r>
              <w:rPr>
                <w:rFonts w:hint="eastAsia" w:ascii="仿宋" w:hAnsi="仿宋" w:eastAsia="仿宋" w:cs="仿宋"/>
                <w:kern w:val="28"/>
                <w:sz w:val="24"/>
                <w:szCs w:val="24"/>
                <w:highlight w:val="none"/>
                <w:lang w:val="en-US" w:eastAsia="zh-CN"/>
              </w:rPr>
              <w:t>的资料时，供应商务必按要求提交相关材料。</w:t>
            </w:r>
          </w:p>
        </w:tc>
      </w:tr>
    </w:tbl>
    <w:p w14:paraId="0E016C37">
      <w:pPr>
        <w:widowControl/>
        <w:adjustRightInd w:val="0"/>
        <w:snapToGrid w:val="0"/>
        <w:spacing w:line="360" w:lineRule="auto"/>
        <w:ind w:firstLine="420" w:firstLineChars="200"/>
        <w:jc w:val="left"/>
        <w:rPr>
          <w:rFonts w:hint="eastAsia" w:ascii="仿宋" w:hAnsi="仿宋" w:eastAsia="仿宋" w:cs="仿宋"/>
          <w:kern w:val="0"/>
          <w:szCs w:val="21"/>
          <w:highlight w:val="none"/>
        </w:rPr>
      </w:pPr>
    </w:p>
    <w:p w14:paraId="5A543C42">
      <w:pPr>
        <w:rPr>
          <w:rFonts w:hint="eastAsia" w:ascii="仿宋" w:hAnsi="仿宋" w:eastAsia="仿宋" w:cs="仿宋"/>
          <w:szCs w:val="21"/>
          <w:highlight w:val="none"/>
        </w:rPr>
      </w:pPr>
    </w:p>
    <w:p w14:paraId="05EBF9B8">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注：以上内容如有变化将另行书面通知。如通知其中某一内容发生变化，其余未提及的将不作变动。</w:t>
      </w:r>
      <w:bookmarkStart w:id="6" w:name="_Toc251566649"/>
      <w:bookmarkStart w:id="7" w:name="_Toc240450076"/>
    </w:p>
    <w:p w14:paraId="6166ABAB">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szCs w:val="21"/>
          <w:highlight w:val="none"/>
        </w:rPr>
        <w:br w:type="page"/>
      </w:r>
      <w:bookmarkStart w:id="8" w:name="_Toc2187"/>
      <w:bookmarkStart w:id="9" w:name="_Toc28292"/>
      <w:r>
        <w:rPr>
          <w:rFonts w:hint="eastAsia" w:ascii="仿宋" w:hAnsi="仿宋" w:eastAsia="仿宋" w:cs="仿宋"/>
          <w:b/>
          <w:sz w:val="30"/>
          <w:szCs w:val="30"/>
          <w:highlight w:val="none"/>
        </w:rPr>
        <w:t>第二部分  投标须知</w:t>
      </w:r>
      <w:bookmarkEnd w:id="6"/>
      <w:bookmarkEnd w:id="7"/>
      <w:bookmarkEnd w:id="8"/>
      <w:bookmarkEnd w:id="9"/>
    </w:p>
    <w:p w14:paraId="7A97FC62">
      <w:pPr>
        <w:spacing w:line="360" w:lineRule="auto"/>
        <w:jc w:val="center"/>
        <w:outlineLvl w:val="1"/>
        <w:rPr>
          <w:rFonts w:hint="eastAsia" w:ascii="仿宋" w:hAnsi="仿宋" w:eastAsia="仿宋" w:cs="仿宋"/>
          <w:b/>
          <w:sz w:val="32"/>
          <w:szCs w:val="20"/>
          <w:highlight w:val="none"/>
        </w:rPr>
      </w:pPr>
      <w:bookmarkStart w:id="10" w:name="_Toc3612"/>
      <w:bookmarkStart w:id="11" w:name="_Toc29733"/>
      <w:bookmarkStart w:id="12" w:name="_Toc5875"/>
      <w:r>
        <w:rPr>
          <w:rFonts w:hint="eastAsia" w:ascii="仿宋" w:hAnsi="仿宋" w:eastAsia="仿宋" w:cs="仿宋"/>
          <w:b/>
          <w:sz w:val="32"/>
          <w:szCs w:val="20"/>
          <w:highlight w:val="none"/>
        </w:rPr>
        <w:t>一、总则</w:t>
      </w:r>
      <w:bookmarkEnd w:id="10"/>
      <w:bookmarkEnd w:id="11"/>
      <w:bookmarkEnd w:id="12"/>
    </w:p>
    <w:p w14:paraId="6936B04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73200561">
      <w:pPr>
        <w:snapToGrid w:val="0"/>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640BBEB6">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定义</w:t>
      </w:r>
    </w:p>
    <w:p w14:paraId="619E53D2">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“采购人”系指招标公告中载明的本项目的采购人。</w:t>
      </w:r>
    </w:p>
    <w:p w14:paraId="6CED8DB0">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“采购代理机构”系指招标公告中载明的本项目的采购代理机构。</w:t>
      </w:r>
    </w:p>
    <w:p w14:paraId="674B26D5">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“投标人”系指响应招标、参加投标竞争的法人、其他组织或者自然人。</w:t>
      </w:r>
    </w:p>
    <w:p w14:paraId="33CC413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0419C966">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B195B9">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“电子交易平台”是指本项目政府采购活动所依托的政府采购云平台（https://www.zcygov.cn/）。</w:t>
      </w:r>
    </w:p>
    <w:p w14:paraId="21D037B0">
      <w:pPr>
        <w:numPr>
          <w:ilvl w:val="1"/>
          <w:numId w:val="3"/>
        </w:numPr>
        <w:spacing w:line="360" w:lineRule="auto"/>
        <w:rPr>
          <w:rFonts w:hint="eastAsia" w:ascii="仿宋" w:hAnsi="仿宋" w:eastAsia="仿宋" w:cs="仿宋"/>
          <w:b/>
          <w:sz w:val="24"/>
          <w:highlight w:val="none"/>
        </w:rPr>
      </w:pPr>
      <w:r>
        <w:rPr>
          <w:rFonts w:hint="eastAsia" w:ascii="仿宋" w:hAnsi="仿宋" w:eastAsia="仿宋" w:cs="仿宋"/>
          <w:sz w:val="24"/>
          <w:highlight w:val="none"/>
        </w:rPr>
        <w:t>“▲” 系指实质性要求条款，“★”系关键技术指标，“</w:t>
      </w:r>
      <w:r>
        <w:rPr>
          <w:rFonts w:hint="eastAsia" w:ascii="仿宋" w:hAnsi="仿宋" w:eastAsia="仿宋" w:cs="仿宋"/>
          <w:kern w:val="28"/>
          <w:sz w:val="24"/>
          <w:highlight w:val="none"/>
        </w:rPr>
        <w:sym w:font="Wingdings" w:char="00FE"/>
      </w:r>
      <w:r>
        <w:rPr>
          <w:rFonts w:hint="eastAsia" w:ascii="仿宋" w:hAnsi="仿宋" w:eastAsia="仿宋" w:cs="仿宋"/>
          <w:sz w:val="24"/>
          <w:highlight w:val="none"/>
        </w:rPr>
        <w:t>” 系指适用本项目的要求，“</w:t>
      </w:r>
      <w:r>
        <w:rPr>
          <w:rFonts w:hint="eastAsia" w:ascii="仿宋" w:hAnsi="仿宋" w:eastAsia="仿宋" w:cs="仿宋"/>
          <w:sz w:val="24"/>
          <w:highlight w:val="none"/>
        </w:rPr>
        <w:t>☐</w:t>
      </w:r>
      <w:r>
        <w:rPr>
          <w:rFonts w:hint="eastAsia" w:ascii="仿宋" w:hAnsi="仿宋" w:eastAsia="仿宋" w:cs="仿宋"/>
          <w:sz w:val="24"/>
          <w:highlight w:val="none"/>
        </w:rPr>
        <w:t>”</w:t>
      </w:r>
      <w:r>
        <w:rPr>
          <w:rFonts w:hint="eastAsia" w:ascii="仿宋" w:hAnsi="仿宋" w:eastAsia="仿宋" w:cs="仿宋"/>
          <w:sz w:val="24"/>
          <w:highlight w:val="none"/>
        </w:rPr>
        <w:t xml:space="preserve"> 系指不适用本项目的要求。</w:t>
      </w:r>
    </w:p>
    <w:p w14:paraId="23A13CD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采购项目需要落实的政府采购政策</w:t>
      </w:r>
    </w:p>
    <w:p w14:paraId="12B62B77">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6F28C91">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支持绿色发展</w:t>
      </w:r>
    </w:p>
    <w:p w14:paraId="478EB1F1">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050D327">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21D9A3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6AC0EE3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981C06">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CE1DC6">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支持中小企业发展</w:t>
      </w:r>
    </w:p>
    <w:p w14:paraId="56579EBD">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8D9D99">
      <w:pPr>
        <w:spacing w:line="360" w:lineRule="auto"/>
        <w:ind w:firstLine="840" w:firstLineChars="35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1ABE802A">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F1C24A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280E482D">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highlight w:val="none"/>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4%</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15E6E13B">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符合《关于促进残疾人就业政府采购政策的通知》（财库〔2017〕141号）规定的条件并提供《残疾人福利性单位声明函》（附件1）的残疾人福利性单位视同小型、微型企业；</w:t>
      </w:r>
    </w:p>
    <w:p w14:paraId="11E2D769">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FED2B8F">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sz w:val="24"/>
          <w:highlight w:val="none"/>
        </w:rPr>
        <w:t>。</w:t>
      </w:r>
    </w:p>
    <w:p w14:paraId="488E3F3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中小企业享受扶持政策获得政府采购合同的，小微企业不得将合同分包给大中型企业，中型企业不得将合同分包给大型企业。</w:t>
      </w:r>
    </w:p>
    <w:p w14:paraId="09083F6A">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支持创新发展</w:t>
      </w:r>
    </w:p>
    <w:p w14:paraId="56C1C6C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采购人优先采购被认定为首台套产品和“制造精品”的自主创新产品。</w:t>
      </w:r>
    </w:p>
    <w:p w14:paraId="386F1D83">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2334E6">
      <w:pPr>
        <w:numPr>
          <w:ilvl w:val="2"/>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采购人应当贯彻落实知识产权保护相关法律法规，应当采购使用正版软件。</w:t>
      </w:r>
    </w:p>
    <w:p w14:paraId="5D16A290">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w:t>
      </w:r>
    </w:p>
    <w:p w14:paraId="661B56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16CEB15E">
      <w:pPr>
        <w:numPr>
          <w:ilvl w:val="1"/>
          <w:numId w:val="3"/>
        </w:numPr>
        <w:spacing w:line="360" w:lineRule="auto"/>
        <w:rPr>
          <w:rFonts w:hint="eastAsia" w:ascii="仿宋" w:hAnsi="仿宋" w:eastAsia="仿宋" w:cs="仿宋"/>
          <w:sz w:val="24"/>
          <w:highlight w:val="none"/>
        </w:rPr>
      </w:pPr>
      <w:r>
        <w:rPr>
          <w:rFonts w:hint="eastAsia" w:ascii="仿宋" w:hAnsi="仿宋" w:eastAsia="仿宋" w:cs="仿宋"/>
          <w:sz w:val="24"/>
          <w:highlight w:val="none"/>
        </w:rPr>
        <w:t>中小企业信用融资：为支持和促进中小企业发展，进一步发挥政府采购政策功能，</w:t>
      </w: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21311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询问、质疑、投诉、补偿救济</w:t>
      </w:r>
    </w:p>
    <w:p w14:paraId="16FA5D63">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EC7433">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供应商询问</w:t>
      </w:r>
    </w:p>
    <w:p w14:paraId="48B9449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B8ACF4">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供应商质疑</w:t>
      </w:r>
    </w:p>
    <w:p w14:paraId="5130DC7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提出质疑的供应商应当是参与所质疑项目采购活动的供应商。潜在供应商已依法获取其可质疑的招标文件的，可以对该文件提出质疑。</w:t>
      </w:r>
    </w:p>
    <w:p w14:paraId="3DE99E8D">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F06963">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对招标文件提出质疑的，质疑期限为供应商获得招标文件之日或者招标文件公告期限届满之日起计算。</w:t>
      </w:r>
    </w:p>
    <w:p w14:paraId="57D24267">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对采购过程提出质疑的，质疑期限为各采购程序环节结束之日起计算。</w:t>
      </w:r>
    </w:p>
    <w:p w14:paraId="57762345">
      <w:pPr>
        <w:numPr>
          <w:ilvl w:val="3"/>
          <w:numId w:val="3"/>
        </w:numPr>
        <w:tabs>
          <w:tab w:val="left" w:pos="210"/>
          <w:tab w:val="left" w:pos="1050"/>
        </w:tabs>
        <w:snapToGrid w:val="0"/>
        <w:spacing w:line="360" w:lineRule="auto"/>
        <w:ind w:left="1050" w:hanging="105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对采购结果提出质疑的，质疑期限自采购结果公告期限届满之日起计算。</w:t>
      </w:r>
    </w:p>
    <w:p w14:paraId="0A5424FB">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供应商提出质疑应当提交质疑函和必要的证明材料。质疑函应当包括下列内容：</w:t>
      </w:r>
    </w:p>
    <w:p w14:paraId="673EB49D">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供应商的姓名或者名称、地址、邮编、联系人及联系电话；</w:t>
      </w:r>
    </w:p>
    <w:p w14:paraId="42C90727">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质疑项目的名称、编号；</w:t>
      </w:r>
    </w:p>
    <w:p w14:paraId="3CC79372">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具体、明确的质疑事项和与质疑事项相关的请求；</w:t>
      </w:r>
    </w:p>
    <w:p w14:paraId="2A3AAC1A">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事实依据；</w:t>
      </w:r>
    </w:p>
    <w:p w14:paraId="74FDCE17">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必要的法律依据；</w:t>
      </w:r>
    </w:p>
    <w:p w14:paraId="66F212CF">
      <w:pPr>
        <w:numPr>
          <w:ilvl w:val="3"/>
          <w:numId w:val="3"/>
        </w:numPr>
        <w:tabs>
          <w:tab w:val="left" w:pos="210"/>
          <w:tab w:val="left" w:pos="1050"/>
        </w:tabs>
        <w:snapToGrid w:val="0"/>
        <w:spacing w:line="360" w:lineRule="auto"/>
        <w:ind w:hanging="21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提出质疑的日期。</w:t>
      </w:r>
    </w:p>
    <w:p w14:paraId="2E29C639">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07007A7">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质疑函范本及制作说明详见附件2。</w:t>
      </w:r>
    </w:p>
    <w:p w14:paraId="051E261C">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对同一采购程序环节的质疑，供应商须在法定质疑期内一次性提出。</w:t>
      </w:r>
    </w:p>
    <w:p w14:paraId="0C00D990">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采购人负责供应商质疑答复。采购人委托采购代理机构采购的，采购代理机构对委托授权范围内质疑事项作出答复。委托授权范围应当在采购代理协议中明确。</w:t>
      </w:r>
    </w:p>
    <w:p w14:paraId="1C3B2DC0">
      <w:pPr>
        <w:numPr>
          <w:ilvl w:val="2"/>
          <w:numId w:val="3"/>
        </w:numPr>
        <w:tabs>
          <w:tab w:val="left" w:pos="21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0CC44">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询问或者质疑事项可能影响采购结果的，采购人应当暂停签订合同，已经签订合同的，应当中止履行合同。</w:t>
      </w:r>
    </w:p>
    <w:p w14:paraId="446B9AE2">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w:t>
      </w:r>
    </w:p>
    <w:p w14:paraId="07672EF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2ED0AD99">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供应商投诉的事项不得超出已质疑事项的范围，基于质疑答复内容提出的投诉事项除外。</w:t>
      </w:r>
    </w:p>
    <w:p w14:paraId="1CCBBC1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供应商投诉应当有明确的请求和必要的证明材料。</w:t>
      </w:r>
    </w:p>
    <w:p w14:paraId="06B77457">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以联合体形式参加政府采购活动的，其投诉应当由组成联合体的所有供应商共同提出。</w:t>
      </w:r>
    </w:p>
    <w:p w14:paraId="485A8465">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政府采购项目投诉材料可寄送浙江省政府采购行政裁决服务中心（杭州），</w:t>
      </w:r>
      <w:r>
        <w:rPr>
          <w:rFonts w:hint="eastAsia" w:ascii="仿宋" w:hAnsi="仿宋" w:eastAsia="仿宋" w:cs="仿宋"/>
          <w:bCs/>
          <w:sz w:val="24"/>
          <w:highlight w:val="none"/>
          <w:lang w:val="en-US" w:eastAsia="zh-CN"/>
        </w:rPr>
        <w:t>联系方式见采购公告</w:t>
      </w:r>
      <w:r>
        <w:rPr>
          <w:rFonts w:hint="eastAsia" w:ascii="仿宋" w:hAnsi="仿宋" w:eastAsia="仿宋" w:cs="仿宋"/>
          <w:bCs/>
          <w:sz w:val="24"/>
          <w:highlight w:val="none"/>
          <w:lang w:val="zh-CN"/>
        </w:rPr>
        <w:t>。</w:t>
      </w:r>
    </w:p>
    <w:p w14:paraId="53C8E672">
      <w:pPr>
        <w:tabs>
          <w:tab w:val="left" w:pos="21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投诉书范本及制作说明详见附件3。</w:t>
      </w:r>
    </w:p>
    <w:p w14:paraId="51F1578A">
      <w:pPr>
        <w:numPr>
          <w:ilvl w:val="1"/>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补偿救济</w:t>
      </w:r>
    </w:p>
    <w:p w14:paraId="1E586C70">
      <w:pPr>
        <w:numPr>
          <w:ilvl w:val="2"/>
          <w:numId w:val="3"/>
        </w:numPr>
        <w:tabs>
          <w:tab w:val="left" w:pos="21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采购人因政策变化、规划调整而不履行政府采购合同的，供应商可依据《杭州市涉企补偿救济实施办法（试行）》向采购人提起补偿申请。</w:t>
      </w:r>
    </w:p>
    <w:p w14:paraId="0D0C2870">
      <w:pPr>
        <w:rPr>
          <w:rFonts w:hint="eastAsia" w:ascii="仿宋" w:hAnsi="仿宋" w:eastAsia="仿宋" w:cs="仿宋"/>
          <w:highlight w:val="none"/>
        </w:rPr>
      </w:pPr>
    </w:p>
    <w:p w14:paraId="5C89B87A">
      <w:pPr>
        <w:spacing w:line="360" w:lineRule="auto"/>
        <w:jc w:val="center"/>
        <w:outlineLvl w:val="1"/>
        <w:rPr>
          <w:rFonts w:hint="eastAsia" w:ascii="仿宋" w:hAnsi="仿宋" w:eastAsia="仿宋" w:cs="仿宋"/>
          <w:b/>
          <w:sz w:val="32"/>
          <w:szCs w:val="20"/>
          <w:highlight w:val="none"/>
        </w:rPr>
      </w:pPr>
      <w:bookmarkStart w:id="13" w:name="_Toc5240"/>
      <w:bookmarkStart w:id="14" w:name="_Toc28192"/>
      <w:bookmarkStart w:id="15" w:name="_Toc14473"/>
      <w:bookmarkStart w:id="16" w:name="_Toc30065"/>
      <w:bookmarkStart w:id="17" w:name="_Toc27887"/>
      <w:r>
        <w:rPr>
          <w:rFonts w:hint="eastAsia" w:ascii="仿宋" w:hAnsi="仿宋" w:eastAsia="仿宋" w:cs="仿宋"/>
          <w:b/>
          <w:sz w:val="32"/>
          <w:szCs w:val="20"/>
          <w:highlight w:val="none"/>
        </w:rPr>
        <w:t>二、招标文件的构成、澄清、修改</w:t>
      </w:r>
      <w:bookmarkEnd w:id="13"/>
      <w:bookmarkEnd w:id="14"/>
      <w:bookmarkEnd w:id="15"/>
      <w:bookmarkEnd w:id="16"/>
      <w:bookmarkEnd w:id="17"/>
    </w:p>
    <w:p w14:paraId="471E7804">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招标文件的构成</w:t>
      </w:r>
    </w:p>
    <w:p w14:paraId="1C1B20B2">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招标文件包括下列文件及附件：</w:t>
      </w:r>
    </w:p>
    <w:p w14:paraId="4973F38C">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招标公告；</w:t>
      </w:r>
    </w:p>
    <w:p w14:paraId="21A6B33C">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投标人须知；</w:t>
      </w:r>
    </w:p>
    <w:p w14:paraId="5082D988">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采购需求；</w:t>
      </w:r>
    </w:p>
    <w:p w14:paraId="12BB758B">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评标办法；</w:t>
      </w:r>
    </w:p>
    <w:p w14:paraId="24800052">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拟签订的合同文本；</w:t>
      </w:r>
    </w:p>
    <w:p w14:paraId="73209236">
      <w:pPr>
        <w:numPr>
          <w:ilvl w:val="2"/>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应提交的有关格式范例。</w:t>
      </w:r>
    </w:p>
    <w:p w14:paraId="271E7748">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与本项目有关的澄清或者修改的内容为招标文件的组成部分。</w:t>
      </w:r>
    </w:p>
    <w:p w14:paraId="255888A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招标文件的澄清、修改</w:t>
      </w:r>
    </w:p>
    <w:p w14:paraId="142B6595">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已获取招标文件的潜在投标人，若有问题需要澄清，应于投标截止时间前，以书面形式向采购代理机构提出。</w:t>
      </w:r>
    </w:p>
    <w:p w14:paraId="142BF0CE">
      <w:pPr>
        <w:numPr>
          <w:ilvl w:val="1"/>
          <w:numId w:val="3"/>
        </w:numPr>
        <w:tabs>
          <w:tab w:val="left" w:pos="21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FD224B">
      <w:pPr>
        <w:rPr>
          <w:rFonts w:hint="eastAsia" w:ascii="仿宋" w:hAnsi="仿宋" w:eastAsia="仿宋" w:cs="仿宋"/>
          <w:highlight w:val="none"/>
        </w:rPr>
      </w:pPr>
      <w:r>
        <w:rPr>
          <w:rFonts w:hint="eastAsia" w:ascii="仿宋" w:hAnsi="仿宋" w:eastAsia="仿宋" w:cs="仿宋"/>
          <w:highlight w:val="none"/>
        </w:rPr>
        <w:t xml:space="preserve">    </w:t>
      </w:r>
    </w:p>
    <w:p w14:paraId="7CC8FE29">
      <w:pPr>
        <w:spacing w:line="360" w:lineRule="auto"/>
        <w:jc w:val="center"/>
        <w:outlineLvl w:val="1"/>
        <w:rPr>
          <w:rFonts w:hint="eastAsia" w:ascii="仿宋" w:hAnsi="仿宋" w:eastAsia="仿宋" w:cs="仿宋"/>
          <w:b/>
          <w:sz w:val="30"/>
          <w:szCs w:val="20"/>
          <w:highlight w:val="none"/>
        </w:rPr>
      </w:pPr>
      <w:bookmarkStart w:id="18" w:name="_Toc10627"/>
      <w:bookmarkStart w:id="19" w:name="_Toc8085"/>
      <w:bookmarkStart w:id="20" w:name="_Toc25644"/>
      <w:bookmarkStart w:id="21" w:name="_Toc2344"/>
      <w:bookmarkStart w:id="22" w:name="_Toc484"/>
      <w:r>
        <w:rPr>
          <w:rFonts w:hint="eastAsia" w:ascii="仿宋" w:hAnsi="仿宋" w:eastAsia="仿宋" w:cs="仿宋"/>
          <w:b/>
          <w:sz w:val="30"/>
          <w:szCs w:val="20"/>
          <w:highlight w:val="none"/>
        </w:rPr>
        <w:t>三、投标</w:t>
      </w:r>
      <w:bookmarkEnd w:id="18"/>
      <w:bookmarkEnd w:id="19"/>
      <w:bookmarkEnd w:id="20"/>
      <w:bookmarkEnd w:id="21"/>
      <w:bookmarkEnd w:id="22"/>
    </w:p>
    <w:p w14:paraId="37FE6B7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招标文件的获取</w:t>
      </w:r>
    </w:p>
    <w:p w14:paraId="603057D7">
      <w:pPr>
        <w:spacing w:line="360" w:lineRule="auto"/>
        <w:ind w:firstLine="42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E6665E0">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14:paraId="12D2BB0E">
      <w:pPr>
        <w:pStyle w:val="24"/>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B8A6A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12FBF606">
      <w:pPr>
        <w:pStyle w:val="11"/>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本项目不需缴纳投标保证金。</w:t>
      </w:r>
    </w:p>
    <w:p w14:paraId="1FC38D4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投标文件的语言</w:t>
      </w:r>
    </w:p>
    <w:p w14:paraId="7A3E11BC">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62D90C3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投标文件的组成</w:t>
      </w:r>
    </w:p>
    <w:p w14:paraId="563A1816">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6185236E">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符合参加政府采购活动应当具备的一般条件的承诺函；</w:t>
      </w:r>
    </w:p>
    <w:p w14:paraId="78AD35F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联合协议；（如果有）</w:t>
      </w:r>
    </w:p>
    <w:p w14:paraId="0F8425CE">
      <w:pPr>
        <w:numPr>
          <w:ilvl w:val="2"/>
          <w:numId w:val="3"/>
        </w:numPr>
        <w:tabs>
          <w:tab w:val="left" w:pos="210"/>
          <w:tab w:val="left" w:pos="630"/>
          <w:tab w:val="left" w:pos="840"/>
        </w:tabs>
        <w:snapToGrid w:val="0"/>
        <w:spacing w:line="360" w:lineRule="auto"/>
        <w:jc w:val="left"/>
        <w:rPr>
          <w:rFonts w:hint="eastAsia" w:ascii="仿宋" w:hAnsi="仿宋" w:eastAsia="仿宋" w:cs="仿宋"/>
          <w:snapToGrid w:val="0"/>
          <w:kern w:val="0"/>
          <w:sz w:val="24"/>
          <w:highlight w:val="none"/>
        </w:rPr>
      </w:pPr>
      <w:r>
        <w:rPr>
          <w:rFonts w:hint="eastAsia" w:ascii="仿宋" w:hAnsi="仿宋" w:eastAsia="仿宋" w:cs="仿宋"/>
          <w:bCs/>
          <w:sz w:val="24"/>
          <w:highlight w:val="none"/>
        </w:rPr>
        <w:t>落实政府采购政策需满足的资格要求；（如果有，按采购公告“申请人的资格要求”第2项；未要求的，无需提供）</w:t>
      </w:r>
    </w:p>
    <w:p w14:paraId="4EA4F2F7">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本项目的特定资格要求。（如果有，按采购公告“申请人的资格要求”第3项；未要求的，无需提供）</w:t>
      </w:r>
    </w:p>
    <w:p w14:paraId="797B24D8">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060985AA">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投标函；</w:t>
      </w:r>
      <w:r>
        <w:rPr>
          <w:rFonts w:hint="eastAsia" w:ascii="仿宋" w:hAnsi="仿宋" w:eastAsia="仿宋" w:cs="仿宋"/>
          <w:bCs/>
          <w:sz w:val="24"/>
          <w:highlight w:val="none"/>
          <w:lang w:val="zh-CN"/>
        </w:rPr>
        <w:t xml:space="preserve"> </w:t>
      </w:r>
    </w:p>
    <w:p w14:paraId="6EA0B6D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授权委托书或法定代表人（单位负责人、自然人本人）身份证明，以及为授权代表缴纳、距投标截止时间3个月内任意时间出具的社保证明材料；</w:t>
      </w:r>
    </w:p>
    <w:p w14:paraId="5ED0D225">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分包意向协议；（如果有）</w:t>
      </w:r>
    </w:p>
    <w:p w14:paraId="6E16B44C">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符合性审查资料；</w:t>
      </w:r>
    </w:p>
    <w:p w14:paraId="03C7FAFE">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评标标准相应的商务技术资料；</w:t>
      </w:r>
    </w:p>
    <w:p w14:paraId="1C7CDC6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投标标的清单；</w:t>
      </w:r>
    </w:p>
    <w:p w14:paraId="023AAF2F">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商务技术偏离表；</w:t>
      </w:r>
    </w:p>
    <w:p w14:paraId="49861221">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p>
    <w:p w14:paraId="64CDCA3D">
      <w:pPr>
        <w:numPr>
          <w:ilvl w:val="1"/>
          <w:numId w:val="3"/>
        </w:numPr>
        <w:tabs>
          <w:tab w:val="left" w:pos="210"/>
          <w:tab w:val="left" w:pos="630"/>
          <w:tab w:val="left" w:pos="840"/>
        </w:tabs>
        <w:snapToGrid w:val="0"/>
        <w:spacing w:line="360" w:lineRule="auto"/>
        <w:jc w:val="left"/>
        <w:rPr>
          <w:rFonts w:hint="eastAsia" w:ascii="仿宋" w:hAnsi="仿宋" w:eastAsia="仿宋" w:cs="仿宋"/>
          <w:b/>
          <w:sz w:val="24"/>
          <w:highlight w:val="none"/>
          <w:lang w:val="zh-CN"/>
        </w:rPr>
      </w:pPr>
      <w:r>
        <w:rPr>
          <w:rFonts w:hint="eastAsia" w:ascii="仿宋" w:hAnsi="仿宋" w:eastAsia="仿宋" w:cs="仿宋"/>
          <w:b/>
          <w:sz w:val="24"/>
          <w:highlight w:val="none"/>
        </w:rPr>
        <w:t xml:space="preserve">报价文件： </w:t>
      </w:r>
    </w:p>
    <w:p w14:paraId="15C34DC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开标一览表（报价表）；</w:t>
      </w:r>
    </w:p>
    <w:p w14:paraId="0DF03C19">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报价明细表</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（自拟）</w:t>
      </w:r>
    </w:p>
    <w:p w14:paraId="14BD6788">
      <w:pPr>
        <w:numPr>
          <w:ilvl w:val="2"/>
          <w:numId w:val="3"/>
        </w:numPr>
        <w:tabs>
          <w:tab w:val="left" w:pos="210"/>
          <w:tab w:val="left" w:pos="630"/>
          <w:tab w:val="left" w:pos="840"/>
        </w:tabs>
        <w:snapToGrid w:val="0"/>
        <w:spacing w:line="360" w:lineRule="auto"/>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中小企业声明函。（如果有）</w:t>
      </w:r>
    </w:p>
    <w:p w14:paraId="4ABAEBF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24B82CF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投标人提供虚假材料投标的，投标无效；</w:t>
      </w:r>
    </w:p>
    <w:p w14:paraId="256D763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投标人应对投标文件中材料的真实性、合法性负责。</w:t>
      </w:r>
    </w:p>
    <w:p w14:paraId="5886A9A6">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投标文件的编制</w:t>
      </w:r>
    </w:p>
    <w:p w14:paraId="6A7403F9">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FFBE6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A025515">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使用“政采云电子交易客户端”需要提前申领CA数字证书，申领流程请自行前往“浙江政府采购网-下载专区-电子交易客户端-CA驱动和申领流程”进行查阅。</w:t>
      </w:r>
    </w:p>
    <w:p w14:paraId="5B192CA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投标文件的签署、盖章</w:t>
      </w:r>
    </w:p>
    <w:p w14:paraId="11DC807C">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投标文件按照招标文件第六部分格式要求进行签署、盖章。</w:t>
      </w:r>
    </w:p>
    <w:p w14:paraId="5ED97943">
      <w:pPr>
        <w:pStyle w:val="120"/>
        <w:snapToGrid w:val="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72B24AB4">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48AC6C0A">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招标文件对投标文件签署、盖章的要求适用于电子签名。</w:t>
      </w:r>
    </w:p>
    <w:p w14:paraId="78031EDA">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投标文件的提交、补充、修改、撤回</w:t>
      </w:r>
    </w:p>
    <w:p w14:paraId="678373E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3CC5ADD">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0B1EBDC4">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43D8782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备份投标文件</w:t>
      </w:r>
    </w:p>
    <w:p w14:paraId="7725171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sz w:val="24"/>
          <w:highlight w:val="none"/>
        </w:rPr>
        <w:t>但采购人、采购代理机构不强制或变相强制投标人提交备份投标文件</w:t>
      </w:r>
      <w:r>
        <w:rPr>
          <w:rFonts w:hint="eastAsia" w:ascii="仿宋" w:hAnsi="仿宋" w:eastAsia="仿宋" w:cs="仿宋"/>
          <w:bCs/>
          <w:sz w:val="24"/>
          <w:highlight w:val="none"/>
        </w:rPr>
        <w:t>。</w:t>
      </w:r>
    </w:p>
    <w:p w14:paraId="53B822F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不符合上述制作、存储、密封规定的备份投标文件将被视为无效或者被拒绝接收。</w:t>
      </w:r>
    </w:p>
    <w:p w14:paraId="3217D35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sz w:val="24"/>
          <w:highlight w:val="none"/>
        </w:rPr>
        <w:t>采购代理机构将拒绝接受逾期送达的备份投标文件</w:t>
      </w:r>
      <w:r>
        <w:rPr>
          <w:rFonts w:hint="eastAsia" w:ascii="仿宋" w:hAnsi="仿宋" w:eastAsia="仿宋" w:cs="仿宋"/>
          <w:bCs/>
          <w:sz w:val="24"/>
          <w:highlight w:val="none"/>
        </w:rPr>
        <w:t>。</w:t>
      </w:r>
    </w:p>
    <w:p w14:paraId="07A6A6B2">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C468593">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投标人仅提交备份投标文件，未在电子交易平台传输递交投标文件的，投标无效。</w:t>
      </w:r>
    </w:p>
    <w:p w14:paraId="294ABB6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投标文件的无效处理</w:t>
      </w:r>
    </w:p>
    <w:p w14:paraId="43CBA600">
      <w:pPr>
        <w:pStyle w:val="2"/>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4D58632C">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投标有效期</w:t>
      </w:r>
    </w:p>
    <w:p w14:paraId="5995C8C6">
      <w:pPr>
        <w:numPr>
          <w:ilvl w:val="1"/>
          <w:numId w:val="3"/>
        </w:numPr>
        <w:tabs>
          <w:tab w:val="left" w:pos="210"/>
          <w:tab w:val="left" w:pos="640"/>
        </w:tabs>
        <w:snapToGrid w:val="0"/>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投标有效期为从提交投标文件的截止之日起90天。</w:t>
      </w:r>
    </w:p>
    <w:p w14:paraId="09E14B53">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1610BDAB">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投标文件合格投递后，自投标截止日期起，在投标有效期内有效。</w:t>
      </w:r>
    </w:p>
    <w:p w14:paraId="2B1F0581">
      <w:pPr>
        <w:numPr>
          <w:ilvl w:val="1"/>
          <w:numId w:val="3"/>
        </w:numPr>
        <w:tabs>
          <w:tab w:val="left" w:pos="210"/>
          <w:tab w:val="left" w:pos="640"/>
        </w:tabs>
        <w:snapToGrid w:val="0"/>
        <w:spacing w:line="360" w:lineRule="auto"/>
        <w:ind w:left="627" w:hanging="627"/>
        <w:jc w:val="left"/>
        <w:rPr>
          <w:rFonts w:hint="eastAsia" w:ascii="仿宋" w:hAnsi="仿宋" w:eastAsia="仿宋" w:cs="仿宋"/>
          <w:bCs/>
          <w:sz w:val="24"/>
          <w:highlight w:val="none"/>
        </w:rPr>
      </w:pPr>
      <w:r>
        <w:rPr>
          <w:rFonts w:hint="eastAsia" w:ascii="仿宋" w:hAnsi="仿宋" w:eastAsia="仿宋" w:cs="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4DEF4C18">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highlight w:val="none"/>
        </w:rPr>
      </w:pPr>
      <w:r>
        <w:rPr>
          <w:rFonts w:hint="eastAsia" w:ascii="仿宋" w:hAnsi="仿宋" w:eastAsia="仿宋" w:cs="仿宋"/>
          <w:bCs/>
          <w:sz w:val="24"/>
          <w:highlight w:val="none"/>
        </w:rPr>
        <w:t>自投标截止时间起至投标有效期届满，供应商投标文件不可撤销。</w:t>
      </w:r>
    </w:p>
    <w:p w14:paraId="1B0CE5FD">
      <w:pPr>
        <w:pStyle w:val="120"/>
        <w:ind w:firstLine="643"/>
        <w:rPr>
          <w:rFonts w:hint="eastAsia" w:ascii="仿宋" w:hAnsi="仿宋" w:eastAsia="仿宋" w:cs="仿宋"/>
          <w:b/>
          <w:sz w:val="32"/>
          <w:highlight w:val="none"/>
        </w:rPr>
      </w:pPr>
    </w:p>
    <w:p w14:paraId="1751CC63">
      <w:pPr>
        <w:spacing w:line="360" w:lineRule="auto"/>
        <w:jc w:val="center"/>
        <w:outlineLvl w:val="1"/>
        <w:rPr>
          <w:rFonts w:hint="eastAsia" w:ascii="仿宋" w:hAnsi="仿宋" w:eastAsia="仿宋" w:cs="仿宋"/>
          <w:b/>
          <w:sz w:val="30"/>
          <w:szCs w:val="20"/>
          <w:highlight w:val="none"/>
        </w:rPr>
      </w:pPr>
      <w:bookmarkStart w:id="23" w:name="_Toc16113"/>
      <w:bookmarkStart w:id="24" w:name="_Toc3728"/>
      <w:bookmarkStart w:id="25" w:name="_Toc11837"/>
      <w:bookmarkStart w:id="26" w:name="_Toc533"/>
      <w:bookmarkStart w:id="27" w:name="_Toc25497"/>
      <w:r>
        <w:rPr>
          <w:rFonts w:hint="eastAsia" w:ascii="仿宋" w:hAnsi="仿宋" w:eastAsia="仿宋" w:cs="仿宋"/>
          <w:b/>
          <w:sz w:val="30"/>
          <w:szCs w:val="20"/>
          <w:highlight w:val="none"/>
        </w:rPr>
        <w:t>四、开标、资格审查与信用信息查询</w:t>
      </w:r>
      <w:bookmarkEnd w:id="23"/>
      <w:bookmarkEnd w:id="24"/>
      <w:bookmarkEnd w:id="25"/>
      <w:bookmarkEnd w:id="26"/>
      <w:bookmarkEnd w:id="27"/>
    </w:p>
    <w:p w14:paraId="2E22D14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 xml:space="preserve">开标 </w:t>
      </w:r>
    </w:p>
    <w:p w14:paraId="584FBA2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采购代理机构按照招标文件规定的时间通过电子交易平台组织开标，所有投标人均应当准时在线参加。投标人不足3家的，不得开标。</w:t>
      </w:r>
    </w:p>
    <w:p w14:paraId="71FA64BD">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74CC78E5">
      <w:pPr>
        <w:numPr>
          <w:ilvl w:val="1"/>
          <w:numId w:val="3"/>
        </w:numPr>
        <w:tabs>
          <w:tab w:val="left" w:pos="210"/>
          <w:tab w:val="left" w:pos="640"/>
        </w:tabs>
        <w:snapToGrid w:val="0"/>
        <w:spacing w:line="360" w:lineRule="auto"/>
        <w:ind w:left="629" w:hanging="629"/>
        <w:jc w:val="left"/>
        <w:rPr>
          <w:rFonts w:hint="eastAsia" w:ascii="仿宋" w:hAnsi="仿宋" w:eastAsia="仿宋" w:cs="仿宋"/>
          <w:b/>
          <w:sz w:val="24"/>
          <w:highlight w:val="none"/>
        </w:rPr>
      </w:pP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2CAA074F">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资格审查</w:t>
      </w:r>
    </w:p>
    <w:p w14:paraId="236743F4">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开标后，采购人或采购代理机构依据法律法规和招标文件的规定，对投标人的资格进行审查。</w:t>
      </w:r>
    </w:p>
    <w:p w14:paraId="1C646AB5">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采购人或采购代理机构依据法律法规和招标文件的规定，对投标人的基本资格条件、特定资格条件进行审查。</w:t>
      </w:r>
    </w:p>
    <w:p w14:paraId="484C4DCF">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投标人未按照招标文件要求提供与基本资格条件、特定资格条件相应的有效资格证明材料的，视为投标人不具备招标文件中规定的资格要求，其投标无效。</w:t>
      </w:r>
    </w:p>
    <w:p w14:paraId="013E414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对未通过资格审查的投标人，采购人或采购代理机构告知其未通过的原因。</w:t>
      </w:r>
    </w:p>
    <w:p w14:paraId="15B42A3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合格投标人不足3家的，不再评标。</w:t>
      </w:r>
    </w:p>
    <w:p w14:paraId="4FB5839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信用信息查询</w:t>
      </w:r>
    </w:p>
    <w:p w14:paraId="163324E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信用信息查询渠道及截止时间：采购代理机构将在资格审查时通过“信用中国”网站(www.creditchina.gov.cn)、中国政府采购网(www.ccgp.gov.cn)渠道查询投标人投标截止时间当天的信用记录。</w:t>
      </w:r>
    </w:p>
    <w:p w14:paraId="17C8A17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信用信息查询记录和证据留存的具体方式：现场查询的投标人的信用记录、查询结果经确认后将与采购文件一起存档。</w:t>
      </w:r>
    </w:p>
    <w:p w14:paraId="7EBA252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信用信息的使用规则：经查询列入失信被执行人名单、重大税收违法案件当事人名单、政府采购严重违法失信行为记录名单的投标人将被拒绝参与政府采购活动。</w:t>
      </w:r>
    </w:p>
    <w:p w14:paraId="54D7A5D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3BAAFE">
      <w:pPr>
        <w:snapToGrid w:val="0"/>
        <w:spacing w:line="360" w:lineRule="auto"/>
        <w:jc w:val="center"/>
        <w:outlineLvl w:val="1"/>
        <w:rPr>
          <w:rFonts w:hint="eastAsia" w:ascii="仿宋" w:hAnsi="仿宋" w:eastAsia="仿宋" w:cs="仿宋"/>
          <w:b/>
          <w:sz w:val="36"/>
          <w:szCs w:val="36"/>
          <w:highlight w:val="none"/>
        </w:rPr>
      </w:pPr>
      <w:bookmarkStart w:id="28" w:name="_Toc22552"/>
      <w:bookmarkStart w:id="29" w:name="_Toc7171"/>
      <w:bookmarkStart w:id="30" w:name="_Toc24431"/>
      <w:bookmarkStart w:id="31" w:name="_Toc9793"/>
      <w:bookmarkStart w:id="32" w:name="_Toc19433"/>
      <w:r>
        <w:rPr>
          <w:rFonts w:hint="eastAsia" w:ascii="仿宋" w:hAnsi="仿宋" w:eastAsia="仿宋" w:cs="仿宋"/>
          <w:b/>
          <w:sz w:val="36"/>
          <w:szCs w:val="36"/>
          <w:highlight w:val="none"/>
        </w:rPr>
        <w:t>五、评标</w:t>
      </w:r>
      <w:bookmarkEnd w:id="28"/>
      <w:bookmarkEnd w:id="29"/>
      <w:bookmarkEnd w:id="30"/>
      <w:bookmarkEnd w:id="31"/>
      <w:bookmarkEnd w:id="32"/>
    </w:p>
    <w:p w14:paraId="4C0B8D07">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评标</w:t>
      </w:r>
    </w:p>
    <w:p w14:paraId="09D8B8D8">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04ABF725">
      <w:pPr>
        <w:snapToGrid w:val="0"/>
        <w:spacing w:line="360" w:lineRule="auto"/>
        <w:jc w:val="center"/>
        <w:outlineLvl w:val="1"/>
        <w:rPr>
          <w:rFonts w:hint="eastAsia" w:ascii="仿宋" w:hAnsi="仿宋" w:eastAsia="仿宋" w:cs="仿宋"/>
          <w:b/>
          <w:sz w:val="36"/>
          <w:szCs w:val="36"/>
          <w:highlight w:val="none"/>
        </w:rPr>
      </w:pPr>
      <w:bookmarkStart w:id="33" w:name="_Toc7518"/>
      <w:bookmarkStart w:id="34" w:name="_Toc20749"/>
      <w:bookmarkStart w:id="35" w:name="_Toc30302"/>
      <w:bookmarkStart w:id="36" w:name="_Toc31668"/>
      <w:bookmarkStart w:id="37" w:name="_Toc29939"/>
      <w:r>
        <w:rPr>
          <w:rFonts w:hint="eastAsia" w:ascii="仿宋" w:hAnsi="仿宋" w:eastAsia="仿宋" w:cs="仿宋"/>
          <w:b/>
          <w:sz w:val="36"/>
          <w:szCs w:val="36"/>
          <w:highlight w:val="none"/>
        </w:rPr>
        <w:t>六、定 标</w:t>
      </w:r>
      <w:bookmarkEnd w:id="33"/>
      <w:bookmarkEnd w:id="34"/>
      <w:bookmarkEnd w:id="35"/>
      <w:bookmarkEnd w:id="36"/>
      <w:bookmarkEnd w:id="37"/>
    </w:p>
    <w:p w14:paraId="34B3CAB3">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确定中标供应商</w:t>
      </w:r>
    </w:p>
    <w:p w14:paraId="03EBC8D9">
      <w:pPr>
        <w:pStyle w:val="120"/>
        <w:snapToGrid w:val="0"/>
        <w:ind w:firstLine="420" w:firstLineChars="175"/>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A8C0DF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中标通知与中标结果公告</w:t>
      </w:r>
    </w:p>
    <w:p w14:paraId="6567510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2A1CCC7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仿宋" w:hAnsi="仿宋" w:eastAsia="仿宋" w:cs="仿宋"/>
          <w:bCs/>
          <w:sz w:val="24"/>
          <w:highlight w:val="none"/>
        </w:rPr>
        <w:t>资格审查情况、评审专家抽取规则、符合性审查情况、</w:t>
      </w:r>
      <w:bookmarkEnd w:id="38"/>
      <w:r>
        <w:rPr>
          <w:rFonts w:hint="eastAsia" w:ascii="仿宋" w:hAnsi="仿宋" w:eastAsia="仿宋" w:cs="仿宋"/>
          <w:bCs/>
          <w:sz w:val="24"/>
          <w:highlight w:val="none"/>
        </w:rPr>
        <w:t>未中标情况说明、中标公告期限以及评审专家名单、评分汇总及明细。</w:t>
      </w:r>
    </w:p>
    <w:p w14:paraId="363ADE8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公告期限为1个工作日。</w:t>
      </w:r>
    </w:p>
    <w:p w14:paraId="6D21785D">
      <w:pPr>
        <w:rPr>
          <w:rFonts w:hint="eastAsia" w:ascii="仿宋" w:hAnsi="仿宋" w:eastAsia="仿宋" w:cs="仿宋"/>
          <w:highlight w:val="none"/>
        </w:rPr>
      </w:pPr>
    </w:p>
    <w:p w14:paraId="09AC24F2">
      <w:pPr>
        <w:snapToGrid w:val="0"/>
        <w:spacing w:line="360" w:lineRule="auto"/>
        <w:jc w:val="center"/>
        <w:outlineLvl w:val="1"/>
        <w:rPr>
          <w:rFonts w:hint="eastAsia" w:ascii="仿宋" w:hAnsi="仿宋" w:eastAsia="仿宋" w:cs="仿宋"/>
          <w:b/>
          <w:sz w:val="36"/>
          <w:szCs w:val="36"/>
          <w:highlight w:val="none"/>
        </w:rPr>
      </w:pPr>
      <w:bookmarkStart w:id="39" w:name="_Toc5538"/>
      <w:bookmarkStart w:id="40" w:name="_Toc16906"/>
      <w:bookmarkStart w:id="41" w:name="_Toc12684"/>
      <w:bookmarkStart w:id="42" w:name="_Toc21438"/>
      <w:r>
        <w:rPr>
          <w:rFonts w:hint="eastAsia" w:ascii="仿宋" w:hAnsi="仿宋" w:eastAsia="仿宋" w:cs="仿宋"/>
          <w:b/>
          <w:sz w:val="36"/>
          <w:szCs w:val="36"/>
          <w:highlight w:val="none"/>
        </w:rPr>
        <w:t>七、合同授予</w:t>
      </w:r>
      <w:bookmarkEnd w:id="39"/>
      <w:bookmarkEnd w:id="40"/>
      <w:bookmarkEnd w:id="41"/>
      <w:bookmarkEnd w:id="42"/>
    </w:p>
    <w:p w14:paraId="4B57321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合同授予</w:t>
      </w:r>
    </w:p>
    <w:p w14:paraId="0D626961">
      <w:pPr>
        <w:widowControl/>
        <w:shd w:val="clear" w:color="auto" w:fill="FFFFFF"/>
        <w:spacing w:line="360" w:lineRule="auto"/>
        <w:ind w:firstLine="420"/>
        <w:jc w:val="left"/>
        <w:rPr>
          <w:rFonts w:hint="eastAsia" w:ascii="仿宋" w:hAnsi="仿宋" w:eastAsia="仿宋" w:cs="仿宋"/>
          <w:b/>
          <w:highlight w:val="none"/>
        </w:rPr>
      </w:pPr>
      <w:r>
        <w:rPr>
          <w:rFonts w:hint="eastAsia" w:ascii="仿宋" w:hAnsi="仿宋" w:eastAsia="仿宋" w:cs="仿宋"/>
          <w:sz w:val="24"/>
          <w:highlight w:val="none"/>
        </w:rPr>
        <w:t>合同主要条款详见第五部分拟签订的合同文本。</w:t>
      </w:r>
    </w:p>
    <w:p w14:paraId="37425699">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合同的签订</w:t>
      </w:r>
    </w:p>
    <w:p w14:paraId="2D0F691C">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340B13">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rPr>
      </w:pPr>
      <w:r>
        <w:rPr>
          <w:rFonts w:hint="eastAsia" w:ascii="仿宋" w:hAnsi="仿宋" w:eastAsia="仿宋" w:cs="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03081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如签订合同并生效后，供应商无故拒绝或延期，除按照合同条款处理外，列入不良行为记录一次，并给予通报。</w:t>
      </w:r>
    </w:p>
    <w:p w14:paraId="361D4E36">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6C7180B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采购合同由采购人与中标供应商根据招标文件、投标文件等内容通过政府采购电子交易平台在线签订，自动备案。</w:t>
      </w:r>
    </w:p>
    <w:p w14:paraId="07435F78">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履约保证金</w:t>
      </w:r>
    </w:p>
    <w:p w14:paraId="7D3132DF">
      <w:pPr>
        <w:tabs>
          <w:tab w:val="left" w:pos="210"/>
          <w:tab w:val="left" w:pos="640"/>
        </w:tabs>
        <w:snapToGrid w:val="0"/>
        <w:spacing w:line="360" w:lineRule="auto"/>
        <w:ind w:firstLine="480" w:firstLineChars="200"/>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1061E8">
      <w:pPr>
        <w:tabs>
          <w:tab w:val="left" w:pos="210"/>
          <w:tab w:val="left" w:pos="640"/>
        </w:tabs>
        <w:snapToGrid w:val="0"/>
        <w:spacing w:line="360" w:lineRule="auto"/>
        <w:ind w:firstLine="480" w:firstLineChars="200"/>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zh-CN" w:eastAsia="zh-CN"/>
        </w:rPr>
        <w:t>供应商</w:t>
      </w:r>
      <w:r>
        <w:rPr>
          <w:rFonts w:hint="eastAsia" w:ascii="仿宋" w:hAnsi="仿宋" w:eastAsia="仿宋" w:cs="仿宋"/>
          <w:bCs/>
          <w:sz w:val="24"/>
          <w:highlight w:val="none"/>
          <w:lang w:val="en-US" w:eastAsia="zh-CN"/>
        </w:rPr>
        <w:t>可</w:t>
      </w:r>
      <w:r>
        <w:rPr>
          <w:rFonts w:hint="eastAsia" w:ascii="仿宋" w:hAnsi="仿宋" w:eastAsia="仿宋" w:cs="仿宋"/>
          <w:bCs/>
          <w:sz w:val="24"/>
          <w:highlight w:val="none"/>
          <w:lang w:val="zh-CN" w:eastAsia="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Cs/>
          <w:sz w:val="24"/>
          <w:highlight w:val="none"/>
          <w:lang w:val="en-US" w:eastAsia="zh-CN"/>
        </w:rPr>
        <w:t>95763</w:t>
      </w:r>
      <w:r>
        <w:rPr>
          <w:rFonts w:hint="eastAsia" w:ascii="仿宋" w:hAnsi="仿宋" w:eastAsia="仿宋" w:cs="仿宋"/>
          <w:bCs/>
          <w:sz w:val="24"/>
          <w:highlight w:val="none"/>
          <w:lang w:val="zh-CN" w:eastAsia="zh-CN"/>
        </w:rPr>
        <w:t>。</w:t>
      </w:r>
    </w:p>
    <w:p w14:paraId="7D23B095">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预付款</w:t>
      </w:r>
    </w:p>
    <w:p w14:paraId="2FE7767D">
      <w:pPr>
        <w:tabs>
          <w:tab w:val="left" w:pos="210"/>
          <w:tab w:val="left" w:pos="640"/>
        </w:tabs>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z w:val="24"/>
          <w:highlight w:val="none"/>
        </w:rPr>
        <w:t>95763</w:t>
      </w:r>
      <w:r>
        <w:rPr>
          <w:rFonts w:hint="eastAsia" w:ascii="仿宋" w:hAnsi="仿宋" w:eastAsia="仿宋" w:cs="仿宋"/>
          <w:bCs/>
          <w:sz w:val="24"/>
          <w:highlight w:val="none"/>
        </w:rPr>
        <w:t>。</w:t>
      </w:r>
    </w:p>
    <w:p w14:paraId="3655F847">
      <w:pPr>
        <w:snapToGrid w:val="0"/>
        <w:spacing w:line="360" w:lineRule="auto"/>
        <w:ind w:firstLine="3357" w:firstLineChars="1045"/>
        <w:rPr>
          <w:rFonts w:hint="eastAsia" w:ascii="仿宋" w:hAnsi="仿宋" w:eastAsia="仿宋" w:cs="仿宋"/>
          <w:b/>
          <w:sz w:val="32"/>
          <w:highlight w:val="none"/>
        </w:rPr>
      </w:pPr>
    </w:p>
    <w:p w14:paraId="73A64BCB">
      <w:pPr>
        <w:snapToGrid w:val="0"/>
        <w:spacing w:line="360" w:lineRule="auto"/>
        <w:jc w:val="center"/>
        <w:outlineLvl w:val="1"/>
        <w:rPr>
          <w:rFonts w:hint="eastAsia" w:ascii="仿宋" w:hAnsi="仿宋" w:eastAsia="仿宋" w:cs="仿宋"/>
          <w:b/>
          <w:sz w:val="36"/>
          <w:szCs w:val="36"/>
          <w:highlight w:val="none"/>
        </w:rPr>
      </w:pPr>
      <w:bookmarkStart w:id="43" w:name="_Toc32079"/>
      <w:bookmarkStart w:id="44" w:name="_Toc24890"/>
      <w:bookmarkStart w:id="45" w:name="_Toc12260"/>
      <w:r>
        <w:rPr>
          <w:rFonts w:hint="eastAsia" w:ascii="仿宋" w:hAnsi="仿宋" w:eastAsia="仿宋" w:cs="仿宋"/>
          <w:b/>
          <w:sz w:val="36"/>
          <w:szCs w:val="36"/>
          <w:highlight w:val="none"/>
        </w:rPr>
        <w:t>八、电子交易活动的中止</w:t>
      </w:r>
      <w:bookmarkEnd w:id="43"/>
      <w:bookmarkEnd w:id="44"/>
      <w:bookmarkEnd w:id="45"/>
    </w:p>
    <w:p w14:paraId="63612A42">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电子交易活动的中止</w:t>
      </w:r>
    </w:p>
    <w:p w14:paraId="5AEBFDB0">
      <w:pPr>
        <w:pStyle w:val="120"/>
        <w:snapToGrid w:val="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45553D0">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电子交易平台发生故障而无法登录访问的； </w:t>
      </w:r>
    </w:p>
    <w:p w14:paraId="758324E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电子交易平台应用或数据库出现错误，不能进行正常操作的；</w:t>
      </w:r>
    </w:p>
    <w:p w14:paraId="42EE7E3E">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电子交易平台发现严重安全漏洞，有潜在泄密危险的；</w:t>
      </w:r>
    </w:p>
    <w:p w14:paraId="50CCB76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病毒发作导致不能进行正常操作的； </w:t>
      </w:r>
    </w:p>
    <w:p w14:paraId="71972B0A">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其他无法保证电子交易的公平、公正和安全的情况。</w:t>
      </w:r>
    </w:p>
    <w:p w14:paraId="1AC50417">
      <w:pPr>
        <w:numPr>
          <w:ilvl w:val="0"/>
          <w:numId w:val="3"/>
        </w:numPr>
        <w:tabs>
          <w:tab w:val="left" w:pos="210"/>
        </w:tabs>
        <w:snapToGrid w:val="0"/>
        <w:spacing w:line="360" w:lineRule="auto"/>
        <w:ind w:left="403" w:hanging="403"/>
        <w:jc w:val="left"/>
        <w:outlineLvl w:val="2"/>
        <w:rPr>
          <w:rFonts w:hint="eastAsia" w:ascii="仿宋" w:hAnsi="仿宋" w:eastAsia="仿宋" w:cs="仿宋"/>
          <w:b/>
          <w:sz w:val="24"/>
          <w:highlight w:val="none"/>
        </w:rPr>
      </w:pPr>
      <w:r>
        <w:rPr>
          <w:rFonts w:hint="eastAsia" w:ascii="仿宋" w:hAnsi="仿宋" w:eastAsia="仿宋" w:cs="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1B09A74">
      <w:pPr>
        <w:tabs>
          <w:tab w:val="left" w:pos="0"/>
        </w:tabs>
        <w:spacing w:line="360" w:lineRule="auto"/>
        <w:ind w:firstLine="480"/>
        <w:rPr>
          <w:rFonts w:hint="eastAsia" w:ascii="仿宋" w:hAnsi="仿宋" w:eastAsia="仿宋" w:cs="仿宋"/>
          <w:sz w:val="24"/>
          <w:highlight w:val="none"/>
        </w:rPr>
      </w:pPr>
    </w:p>
    <w:p w14:paraId="5FD4B3C8">
      <w:pPr>
        <w:snapToGrid w:val="0"/>
        <w:spacing w:line="360" w:lineRule="auto"/>
        <w:jc w:val="center"/>
        <w:outlineLvl w:val="1"/>
        <w:rPr>
          <w:rFonts w:hint="eastAsia" w:ascii="仿宋" w:hAnsi="仿宋" w:eastAsia="仿宋" w:cs="仿宋"/>
          <w:b/>
          <w:sz w:val="36"/>
          <w:szCs w:val="36"/>
          <w:highlight w:val="none"/>
        </w:rPr>
      </w:pPr>
      <w:bookmarkStart w:id="46" w:name="_Toc24777"/>
      <w:bookmarkStart w:id="47" w:name="_Toc18624"/>
      <w:bookmarkStart w:id="48" w:name="_Toc26192"/>
      <w:r>
        <w:rPr>
          <w:rFonts w:hint="eastAsia" w:ascii="仿宋" w:hAnsi="仿宋" w:eastAsia="仿宋" w:cs="仿宋"/>
          <w:b/>
          <w:sz w:val="36"/>
          <w:szCs w:val="36"/>
          <w:highlight w:val="none"/>
        </w:rPr>
        <w:t>九、验收</w:t>
      </w:r>
      <w:bookmarkEnd w:id="46"/>
      <w:bookmarkEnd w:id="47"/>
      <w:bookmarkEnd w:id="48"/>
    </w:p>
    <w:p w14:paraId="29FA7DBD">
      <w:pPr>
        <w:numPr>
          <w:ilvl w:val="0"/>
          <w:numId w:val="3"/>
        </w:numPr>
        <w:tabs>
          <w:tab w:val="left" w:pos="210"/>
        </w:tabs>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验收</w:t>
      </w:r>
    </w:p>
    <w:p w14:paraId="4430CEB8">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20D907">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采购人可以邀请参加本项目的其他投标人或者第三方机构参与验收。参与验收的投标人或者第三方机构的意见作为验收书的参考资料一并存档。</w:t>
      </w:r>
    </w:p>
    <w:p w14:paraId="14586831">
      <w:pPr>
        <w:numPr>
          <w:ilvl w:val="1"/>
          <w:numId w:val="3"/>
        </w:numPr>
        <w:tabs>
          <w:tab w:val="left" w:pos="210"/>
          <w:tab w:val="left" w:pos="640"/>
        </w:tabs>
        <w:snapToGrid w:val="0"/>
        <w:spacing w:line="360" w:lineRule="auto"/>
        <w:ind w:left="629" w:hanging="629"/>
        <w:jc w:val="lef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BCF9F4">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060B54">
      <w:pPr>
        <w:numPr>
          <w:ilvl w:val="1"/>
          <w:numId w:val="3"/>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D33B307">
      <w:pPr>
        <w:pStyle w:val="227"/>
        <w:rPr>
          <w:rFonts w:hint="eastAsia" w:ascii="仿宋" w:hAnsi="仿宋" w:eastAsia="仿宋" w:cs="仿宋"/>
          <w:highlight w:val="none"/>
          <w:lang w:val="zh-CN"/>
        </w:rPr>
      </w:pPr>
    </w:p>
    <w:p w14:paraId="4640D8D5">
      <w:pPr>
        <w:adjustRightInd w:val="0"/>
        <w:snapToGrid w:val="0"/>
        <w:spacing w:before="120" w:beforeLines="50" w:after="120" w:afterLines="50" w:line="360" w:lineRule="auto"/>
        <w:jc w:val="center"/>
        <w:outlineLvl w:val="0"/>
        <w:rPr>
          <w:rFonts w:hint="eastAsia" w:ascii="仿宋" w:hAnsi="仿宋" w:eastAsia="仿宋" w:cs="仿宋"/>
          <w:color w:val="000000" w:themeColor="text1"/>
          <w:sz w:val="36"/>
          <w:highlight w:val="none"/>
          <w14:textFill>
            <w14:solidFill>
              <w14:schemeClr w14:val="tx1"/>
            </w14:solidFill>
          </w14:textFill>
        </w:rPr>
      </w:pPr>
      <w:r>
        <w:rPr>
          <w:rFonts w:hint="eastAsia" w:ascii="仿宋" w:hAnsi="仿宋" w:eastAsia="仿宋" w:cs="仿宋"/>
          <w:b/>
          <w:bCs/>
          <w:sz w:val="28"/>
          <w:szCs w:val="21"/>
          <w:highlight w:val="none"/>
        </w:rPr>
        <w:br w:type="page"/>
      </w:r>
      <w:bookmarkStart w:id="49" w:name="_Toc83616202"/>
      <w:bookmarkStart w:id="50" w:name="_Toc242012796"/>
      <w:bookmarkStart w:id="51" w:name="_Toc31190"/>
      <w:bookmarkStart w:id="52" w:name="_Toc11107"/>
      <w:r>
        <w:rPr>
          <w:rFonts w:hint="eastAsia" w:ascii="仿宋" w:hAnsi="仿宋" w:eastAsia="仿宋" w:cs="仿宋"/>
          <w:b/>
          <w:color w:val="000000" w:themeColor="text1"/>
          <w:sz w:val="30"/>
          <w:szCs w:val="30"/>
          <w:highlight w:val="none"/>
          <w14:textFill>
            <w14:solidFill>
              <w14:schemeClr w14:val="tx1"/>
            </w14:solidFill>
          </w14:textFill>
        </w:rPr>
        <w:t>第三部分</w:t>
      </w:r>
      <w:bookmarkEnd w:id="49"/>
      <w:bookmarkEnd w:id="50"/>
      <w:bookmarkEnd w:id="51"/>
      <w:r>
        <w:rPr>
          <w:rFonts w:hint="eastAsia" w:ascii="仿宋" w:hAnsi="仿宋" w:eastAsia="仿宋" w:cs="仿宋"/>
          <w:b/>
          <w:color w:val="000000" w:themeColor="text1"/>
          <w:sz w:val="30"/>
          <w:szCs w:val="30"/>
          <w:highlight w:val="none"/>
          <w14:textFill>
            <w14:solidFill>
              <w14:schemeClr w14:val="tx1"/>
            </w14:solidFill>
          </w14:textFill>
        </w:rPr>
        <w:t xml:space="preserve">  采购需求</w:t>
      </w:r>
      <w:bookmarkEnd w:id="52"/>
    </w:p>
    <w:p w14:paraId="4B66AA66">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53" w:name="_Toc12939"/>
      <w:bookmarkStart w:id="54" w:name="_Toc306304665"/>
      <w:bookmarkStart w:id="55" w:name="_Toc12471"/>
      <w:bookmarkStart w:id="56" w:name="_Toc203558307"/>
      <w:bookmarkStart w:id="57" w:name="_Toc194983818"/>
      <w:bookmarkStart w:id="58" w:name="_Toc342633574"/>
      <w:r>
        <w:rPr>
          <w:rFonts w:hint="eastAsia" w:ascii="仿宋" w:hAnsi="仿宋" w:eastAsia="仿宋" w:cs="仿宋"/>
          <w:color w:val="auto"/>
          <w:sz w:val="24"/>
          <w:highlight w:val="none"/>
          <w:lang w:val="en-US" w:eastAsia="zh-CN"/>
        </w:rPr>
        <w:t>一、项目</w:t>
      </w:r>
      <w:r>
        <w:rPr>
          <w:rFonts w:hint="eastAsia" w:ascii="仿宋" w:hAnsi="仿宋" w:eastAsia="仿宋" w:cs="仿宋"/>
          <w:color w:val="auto"/>
          <w:sz w:val="24"/>
          <w:highlight w:val="none"/>
          <w:lang w:val="en-US" w:eastAsia="zh-CN"/>
        </w:rPr>
        <w:t>概况</w:t>
      </w:r>
      <w:bookmarkEnd w:id="5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123"/>
        <w:gridCol w:w="1500"/>
        <w:gridCol w:w="1193"/>
      </w:tblGrid>
      <w:tr w14:paraId="35B0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1" w:type="dxa"/>
            <w:noWrap w:val="0"/>
            <w:vAlign w:val="center"/>
          </w:tcPr>
          <w:p w14:paraId="2C18D50C">
            <w:pPr>
              <w:widowControl/>
              <w:snapToGrid w:val="0"/>
              <w:ind w:left="60" w:right="60"/>
              <w:jc w:val="center"/>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序号</w:t>
            </w:r>
          </w:p>
        </w:tc>
        <w:tc>
          <w:tcPr>
            <w:tcW w:w="5123" w:type="dxa"/>
            <w:noWrap w:val="0"/>
            <w:vAlign w:val="center"/>
          </w:tcPr>
          <w:p w14:paraId="5C68E041">
            <w:pPr>
              <w:widowControl/>
              <w:snapToGrid w:val="0"/>
              <w:ind w:left="60" w:right="60"/>
              <w:jc w:val="center"/>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内容</w:t>
            </w:r>
          </w:p>
        </w:tc>
        <w:tc>
          <w:tcPr>
            <w:tcW w:w="1500" w:type="dxa"/>
            <w:noWrap w:val="0"/>
            <w:vAlign w:val="center"/>
          </w:tcPr>
          <w:p w14:paraId="2A8A7FD7">
            <w:pPr>
              <w:widowControl/>
              <w:snapToGrid w:val="0"/>
              <w:ind w:left="60" w:right="60"/>
              <w:jc w:val="center"/>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lang w:val="en-US"/>
              </w:rPr>
              <w:t>抽检</w:t>
            </w:r>
            <w:r>
              <w:rPr>
                <w:rFonts w:hint="eastAsia" w:ascii="仿宋" w:hAnsi="仿宋" w:eastAsia="仿宋" w:cs="仿宋"/>
                <w:b/>
                <w:i w:val="0"/>
                <w:iCs w:val="0"/>
                <w:color w:val="auto"/>
                <w:kern w:val="0"/>
                <w:sz w:val="24"/>
                <w:szCs w:val="24"/>
                <w:highlight w:val="none"/>
              </w:rPr>
              <w:t>范围</w:t>
            </w:r>
          </w:p>
        </w:tc>
        <w:tc>
          <w:tcPr>
            <w:tcW w:w="1193" w:type="dxa"/>
            <w:noWrap w:val="0"/>
            <w:vAlign w:val="center"/>
          </w:tcPr>
          <w:p w14:paraId="0937299C">
            <w:pPr>
              <w:widowControl/>
              <w:snapToGrid w:val="0"/>
              <w:ind w:left="60" w:right="60"/>
              <w:jc w:val="center"/>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备注</w:t>
            </w:r>
          </w:p>
        </w:tc>
      </w:tr>
      <w:tr w14:paraId="4DD5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1" w:type="dxa"/>
            <w:noWrap w:val="0"/>
            <w:vAlign w:val="center"/>
          </w:tcPr>
          <w:p w14:paraId="69B75205">
            <w:pPr>
              <w:widowControl/>
              <w:snapToGrid w:val="0"/>
              <w:ind w:left="60" w:right="60"/>
              <w:jc w:val="center"/>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p>
        </w:tc>
        <w:tc>
          <w:tcPr>
            <w:tcW w:w="5123" w:type="dxa"/>
            <w:noWrap w:val="0"/>
            <w:vAlign w:val="center"/>
          </w:tcPr>
          <w:p w14:paraId="0FEAFC8F">
            <w:pPr>
              <w:widowControl/>
              <w:jc w:val="center"/>
              <w:textAlignment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跨境零售进口商品质量安全风险监测服务</w:t>
            </w:r>
            <w:r>
              <w:rPr>
                <w:rFonts w:hint="eastAsia" w:ascii="仿宋" w:hAnsi="仿宋" w:eastAsia="仿宋" w:cs="仿宋"/>
                <w:i w:val="0"/>
                <w:iCs w:val="0"/>
                <w:color w:val="auto"/>
                <w:sz w:val="24"/>
                <w:szCs w:val="24"/>
                <w:highlight w:val="none"/>
                <w:lang w:val="en-US" w:eastAsia="zh-CN"/>
              </w:rPr>
              <w:t>项目</w:t>
            </w:r>
          </w:p>
        </w:tc>
        <w:tc>
          <w:tcPr>
            <w:tcW w:w="1500" w:type="dxa"/>
            <w:noWrap w:val="0"/>
            <w:vAlign w:val="center"/>
          </w:tcPr>
          <w:p w14:paraId="2B2266F9">
            <w:pPr>
              <w:widowControl/>
              <w:snapToGrid w:val="0"/>
              <w:jc w:val="center"/>
              <w:textAlignment w:val="center"/>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sz w:val="24"/>
                <w:szCs w:val="24"/>
                <w:highlight w:val="none"/>
              </w:rPr>
              <w:t>见附表1</w:t>
            </w:r>
          </w:p>
        </w:tc>
        <w:tc>
          <w:tcPr>
            <w:tcW w:w="1193" w:type="dxa"/>
            <w:noWrap w:val="0"/>
            <w:vAlign w:val="center"/>
          </w:tcPr>
          <w:p w14:paraId="7263FE8F">
            <w:pPr>
              <w:widowControl/>
              <w:jc w:val="center"/>
              <w:textAlignment w:val="center"/>
              <w:rPr>
                <w:rFonts w:hint="eastAsia" w:ascii="仿宋" w:hAnsi="仿宋" w:eastAsia="仿宋" w:cs="仿宋"/>
                <w:i w:val="0"/>
                <w:iCs w:val="0"/>
                <w:color w:val="auto"/>
                <w:sz w:val="24"/>
                <w:szCs w:val="24"/>
                <w:highlight w:val="none"/>
              </w:rPr>
            </w:pPr>
          </w:p>
        </w:tc>
      </w:tr>
    </w:tbl>
    <w:p w14:paraId="07D05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highlight w:val="none"/>
          <w:lang w:val="en-US" w:eastAsia="zh-CN"/>
        </w:rPr>
      </w:pPr>
    </w:p>
    <w:p w14:paraId="2F47DB39">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59" w:name="_Toc12265"/>
      <w:r>
        <w:rPr>
          <w:rFonts w:hint="eastAsia" w:ascii="仿宋" w:hAnsi="仿宋" w:eastAsia="仿宋" w:cs="仿宋"/>
          <w:color w:val="auto"/>
          <w:sz w:val="24"/>
          <w:highlight w:val="none"/>
          <w:lang w:val="en-US" w:eastAsia="zh-CN"/>
        </w:rPr>
        <w:t>二、抽检范围</w:t>
      </w:r>
      <w:bookmarkEnd w:id="59"/>
    </w:p>
    <w:p w14:paraId="3009262C">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仿宋" w:hAnsi="仿宋" w:eastAsia="仿宋" w:cs="仿宋"/>
          <w:snapToGrid w:val="0"/>
          <w:color w:val="000000"/>
          <w:spacing w:val="-2"/>
          <w:sz w:val="24"/>
          <w:szCs w:val="24"/>
          <w:highlight w:val="none"/>
          <w:lang w:val="en-US" w:eastAsia="zh-CN" w:bidi="ar-SA"/>
        </w:rPr>
      </w:pPr>
      <w:bookmarkStart w:id="60" w:name="_Toc12326"/>
      <w:bookmarkStart w:id="61" w:name="_Toc9599"/>
      <w:bookmarkStart w:id="62" w:name="_Toc13330"/>
      <w:r>
        <w:rPr>
          <w:rFonts w:hint="eastAsia" w:ascii="仿宋" w:hAnsi="仿宋" w:eastAsia="仿宋" w:cs="仿宋"/>
          <w:snapToGrid w:val="0"/>
          <w:color w:val="000000"/>
          <w:spacing w:val="-2"/>
          <w:sz w:val="24"/>
          <w:szCs w:val="24"/>
          <w:highlight w:val="none"/>
          <w:lang w:val="en-US" w:eastAsia="zh-CN" w:bidi="ar-SA"/>
        </w:rPr>
        <w:t>本项目招标范围具体见附表1</w:t>
      </w:r>
    </w:p>
    <w:p w14:paraId="365808BA">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63" w:name="_Toc18625"/>
      <w:r>
        <w:rPr>
          <w:rFonts w:hint="eastAsia" w:ascii="仿宋" w:hAnsi="仿宋" w:eastAsia="仿宋" w:cs="仿宋"/>
          <w:color w:val="auto"/>
          <w:sz w:val="24"/>
          <w:highlight w:val="none"/>
          <w:lang w:val="en-US" w:eastAsia="zh-CN"/>
        </w:rPr>
        <w:t>三、</w:t>
      </w:r>
      <w:r>
        <w:rPr>
          <w:rFonts w:hint="eastAsia" w:ascii="仿宋" w:hAnsi="仿宋" w:eastAsia="仿宋" w:cs="仿宋"/>
          <w:sz w:val="24"/>
          <w:highlight w:val="none"/>
          <w:lang w:val="en-US" w:eastAsia="zh-CN"/>
        </w:rPr>
        <w:t>服务要求</w:t>
      </w:r>
      <w:bookmarkEnd w:id="63"/>
    </w:p>
    <w:p w14:paraId="4EEF1D8A">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bookmarkStart w:id="64" w:name="_Toc293436570"/>
      <w:r>
        <w:rPr>
          <w:rFonts w:hint="eastAsia" w:ascii="仿宋" w:hAnsi="仿宋" w:eastAsia="仿宋" w:cs="仿宋"/>
          <w:color w:val="auto"/>
          <w:sz w:val="24"/>
          <w:szCs w:val="24"/>
          <w:highlight w:val="none"/>
          <w:lang w:val="en-US" w:eastAsia="zh-CN"/>
        </w:rPr>
        <w:t>1、根据国家商务部、发改委、财政部、海关总署等6部门联合发布的关于扩大跨境电商零售进口试点严格落实监管要求的通知内容，启动钱塘区跨境零售进口商品质量安全风险监测服务，中标人应按照海关对抽检范围附表内的检测标准，依据《中华人民共和国产品质量法》、《中华人民共和国食品安全法》等法律法规和采购单位要求，开展相关的抽样、检验检测、数据汇总和数据分析等工作，确保监测工作的公正性和有效性。</w:t>
      </w:r>
    </w:p>
    <w:p w14:paraId="4851AEFF">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2、制定方案：中标人须根据采购人要求提交具体方案。方案应当包括抽检的产品品种、样品数量、检验标准、检验项目、判定规则等项目，保证项目的完整性和真实性。</w:t>
      </w:r>
    </w:p>
    <w:p w14:paraId="121E6567">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接收抽样委托：一般情况下方案确定后，由杭州海关下沙办下达任务。中标人在接到产品质量风险监测相关文件或委托书后，组织安排好抽样相关人员及车辆，做好抽样工作。具体时间进度，在下达任务时商定。</w:t>
      </w:r>
    </w:p>
    <w:p w14:paraId="73DCFF53">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检测要求：由中标人根据方案要求对样品进行检验，中标人未经采购人或任务下达方同意将检验任务转包给其它检验机构，或修改检测项目，一经发现取消检验资格。鉴于部分跨境商品转为一般贸易进口，将扩大本次跨境零售进口商品质量安全风险监测服务的检测覆盖面及检测项目，同时如具备条件，按照贸易国标准进行双标准检测，重点关注商品安全、卫生、环保、反欺诈等项目的检测。</w:t>
      </w:r>
    </w:p>
    <w:p w14:paraId="6C07FEBA">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（1）实验场地要求：投标人应具有满足检测工作需要的、独立的、固定的实验场地。投标时需</w:t>
      </w:r>
      <w:r>
        <w:rPr>
          <w:rFonts w:hint="eastAsia" w:ascii="仿宋" w:hAnsi="仿宋" w:eastAsia="仿宋" w:cs="仿宋"/>
          <w:color w:val="auto"/>
          <w:sz w:val="24"/>
          <w:szCs w:val="24"/>
          <w:highlight w:val="none"/>
          <w:lang w:val="zh-CN" w:eastAsia="zh-CN"/>
        </w:rPr>
        <w:t>提供</w:t>
      </w:r>
      <w:r>
        <w:rPr>
          <w:rFonts w:hint="eastAsia" w:ascii="仿宋" w:hAnsi="仿宋" w:eastAsia="仿宋" w:cs="仿宋"/>
          <w:color w:val="auto"/>
          <w:sz w:val="24"/>
          <w:szCs w:val="24"/>
          <w:highlight w:val="none"/>
          <w:lang w:val="en-US" w:eastAsia="zh-CN"/>
        </w:rPr>
        <w:t>场所产权证明或有效租赁合同</w:t>
      </w:r>
      <w:r>
        <w:rPr>
          <w:rFonts w:hint="eastAsia" w:ascii="仿宋" w:hAnsi="仿宋" w:eastAsia="仿宋" w:cs="仿宋"/>
          <w:color w:val="auto"/>
          <w:sz w:val="24"/>
          <w:szCs w:val="24"/>
          <w:highlight w:val="none"/>
          <w:lang w:val="zh-CN" w:eastAsia="zh-CN"/>
        </w:rPr>
        <w:t>。</w:t>
      </w:r>
    </w:p>
    <w:p w14:paraId="2260D098">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应具有完成本项目消费品、电器产品、普通食品、保健品、化妆品、日化用品、动植物产品七大类产品的检测设备，检测设备在计量检定（校准）有效期内，能覆盖所承担项目需要，台套数能满足本项目承检样品检测需要。</w:t>
      </w:r>
    </w:p>
    <w:p w14:paraId="031E54AD">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（3）投标人应能够运用计算机与信息技术或自动设备对检测数据、信息资料进行采集、处理、分析、记录、报告或存贮；</w:t>
      </w:r>
    </w:p>
    <w:p w14:paraId="07085E30">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（4）仓储要求：投标人应具有满足检测工作需要的、独立的、固定的不小于50平方米的仓储场地用于存放抽检样品。投标时需</w:t>
      </w:r>
      <w:r>
        <w:rPr>
          <w:rFonts w:hint="eastAsia" w:ascii="仿宋" w:hAnsi="仿宋" w:eastAsia="仿宋" w:cs="仿宋"/>
          <w:color w:val="auto"/>
          <w:sz w:val="24"/>
          <w:szCs w:val="24"/>
          <w:highlight w:val="none"/>
          <w:lang w:val="zh-CN" w:eastAsia="zh-CN"/>
        </w:rPr>
        <w:t>提供</w:t>
      </w:r>
      <w:r>
        <w:rPr>
          <w:rFonts w:hint="eastAsia" w:ascii="仿宋" w:hAnsi="仿宋" w:eastAsia="仿宋" w:cs="仿宋"/>
          <w:color w:val="auto"/>
          <w:sz w:val="24"/>
          <w:szCs w:val="24"/>
          <w:highlight w:val="none"/>
          <w:lang w:val="en-US" w:eastAsia="zh-CN"/>
        </w:rPr>
        <w:t>场所产权证明或有效租赁合同</w:t>
      </w:r>
      <w:r>
        <w:rPr>
          <w:rFonts w:hint="eastAsia" w:ascii="仿宋" w:hAnsi="仿宋" w:eastAsia="仿宋" w:cs="仿宋"/>
          <w:color w:val="auto"/>
          <w:sz w:val="24"/>
          <w:szCs w:val="24"/>
          <w:highlight w:val="none"/>
          <w:lang w:val="zh-CN" w:eastAsia="zh-CN"/>
        </w:rPr>
        <w:t>。</w:t>
      </w:r>
    </w:p>
    <w:p w14:paraId="15F7DF66">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量管理要求：中标人要加强对样品采集实验室检测数据报送等关键环节的质量控制，确保检测结果准确可靠，采购人将通过随机抽查等形式开展对中标人的工作考核，并及时将有关问题向检验机构资质管理部门通报。</w:t>
      </w:r>
    </w:p>
    <w:p w14:paraId="3049F3D6">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6、中标人受采购人的委托，按照国标、行标、国外法律法规等和任务委托书等相关要求开展风险抽查中的检验检测、数据汇总、质量分析报告等工作。</w:t>
      </w:r>
    </w:p>
    <w:p w14:paraId="0CC4B498">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7、按照采购人的要求，在任务下达后2小时内，中标人能为采购人提供技术支撑。</w:t>
      </w:r>
    </w:p>
    <w:p w14:paraId="70376FA5">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8、中标人具有一定的风险抽查后勤保障能力。</w:t>
      </w:r>
    </w:p>
    <w:p w14:paraId="534EC76E">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9、中标人拥有承担风险监测所需的专业人员，应合理配备项目组成员架构和岗位，包括项目负责人、项目授权签字人、项目检验人员。中标人应承诺其授权负责人在合同有效期内应保持连续性。</w:t>
      </w:r>
    </w:p>
    <w:p w14:paraId="1B506F3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10、中标人应具备满足抽采样要求的专用采样车辆不少于2辆，用于采样商品的运输。</w:t>
      </w:r>
    </w:p>
    <w:p w14:paraId="44280BA8">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11、中标单位在中标后与采购单位签订年度检测合同，并按采购单位任务委托书相关内容具体执行检测服务，任务周期中包括的工作内容为当次任务委托书检测服务内容、数据汇总、质量分析报告等。</w:t>
      </w:r>
    </w:p>
    <w:bookmarkEnd w:id="64"/>
    <w:p w14:paraId="665D5581">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65" w:name="_Toc13650"/>
      <w:r>
        <w:rPr>
          <w:rFonts w:hint="eastAsia" w:ascii="仿宋" w:hAnsi="仿宋" w:eastAsia="仿宋" w:cs="仿宋"/>
          <w:color w:val="auto"/>
          <w:sz w:val="24"/>
          <w:highlight w:val="none"/>
          <w:lang w:val="en-US" w:eastAsia="zh-CN"/>
        </w:rPr>
        <w:t>四、检测期限</w:t>
      </w:r>
      <w:bookmarkEnd w:id="65"/>
    </w:p>
    <w:p w14:paraId="69541B42">
      <w:pPr>
        <w:snapToGrid w:val="0"/>
        <w:spacing w:line="360" w:lineRule="auto"/>
        <w:ind w:firstLine="480" w:firstLineChars="200"/>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中标人应在收到样品后30</w:t>
      </w:r>
      <w:r>
        <w:rPr>
          <w:rFonts w:hint="eastAsia" w:ascii="仿宋" w:hAnsi="仿宋" w:eastAsia="仿宋" w:cs="仿宋"/>
          <w:color w:val="auto"/>
          <w:sz w:val="24"/>
          <w:szCs w:val="24"/>
          <w:highlight w:val="none"/>
          <w:lang w:val="en-US" w:eastAsia="zh-Hans"/>
        </w:rPr>
        <w:t>天</w:t>
      </w:r>
      <w:r>
        <w:rPr>
          <w:rFonts w:hint="eastAsia" w:ascii="仿宋" w:hAnsi="仿宋" w:eastAsia="仿宋" w:cs="仿宋"/>
          <w:color w:val="auto"/>
          <w:sz w:val="24"/>
          <w:szCs w:val="24"/>
          <w:highlight w:val="none"/>
          <w:lang w:val="en-US" w:eastAsia="zh-CN"/>
        </w:rPr>
        <w:t>内完成检验工作（检验规范要求时间超出除外），并出具具有相关资质的检测报告和汇总表。</w:t>
      </w:r>
    </w:p>
    <w:p w14:paraId="6F1C5952">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66" w:name="_Toc8535"/>
      <w:bookmarkStart w:id="67" w:name="_Toc19583"/>
      <w:r>
        <w:rPr>
          <w:rFonts w:hint="eastAsia" w:ascii="仿宋" w:hAnsi="仿宋" w:eastAsia="仿宋" w:cs="仿宋"/>
          <w:color w:val="auto"/>
          <w:sz w:val="24"/>
          <w:highlight w:val="none"/>
          <w:lang w:val="en-US" w:eastAsia="zh-CN"/>
        </w:rPr>
        <w:t>五、数据报送</w:t>
      </w:r>
      <w:bookmarkEnd w:id="66"/>
      <w:bookmarkEnd w:id="67"/>
    </w:p>
    <w:p w14:paraId="618A0C3D">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中标人应在完成检验工作后按采购人要求提供具有相关资质的检测报告、汇总统计表、质量分析报告。</w:t>
      </w:r>
    </w:p>
    <w:p w14:paraId="34F28E72">
      <w:pPr>
        <w:snapToGrid w:val="0"/>
        <w:spacing w:line="360" w:lineRule="auto"/>
        <w:ind w:firstLine="480" w:firstLineChars="200"/>
        <w:rPr>
          <w:rFonts w:hint="eastAsia" w:ascii="仿宋" w:hAnsi="仿宋" w:eastAsia="仿宋" w:cs="仿宋"/>
          <w:color w:val="auto"/>
          <w:sz w:val="24"/>
          <w:highlight w:val="none"/>
          <w:lang w:val="en-US" w:eastAsia="zh-CN"/>
        </w:rPr>
      </w:pPr>
    </w:p>
    <w:p w14:paraId="55D3D9D0">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68" w:name="_Toc10699"/>
      <w:bookmarkStart w:id="69" w:name="_Toc8999"/>
      <w:r>
        <w:rPr>
          <w:rFonts w:hint="eastAsia" w:ascii="仿宋" w:hAnsi="仿宋" w:eastAsia="仿宋" w:cs="仿宋"/>
          <w:color w:val="auto"/>
          <w:sz w:val="24"/>
          <w:highlight w:val="none"/>
          <w:lang w:val="en-US" w:eastAsia="zh-CN"/>
        </w:rPr>
        <w:t>六、应急要求</w:t>
      </w:r>
      <w:bookmarkEnd w:id="68"/>
      <w:bookmarkEnd w:id="69"/>
    </w:p>
    <w:p w14:paraId="20008CB9">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中标人应当有专门针对突发事件且符合采购人需求的应急预案（包括应对突发事件的专业人员、专业设备等）。</w:t>
      </w:r>
    </w:p>
    <w:p w14:paraId="30FFE795">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70" w:name="_Toc15650"/>
      <w:bookmarkStart w:id="71" w:name="_Toc10352"/>
      <w:r>
        <w:rPr>
          <w:rFonts w:hint="eastAsia" w:ascii="仿宋" w:hAnsi="仿宋" w:eastAsia="仿宋" w:cs="仿宋"/>
          <w:color w:val="auto"/>
          <w:sz w:val="24"/>
          <w:highlight w:val="none"/>
          <w:lang w:val="en-US" w:eastAsia="zh-CN"/>
        </w:rPr>
        <w:t>七、服务标准</w:t>
      </w:r>
      <w:bookmarkEnd w:id="70"/>
      <w:bookmarkEnd w:id="71"/>
    </w:p>
    <w:p w14:paraId="294C4D2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项目需执行国家相关标准、行业标准、地方标准或者其他标准、规范。</w:t>
      </w:r>
    </w:p>
    <w:p w14:paraId="589FD25A">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72" w:name="_Toc1622"/>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lang w:val="en-US" w:eastAsia="zh-CN"/>
        </w:rPr>
        <w:t>项目团队要求</w:t>
      </w:r>
      <w:bookmarkEnd w:id="72"/>
    </w:p>
    <w:p w14:paraId="5AAC6D6E">
      <w:pPr>
        <w:pStyle w:val="18"/>
        <w:adjustRightInd w:val="0"/>
        <w:snapToGrid w:val="0"/>
        <w:spacing w:after="0"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1、项目实施过程中，需设项目负责人1名，具有3年（含）以上的产品质量风险监测或抽检负责经历且在本项目服务期内不作变动。</w:t>
      </w:r>
    </w:p>
    <w:p w14:paraId="3EDA4720">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2、除项目负责人外，需设项目授权签字人1名，具有5年（含）以上检验工作经历且具有</w:t>
      </w:r>
      <w:r>
        <w:rPr>
          <w:rFonts w:hint="eastAsia" w:ascii="仿宋" w:hAnsi="仿宋" w:eastAsia="仿宋" w:cs="仿宋"/>
          <w:bCs/>
          <w:sz w:val="24"/>
          <w:highlight w:val="none"/>
          <w:lang w:val="en-US" w:eastAsia="zh-CN"/>
        </w:rPr>
        <w:t>食品或化学专业</w:t>
      </w:r>
      <w:r>
        <w:rPr>
          <w:rFonts w:hint="eastAsia" w:ascii="仿宋" w:hAnsi="仿宋" w:eastAsia="仿宋" w:cs="仿宋"/>
          <w:color w:val="auto"/>
          <w:sz w:val="24"/>
          <w:szCs w:val="24"/>
          <w:highlight w:val="none"/>
          <w:lang w:val="en-US" w:eastAsia="zh-CN"/>
        </w:rPr>
        <w:t>中级及以上技术职称。</w:t>
      </w:r>
    </w:p>
    <w:p w14:paraId="57C2DA8F">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除项目负责人、项目授权签字人外，拟派项目检验人员不少于5人获得中级（含）以上技术职称。投标文件中应提供团队成员名单，每个专业人员的情况和数量应该明确表示，每个参加项目人员提供履历介绍，主要内容包括技术能力（例如取得的职称等；职称专业与本项目需求相关，例如</w:t>
      </w:r>
      <w:r>
        <w:rPr>
          <w:rFonts w:hint="eastAsia" w:ascii="仿宋" w:hAnsi="仿宋" w:eastAsia="仿宋" w:cs="仿宋"/>
          <w:bCs/>
          <w:sz w:val="24"/>
          <w:highlight w:val="none"/>
          <w:lang w:val="en-US" w:eastAsia="zh-CN"/>
        </w:rPr>
        <w:t>食品或化学专业等</w:t>
      </w:r>
      <w:r>
        <w:rPr>
          <w:rFonts w:hint="eastAsia" w:ascii="仿宋" w:hAnsi="仿宋" w:eastAsia="仿宋" w:cs="仿宋"/>
          <w:color w:val="auto"/>
          <w:sz w:val="24"/>
          <w:szCs w:val="24"/>
          <w:highlight w:val="none"/>
          <w:lang w:val="en-US" w:eastAsia="zh-CN"/>
        </w:rPr>
        <w:t>）、工作特长、经验与业绩、资质情况等，该人员参与的时间以及在项目中的责任。</w:t>
      </w:r>
      <w:r>
        <w:rPr>
          <w:rFonts w:hint="eastAsia" w:ascii="仿宋" w:hAnsi="仿宋" w:eastAsia="仿宋" w:cs="仿宋"/>
          <w:color w:val="auto"/>
          <w:sz w:val="24"/>
          <w:szCs w:val="24"/>
          <w:highlight w:val="none"/>
          <w:lang w:val="zh-CN" w:eastAsia="zh-CN"/>
        </w:rPr>
        <w:t>项目团队人员</w:t>
      </w:r>
      <w:r>
        <w:rPr>
          <w:rFonts w:hint="eastAsia" w:ascii="仿宋" w:hAnsi="仿宋" w:eastAsia="仿宋" w:cs="仿宋"/>
          <w:color w:val="auto"/>
          <w:sz w:val="24"/>
          <w:szCs w:val="24"/>
          <w:highlight w:val="none"/>
          <w:lang w:val="en-US" w:eastAsia="zh-CN"/>
        </w:rPr>
        <w:t>应具有相应资质或经验，可以满足项目需求。</w:t>
      </w:r>
    </w:p>
    <w:p w14:paraId="34F54C26">
      <w:pPr>
        <w:pStyle w:val="18"/>
        <w:adjustRightInd w:val="0"/>
        <w:snapToGrid w:val="0"/>
        <w:spacing w:after="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说明：以上人员均须提供</w:t>
      </w:r>
      <w:r>
        <w:rPr>
          <w:rFonts w:hint="eastAsia" w:ascii="仿宋" w:hAnsi="仿宋" w:eastAsia="仿宋" w:cs="仿宋"/>
          <w:b/>
          <w:bCs/>
          <w:color w:val="auto"/>
          <w:sz w:val="24"/>
          <w:highlight w:val="none"/>
          <w:lang w:val="en-US" w:eastAsia="zh-CN"/>
        </w:rPr>
        <w:t>投标人为其缴纳的、距投标截止时间3个月内任意时间出具的社保证明。否则人员不予认可。</w:t>
      </w:r>
    </w:p>
    <w:bookmarkEnd w:id="60"/>
    <w:bookmarkEnd w:id="61"/>
    <w:p w14:paraId="5507A7E5">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73" w:name="_Toc21051"/>
      <w:bookmarkStart w:id="74" w:name="_Toc22830"/>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lang w:val="en-US" w:eastAsia="zh-CN"/>
        </w:rPr>
        <w:t>、服务期限</w:t>
      </w:r>
      <w:bookmarkEnd w:id="73"/>
    </w:p>
    <w:p w14:paraId="721FD2C5">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w:t>
      </w:r>
    </w:p>
    <w:p w14:paraId="4184BC0E">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lang w:val="en-US" w:eastAsia="zh-CN"/>
        </w:rPr>
      </w:pPr>
      <w:bookmarkStart w:id="75" w:name="_Toc9339"/>
      <w:r>
        <w:rPr>
          <w:rFonts w:hint="eastAsia" w:ascii="仿宋" w:hAnsi="仿宋" w:eastAsia="仿宋" w:cs="仿宋"/>
          <w:color w:val="auto"/>
          <w:sz w:val="24"/>
          <w:highlight w:val="none"/>
          <w:lang w:val="en-US" w:eastAsia="zh-CN"/>
        </w:rPr>
        <w:t>十、商务要求</w:t>
      </w:r>
      <w:bookmarkEnd w:id="62"/>
      <w:bookmarkEnd w:id="74"/>
      <w:bookmarkEnd w:id="75"/>
    </w:p>
    <w:p w14:paraId="3D3B3918">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bookmarkStart w:id="76" w:name="_Toc8088"/>
      <w:bookmarkStart w:id="77" w:name="_Toc17459"/>
      <w:r>
        <w:rPr>
          <w:rFonts w:hint="eastAsia" w:ascii="仿宋" w:hAnsi="仿宋" w:eastAsia="仿宋" w:cs="仿宋"/>
          <w:b/>
          <w:bCs/>
          <w:color w:val="auto"/>
          <w:sz w:val="24"/>
          <w:highlight w:val="none"/>
          <w:lang w:val="en-US" w:eastAsia="zh-CN"/>
        </w:rPr>
        <w:t>（一）报价要求</w:t>
      </w:r>
    </w:p>
    <w:p w14:paraId="0E219317">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1、本次报价方式为总价包干，全部采用人民币报价。</w:t>
      </w:r>
    </w:p>
    <w:p w14:paraId="025A678D">
      <w:pPr>
        <w:adjustRightInd w:val="0"/>
        <w:snapToGrid w:val="0"/>
        <w:spacing w:line="360" w:lineRule="auto"/>
        <w:ind w:firstLine="480" w:firstLineChars="200"/>
        <w:jc w:val="left"/>
        <w:rPr>
          <w:rFonts w:hint="eastAsia" w:ascii="仿宋" w:hAnsi="仿宋" w:eastAsia="仿宋" w:cs="仿宋"/>
          <w:b/>
          <w:bCs/>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本次报价方式为综合单价固定不变（在合同执行期内，因各种原因而导致费用的增减，采购人均不考虑补偿），</w:t>
      </w:r>
      <w:r>
        <w:rPr>
          <w:rFonts w:hint="eastAsia" w:ascii="仿宋" w:hAnsi="仿宋" w:eastAsia="仿宋" w:cs="仿宋"/>
          <w:b/>
          <w:bCs/>
          <w:snapToGrid w:val="0"/>
          <w:color w:val="auto"/>
          <w:kern w:val="2"/>
          <w:sz w:val="24"/>
          <w:szCs w:val="21"/>
          <w:highlight w:val="none"/>
          <w:lang w:val="en-US" w:eastAsia="zh-CN" w:bidi="ar-SA"/>
        </w:rPr>
        <w:t>投标人应按照采购需求中（附表1）明确的计划批次数量报投标总价，该总价仅用于评审时计算各投标人的报价得分。结算时，按实际检测批次数量如实结算。</w:t>
      </w:r>
    </w:p>
    <w:p w14:paraId="71EE349D">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填报的综合单价应包括完成合同所涉及的全部内容，包含但不仅限于不限于完成招标文件规定的服务所需的人工、资料费、检测商品购买等全部费用，投标人应根据上述因素自行考虑含入投标总价。如以后已实施而未列入报价的费用将被视为投标人优惠，采购人均不予支付。</w:t>
      </w:r>
    </w:p>
    <w:p w14:paraId="1BC59CB7">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完成本项目服务所涉及的一切费用由投标人承担。费用清单需详细列明，不详细的部分采购人有权按最好效果、最高标准执行。</w:t>
      </w:r>
    </w:p>
    <w:p w14:paraId="3BF3BB0E">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3、投标人应认真计算可能发生的各相关费用并计入报价内，在项目实施过程中不得借此要求增加任何费用，并不得出现选择性的报价。</w:t>
      </w:r>
    </w:p>
    <w:p w14:paraId="1B1D4E62">
      <w:pPr>
        <w:pStyle w:val="18"/>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highlight w:val="none"/>
          <w:lang w:val="en-US" w:eastAsia="zh-CN"/>
        </w:rPr>
        <w:t>4、注意事项</w:t>
      </w:r>
    </w:p>
    <w:p w14:paraId="7F6C4B43">
      <w:pPr>
        <w:pStyle w:val="18"/>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本项目采购预算为人民币</w:t>
      </w:r>
      <w:r>
        <w:rPr>
          <w:rFonts w:hint="eastAsia" w:ascii="仿宋" w:hAnsi="仿宋" w:eastAsia="仿宋" w:cs="仿宋"/>
          <w:b/>
          <w:bCs/>
          <w:color w:val="auto"/>
          <w:sz w:val="24"/>
          <w:szCs w:val="24"/>
          <w:highlight w:val="none"/>
          <w:lang w:val="en-US" w:eastAsia="zh-CN"/>
        </w:rPr>
        <w:t>2800000</w:t>
      </w:r>
      <w:r>
        <w:rPr>
          <w:rFonts w:hint="eastAsia" w:ascii="仿宋" w:hAnsi="仿宋" w:eastAsia="仿宋" w:cs="仿宋"/>
          <w:b/>
          <w:bCs/>
          <w:color w:val="auto"/>
          <w:sz w:val="24"/>
          <w:szCs w:val="24"/>
          <w:highlight w:val="none"/>
        </w:rPr>
        <w:t>元，投标报价不得超过采购预算，否则其投标文件将作无效标处理</w:t>
      </w:r>
      <w:r>
        <w:rPr>
          <w:rFonts w:hint="eastAsia" w:ascii="仿宋" w:hAnsi="仿宋" w:eastAsia="仿宋" w:cs="仿宋"/>
          <w:b/>
          <w:bCs/>
          <w:sz w:val="24"/>
          <w:szCs w:val="24"/>
          <w:highlight w:val="none"/>
        </w:rPr>
        <w:t>。</w:t>
      </w:r>
    </w:p>
    <w:p w14:paraId="6ED9CA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（2）支付金额的上限为合同金额，如有超出，合同履约内容结束。中标人有义务提醒采购人项目总价的实时统计情况，以免工作量超限价。</w:t>
      </w:r>
    </w:p>
    <w:p w14:paraId="7C84F1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napToGrid w:val="0"/>
          <w:color w:val="auto"/>
          <w:kern w:val="0"/>
          <w:sz w:val="24"/>
          <w:szCs w:val="24"/>
          <w:highlight w:val="none"/>
          <w:lang w:val="en-US" w:eastAsia="zh-CN"/>
        </w:rPr>
      </w:pPr>
      <w:r>
        <w:rPr>
          <w:rFonts w:hint="eastAsia" w:ascii="仿宋" w:hAnsi="仿宋" w:eastAsia="仿宋" w:cs="仿宋"/>
          <w:b/>
          <w:bCs/>
          <w:snapToGrid w:val="0"/>
          <w:color w:val="auto"/>
          <w:kern w:val="0"/>
          <w:sz w:val="24"/>
          <w:szCs w:val="24"/>
          <w:highlight w:val="none"/>
          <w:lang w:val="en-US" w:eastAsia="zh-CN"/>
        </w:rPr>
        <w:t>（3）投标人报价低于（不含）项目预算50%的，应当在报价文件中详细阐述不影响产品/服务质量或者诚信履约的具体原因。</w:t>
      </w:r>
    </w:p>
    <w:p w14:paraId="03EF968B">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（三）履约保证金</w:t>
      </w:r>
    </w:p>
    <w:p w14:paraId="68E7BD46">
      <w:pPr>
        <w:pStyle w:val="18"/>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1、合同签</w:t>
      </w:r>
      <w:r>
        <w:rPr>
          <w:rFonts w:hint="eastAsia" w:ascii="仿宋" w:hAnsi="仿宋" w:eastAsia="仿宋" w:cs="仿宋"/>
          <w:bCs/>
          <w:sz w:val="24"/>
          <w:szCs w:val="24"/>
          <w:highlight w:val="none"/>
        </w:rPr>
        <w:t>订后</w:t>
      </w:r>
      <w:r>
        <w:rPr>
          <w:rFonts w:hint="eastAsia" w:ascii="仿宋" w:hAnsi="仿宋" w:eastAsia="仿宋" w:cs="仿宋"/>
          <w:bCs/>
          <w:sz w:val="24"/>
          <w:szCs w:val="24"/>
          <w:highlight w:val="none"/>
          <w:lang w:val="en-US" w:eastAsia="zh-CN"/>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个工作日内，中标人向采购人支付</w:t>
      </w:r>
      <w:r>
        <w:rPr>
          <w:rFonts w:hint="eastAsia" w:ascii="仿宋" w:hAnsi="仿宋" w:eastAsia="仿宋" w:cs="仿宋"/>
          <w:sz w:val="24"/>
          <w:szCs w:val="24"/>
          <w:highlight w:val="none"/>
          <w:u w:val="single"/>
          <w:lang w:eastAsia="zh-CN"/>
        </w:rPr>
        <w:t>预算</w:t>
      </w:r>
      <w:r>
        <w:rPr>
          <w:rFonts w:hint="eastAsia" w:ascii="仿宋" w:hAnsi="仿宋" w:eastAsia="仿宋" w:cs="仿宋"/>
          <w:sz w:val="24"/>
          <w:szCs w:val="24"/>
          <w:highlight w:val="none"/>
          <w:u w:val="single"/>
        </w:rPr>
        <w:t>金额的</w:t>
      </w:r>
      <w:r>
        <w:rPr>
          <w:rFonts w:hint="eastAsia" w:ascii="仿宋" w:hAnsi="仿宋" w:eastAsia="仿宋" w:cs="仿宋"/>
          <w:sz w:val="24"/>
          <w:szCs w:val="24"/>
          <w:highlight w:val="none"/>
          <w:u w:val="single"/>
          <w:lang w:val="en-US"/>
        </w:rPr>
        <w:t>1</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作为履约保证金。</w:t>
      </w:r>
    </w:p>
    <w:p w14:paraId="723E540E">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以支票、汇票、本票、保函等非现金形式缴纳或提交履约保证金。鼓励和支持</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以银行、保险公司出具的保函形式提供履约保证。</w:t>
      </w:r>
    </w:p>
    <w:p w14:paraId="57B77909">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3、项目全部义务履约完毕，如未出现违约责任则予以退还。有违约责任的，从合同款中扣除</w:t>
      </w:r>
      <w:r>
        <w:rPr>
          <w:rFonts w:hint="eastAsia" w:ascii="仿宋" w:hAnsi="仿宋" w:eastAsia="仿宋" w:cs="仿宋"/>
          <w:sz w:val="24"/>
          <w:szCs w:val="24"/>
          <w:highlight w:val="none"/>
          <w:lang w:val="en-US" w:eastAsia="zh-CN"/>
        </w:rPr>
        <w:t>违约金额，或中标人另行缴纳违约金</w:t>
      </w:r>
      <w:r>
        <w:rPr>
          <w:rFonts w:hint="eastAsia" w:ascii="仿宋" w:hAnsi="仿宋" w:eastAsia="仿宋" w:cs="仿宋"/>
          <w:sz w:val="24"/>
          <w:szCs w:val="24"/>
          <w:highlight w:val="none"/>
        </w:rPr>
        <w:t>。</w:t>
      </w:r>
    </w:p>
    <w:p w14:paraId="1AB3A465">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（四）付款方式</w:t>
      </w:r>
    </w:p>
    <w:p w14:paraId="3A487BB3">
      <w:pPr>
        <w:snapToGrid w:val="0"/>
        <w:spacing w:line="360" w:lineRule="auto"/>
        <w:ind w:firstLine="480" w:firstLineChars="200"/>
        <w:rPr>
          <w:rFonts w:hint="eastAsia" w:ascii="仿宋" w:hAnsi="仿宋" w:eastAsia="仿宋" w:cs="仿宋"/>
          <w:b w:val="0"/>
          <w:bCs w:val="0"/>
          <w:color w:val="auto"/>
          <w:sz w:val="24"/>
          <w:szCs w:val="24"/>
          <w:highlight w:val="none"/>
        </w:rPr>
      </w:pPr>
      <w:bookmarkStart w:id="78" w:name="_Toc223249716"/>
      <w:bookmarkStart w:id="79" w:name="_Toc132888838"/>
      <w:bookmarkStart w:id="80" w:name="_Toc418865233"/>
      <w:bookmarkStart w:id="81" w:name="_Toc16131"/>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合同生效以及具备实施条件后</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个工作日内，采购人支付中标人合同金额的</w:t>
      </w:r>
      <w:r>
        <w:rPr>
          <w:rFonts w:hint="eastAsia" w:ascii="仿宋" w:hAnsi="仿宋" w:eastAsia="仿宋" w:cs="仿宋"/>
          <w:b w:val="0"/>
          <w:bCs w:val="0"/>
          <w:color w:val="auto"/>
          <w:sz w:val="24"/>
          <w:szCs w:val="24"/>
          <w:highlight w:val="none"/>
          <w:lang w:val="en-US" w:eastAsia="zh-CN"/>
        </w:rPr>
        <w:t>50</w:t>
      </w:r>
      <w:r>
        <w:rPr>
          <w:rFonts w:hint="eastAsia" w:ascii="仿宋" w:hAnsi="仿宋" w:eastAsia="仿宋" w:cs="仿宋"/>
          <w:b w:val="0"/>
          <w:bCs w:val="0"/>
          <w:color w:val="auto"/>
          <w:sz w:val="24"/>
          <w:szCs w:val="24"/>
          <w:highlight w:val="none"/>
          <w:lang w:eastAsia="zh-CN"/>
        </w:rPr>
        <w:t>%作为预付款，预付款在后续合同款中作相应抵扣；（在签订合同时，中标人明确表示无需预付款或者主动要求降低预付款比例的，可不适用预付款相关规定。）</w:t>
      </w:r>
    </w:p>
    <w:p w14:paraId="716DFA07">
      <w:pPr>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2、合同履约期限满6个月后，采购人支付中标人合同金额的40%；</w:t>
      </w:r>
    </w:p>
    <w:p w14:paraId="5BE5DFFC">
      <w:pPr>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3、完成合同内所有服务内容并经采购人验收通过后，按实际检测批次数量如实结算。</w:t>
      </w:r>
    </w:p>
    <w:p w14:paraId="25947364">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4、说明：付款前，</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必须提供给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相应</w:t>
      </w:r>
      <w:r>
        <w:rPr>
          <w:rFonts w:hint="eastAsia" w:ascii="仿宋" w:hAnsi="仿宋" w:eastAsia="仿宋" w:cs="仿宋"/>
          <w:color w:val="auto"/>
          <w:sz w:val="24"/>
          <w:szCs w:val="24"/>
          <w:highlight w:val="none"/>
          <w:lang w:val="en-US" w:eastAsia="zh-CN"/>
        </w:rPr>
        <w:t>款项</w:t>
      </w:r>
      <w:r>
        <w:rPr>
          <w:rFonts w:hint="eastAsia" w:ascii="仿宋" w:hAnsi="仿宋" w:eastAsia="仿宋" w:cs="仿宋"/>
          <w:color w:val="auto"/>
          <w:sz w:val="24"/>
          <w:szCs w:val="24"/>
          <w:highlight w:val="none"/>
        </w:rPr>
        <w:t>一致的全额、正规、合法、有效的发票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采购人自收到中标人</w:t>
      </w:r>
      <w:r>
        <w:rPr>
          <w:rFonts w:hint="eastAsia" w:ascii="仿宋" w:hAnsi="仿宋" w:eastAsia="仿宋" w:cs="仿宋"/>
          <w:color w:val="auto"/>
          <w:sz w:val="24"/>
          <w:szCs w:val="24"/>
          <w:highlight w:val="none"/>
          <w:lang w:val="en-US" w:eastAsia="zh-CN"/>
        </w:rPr>
        <w:t>支付申请及发票的5</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lang w:eastAsia="zh-CN"/>
        </w:rPr>
        <w:t>支付相应款项。</w:t>
      </w:r>
      <w:r>
        <w:rPr>
          <w:rFonts w:hint="eastAsia" w:ascii="仿宋" w:hAnsi="仿宋" w:eastAsia="仿宋" w:cs="仿宋"/>
          <w:color w:val="auto"/>
          <w:sz w:val="24"/>
          <w:szCs w:val="24"/>
          <w:highlight w:val="none"/>
          <w:lang w:val="en-US" w:eastAsia="zh-CN"/>
        </w:rPr>
        <w:t>如因财政支付原因付款时间延后的，按招标人要求执行。</w:t>
      </w:r>
    </w:p>
    <w:bookmarkEnd w:id="78"/>
    <w:bookmarkEnd w:id="79"/>
    <w:bookmarkEnd w:id="80"/>
    <w:bookmarkEnd w:id="81"/>
    <w:p w14:paraId="20A01FA8">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highlight w:val="none"/>
        </w:rPr>
      </w:pPr>
      <w:bookmarkStart w:id="82" w:name="_Toc18078"/>
      <w:r>
        <w:rPr>
          <w:rFonts w:hint="eastAsia" w:ascii="仿宋" w:hAnsi="仿宋" w:eastAsia="仿宋" w:cs="仿宋"/>
          <w:color w:val="auto"/>
          <w:sz w:val="24"/>
          <w:highlight w:val="none"/>
          <w:lang w:eastAsia="zh-CN"/>
        </w:rPr>
        <w:t>十一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w:t>
      </w:r>
      <w:bookmarkEnd w:id="76"/>
      <w:bookmarkEnd w:id="77"/>
      <w:bookmarkEnd w:id="82"/>
    </w:p>
    <w:p w14:paraId="63428AD0">
      <w:pPr>
        <w:tabs>
          <w:tab w:val="left" w:pos="540"/>
        </w:tabs>
        <w:adjustRightInd w:val="0"/>
        <w:snapToGrid w:val="0"/>
        <w:spacing w:line="360" w:lineRule="auto"/>
        <w:ind w:firstLine="480" w:firstLineChars="200"/>
        <w:rPr>
          <w:rFonts w:hint="eastAsia" w:ascii="仿宋" w:hAnsi="仿宋" w:eastAsia="仿宋" w:cs="仿宋"/>
          <w:sz w:val="24"/>
          <w:szCs w:val="24"/>
          <w:highlight w:val="none"/>
        </w:rPr>
      </w:pPr>
      <w:bookmarkStart w:id="83" w:name="_Toc28074"/>
      <w:bookmarkStart w:id="84" w:name="_Toc29425"/>
      <w:r>
        <w:rPr>
          <w:rFonts w:hint="eastAsia" w:ascii="仿宋" w:hAnsi="仿宋" w:eastAsia="仿宋" w:cs="仿宋"/>
          <w:sz w:val="24"/>
          <w:szCs w:val="24"/>
          <w:highlight w:val="none"/>
        </w:rPr>
        <w:t>1、本项目组织履约验收，验收合格的情况作为项目支付的依据。</w:t>
      </w:r>
    </w:p>
    <w:p w14:paraId="304FFC25">
      <w:pPr>
        <w:pStyle w:val="2"/>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2.最终验收时间：服务履约期满或支付费用达到合同约定金额（以先满足的条件为准）。</w:t>
      </w:r>
    </w:p>
    <w:p w14:paraId="401DE609">
      <w:pPr>
        <w:tabs>
          <w:tab w:val="left" w:pos="540"/>
        </w:tabs>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、验收依据：①</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文件确定的技术指标或者服务要求；②响应文件承诺、询标回复；③服务合同。未进行相应约定的，应当符合国家强制性规定、政策要求、安全标准、行业或企业有关标准等。</w:t>
      </w:r>
    </w:p>
    <w:p w14:paraId="2A10ED13">
      <w:pPr>
        <w:tabs>
          <w:tab w:val="left" w:pos="540"/>
        </w:tabs>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、本项目的验收标准：①服务质量反馈；②服务台账，要求台账记录清晰完整、材料完备。</w:t>
      </w:r>
    </w:p>
    <w:p w14:paraId="7F3E0FBF">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szCs w:val="24"/>
          <w:highlight w:val="none"/>
        </w:rPr>
      </w:pPr>
      <w:bookmarkStart w:id="85" w:name="_Toc9595"/>
      <w:r>
        <w:rPr>
          <w:rFonts w:hint="eastAsia" w:ascii="仿宋" w:hAnsi="仿宋" w:eastAsia="仿宋" w:cs="仿宋"/>
          <w:color w:val="auto"/>
          <w:sz w:val="24"/>
          <w:highlight w:val="none"/>
          <w:lang w:val="en-US" w:eastAsia="zh-CN"/>
        </w:rPr>
        <w:t>十二</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投标要求</w:t>
      </w:r>
      <w:bookmarkEnd w:id="83"/>
      <w:bookmarkEnd w:id="84"/>
      <w:bookmarkEnd w:id="85"/>
    </w:p>
    <w:p w14:paraId="5F693D55">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color w:val="auto"/>
          <w:sz w:val="24"/>
          <w:szCs w:val="24"/>
          <w:highlight w:val="none"/>
          <w:lang w:eastAsia="zh-CN"/>
        </w:rPr>
      </w:pPr>
      <w:bookmarkStart w:id="86" w:name="_Toc7437"/>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投标人履约能力</w:t>
      </w:r>
    </w:p>
    <w:p w14:paraId="0E37D051">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1、为确保项目的顺利实施，</w:t>
      </w: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lang w:val="en-US" w:eastAsia="zh-CN"/>
        </w:rPr>
        <w:t>(如联合体投标，以联合体牵头方为准)</w:t>
      </w:r>
      <w:r>
        <w:rPr>
          <w:rFonts w:hint="eastAsia" w:ascii="仿宋" w:hAnsi="仿宋" w:eastAsia="仿宋" w:cs="仿宋"/>
          <w:bCs/>
          <w:sz w:val="24"/>
          <w:szCs w:val="24"/>
          <w:highlight w:val="none"/>
        </w:rPr>
        <w:t>应有</w:t>
      </w:r>
      <w:r>
        <w:rPr>
          <w:rFonts w:hint="eastAsia" w:ascii="仿宋" w:hAnsi="仿宋" w:eastAsia="仿宋" w:cs="仿宋"/>
          <w:sz w:val="24"/>
          <w:szCs w:val="24"/>
          <w:highlight w:val="none"/>
        </w:rPr>
        <w:t>承担过跨境</w:t>
      </w:r>
      <w:r>
        <w:rPr>
          <w:rFonts w:hint="eastAsia" w:ascii="仿宋" w:hAnsi="仿宋" w:eastAsia="仿宋" w:cs="仿宋"/>
          <w:sz w:val="24"/>
          <w:szCs w:val="24"/>
          <w:highlight w:val="none"/>
          <w:lang w:val="en-US" w:eastAsia="zh-CN"/>
        </w:rPr>
        <w:t>电商商品</w:t>
      </w:r>
      <w:r>
        <w:rPr>
          <w:rFonts w:hint="eastAsia" w:ascii="仿宋" w:hAnsi="仿宋" w:eastAsia="仿宋" w:cs="仿宋"/>
          <w:sz w:val="24"/>
          <w:szCs w:val="24"/>
          <w:highlight w:val="none"/>
        </w:rPr>
        <w:t>质量安全风险监测任务的项目业绩</w:t>
      </w:r>
      <w:r>
        <w:rPr>
          <w:rFonts w:hint="eastAsia" w:ascii="仿宋" w:hAnsi="仿宋" w:eastAsia="仿宋" w:cs="仿宋"/>
          <w:bCs/>
          <w:sz w:val="24"/>
          <w:szCs w:val="24"/>
          <w:highlight w:val="none"/>
        </w:rPr>
        <w:t>项目经验</w:t>
      </w:r>
      <w:r>
        <w:rPr>
          <w:rFonts w:hint="eastAsia" w:ascii="仿宋" w:hAnsi="仿宋" w:eastAsia="仿宋" w:cs="仿宋"/>
          <w:bCs/>
          <w:color w:val="auto"/>
          <w:sz w:val="24"/>
          <w:szCs w:val="24"/>
          <w:highlight w:val="none"/>
        </w:rPr>
        <w:t>。</w:t>
      </w:r>
    </w:p>
    <w:p w14:paraId="716F7ADD">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rPr>
        <w:t>2、</w:t>
      </w:r>
      <w:r>
        <w:rPr>
          <w:rFonts w:hint="eastAsia" w:ascii="仿宋" w:hAnsi="仿宋" w:eastAsia="仿宋" w:cs="仿宋"/>
          <w:bCs/>
          <w:sz w:val="24"/>
          <w:szCs w:val="24"/>
          <w:highlight w:val="none"/>
          <w:lang w:val="en-US" w:eastAsia="zh-CN"/>
        </w:rPr>
        <w:t>根据本项目工作内容，投标人具有与商品检测及服务要求有关的资信材料：</w:t>
      </w:r>
    </w:p>
    <w:p w14:paraId="3E667A0C">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①投标人曾被相关行政主管部门要求承担开展非洲猪瘟检测工作的，出具证明材料；</w:t>
      </w:r>
    </w:p>
    <w:p w14:paraId="31D71B47">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②</w:t>
      </w:r>
      <w:r>
        <w:rPr>
          <w:rFonts w:hint="eastAsia" w:ascii="仿宋" w:hAnsi="仿宋" w:eastAsia="仿宋" w:cs="仿宋"/>
          <w:color w:val="auto"/>
          <w:sz w:val="24"/>
          <w:szCs w:val="24"/>
          <w:highlight w:val="none"/>
          <w:lang w:eastAsia="zh-CN"/>
        </w:rPr>
        <w:t>承担本项目</w:t>
      </w:r>
      <w:r>
        <w:rPr>
          <w:rFonts w:hint="eastAsia" w:ascii="仿宋" w:hAnsi="仿宋" w:eastAsia="仿宋" w:cs="仿宋"/>
          <w:bCs/>
          <w:sz w:val="24"/>
          <w:szCs w:val="24"/>
          <w:highlight w:val="none"/>
          <w:lang w:val="en-US" w:eastAsia="zh-CN"/>
        </w:rPr>
        <w:t>承检产品</w:t>
      </w:r>
      <w:r>
        <w:rPr>
          <w:rFonts w:hint="eastAsia" w:ascii="仿宋" w:hAnsi="仿宋" w:eastAsia="仿宋" w:cs="仿宋"/>
          <w:color w:val="auto"/>
          <w:sz w:val="24"/>
          <w:szCs w:val="24"/>
          <w:highlight w:val="none"/>
          <w:lang w:eastAsia="zh-CN"/>
        </w:rPr>
        <w:t>检测的实验室在近3年内曾获得实验室能力验证</w:t>
      </w:r>
      <w:r>
        <w:rPr>
          <w:rFonts w:hint="eastAsia" w:ascii="仿宋" w:hAnsi="仿宋" w:eastAsia="仿宋" w:cs="仿宋"/>
          <w:bCs/>
          <w:sz w:val="24"/>
          <w:szCs w:val="24"/>
          <w:highlight w:val="none"/>
          <w:lang w:val="en-US" w:eastAsia="zh-CN"/>
        </w:rPr>
        <w:t>的，出具能力验证结果报告等相关证明材料复印件；</w:t>
      </w:r>
    </w:p>
    <w:p w14:paraId="25D6C634">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投标人应能提供快速的服务响应，具有较强的项目管理、技术服务和组织实施能力。</w:t>
      </w:r>
    </w:p>
    <w:p w14:paraId="26AACB73">
      <w:pPr>
        <w:pStyle w:val="1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）投标时对方案的要求</w:t>
      </w:r>
    </w:p>
    <w:p w14:paraId="5CC358A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参与本项目应有完整的、可行的</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方案，对</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文件提出</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lang w:eastAsia="zh-CN"/>
        </w:rPr>
        <w:t>服务</w:t>
      </w:r>
      <w:r>
        <w:rPr>
          <w:rFonts w:hint="eastAsia" w:ascii="仿宋" w:hAnsi="仿宋" w:eastAsia="仿宋" w:cs="仿宋"/>
          <w:kern w:val="0"/>
          <w:sz w:val="24"/>
          <w:szCs w:val="24"/>
          <w:highlight w:val="none"/>
        </w:rPr>
        <w:t>要求予以响应。</w:t>
      </w:r>
      <w:r>
        <w:rPr>
          <w:rFonts w:hint="eastAsia" w:ascii="仿宋" w:hAnsi="仿宋" w:eastAsia="仿宋" w:cs="仿宋"/>
          <w:kern w:val="0"/>
          <w:sz w:val="24"/>
          <w:szCs w:val="24"/>
          <w:highlight w:val="none"/>
          <w:lang w:val="en-US" w:eastAsia="zh-CN"/>
        </w:rPr>
        <w:t>结合自身资源与项目特点，投标时需根据自身经验针对本需求编制响应方案。</w:t>
      </w:r>
    </w:p>
    <w:p w14:paraId="3D18B14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2、投标文件内容在涵盖对本项目采购内容及需求中列明全部内容的响应之外，还应包括但不限于以下内容：</w:t>
      </w:r>
    </w:p>
    <w:bookmarkEnd w:id="86"/>
    <w:p w14:paraId="698F2955">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投标人需结合对本项目采购需求的理解，针对本项目重点、难点进行分析并提出相应解决措施。</w:t>
      </w:r>
    </w:p>
    <w:p w14:paraId="1C6CBF18">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投标人</w:t>
      </w:r>
      <w:r>
        <w:rPr>
          <w:rFonts w:hint="eastAsia" w:ascii="仿宋" w:hAnsi="仿宋" w:eastAsia="仿宋" w:cs="仿宋"/>
          <w:kern w:val="0"/>
          <w:sz w:val="24"/>
          <w:szCs w:val="24"/>
          <w:highlight w:val="none"/>
          <w:lang w:eastAsia="zh-CN"/>
        </w:rPr>
        <w:t>需</w:t>
      </w:r>
      <w:r>
        <w:rPr>
          <w:rFonts w:hint="eastAsia" w:ascii="仿宋" w:hAnsi="仿宋" w:eastAsia="仿宋" w:cs="仿宋"/>
          <w:kern w:val="0"/>
          <w:sz w:val="24"/>
          <w:szCs w:val="24"/>
          <w:highlight w:val="none"/>
        </w:rPr>
        <w:t>根据自身经验</w:t>
      </w:r>
      <w:r>
        <w:rPr>
          <w:rFonts w:hint="eastAsia" w:ascii="仿宋" w:hAnsi="仿宋" w:eastAsia="仿宋" w:cs="仿宋"/>
          <w:kern w:val="0"/>
          <w:sz w:val="24"/>
          <w:szCs w:val="24"/>
          <w:highlight w:val="none"/>
          <w:lang w:eastAsia="zh-CN"/>
        </w:rPr>
        <w:t>制定</w:t>
      </w:r>
      <w:r>
        <w:rPr>
          <w:rFonts w:hint="eastAsia" w:ascii="仿宋" w:hAnsi="仿宋" w:eastAsia="仿宋" w:cs="仿宋"/>
          <w:sz w:val="24"/>
          <w:szCs w:val="24"/>
          <w:highlight w:val="none"/>
        </w:rPr>
        <w:t>风险监测工作方案</w:t>
      </w:r>
      <w:r>
        <w:rPr>
          <w:rFonts w:hint="eastAsia" w:ascii="仿宋" w:hAnsi="仿宋" w:eastAsia="仿宋" w:cs="仿宋"/>
          <w:sz w:val="24"/>
          <w:szCs w:val="24"/>
          <w:highlight w:val="none"/>
          <w:lang w:eastAsia="zh-CN"/>
        </w:rPr>
        <w:t>，包括检验检测方案、</w:t>
      </w:r>
      <w:r>
        <w:rPr>
          <w:rFonts w:hint="eastAsia" w:ascii="仿宋" w:hAnsi="仿宋" w:eastAsia="仿宋" w:cs="仿宋"/>
          <w:color w:val="auto"/>
          <w:sz w:val="24"/>
          <w:szCs w:val="24"/>
          <w:highlight w:val="none"/>
          <w:lang w:eastAsia="zh-CN"/>
        </w:rPr>
        <w:t>抽样及物流安排</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（包括</w:t>
      </w:r>
      <w:r>
        <w:rPr>
          <w:rFonts w:hint="eastAsia" w:ascii="仿宋" w:hAnsi="仿宋" w:eastAsia="仿宋" w:cs="仿宋"/>
          <w:sz w:val="24"/>
          <w:szCs w:val="24"/>
          <w:highlight w:val="none"/>
        </w:rPr>
        <w:t>确定抽样时间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抽样相关人员及车辆</w:t>
      </w:r>
      <w:r>
        <w:rPr>
          <w:rFonts w:hint="eastAsia" w:ascii="仿宋" w:hAnsi="仿宋" w:eastAsia="仿宋" w:cs="仿宋"/>
          <w:sz w:val="24"/>
          <w:szCs w:val="24"/>
          <w:highlight w:val="none"/>
          <w:lang w:eastAsia="zh-CN"/>
        </w:rPr>
        <w:t>、检测商品送达时间等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数据汇总</w:t>
      </w:r>
      <w:r>
        <w:rPr>
          <w:rFonts w:hint="eastAsia" w:ascii="仿宋" w:hAnsi="仿宋" w:eastAsia="仿宋" w:cs="仿宋"/>
          <w:sz w:val="24"/>
          <w:szCs w:val="24"/>
          <w:highlight w:val="none"/>
          <w:lang w:eastAsia="zh-CN"/>
        </w:rPr>
        <w:t>（包括</w:t>
      </w:r>
      <w:r>
        <w:rPr>
          <w:rFonts w:hint="eastAsia" w:ascii="仿宋" w:hAnsi="仿宋" w:eastAsia="仿宋" w:cs="仿宋"/>
          <w:sz w:val="24"/>
          <w:szCs w:val="24"/>
          <w:highlight w:val="none"/>
        </w:rPr>
        <w:t>检测报告、汇总统计表、质量分析报告</w:t>
      </w:r>
      <w:r>
        <w:rPr>
          <w:rFonts w:hint="eastAsia" w:ascii="仿宋" w:hAnsi="仿宋" w:eastAsia="仿宋" w:cs="仿宋"/>
          <w:sz w:val="24"/>
          <w:szCs w:val="24"/>
          <w:highlight w:val="none"/>
          <w:lang w:eastAsia="zh-CN"/>
        </w:rPr>
        <w:t>等）。</w:t>
      </w:r>
    </w:p>
    <w:p w14:paraId="6F7AB710">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管理制度</w:t>
      </w:r>
      <w:r>
        <w:rPr>
          <w:rFonts w:hint="eastAsia" w:ascii="仿宋" w:hAnsi="仿宋" w:eastAsia="仿宋" w:cs="仿宋"/>
          <w:sz w:val="24"/>
          <w:szCs w:val="24"/>
          <w:highlight w:val="none"/>
          <w:lang w:eastAsia="zh-CN"/>
        </w:rPr>
        <w:t>。</w:t>
      </w:r>
      <w:r>
        <w:rPr>
          <w:rFonts w:hint="eastAsia" w:ascii="仿宋" w:hAnsi="仿宋" w:eastAsia="仿宋" w:cs="仿宋"/>
          <w:bCs/>
          <w:sz w:val="24"/>
          <w:szCs w:val="24"/>
          <w:highlight w:val="none"/>
          <w:lang w:val="en-US" w:eastAsia="zh-CN"/>
        </w:rPr>
        <w:t>投标人应具完善的</w:t>
      </w:r>
      <w:r>
        <w:rPr>
          <w:rFonts w:hint="eastAsia" w:ascii="仿宋" w:hAnsi="仿宋" w:eastAsia="仿宋" w:cs="仿宋"/>
          <w:bCs/>
          <w:sz w:val="24"/>
          <w:szCs w:val="24"/>
          <w:highlight w:val="none"/>
        </w:rPr>
        <w:t>组织结构</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管理制度</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单位质量管理体系</w:t>
      </w:r>
      <w:r>
        <w:rPr>
          <w:rFonts w:hint="eastAsia" w:ascii="仿宋" w:hAnsi="仿宋" w:eastAsia="仿宋" w:cs="仿宋"/>
          <w:bCs/>
          <w:sz w:val="24"/>
          <w:szCs w:val="24"/>
          <w:highlight w:val="none"/>
          <w:lang w:eastAsia="zh-CN"/>
        </w:rPr>
        <w:t>、风险监测抽查相关制度。</w:t>
      </w:r>
    </w:p>
    <w:p w14:paraId="77F3F615">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针对本项目制定应急保障措施方案，如针对突发事件</w:t>
      </w:r>
      <w:r>
        <w:rPr>
          <w:rFonts w:hint="eastAsia" w:ascii="仿宋" w:hAnsi="仿宋" w:eastAsia="仿宋" w:cs="仿宋"/>
          <w:sz w:val="24"/>
          <w:szCs w:val="24"/>
          <w:highlight w:val="none"/>
          <w:lang w:eastAsia="zh-CN"/>
        </w:rPr>
        <w:t>制定</w:t>
      </w:r>
      <w:r>
        <w:rPr>
          <w:rFonts w:hint="eastAsia" w:ascii="仿宋" w:hAnsi="仿宋" w:eastAsia="仿宋" w:cs="仿宋"/>
          <w:sz w:val="24"/>
          <w:szCs w:val="24"/>
          <w:highlight w:val="none"/>
        </w:rPr>
        <w:t>符合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需求的应急保障措施</w:t>
      </w:r>
      <w:r>
        <w:rPr>
          <w:rFonts w:hint="eastAsia" w:ascii="仿宋" w:hAnsi="仿宋" w:eastAsia="仿宋" w:cs="仿宋"/>
          <w:sz w:val="24"/>
          <w:szCs w:val="24"/>
          <w:highlight w:val="none"/>
          <w:lang w:eastAsia="zh-CN"/>
        </w:rPr>
        <w:t>（包括</w:t>
      </w:r>
      <w:r>
        <w:rPr>
          <w:rFonts w:hint="eastAsia" w:ascii="仿宋" w:hAnsi="仿宋" w:eastAsia="仿宋" w:cs="仿宋"/>
          <w:sz w:val="24"/>
          <w:szCs w:val="24"/>
          <w:highlight w:val="none"/>
        </w:rPr>
        <w:t>有</w:t>
      </w:r>
      <w:r>
        <w:rPr>
          <w:rFonts w:hint="eastAsia" w:ascii="仿宋" w:hAnsi="仿宋" w:eastAsia="仿宋" w:cs="仿宋"/>
          <w:sz w:val="24"/>
          <w:szCs w:val="24"/>
          <w:highlight w:val="none"/>
          <w:lang w:eastAsia="zh-CN"/>
        </w:rPr>
        <w:t>能力</w:t>
      </w:r>
      <w:r>
        <w:rPr>
          <w:rFonts w:hint="eastAsia" w:ascii="仿宋" w:hAnsi="仿宋" w:eastAsia="仿宋" w:cs="仿宋"/>
          <w:sz w:val="24"/>
          <w:szCs w:val="24"/>
          <w:highlight w:val="none"/>
        </w:rPr>
        <w:t>应对突发事件的专业人员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专业设备及应急响应时间等</w:t>
      </w:r>
      <w:r>
        <w:rPr>
          <w:rFonts w:hint="eastAsia" w:ascii="仿宋" w:hAnsi="仿宋" w:eastAsia="仿宋" w:cs="仿宋"/>
          <w:sz w:val="24"/>
          <w:szCs w:val="24"/>
          <w:highlight w:val="none"/>
          <w:lang w:eastAsia="zh-CN"/>
        </w:rPr>
        <w:t>）</w:t>
      </w:r>
    </w:p>
    <w:p w14:paraId="100CD192">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投标人应出具针对拟检测项目（详见采购需求书附表1）覆盖率情况、检验标准、具备CNAS或CMA资质情况的承诺函。</w:t>
      </w:r>
    </w:p>
    <w:p w14:paraId="56015E73">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针对本项目的需求制定保证按时完成</w:t>
      </w:r>
      <w:r>
        <w:rPr>
          <w:rFonts w:hint="eastAsia" w:ascii="仿宋" w:hAnsi="仿宋" w:eastAsia="仿宋" w:cs="仿宋"/>
          <w:sz w:val="24"/>
          <w:szCs w:val="24"/>
          <w:highlight w:val="none"/>
          <w:lang w:val="en-US"/>
        </w:rPr>
        <w:t>检测</w:t>
      </w:r>
      <w:r>
        <w:rPr>
          <w:rFonts w:hint="eastAsia" w:ascii="仿宋" w:hAnsi="仿宋" w:eastAsia="仿宋" w:cs="仿宋"/>
          <w:sz w:val="24"/>
          <w:szCs w:val="24"/>
          <w:highlight w:val="none"/>
          <w:lang w:val="en-US" w:eastAsia="zh-CN"/>
        </w:rPr>
        <w:t>的</w:t>
      </w:r>
      <w:r>
        <w:rPr>
          <w:rFonts w:hint="eastAsia" w:ascii="仿宋" w:hAnsi="仿宋" w:eastAsia="仿宋" w:cs="仿宋"/>
          <w:bCs/>
          <w:sz w:val="24"/>
          <w:szCs w:val="24"/>
          <w:highlight w:val="none"/>
        </w:rPr>
        <w:t>进度</w:t>
      </w:r>
      <w:r>
        <w:rPr>
          <w:rFonts w:hint="eastAsia" w:ascii="仿宋" w:hAnsi="仿宋" w:eastAsia="仿宋" w:cs="仿宋"/>
          <w:color w:val="auto"/>
          <w:kern w:val="0"/>
          <w:sz w:val="24"/>
          <w:szCs w:val="24"/>
          <w:highlight w:val="none"/>
          <w:lang w:val="en-US" w:eastAsia="zh-CN"/>
        </w:rPr>
        <w:t>计划，进度计划应包括时间安排、各阶段工作内容、</w:t>
      </w:r>
      <w:r>
        <w:rPr>
          <w:rFonts w:hint="eastAsia" w:ascii="仿宋" w:hAnsi="仿宋" w:eastAsia="仿宋" w:cs="仿宋"/>
          <w:bCs/>
          <w:sz w:val="24"/>
          <w:szCs w:val="24"/>
          <w:highlight w:val="none"/>
        </w:rPr>
        <w:t>节点控制</w:t>
      </w:r>
      <w:r>
        <w:rPr>
          <w:rFonts w:hint="eastAsia" w:ascii="仿宋" w:hAnsi="仿宋" w:eastAsia="仿宋" w:cs="仿宋"/>
          <w:color w:val="auto"/>
          <w:kern w:val="0"/>
          <w:sz w:val="24"/>
          <w:szCs w:val="24"/>
          <w:highlight w:val="none"/>
          <w:lang w:val="en-US" w:eastAsia="zh-CN"/>
        </w:rPr>
        <w:t>等。</w:t>
      </w:r>
    </w:p>
    <w:p w14:paraId="31179DBB">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lang w:val="en-US" w:eastAsia="zh-CN"/>
        </w:rPr>
        <w:t>投标人需针对本项目制定</w:t>
      </w:r>
      <w:r>
        <w:rPr>
          <w:rFonts w:hint="eastAsia" w:ascii="仿宋" w:hAnsi="仿宋" w:eastAsia="仿宋" w:cs="仿宋"/>
          <w:bCs/>
          <w:color w:val="auto"/>
          <w:sz w:val="24"/>
          <w:szCs w:val="24"/>
          <w:highlight w:val="none"/>
          <w:lang w:val="en-US" w:eastAsia="zh-CN"/>
        </w:rPr>
        <w:t>质量控制方案，根据投标人编制的质量控制方案（</w:t>
      </w:r>
      <w:r>
        <w:rPr>
          <w:rFonts w:hint="eastAsia" w:ascii="仿宋" w:hAnsi="仿宋" w:eastAsia="仿宋" w:cs="仿宋"/>
          <w:sz w:val="24"/>
          <w:szCs w:val="24"/>
          <w:highlight w:val="none"/>
        </w:rPr>
        <w:t>样品采集实验室检测数据报送等</w:t>
      </w:r>
      <w:r>
        <w:rPr>
          <w:rFonts w:hint="eastAsia" w:ascii="仿宋" w:hAnsi="仿宋" w:eastAsia="仿宋" w:cs="仿宋"/>
          <w:bCs/>
          <w:color w:val="auto"/>
          <w:sz w:val="24"/>
          <w:szCs w:val="24"/>
          <w:highlight w:val="none"/>
          <w:lang w:val="en-US" w:eastAsia="zh-CN"/>
        </w:rPr>
        <w:t>）</w:t>
      </w:r>
      <w:r>
        <w:rPr>
          <w:rFonts w:hint="eastAsia" w:ascii="仿宋" w:hAnsi="仿宋" w:eastAsia="仿宋" w:cs="仿宋"/>
          <w:snapToGrid w:val="0"/>
          <w:color w:val="auto"/>
          <w:kern w:val="0"/>
          <w:sz w:val="24"/>
          <w:szCs w:val="24"/>
          <w:highlight w:val="none"/>
          <w:lang w:val="en-US" w:eastAsia="zh-CN"/>
        </w:rPr>
        <w:t>等。方案需体现</w:t>
      </w:r>
      <w:r>
        <w:rPr>
          <w:rFonts w:hint="eastAsia" w:ascii="仿宋" w:hAnsi="仿宋" w:eastAsia="仿宋" w:cs="仿宋"/>
          <w:bCs/>
          <w:color w:val="auto"/>
          <w:sz w:val="24"/>
          <w:szCs w:val="24"/>
          <w:highlight w:val="none"/>
          <w:lang w:val="en-US" w:eastAsia="zh-CN"/>
        </w:rPr>
        <w:t>有关质量检验环节的描述、质量控制方案中各环节人员的配置、质检方法等内容。</w:t>
      </w:r>
    </w:p>
    <w:p w14:paraId="650065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kern w:val="0"/>
          <w:sz w:val="24"/>
          <w:szCs w:val="24"/>
          <w:highlight w:val="none"/>
        </w:rPr>
        <w:t>根据本项目情况可提供的特色服务方案。</w:t>
      </w:r>
      <w:r>
        <w:rPr>
          <w:rFonts w:hint="eastAsia" w:ascii="仿宋" w:hAnsi="仿宋" w:eastAsia="仿宋" w:cs="仿宋"/>
          <w:kern w:val="0"/>
          <w:sz w:val="24"/>
          <w:szCs w:val="24"/>
          <w:highlight w:val="none"/>
          <w:lang w:val="en-US" w:eastAsia="zh-CN"/>
        </w:rPr>
        <w:t>例如</w:t>
      </w:r>
      <w:r>
        <w:rPr>
          <w:rFonts w:hint="eastAsia" w:ascii="仿宋" w:hAnsi="仿宋" w:eastAsia="仿宋" w:cs="仿宋"/>
          <w:kern w:val="0"/>
          <w:sz w:val="24"/>
          <w:szCs w:val="24"/>
          <w:highlight w:val="none"/>
          <w:lang w:eastAsia="zh-CN"/>
        </w:rPr>
        <w:t>为采购人举办不少于一次的业务培训</w:t>
      </w:r>
      <w:r>
        <w:rPr>
          <w:rFonts w:hint="eastAsia" w:ascii="仿宋" w:hAnsi="仿宋" w:eastAsia="仿宋" w:cs="仿宋"/>
          <w:kern w:val="0"/>
          <w:sz w:val="24"/>
          <w:szCs w:val="24"/>
          <w:highlight w:val="none"/>
          <w:lang w:val="en-US" w:eastAsia="zh-CN"/>
        </w:rPr>
        <w:t>等。</w:t>
      </w:r>
      <w:r>
        <w:rPr>
          <w:rFonts w:hint="eastAsia" w:ascii="仿宋" w:hAnsi="仿宋" w:eastAsia="仿宋" w:cs="仿宋"/>
          <w:kern w:val="0"/>
          <w:sz w:val="24"/>
          <w:szCs w:val="24"/>
          <w:highlight w:val="none"/>
          <w:lang w:eastAsia="zh-CN"/>
        </w:rPr>
        <w:t>应明确相应培训内容及提供培训服务等。</w:t>
      </w:r>
    </w:p>
    <w:p w14:paraId="12A5B0E9">
      <w:pPr>
        <w:pStyle w:val="4"/>
        <w:spacing w:before="120" w:after="120" w:line="360" w:lineRule="auto"/>
        <w:rPr>
          <w:rFonts w:hint="eastAsia" w:ascii="仿宋" w:hAnsi="仿宋" w:eastAsia="仿宋" w:cs="仿宋"/>
          <w:sz w:val="24"/>
          <w:szCs w:val="24"/>
          <w:highlight w:val="none"/>
        </w:rPr>
      </w:pPr>
      <w:bookmarkStart w:id="87" w:name="_Toc18318"/>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rPr>
        <w:t>、其他说明</w:t>
      </w:r>
      <w:bookmarkEnd w:id="87"/>
    </w:p>
    <w:p w14:paraId="62B1F8B0">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1、分包和转包</w:t>
      </w:r>
    </w:p>
    <w:p w14:paraId="59D2D584">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（1）投标人不得将本合同范围的服务转包由其他单位承担；也不得未经采购人</w:t>
      </w:r>
      <w:r>
        <w:rPr>
          <w:rFonts w:hint="eastAsia" w:ascii="仿宋" w:hAnsi="仿宋" w:eastAsia="仿宋" w:cs="仿宋"/>
          <w:color w:val="auto"/>
          <w:sz w:val="24"/>
          <w:szCs w:val="24"/>
          <w:highlight w:val="none"/>
          <w:lang w:val="en-US" w:eastAsia="zh-CN"/>
        </w:rPr>
        <w:t>或任务下达方</w:t>
      </w:r>
      <w:r>
        <w:rPr>
          <w:rFonts w:hint="eastAsia" w:ascii="仿宋" w:hAnsi="仿宋" w:eastAsia="仿宋" w:cs="仿宋"/>
          <w:color w:val="auto"/>
          <w:sz w:val="24"/>
          <w:highlight w:val="none"/>
          <w:lang w:val="en-US" w:eastAsia="zh-CN"/>
        </w:rPr>
        <w:t xml:space="preserve">同意擅自部分内容分包给其他单位承担；如有违反以上情形，采购人有权解除合同，并追究中标人的违约责任。 </w:t>
      </w:r>
    </w:p>
    <w:p w14:paraId="59D36237">
      <w:pPr>
        <w:pStyle w:val="18"/>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（2）享受《政府采购促进中小企业发展管理办法》的通知（财库〔2020〕46 号）的规定扶持政策获得政府采购合同的，小微企业不得将合同分包给大中型企业，中型企业不得将合同分包给大型企业。  </w:t>
      </w:r>
    </w:p>
    <w:p w14:paraId="4A79D451">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投标时的证明材料要确保真实有效。如核实虚假的，采购人有权向监管部门反映，取消该投标人的中标资格并追究其法律责任。</w:t>
      </w:r>
    </w:p>
    <w:p w14:paraId="21DA0995">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评审结束后、合同签订前，采购人或采购代理机构将核查如下资料，供应商务必按要求提交相关材料。</w:t>
      </w:r>
    </w:p>
    <w:p w14:paraId="7B46A59E">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（1）资料收件人：唐稳；联系方式：0571-81061825；地址：杭州市西湖区文三路90号东部软件园一号楼319室。</w:t>
      </w:r>
    </w:p>
    <w:p w14:paraId="107FBF0E">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shd w:val="clear" w:color="auto" w:fill="auto"/>
          <w:lang w:val="en-US" w:eastAsia="zh-CN"/>
        </w:rPr>
      </w:pPr>
      <w:r>
        <w:rPr>
          <w:rFonts w:hint="eastAsia" w:ascii="仿宋" w:hAnsi="仿宋" w:eastAsia="仿宋" w:cs="仿宋"/>
          <w:color w:val="auto"/>
          <w:sz w:val="24"/>
          <w:highlight w:val="none"/>
          <w:shd w:val="clear" w:color="auto" w:fill="auto"/>
          <w:lang w:val="en-US" w:eastAsia="zh-CN"/>
        </w:rPr>
        <w:t>（2）可以通过快递方式送达，也可以直接送达。</w:t>
      </w:r>
    </w:p>
    <w:p w14:paraId="4792E003">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shd w:val="clear" w:color="auto" w:fill="auto"/>
          <w:lang w:val="en-US" w:eastAsia="zh-CN"/>
        </w:rPr>
        <w:t>（3）资料清单：同类业绩合同原件，人员证书原件。</w:t>
      </w:r>
    </w:p>
    <w:p w14:paraId="310825F2">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w:t>
      </w:r>
      <w:r>
        <w:rPr>
          <w:rFonts w:hint="eastAsia" w:ascii="仿宋" w:hAnsi="仿宋" w:eastAsia="仿宋" w:cs="仿宋"/>
          <w:snapToGrid w:val="0"/>
          <w:color w:val="auto"/>
          <w:kern w:val="0"/>
          <w:sz w:val="24"/>
          <w:highlight w:val="none"/>
        </w:rPr>
        <w:t>招标文件其他内容、</w:t>
      </w:r>
      <w:r>
        <w:rPr>
          <w:rFonts w:hint="eastAsia" w:ascii="仿宋" w:hAnsi="仿宋" w:eastAsia="仿宋" w:cs="仿宋"/>
          <w:snapToGrid w:val="0"/>
          <w:color w:val="auto"/>
          <w:kern w:val="0"/>
          <w:sz w:val="24"/>
          <w:highlight w:val="none"/>
          <w:lang w:val="zh-CN"/>
        </w:rPr>
        <w:t>相关附件。</w:t>
      </w:r>
    </w:p>
    <w:p w14:paraId="65B04A41">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sectPr>
          <w:headerReference r:id="rId5" w:type="default"/>
          <w:footerReference r:id="rId6" w:type="default"/>
          <w:pgSz w:w="11850" w:h="16783"/>
          <w:pgMar w:top="1247" w:right="1588" w:bottom="1089" w:left="1588" w:header="851" w:footer="992" w:gutter="0"/>
          <w:cols w:space="720" w:num="1"/>
          <w:docGrid w:linePitch="312" w:charSpace="0"/>
        </w:sectPr>
      </w:pPr>
    </w:p>
    <w:p w14:paraId="05FDF301">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sectPr>
          <w:pgSz w:w="16783" w:h="11850" w:orient="landscape"/>
          <w:pgMar w:top="1588" w:right="1247" w:bottom="1588" w:left="1089" w:header="851" w:footer="992" w:gutter="0"/>
          <w:cols w:space="720" w:num="1"/>
          <w:docGrid w:linePitch="312" w:charSpace="0"/>
        </w:sectPr>
      </w:pPr>
    </w:p>
    <w:p w14:paraId="37F12BD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附表1：</w:t>
      </w:r>
    </w:p>
    <w:tbl>
      <w:tblPr>
        <w:tblStyle w:val="45"/>
        <w:tblW w:w="5259" w:type="pct"/>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4"/>
        <w:gridCol w:w="1305"/>
        <w:gridCol w:w="1341"/>
        <w:gridCol w:w="3976"/>
        <w:gridCol w:w="6742"/>
        <w:gridCol w:w="815"/>
      </w:tblGrid>
      <w:tr w14:paraId="613F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32AACFA5">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商品类目（一级）</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88C5E38">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商品类目（二级）</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C75749E">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商品描述</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44BB3012">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检测项目</w:t>
            </w:r>
          </w:p>
        </w:tc>
        <w:tc>
          <w:tcPr>
            <w:tcW w:w="2185" w:type="pct"/>
            <w:tcBorders>
              <w:top w:val="single" w:color="000000" w:sz="4" w:space="0"/>
              <w:left w:val="single" w:color="000000" w:sz="4" w:space="0"/>
              <w:bottom w:val="single" w:color="000000" w:sz="4" w:space="0"/>
              <w:right w:val="single" w:color="000000" w:sz="4" w:space="0"/>
            </w:tcBorders>
            <w:noWrap w:val="0"/>
            <w:vAlign w:val="center"/>
          </w:tcPr>
          <w:p w14:paraId="5AF6E8D7">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检验标准</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50B0532">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计划批次</w:t>
            </w:r>
          </w:p>
        </w:tc>
      </w:tr>
      <w:tr w14:paraId="5439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403" w:type="pct"/>
            <w:vMerge w:val="restart"/>
            <w:tcBorders>
              <w:top w:val="single" w:color="000000" w:sz="4" w:space="0"/>
              <w:left w:val="single" w:color="000000" w:sz="4" w:space="0"/>
              <w:bottom w:val="single" w:color="000000" w:sz="4" w:space="0"/>
              <w:right w:val="single" w:color="000000" w:sz="4" w:space="0"/>
            </w:tcBorders>
            <w:noWrap/>
            <w:vAlign w:val="center"/>
          </w:tcPr>
          <w:p w14:paraId="01C42B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消费品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1FA789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婴童食品接触材料</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A1366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奶嘴、奶瓶、水壶、杯子、餐具、勺子等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6D23CDBA">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总迁移量、高锰酸钾消耗量、重金属（以Pb计）、锌迁移量、铅、镉、砷、铬、镍、脱色试验、双酚A（(苯酚、对叔丁基苯酚）、1，3-丁二烯迁移量、丙烯腈迁移量（根据产品材质确定检测项目）</w:t>
            </w:r>
          </w:p>
        </w:tc>
        <w:tc>
          <w:tcPr>
            <w:tcW w:w="2185" w:type="pct"/>
            <w:tcBorders>
              <w:top w:val="single" w:color="000000" w:sz="4" w:space="0"/>
              <w:left w:val="single" w:color="000000" w:sz="4" w:space="0"/>
              <w:bottom w:val="single" w:color="000000" w:sz="4" w:space="0"/>
              <w:right w:val="single" w:color="000000" w:sz="4" w:space="0"/>
            </w:tcBorders>
            <w:noWrap w:val="0"/>
            <w:vAlign w:val="center"/>
          </w:tcPr>
          <w:p w14:paraId="2EF530C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4806.1-2016《食品安全国家标准 食品接触材料及制品通用安全要求》</w:t>
            </w:r>
          </w:p>
          <w:p w14:paraId="03FE388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4806.2-2015《食品安全国家标准 奶嘴》</w:t>
            </w:r>
          </w:p>
          <w:p w14:paraId="6B0BA9A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4806.3-2016《食品安全国家标准 搪瓷制品》</w:t>
            </w:r>
          </w:p>
          <w:p w14:paraId="315756D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4806.4-2016《食品安全国家标准 陶瓷制品》</w:t>
            </w:r>
          </w:p>
          <w:p w14:paraId="4DE5C00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4806.5-2016《食品安全国家标准 玻璃制品》</w:t>
            </w:r>
          </w:p>
          <w:p w14:paraId="749D550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4806.6-2016《食品安全国家标准 食品接触用塑料树脂》</w:t>
            </w:r>
          </w:p>
          <w:p w14:paraId="701B36A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4806.7-</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食品接触用塑料材料及制品》</w:t>
            </w:r>
          </w:p>
          <w:p w14:paraId="0702064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4806.8-</w:t>
            </w:r>
            <w:r>
              <w:rPr>
                <w:rFonts w:hint="eastAsia" w:ascii="仿宋" w:hAnsi="仿宋" w:eastAsia="仿宋" w:cs="仿宋"/>
                <w:i w:val="0"/>
                <w:iCs w:val="0"/>
                <w:color w:val="auto"/>
                <w:kern w:val="0"/>
                <w:sz w:val="21"/>
                <w:szCs w:val="21"/>
                <w:highlight w:val="none"/>
                <w:lang w:val="en-US" w:eastAsia="zh-CN" w:bidi="ar"/>
              </w:rPr>
              <w:t>2022</w:t>
            </w:r>
            <w:r>
              <w:rPr>
                <w:rFonts w:hint="eastAsia" w:ascii="仿宋" w:hAnsi="仿宋" w:eastAsia="仿宋" w:cs="仿宋"/>
                <w:i w:val="0"/>
                <w:iCs w:val="0"/>
                <w:color w:val="auto"/>
                <w:kern w:val="0"/>
                <w:sz w:val="21"/>
                <w:szCs w:val="21"/>
                <w:highlight w:val="none"/>
                <w:lang w:bidi="ar"/>
              </w:rPr>
              <w:t>《食品安全国家标准 食品接触用纸和纸板材料及制品》</w:t>
            </w:r>
          </w:p>
          <w:p w14:paraId="7EBF0E8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4806.9-</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食品接触用金属材料及制品》</w:t>
            </w:r>
          </w:p>
          <w:p w14:paraId="507394E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4806.10-2016《食品安全国家标准 食品接触用涂料及涂层》</w:t>
            </w:r>
          </w:p>
          <w:p w14:paraId="13858E9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4806.11-</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食品接触用橡胶材料及制品》</w:t>
            </w:r>
          </w:p>
          <w:p w14:paraId="0458115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GB 4806.12-2022 《食品安全国家标准 食品接触用竹木材料及制品》</w:t>
            </w:r>
          </w:p>
          <w:p w14:paraId="6B53ED5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日本厚生劳动省告示第 370 号(2008 版) II B-8</w:t>
            </w:r>
          </w:p>
          <w:p w14:paraId="1DC77E6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KFDA 食品器具、容器、包装标准与规范 KFDA(2020) IV2.2-35</w:t>
            </w:r>
          </w:p>
          <w:p w14:paraId="231A818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美国 FDA 法规 21CFR</w:t>
            </w:r>
            <w:r>
              <w:rPr>
                <w:rFonts w:hint="eastAsia" w:ascii="仿宋" w:hAnsi="仿宋" w:eastAsia="仿宋" w:cs="仿宋"/>
                <w:i w:val="0"/>
                <w:iCs w:val="0"/>
                <w:color w:val="auto"/>
                <w:kern w:val="0"/>
                <w:sz w:val="21"/>
                <w:szCs w:val="21"/>
                <w:highlight w:val="none"/>
                <w:lang w:val="en-US" w:eastAsia="zh-CN" w:bidi="ar"/>
              </w:rPr>
              <w:tab/>
            </w:r>
          </w:p>
          <w:p w14:paraId="4D7A546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食品接触塑料及容器(适用于欧盟法规 10/2011）及其修订案（截止到（EU）2020/1245）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17043D9">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r>
      <w:tr w14:paraId="575D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481A6307">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3DC3C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玩具</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C0931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电玩具、静态塑胶玩具、毛绒布制玩具、金属玩具、电动玩具、儿童自行车、儿童三轮车、儿童推车、婴儿学步车</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8CC6511">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机械与物理性能、易燃性能、特定元素的迁移、增塑剂、电性能、儿童自行车全项目、儿童三轮车全项目、儿童推车全项目、婴儿学步车全项目</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5650360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6675.1-2014《玩具安全 第1部分:基本规范》</w:t>
            </w:r>
          </w:p>
          <w:p w14:paraId="5CC083A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6675.2-2014《玩具安全 第2部分:机械与物理性能》</w:t>
            </w:r>
          </w:p>
          <w:p w14:paraId="54B634A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6675.3-2014《玩具安全 第3部分:易燃性能》</w:t>
            </w:r>
          </w:p>
          <w:p w14:paraId="10A8C99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6675.4-2014《玩具安全 第4部分:特定元素的迁移》</w:t>
            </w:r>
          </w:p>
          <w:p w14:paraId="3A9E404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19865-2005《电玩具的安全》</w:t>
            </w:r>
          </w:p>
          <w:p w14:paraId="6D4AC9D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14746-2006《儿童自行车安全要求》</w:t>
            </w:r>
          </w:p>
          <w:p w14:paraId="447E5EE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14747-2006《儿童三轮车安全要求》</w:t>
            </w:r>
          </w:p>
          <w:p w14:paraId="2D11301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14748-2006《儿童推车安全要求》</w:t>
            </w:r>
          </w:p>
          <w:p w14:paraId="4500098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14749-2006《婴儿学步车安全要求》</w:t>
            </w:r>
          </w:p>
          <w:p w14:paraId="01F3C41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ST</w:t>
            </w:r>
            <w:r>
              <w:rPr>
                <w:rFonts w:hint="eastAsia" w:ascii="仿宋" w:hAnsi="仿宋" w:eastAsia="仿宋" w:cs="仿宋"/>
                <w:i w:val="0"/>
                <w:iCs w:val="0"/>
                <w:color w:val="auto"/>
                <w:kern w:val="0"/>
                <w:sz w:val="21"/>
                <w:szCs w:val="21"/>
                <w:highlight w:val="none"/>
                <w:lang w:val="en-US" w:eastAsia="zh-CN" w:bidi="ar"/>
              </w:rPr>
              <w:t xml:space="preserve"> </w:t>
            </w:r>
            <w:r>
              <w:rPr>
                <w:rFonts w:hint="eastAsia" w:ascii="仿宋" w:hAnsi="仿宋" w:eastAsia="仿宋" w:cs="仿宋"/>
                <w:i w:val="0"/>
                <w:iCs w:val="0"/>
                <w:color w:val="auto"/>
                <w:kern w:val="0"/>
                <w:sz w:val="21"/>
                <w:szCs w:val="21"/>
                <w:highlight w:val="none"/>
                <w:lang w:bidi="ar"/>
              </w:rPr>
              <w:t>2016日本玩具安全标准</w:t>
            </w:r>
          </w:p>
          <w:p w14:paraId="15E8F31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EN71-1:玩具安全-第1部分:物理和机械性能</w:t>
            </w:r>
          </w:p>
          <w:p w14:paraId="1C9EBFF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EN71-2:玩具安全-第2部分:阻燃性能</w:t>
            </w:r>
          </w:p>
          <w:p w14:paraId="57B6EE9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EN71-3:玩具安全-第3部分:某些元素的转移</w:t>
            </w:r>
          </w:p>
          <w:p w14:paraId="4015D30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ISO 8124-1玩具安全-第1 部分 机械和物理属性相关安全方面 </w:t>
            </w:r>
          </w:p>
          <w:p w14:paraId="7CF40FF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8124-2 玩具安全第2 部分 阻燃性能</w:t>
            </w:r>
          </w:p>
          <w:p w14:paraId="299194B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8124-3玩具安全 第3部分:某些元素的迁移</w:t>
            </w:r>
          </w:p>
          <w:p w14:paraId="278028C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ASTM F963玩具安全消费者安全规范</w:t>
            </w:r>
          </w:p>
          <w:p w14:paraId="4818357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CPSC-CH-E1001-08.3儿童金属产品（包括儿童金属饰品）中总铅测定的标准作业程序 </w:t>
            </w:r>
          </w:p>
          <w:p w14:paraId="316DF73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CPSCCH-E1002-08.3儿童非金属产品总铅含量测定的标准操作程序 </w:t>
            </w:r>
          </w:p>
          <w:p w14:paraId="552D1C5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CPSC-CH-E1003-09.3测定油漆和其它类似表面涂层中铅(Pb)的标准作业程序</w:t>
            </w:r>
          </w:p>
          <w:p w14:paraId="3B11F24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EN 62115:2005+A12:2015电玩具安全 </w:t>
            </w:r>
          </w:p>
          <w:p w14:paraId="1E9C51E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8098:2014自行车—儿童自行车安全要求</w:t>
            </w:r>
          </w:p>
          <w:p w14:paraId="1F73985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ANSI Z315.1-2012三轮车—安全要求</w:t>
            </w:r>
          </w:p>
          <w:p w14:paraId="7C5D331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ASTM F 833:21婴儿卧车和婴儿坐车的消费者安全性能规范</w:t>
            </w:r>
          </w:p>
          <w:p w14:paraId="4BEE4EB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EN1888-1:2018+A1:2022儿童保育产品— 带轮子的儿童运输工具—第一部分：推车和婴儿车</w:t>
            </w:r>
          </w:p>
          <w:p w14:paraId="00C3923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 1888-2：2018儿童保育用品.轮式儿童交通工具.第2 部分：15 公斤至 22 公斤以下的儿童用婴儿车</w:t>
            </w:r>
          </w:p>
          <w:p w14:paraId="5768459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ISO 31110-2020轮式儿童乘用车-坐式和卧式推车-要求和测试方法 </w:t>
            </w:r>
          </w:p>
          <w:p w14:paraId="2A290B6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ASTM F977-22e1婴儿学步车的消费者安全标准 </w:t>
            </w:r>
          </w:p>
          <w:p w14:paraId="5C88A97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CPSC 16 CFR PART 1216婴儿学步车的安全标准</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3BFFD04">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r>
      <w:tr w14:paraId="6C5D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0FAFFE61">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D6CE2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卫生用品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14E76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一次性纸尿裤、湿巾、卫生巾等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0A112E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所有样品：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细菌菌落总数、大肠菌群、绿脓杆菌、金黄色葡萄球菌、溶血性链球菌、真菌菌落总数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湿巾：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偏差、含液量/倍、横向抗张强度/N/m、包装密封性能、pH值、去污力、腐蚀性、可迁移性荧光增白剂、尘埃度、内装量、外观质量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婴儿纸尿裤：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重金属、可迁移性荧光物质、丙烯酰胺含量、甲醛含量、邻苯二甲酸酯、可分解有害芳香胺染料、纸尿裤适用腰围最大值、pH值、条质量偏差、渗透性能、面层附着物、杂质、防侧漏性能、外观质量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成人纸尿裤：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可迁移性荧光物质、甲醛含量、pH值、条质量偏差、面层附着物、杂质、吸收倍率、渗透性能、饱和吸收量、外观质量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卫生巾：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全长偏差、条质量偏差、吸水倍率、吸收速度、背胶剥离强度、pH值、甲醛含量、可迁移荧光物质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女性卫生裤：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吸收速度、pH值、可迁移性荧光物质、适用臀围、适用腰围最大值</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2A0DE90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15979-2002《一次性使用卫生用品卫生标准》</w:t>
            </w:r>
          </w:p>
          <w:p w14:paraId="04D945E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27728-2011《湿巾》</w:t>
            </w:r>
          </w:p>
          <w:p w14:paraId="324D472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28004.1-2021《纸尿裤 第1部分：婴儿纸尿裤》</w:t>
            </w:r>
          </w:p>
          <w:p w14:paraId="79AE6D0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auto"/>
                <w:kern w:val="0"/>
                <w:sz w:val="21"/>
                <w:szCs w:val="21"/>
                <w:highlight w:val="none"/>
                <w:lang w:bidi="ar"/>
              </w:rPr>
              <w:t>GB/T 28004.</w:t>
            </w:r>
            <w:r>
              <w:rPr>
                <w:rFonts w:hint="eastAsia" w:ascii="仿宋" w:hAnsi="仿宋" w:eastAsia="仿宋" w:cs="仿宋"/>
                <w:i w:val="0"/>
                <w:iCs w:val="0"/>
                <w:color w:val="auto"/>
                <w:kern w:val="0"/>
                <w:sz w:val="21"/>
                <w:szCs w:val="21"/>
                <w:highlight w:val="none"/>
                <w:lang w:val="en-US" w:eastAsia="zh-CN" w:bidi="ar"/>
              </w:rPr>
              <w:t>2</w:t>
            </w:r>
            <w:r>
              <w:rPr>
                <w:rFonts w:hint="eastAsia" w:ascii="仿宋" w:hAnsi="仿宋" w:eastAsia="仿宋" w:cs="仿宋"/>
                <w:i w:val="0"/>
                <w:iCs w:val="0"/>
                <w:color w:val="auto"/>
                <w:kern w:val="0"/>
                <w:sz w:val="21"/>
                <w:szCs w:val="21"/>
                <w:highlight w:val="none"/>
                <w:lang w:bidi="ar"/>
              </w:rPr>
              <w:t>-2021《纸尿裤 第2部分：成人纸尿裤》</w:t>
            </w:r>
          </w:p>
          <w:p w14:paraId="01F9610B">
            <w:pPr>
              <w:keepNext w:val="0"/>
              <w:keepLines w:val="0"/>
              <w:widowControl/>
              <w:suppressLineNumbers w:val="0"/>
              <w:jc w:val="left"/>
              <w:textAlignment w:val="top"/>
              <w:rPr>
                <w:rFonts w:hint="eastAsia" w:ascii="仿宋" w:hAnsi="仿宋" w:eastAsia="仿宋" w:cs="仿宋"/>
                <w:snapToGrid/>
                <w:color w:val="auto"/>
                <w:kern w:val="0"/>
                <w:sz w:val="21"/>
                <w:szCs w:val="21"/>
                <w:highlight w:val="none"/>
                <w:lang w:eastAsia="zh-CN" w:bidi="ar"/>
              </w:rPr>
            </w:pPr>
            <w:r>
              <w:rPr>
                <w:rFonts w:hint="eastAsia" w:ascii="仿宋" w:hAnsi="仿宋" w:eastAsia="仿宋" w:cs="仿宋"/>
                <w:snapToGrid/>
                <w:color w:val="auto"/>
                <w:kern w:val="0"/>
                <w:sz w:val="21"/>
                <w:szCs w:val="21"/>
                <w:highlight w:val="none"/>
                <w:lang w:bidi="ar"/>
              </w:rPr>
              <w:t>GB/T 8939-2018</w:t>
            </w:r>
            <w:r>
              <w:rPr>
                <w:rFonts w:hint="eastAsia" w:ascii="仿宋" w:hAnsi="仿宋" w:eastAsia="仿宋" w:cs="仿宋"/>
                <w:snapToGrid/>
                <w:color w:val="auto"/>
                <w:kern w:val="0"/>
                <w:sz w:val="21"/>
                <w:szCs w:val="21"/>
                <w:highlight w:val="none"/>
                <w:lang w:eastAsia="zh-CN" w:bidi="ar"/>
              </w:rPr>
              <w:t>《</w:t>
            </w:r>
            <w:r>
              <w:rPr>
                <w:rFonts w:hint="eastAsia" w:ascii="仿宋" w:hAnsi="仿宋" w:eastAsia="仿宋" w:cs="仿宋"/>
                <w:b w:val="0"/>
                <w:bCs w:val="0"/>
                <w:i w:val="0"/>
                <w:iCs w:val="0"/>
                <w:caps w:val="0"/>
                <w:snapToGrid/>
                <w:color w:val="auto"/>
                <w:spacing w:val="0"/>
                <w:kern w:val="0"/>
                <w:sz w:val="21"/>
                <w:szCs w:val="21"/>
                <w:highlight w:val="none"/>
                <w:shd w:val="clear" w:color="auto" w:fill="auto"/>
                <w:lang w:bidi="ar"/>
              </w:rPr>
              <w:t>卫生巾（护垫）</w:t>
            </w:r>
            <w:r>
              <w:rPr>
                <w:rFonts w:hint="eastAsia" w:ascii="仿宋" w:hAnsi="仿宋" w:eastAsia="仿宋" w:cs="仿宋"/>
                <w:snapToGrid/>
                <w:color w:val="auto"/>
                <w:kern w:val="0"/>
                <w:sz w:val="21"/>
                <w:szCs w:val="21"/>
                <w:highlight w:val="none"/>
                <w:lang w:eastAsia="zh-CN" w:bidi="ar"/>
              </w:rPr>
              <w:t>》</w:t>
            </w:r>
          </w:p>
          <w:p w14:paraId="077871D9">
            <w:pPr>
              <w:pStyle w:val="2"/>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bidi="ar"/>
              </w:rPr>
              <w:t>GB/T 39391-2020《女性卫生裤》</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BB286C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r>
      <w:tr w14:paraId="1620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4EBAC62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D3912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学生用品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5AA986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铅笔、水笔、文具盒、修正液等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7F2E200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可迁移元素、氯代烃、有害物质含量、甲醛、AZO、白度、笔的上帽安全、边缘尖端（根据产品确定检测项目）</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2780F00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21027-2020《学生用品的安全通用要求》</w:t>
            </w:r>
          </w:p>
          <w:p w14:paraId="3ABD7C5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文具类玩具（彩笔、彩泥等）外标参照玩具标准</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5F9F33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12A4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4E28C485">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6897D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食品接触材料</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FCE545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碗、杯子、勺子、锅具、饭盒等（PVC、PP、PE、PS、PET、PA、PC、AS、ABS、玻璃陶瓷、橡胶等材质）</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D1C9FD8">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迁移量、高锰酸钾消耗量、重金属（以Pb计）、锌迁移量、铅、镉、砷、铬、镍、脱色试验、双酚A（(苯酚、对叔丁基苯酚）、氯乙烯和氯乙烯迁移量、苯乙烯和乙苯、对苯二甲酸和间苯二甲酸迁移量、乙二胺和己二胺迁移量、己内酰胺迁移量、1，3-丁二烯迁移量、丙烯腈迁移量、甲醛迁移量、三聚氰胺迁移量、荧光性物质、二氧化硫、五氯苯酚及其盐类（以五氯苯酚计）、噻菌灵、邻苯基苯酚、抑霉唑、联苯（根据产品材质确定检测项目）</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243298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4806.1-2016《食品安全国家标准 食品接触材料及制品通用安全要求》</w:t>
            </w:r>
          </w:p>
          <w:p w14:paraId="76BCFAD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4806.3-2016《食品安全国家标准 搪瓷制品》</w:t>
            </w:r>
          </w:p>
          <w:p w14:paraId="6746FA0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4806.4-2016《食品安全国家标准 陶瓷制品》</w:t>
            </w:r>
          </w:p>
          <w:p w14:paraId="7808473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4806.5-2016《食品安全国家标准 玻璃制品》</w:t>
            </w:r>
          </w:p>
          <w:p w14:paraId="20E7CFA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4806.6-2016《食品安全国家标准 食品接触用塑料树脂》</w:t>
            </w:r>
          </w:p>
          <w:p w14:paraId="647B023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4806.7-</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食品接触用塑料材料及制品》</w:t>
            </w:r>
          </w:p>
          <w:p w14:paraId="0617646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4806.8-</w:t>
            </w:r>
            <w:r>
              <w:rPr>
                <w:rFonts w:hint="eastAsia" w:ascii="仿宋" w:hAnsi="仿宋" w:eastAsia="仿宋" w:cs="仿宋"/>
                <w:i w:val="0"/>
                <w:iCs w:val="0"/>
                <w:color w:val="auto"/>
                <w:kern w:val="0"/>
                <w:sz w:val="21"/>
                <w:szCs w:val="21"/>
                <w:highlight w:val="none"/>
                <w:lang w:val="en-US" w:eastAsia="zh-CN" w:bidi="ar"/>
              </w:rPr>
              <w:t>2022</w:t>
            </w:r>
            <w:r>
              <w:rPr>
                <w:rFonts w:hint="eastAsia" w:ascii="仿宋" w:hAnsi="仿宋" w:eastAsia="仿宋" w:cs="仿宋"/>
                <w:i w:val="0"/>
                <w:iCs w:val="0"/>
                <w:color w:val="auto"/>
                <w:kern w:val="0"/>
                <w:sz w:val="21"/>
                <w:szCs w:val="21"/>
                <w:highlight w:val="none"/>
                <w:lang w:bidi="ar"/>
              </w:rPr>
              <w:t>《食品安全国家标准 食品接触用纸和纸板材料及制品》</w:t>
            </w:r>
          </w:p>
          <w:p w14:paraId="26DFF0E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4806.9-</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食品接触用金属材料及制品》</w:t>
            </w:r>
          </w:p>
          <w:p w14:paraId="35CE405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4806.10-2016《食品安全国家标准 食品接触用涂料及涂层》</w:t>
            </w:r>
          </w:p>
          <w:p w14:paraId="36AD831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4806.11-</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食品接触用橡胶材料及制品》</w:t>
            </w:r>
          </w:p>
          <w:p w14:paraId="6E72D3B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GB 4806.12-2022 《食品安全国家标准 食品接触用竹木材料及制品》</w:t>
            </w:r>
          </w:p>
          <w:p w14:paraId="31E6C82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日本厚生省告示第370号</w:t>
            </w:r>
          </w:p>
          <w:p w14:paraId="629BFE9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KFDA 食品器具、容器、包装标准与规范</w:t>
            </w:r>
          </w:p>
          <w:p w14:paraId="36990AD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美国 FDA 法规 21CFR</w:t>
            </w:r>
            <w:r>
              <w:rPr>
                <w:rFonts w:hint="eastAsia" w:ascii="仿宋" w:hAnsi="仿宋" w:eastAsia="仿宋" w:cs="仿宋"/>
                <w:i w:val="0"/>
                <w:iCs w:val="0"/>
                <w:color w:val="auto"/>
                <w:kern w:val="0"/>
                <w:sz w:val="21"/>
                <w:szCs w:val="21"/>
                <w:highlight w:val="none"/>
                <w:lang w:val="en-US" w:eastAsia="zh-CN" w:bidi="ar"/>
              </w:rPr>
              <w:tab/>
            </w:r>
          </w:p>
          <w:p w14:paraId="712F191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食品接触塑料及容器(适用于欧盟法规 10/2011）及其修订案（截止到（EU）2020/1245）</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AC1074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1685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1D150539">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ADB2D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箱包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63C07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皮包、布包、书包、钱包、票夹、旅行箱包等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44DDCB8B">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背提包：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外观质量、缝合强度、拉链耐用度、游离甲醛、可分解有害芳香胺染料、振荡冲击性能、包锁耐用性能、扣件耐用性能、塑料插扣耐用性能、摩擦色牢度（皮革、皮毛）、五金配件耐腐蚀性、背带耐折性能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票夹：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游离甲醛、配件质量、拉链耐用度、外观质量、可分解有害芳香胺染料、五金配件耐腐蚀性、摩擦色牢度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旅行箱包：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硬箱箱体耐静压性能、塑料硬箱箱面耐落球冲击性能、缝合强度、铝口硬度、箱（包）锁耐用性能、拉杆耐疲劳性能、行走性能、振荡冲击性能、跌落性能、摩擦色牢度、滚筒冲击性能、五金配件耐腐蚀性、甲醛含量、可分解有害芳香胺染料、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手包：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外观质量、摩擦色牢度、配件质量、拉链耐用度、五金配件耐腐蚀性、游离甲醛、可分解有害芳香胺染料</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D9DA29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1333-2018《背提包》</w:t>
            </w:r>
          </w:p>
          <w:p w14:paraId="3F1CD6E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1619-2018《票夹》</w:t>
            </w:r>
          </w:p>
          <w:p w14:paraId="745A00E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2155-2018《旅行箱包》</w:t>
            </w:r>
          </w:p>
          <w:p w14:paraId="56B7C75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snapToGrid/>
                <w:color w:val="auto"/>
                <w:kern w:val="0"/>
                <w:sz w:val="21"/>
                <w:szCs w:val="21"/>
                <w:highlight w:val="none"/>
                <w:lang w:bidi="ar"/>
              </w:rPr>
              <w:t xml:space="preserve">QB/T </w:t>
            </w:r>
            <w:r>
              <w:rPr>
                <w:rFonts w:hint="eastAsia" w:ascii="仿宋" w:hAnsi="仿宋" w:eastAsia="仿宋" w:cs="仿宋"/>
                <w:i w:val="0"/>
                <w:iCs w:val="0"/>
                <w:snapToGrid/>
                <w:color w:val="auto"/>
                <w:kern w:val="0"/>
                <w:sz w:val="21"/>
                <w:szCs w:val="21"/>
                <w:highlight w:val="none"/>
                <w:lang w:val="en-US" w:eastAsia="zh-CN" w:bidi="ar"/>
              </w:rPr>
              <w:t>5243</w:t>
            </w:r>
            <w:r>
              <w:rPr>
                <w:rFonts w:hint="eastAsia" w:ascii="仿宋" w:hAnsi="仿宋" w:eastAsia="仿宋" w:cs="仿宋"/>
                <w:i w:val="0"/>
                <w:iCs w:val="0"/>
                <w:snapToGrid/>
                <w:color w:val="auto"/>
                <w:kern w:val="0"/>
                <w:sz w:val="21"/>
                <w:szCs w:val="21"/>
                <w:highlight w:val="none"/>
                <w:lang w:bidi="ar"/>
              </w:rPr>
              <w:t>-2018《</w:t>
            </w:r>
            <w:r>
              <w:rPr>
                <w:rFonts w:hint="eastAsia" w:ascii="仿宋" w:hAnsi="仿宋" w:eastAsia="仿宋" w:cs="仿宋"/>
                <w:i w:val="0"/>
                <w:iCs w:val="0"/>
                <w:snapToGrid/>
                <w:color w:val="auto"/>
                <w:kern w:val="0"/>
                <w:sz w:val="21"/>
                <w:szCs w:val="21"/>
                <w:highlight w:val="none"/>
                <w:lang w:val="en-US" w:eastAsia="zh-CN" w:bidi="ar"/>
              </w:rPr>
              <w:t>手包</w:t>
            </w:r>
            <w:r>
              <w:rPr>
                <w:rFonts w:hint="eastAsia" w:ascii="仿宋" w:hAnsi="仿宋" w:eastAsia="仿宋" w:cs="仿宋"/>
                <w:i w:val="0"/>
                <w:iCs w:val="0"/>
                <w:snapToGrid/>
                <w:color w:val="auto"/>
                <w:kern w:val="0"/>
                <w:sz w:val="21"/>
                <w:szCs w:val="21"/>
                <w:highlight w:val="none"/>
                <w:lang w:bidi="ar"/>
              </w:rPr>
              <w:t>》</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A1B611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2661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6951713C">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CF4A2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饰品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05EFE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工艺饰品、仿真饰品等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6CE6A3E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铅、镉、汞、砷、锑、钡、硒、铬、镍释放量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（仅产品为儿童饰品时考核：锑、钡、硒）</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60D9879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28480-2012《饰品 有害元素限量的规定》</w:t>
            </w:r>
          </w:p>
          <w:p w14:paraId="673198D8">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BS EN 1811-2023《人体穿孔组件及与皮肤有直接及长期接触的产品之 镍释放量测试》</w:t>
            </w:r>
          </w:p>
          <w:p w14:paraId="34717EB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BS EN 12472-2020《具保护层产品经磨损及腐蚀后的镍释放量测试》</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4517294">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4DC6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153C3458">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320B14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电器产品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BD015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咖啡机、吸尘器、电吹风、电饭煲、卷发器、空气净化器、电动牙刷、榨汁机等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3DA4EA4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元件、电源连接线和外部软线、外部导线用接线端子、接地措施、螺钉和连接、电气间隙、爬电距离和固体绝缘、耐热和耐燃</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8E93AAC">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GB4706系列标准《家用和类似用途电器的安全》</w:t>
            </w:r>
          </w:p>
          <w:p w14:paraId="31C4247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IEC60335系列标准《家用和类似用途电器的安全》</w:t>
            </w:r>
            <w:r>
              <w:rPr>
                <w:rFonts w:hint="eastAsia" w:ascii="仿宋" w:hAnsi="仿宋" w:eastAsia="仿宋" w:cs="仿宋"/>
                <w:i w:val="0"/>
                <w:iCs w:val="0"/>
                <w:color w:val="auto"/>
                <w:kern w:val="0"/>
                <w:sz w:val="21"/>
                <w:szCs w:val="21"/>
                <w:highlight w:val="none"/>
                <w:lang w:val="en-US" w:eastAsia="zh-CN" w:bidi="ar"/>
              </w:rPr>
              <w:t>（国际标准）</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6B6C5B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r>
      <w:tr w14:paraId="5BB1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4DBDF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普通食品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D3407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饼干、膨化食品、饮料、酒等一般食品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B97E1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饼干、膨化食品、饮料、酒等一般食品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12D9978">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酸价、过氧化值、苯甲酸及其钠盐、山梨酸及其钾盐、脱氢乙酸及其钠盐、甜蜜素、菌落总数、大肠菌群、沙门氏菌、霉菌、色素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葡萄酒：苯甲酸及其钠盐、山梨酸及其钾盐、脱氢乙酸及其钠盐、甜蜜素、柠檬酸、二氧化碳、干浸出物、还原糖、挥发酸、铁、铜、总二氧化硫、总酸、总糖、色素</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F6BD0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GB 2760 食品安全国家标准 食品添加剂使用标准</w:t>
            </w:r>
          </w:p>
          <w:p w14:paraId="0F46B0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5009.28 食品安全国家标准 食品中苯甲酸、山梨酸和糖精钠的测定 </w:t>
            </w:r>
          </w:p>
          <w:p w14:paraId="04B766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5009.97 食品安全国家标准 食品中环己基氨基磺酸钠的测定 </w:t>
            </w:r>
          </w:p>
          <w:p w14:paraId="2EF5523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5009.121 食品安全国家标准 食品中脱氢乙酸的测定 </w:t>
            </w:r>
          </w:p>
          <w:p w14:paraId="5FAA8C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5009.182 食品安全国家标准 食品中铝的测定 </w:t>
            </w:r>
          </w:p>
          <w:p w14:paraId="6733A4B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5009.227 食品安全国家标准 食品中过氧化值的测定 </w:t>
            </w:r>
          </w:p>
          <w:p w14:paraId="0C59C9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5009.229 食品安全国家标准 食品中酸价的测定 </w:t>
            </w:r>
          </w:p>
          <w:p w14:paraId="1C96E8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产品明示标准和质量要求 </w:t>
            </w:r>
          </w:p>
          <w:p w14:paraId="197BA1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相关的法律法规、部门规章和规定</w:t>
            </w:r>
          </w:p>
          <w:p w14:paraId="6E4041B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
              </w:rPr>
              <w:t>G</w:t>
            </w:r>
            <w:r>
              <w:rPr>
                <w:rFonts w:hint="eastAsia" w:ascii="仿宋" w:hAnsi="仿宋" w:eastAsia="仿宋" w:cs="仿宋"/>
                <w:i w:val="0"/>
                <w:iCs w:val="0"/>
                <w:color w:val="auto"/>
                <w:kern w:val="2"/>
                <w:sz w:val="21"/>
                <w:szCs w:val="21"/>
                <w:highlight w:val="none"/>
                <w:lang w:val="en-US" w:eastAsia="zh-CN" w:bidi="ar-SA"/>
              </w:rPr>
              <w:t>B 5009.35 食品安全国家标准 食品中合成着色剂的测定</w:t>
            </w:r>
          </w:p>
          <w:p w14:paraId="70CD12D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葡萄酒：</w:t>
            </w:r>
          </w:p>
          <w:p w14:paraId="704078B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 2760 食品安全国家标准 食品添加剂使用标准</w:t>
            </w:r>
          </w:p>
          <w:p w14:paraId="26129BF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5009.28 食品安全国家标准 食品中苯甲酸、山梨酸和糖精钠的测定 </w:t>
            </w:r>
          </w:p>
          <w:p w14:paraId="2EF4A7E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5009.97 食品安全国家标准 食品中环己基氨基磺酸钠的测定 </w:t>
            </w:r>
          </w:p>
          <w:p w14:paraId="289B737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5009.121 食品安全国家标准 食品中脱氢乙酸的测定 </w:t>
            </w:r>
          </w:p>
          <w:p w14:paraId="718ABB9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 5009.35 食品安全国家标准 食品中合成着色剂的测定</w:t>
            </w:r>
          </w:p>
          <w:p w14:paraId="7FA18D7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GB/T 15038 葡萄酒、果酒通用分析方法</w:t>
            </w:r>
          </w:p>
          <w:p w14:paraId="6E169BC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 xml:space="preserve">产品明示标准和质量要求 </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20DFD06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r>
      <w:tr w14:paraId="2A72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B3CAD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7C21AF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婴幼儿配方食品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2640F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婴儿配方食品、较大婴儿配方食品、幼儿配方食品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D29AF4D">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婴儿配方食品：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蛋白质、脂肪、碳水化合物、亚油酸、α-亚麻酸、亚油酸与α-亚麻酸比值、芥酸与总脂肪酸比值、反式脂肪酸与总脂肪酸比值、维生素 A、维生素 D、维生素 E、维生素 K1、维生素 B1、维生素 B2、维生素 B6、维生素 B12、烟酸（烟酰胺）、叶酸、泛酸、维生素 C、生物素、钠、钾、铜、镁、铁、锌、锰、钙、磷、钙磷比值、碘、氯、硒、胆碱、肌醇、牛磺酸、左旋肉碱、二十二碳六烯酸、二十碳四烯酸、果聚糖、水分、灰分、杂质度、铅、硝酸盐、亚硝酸盐、黄曲霉毒素 M1或黄曲霉毒素 B1、三聚氰胺、叶黄素、核苷酸、香兰素、乙基香兰素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较大婴儿配方食品：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蛋白质、脂肪、亚油酸、碳水化合物、α-亚麻酸、亚油酸与α-亚麻酸比值、终产品脂肪中月桂酸和肉豆蔻 酸（十四烷酸）总量占总脂肪酸的比值、芥酸与总脂肪酸比值、维生素 A、维生素 D、维生素 E、维生素 K1、维生素 B1、维生素 B2、维生素 B6、维生素 B12、烟酸（烟酰胺）、叶酸、泛酸、维生素 C、生物素、钠、钾、铜、镁、铁、锌、锰、钙、磷、钙磷比值、碘、氯、硒、胆碱、肌醇、牛磺酸、左旋肉碱、二十二碳六烯酸、果聚糖、水分、灰分、杂质度、铅、硝酸盐、亚硝酸盐、黄曲霉毒素 M1或黄曲霉毒素 B1、三聚氰胺、叶黄素、核苷酸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幼儿配方食品：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蛋白质、脂肪、亚油酸、α-亚麻酸、亚油酸与α-亚麻酸比值、乳糖占碳水化合物总量、碳水化合物、维生素 A、维生素 D、维生素 E、维生素 K1、维生素 B1、维生素 B2、维生素 B6、维生素 B12、叶酸、泛酸、维生素 C、生物素、钠、钾、铜、镁、铁、锌、锰、钙、磷、钙磷比值、碘、氯、硒、胆碱、肌醇、牛磺酸、左旋肉碱、二十二碳六烯酸、二十碳四烯酸、反式脂肪酸与总脂肪酸比值、果聚糖、水分、灰分、杂质度、铅、硝酸盐、亚硝酸盐、黄曲霉毒素 M1或黄曲霉毒素 B1、三聚氰胺、叶黄素、核苷酸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（特殊医学用途配方食品不检测维生素B6、烟酸（烟酰胺）、碘项目）</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1BDFDF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婴儿配方食品：</w:t>
            </w:r>
          </w:p>
          <w:p w14:paraId="7177B38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2760 食品安全国家标准 食品添加剂使用标准 </w:t>
            </w:r>
          </w:p>
          <w:p w14:paraId="006B29D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2761 食品安全国家标准 食品中真菌毒素限量 </w:t>
            </w:r>
          </w:p>
          <w:p w14:paraId="34B23BB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33A240A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 食品安全国家标准 食品中水分的测定 </w:t>
            </w:r>
          </w:p>
          <w:p w14:paraId="6340775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5009.4 食品安全国家标准 食品中灰分的测定 </w:t>
            </w:r>
          </w:p>
          <w:p w14:paraId="09F73BD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37C9346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3147FC6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3331CC0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5009.13 食品安全国家标准 食品中铜的测定 </w:t>
            </w:r>
          </w:p>
          <w:p w14:paraId="7AA4830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5009.14 食品安全国家标准 食品中锌的测定 </w:t>
            </w:r>
          </w:p>
          <w:p w14:paraId="1D0EE0B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5009.22 食品安全国家标准 食品中黄曲霉毒素 B 族和 G 族的测定 </w:t>
            </w:r>
          </w:p>
          <w:p w14:paraId="5BF0239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 食品安全国家标准 食品中黄曲霉毒素 M 族的测定 </w:t>
            </w:r>
          </w:p>
          <w:p w14:paraId="60CBCF4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76953D4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5009.44 食品安全国家标准 食品中氯化物的测定 </w:t>
            </w:r>
          </w:p>
          <w:p w14:paraId="39042A5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5009.82 食品安全国家标准 食品中维生素 A、D、E 的测定 </w:t>
            </w:r>
          </w:p>
          <w:p w14:paraId="728FBF4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5009.84 食品安全国家标准 食品中维生素 B1的测定 </w:t>
            </w:r>
          </w:p>
          <w:p w14:paraId="0DBD33E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5009.85 食品安全国家标准 食品中维生素 B2的测定 </w:t>
            </w:r>
          </w:p>
          <w:p w14:paraId="6921157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5009.87 食品安全国家标准 食品中磷的测定 </w:t>
            </w:r>
          </w:p>
          <w:p w14:paraId="63DC643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5009.89 食品安全国家标准 食品中烟酸和烟酰胺的测定 </w:t>
            </w:r>
          </w:p>
          <w:p w14:paraId="6E6ED65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5009.90 食品安全国家标准 食品中铁的测定 </w:t>
            </w:r>
          </w:p>
          <w:p w14:paraId="4313F59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4D93856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5009.92 食品安全国家标准 食品中钙的测定 </w:t>
            </w:r>
          </w:p>
          <w:p w14:paraId="2D19B5D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5009.93 食品安全国家标准 食品中硒的测定 </w:t>
            </w:r>
          </w:p>
          <w:p w14:paraId="656B9A3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5009.154 食品安全国家标准 食品中维生素 B6的测定 </w:t>
            </w:r>
          </w:p>
          <w:p w14:paraId="54E1864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5009.158 食品安全国家标准 食品中维生素 K1的测定 </w:t>
            </w:r>
          </w:p>
          <w:p w14:paraId="32701F5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5009.168 食品安全国家标准 食品中脂肪酸的测定 </w:t>
            </w:r>
          </w:p>
          <w:p w14:paraId="585B179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5009.169 食品安全国家标准 食品中牛磺酸的测定 </w:t>
            </w:r>
          </w:p>
          <w:p w14:paraId="5F3A780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5009.210 食品安全国家标准 食品中泛酸的测定 </w:t>
            </w:r>
          </w:p>
          <w:p w14:paraId="2762E00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5009.211 食品安全国家标准 食品中叶酸的测定 </w:t>
            </w:r>
          </w:p>
          <w:p w14:paraId="7041959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5009.241 食品安全国家标准 食品中镁的测定 </w:t>
            </w:r>
          </w:p>
          <w:p w14:paraId="2DE24B0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5009.242 食品安全国家标准 食品中锰的测定 </w:t>
            </w:r>
          </w:p>
          <w:p w14:paraId="4D4A46B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5009.248 食品安全国家标准 食品中叶黄素的测定 </w:t>
            </w:r>
          </w:p>
          <w:p w14:paraId="2ACA0CD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5009.255 食品安全国家标准 食品中果聚糖的测定 </w:t>
            </w:r>
          </w:p>
          <w:p w14:paraId="35E3FAD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5009.259 食品安全国家标准 食品中生物素的测定 </w:t>
            </w:r>
          </w:p>
          <w:p w14:paraId="0A8CA59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5009.267 食品安全国家标准 食品中碘的测定 </w:t>
            </w:r>
          </w:p>
          <w:p w14:paraId="51FD1D2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5009.270 食品安全国家标准 食品中肌醇的测定 </w:t>
            </w:r>
          </w:p>
          <w:p w14:paraId="52ABC73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5009.284-2021 食品安全国家标准 食品中香兰素、甲基香兰素、乙基香兰素和香豆素的测定 </w:t>
            </w:r>
          </w:p>
          <w:p w14:paraId="492DBE2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5413.5 食品安全国家标准 婴幼儿食品和乳品中乳糖、蔗糖的测定 </w:t>
            </w:r>
          </w:p>
          <w:p w14:paraId="527C986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5413.14 食品安全国家标准 婴幼儿食品和乳品中维生素 B12的测定 </w:t>
            </w:r>
          </w:p>
          <w:p w14:paraId="73C90C7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5413.18 食品安全国家标准 婴幼儿食品和乳品中维生素 C 的测定 </w:t>
            </w:r>
          </w:p>
          <w:p w14:paraId="153C971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5413.20 食品安全国家标准 婴幼儿食品和乳品中胆碱的测定 </w:t>
            </w:r>
          </w:p>
          <w:p w14:paraId="333D516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5413.30 食品安全国家标准 乳和乳制品杂质度的测定 </w:t>
            </w:r>
          </w:p>
          <w:p w14:paraId="04F79B9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5413.31 食品安全国家标准 婴幼儿食品和乳品中脲酶的测定 </w:t>
            </w:r>
          </w:p>
          <w:p w14:paraId="1662343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5413.36 食品安全国家标准 婴幼儿食品和乳品中反式脂肪酸的测定 </w:t>
            </w:r>
          </w:p>
          <w:p w14:paraId="1951C1C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5413.40 食品安全国家标准 婴幼儿食品和乳品中核苷酸的测定 </w:t>
            </w:r>
          </w:p>
          <w:p w14:paraId="39B1563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10765-2021 食品安全国家标准 婴儿配方食品 </w:t>
            </w:r>
          </w:p>
          <w:p w14:paraId="32D56D7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10766-2021 食品安全国家标准 较大婴儿配方食品 </w:t>
            </w:r>
          </w:p>
          <w:p w14:paraId="35FEA45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10767-2021 食品安全国家标准 幼儿配方食品 </w:t>
            </w:r>
          </w:p>
          <w:p w14:paraId="340C055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6215126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GB/T 22388 原料乳与乳制品中三聚氰胺检测方法 </w:t>
            </w:r>
          </w:p>
          <w:p w14:paraId="7B82151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29921-2021 食品安全国家标准 预包装食品中致病菌限量 </w:t>
            </w:r>
          </w:p>
          <w:p w14:paraId="5763B11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29989 食品安全国家标准 婴幼儿食品和乳品中左旋肉碱的测定 </w:t>
            </w:r>
          </w:p>
          <w:p w14:paraId="082FCDC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BJS 201705 食品中香兰素、甲基香兰素和乙基香兰素的测定 </w:t>
            </w:r>
          </w:p>
          <w:p w14:paraId="1371CDD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卫生部、工业和信息化部、农业部、工商总局、质检总局公告 2011 年第 10 号关于三聚 氰胺在食品中的限量值的公告 </w:t>
            </w:r>
          </w:p>
          <w:p w14:paraId="77AAB61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0E0E702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1CCFD6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r>
      <w:tr w14:paraId="4F4B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4"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D9E7C7">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9AF3D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婴幼儿辅食</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046D7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婴幼儿谷类辅助食品、婴幼儿罐装辅助食品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1DCB9202">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婴幼儿谷类辅助食品：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能量、蛋白质、脂肪、亚油酸、月桂酸占总脂肪的比值、肉豆蔻酸占总脂肪的比值、维生素 A、维生素 D、维生素 B1、钙、铁、锌、钠、维生素 E、维生素 B2、维生素 B6、维生素 B12、烟酸、叶酸、泛酸、维生素 C、生物素、磷、碘、钾、水分、不溶性膳食纤维、脲酶活性定性测定、铅、无机砷、锡、镉、黄曲霉毒素 B1、硝酸盐、亚硝酸盐、二十二碳六烯酸、花生四烯酸、灰分、碳水化合物、维生素K1、苯甲酸、山梨酸、糖精钠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婴幼儿罐装辅助食品：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蛋白质、脂肪、总钠、铅、无机砷、总汞、锡、硝酸盐、亚硝酸盐、商业无菌（限罐头工艺）、霉菌、能量、蛋白质、水分、灰分、碳水化合物、苯甲酸、山梨酸、糖精钠</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1EBD4B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2761 食品安全国家标准 食品中真菌毒素限量 </w:t>
            </w:r>
          </w:p>
          <w:p w14:paraId="762B05B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377FEED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 食品安全国家标准 食品中水分的测定 </w:t>
            </w:r>
          </w:p>
          <w:p w14:paraId="3B81D4E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5896D35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3C8D67C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5009.11 食品安全国家标准 食品中总砷及无机砷的测定 </w:t>
            </w:r>
          </w:p>
          <w:p w14:paraId="6AA04EB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5538B29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5009.14 食品安全国家标准 食品中锌的测定 </w:t>
            </w:r>
          </w:p>
          <w:p w14:paraId="0032833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 食品安全国家标准 食品中镉的测定 </w:t>
            </w:r>
          </w:p>
          <w:p w14:paraId="473C481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 食品安全国家标准 食品中锡的测定 </w:t>
            </w:r>
          </w:p>
          <w:p w14:paraId="3320E8E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5009.22 食品安全国家标准 食品中黄曲霉毒素 B 族和 G 族的测定 </w:t>
            </w:r>
          </w:p>
          <w:p w14:paraId="32D8138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7A692D5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5009.82 食品安全国家标准 食品中维生素 A、D、E 的测定 </w:t>
            </w:r>
          </w:p>
          <w:p w14:paraId="488A50C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5009.84 食品安全国家标准 食品中维生素 B1的测定 </w:t>
            </w:r>
          </w:p>
          <w:p w14:paraId="11D6631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5009.85 食品安全国家标准 食品中维生素 B2的测定 </w:t>
            </w:r>
          </w:p>
          <w:p w14:paraId="57957FE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5009.87 食品安全国家标准 食品中磷的测定 </w:t>
            </w:r>
          </w:p>
          <w:p w14:paraId="312DDB3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5009.89 食品安全国家标准 食品中烟酸和烟酰胺的测定 </w:t>
            </w:r>
          </w:p>
          <w:p w14:paraId="755BED5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5009.90 食品安全国家标准 食品中铁的测定 </w:t>
            </w:r>
          </w:p>
          <w:p w14:paraId="6B6C36E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660B547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5009.92 食品安全国家标准 食品中钙的测定 </w:t>
            </w:r>
          </w:p>
          <w:p w14:paraId="3E236C1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5009.154 食品安全国家标准 食品中维生素 B6的测定 </w:t>
            </w:r>
          </w:p>
          <w:p w14:paraId="307C6ED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5009.168 食品安全国家标准 食品中脂肪酸的测定 </w:t>
            </w:r>
          </w:p>
          <w:p w14:paraId="3C8FEDB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5009.210 食品安全国家标准 食品中泛酸的测定 </w:t>
            </w:r>
          </w:p>
          <w:p w14:paraId="5316C25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5009.211 食品安全国家标准 食品中叶酸的测定 </w:t>
            </w:r>
          </w:p>
          <w:p w14:paraId="23623C2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5009.259 食品安全国家标准 食品中生物素的测定 </w:t>
            </w:r>
          </w:p>
          <w:p w14:paraId="34CD172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5009.267 食品安全国家标准 食品中碘的测定 </w:t>
            </w:r>
          </w:p>
          <w:p w14:paraId="0C2624E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5413.6 食品安全国家标准 婴幼儿食品和乳品中不溶性膳食纤维的测定 </w:t>
            </w:r>
          </w:p>
          <w:p w14:paraId="4A7B210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5413.14 食品安全国家标准 婴幼儿食品和乳品中维生素 B12的测定 </w:t>
            </w:r>
          </w:p>
          <w:p w14:paraId="1436FEF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5413.18 食品安全国家标准 婴幼儿食品和乳品中维生素 C 的测定 </w:t>
            </w:r>
          </w:p>
          <w:p w14:paraId="45AB02A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5413.31 食品安全国家标准 婴幼儿食品和乳品中脲酶的测定 </w:t>
            </w:r>
          </w:p>
          <w:p w14:paraId="7AE5A39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10769 食品安全国家标准婴幼儿谷类辅助食品 </w:t>
            </w:r>
          </w:p>
          <w:p w14:paraId="5E54C3A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6385236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29921 食品安全国家标准 预包装食品中致病菌限量 </w:t>
            </w:r>
          </w:p>
          <w:p w14:paraId="2E18C0B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卫健委、市场监管总局公告 2018 年 第 7 号 关于发布婴幼儿谷类辅助食品中镉的临时限量值的公告 </w:t>
            </w:r>
          </w:p>
          <w:p w14:paraId="2BDA524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7999EE0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p w14:paraId="448C94D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婴幼儿罐装辅助食品：</w:t>
            </w:r>
          </w:p>
          <w:p w14:paraId="349FAA7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5E1C661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45EF776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3FBE9CC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5009.11 食品安全国家标准 食品中总砷及无机砷的测定 </w:t>
            </w:r>
          </w:p>
          <w:p w14:paraId="67E4A60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669CCB1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 食品安全国家标准 食品中锡的测定 </w:t>
            </w:r>
          </w:p>
          <w:p w14:paraId="33ADAA2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5009.17 食品安全国家标准 食品中总汞及有机汞的测定 </w:t>
            </w:r>
          </w:p>
          <w:p w14:paraId="0FFE6E4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2FF7BFD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1A5FE2B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10770 食品安全国家标准 婴幼儿罐装辅助食品 </w:t>
            </w:r>
          </w:p>
          <w:p w14:paraId="5CC0017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2B4542A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3ECB2AA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ABFEFF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r>
      <w:tr w14:paraId="0CAE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4DB23FB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保健食品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F962F1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保健品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C27F8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减肥降脂类</w:t>
            </w:r>
            <w:r>
              <w:rPr>
                <w:rFonts w:hint="eastAsia" w:ascii="仿宋" w:hAnsi="仿宋" w:eastAsia="仿宋" w:cs="仿宋"/>
                <w:i w:val="0"/>
                <w:iCs w:val="0"/>
                <w:color w:val="000000"/>
                <w:kern w:val="0"/>
                <w:sz w:val="21"/>
                <w:szCs w:val="21"/>
                <w:highlight w:val="none"/>
                <w:u w:val="none"/>
                <w:lang w:val="en-US" w:eastAsia="zh-CN" w:bidi="ar"/>
              </w:rPr>
              <w:t>样品、</w:t>
            </w:r>
            <w:r>
              <w:rPr>
                <w:rFonts w:hint="eastAsia" w:ascii="仿宋" w:hAnsi="仿宋" w:eastAsia="仿宋" w:cs="仿宋"/>
                <w:i w:val="0"/>
                <w:iCs w:val="0"/>
                <w:color w:val="auto"/>
                <w:kern w:val="0"/>
                <w:sz w:val="21"/>
                <w:szCs w:val="21"/>
                <w:highlight w:val="none"/>
                <w:u w:val="none"/>
                <w:lang w:val="en-US" w:eastAsia="zh-CN" w:bidi="ar"/>
              </w:rPr>
              <w:t>降糖降压类</w:t>
            </w:r>
            <w:r>
              <w:rPr>
                <w:rFonts w:hint="eastAsia" w:ascii="仿宋" w:hAnsi="仿宋" w:eastAsia="仿宋" w:cs="仿宋"/>
                <w:i w:val="0"/>
                <w:iCs w:val="0"/>
                <w:color w:val="000000"/>
                <w:kern w:val="0"/>
                <w:sz w:val="21"/>
                <w:szCs w:val="21"/>
                <w:highlight w:val="none"/>
                <w:u w:val="none"/>
                <w:lang w:val="en-US" w:eastAsia="zh-CN" w:bidi="ar"/>
              </w:rPr>
              <w:t>类样品、缓解体力疲劳类/提高免疫力</w:t>
            </w:r>
            <w:r>
              <w:rPr>
                <w:rFonts w:hint="eastAsia" w:ascii="仿宋" w:hAnsi="仿宋" w:eastAsia="仿宋" w:cs="仿宋"/>
                <w:i w:val="0"/>
                <w:iCs w:val="0"/>
                <w:color w:val="auto"/>
                <w:kern w:val="0"/>
                <w:sz w:val="21"/>
                <w:szCs w:val="21"/>
                <w:highlight w:val="none"/>
                <w:u w:val="none"/>
                <w:lang w:val="en-US" w:eastAsia="zh-CN" w:bidi="ar"/>
              </w:rPr>
              <w:t>/安神</w:t>
            </w:r>
            <w:r>
              <w:rPr>
                <w:rFonts w:hint="eastAsia" w:ascii="仿宋" w:hAnsi="仿宋" w:eastAsia="仿宋" w:cs="仿宋"/>
                <w:i w:val="0"/>
                <w:iCs w:val="0"/>
                <w:color w:val="000000"/>
                <w:kern w:val="0"/>
                <w:sz w:val="21"/>
                <w:szCs w:val="21"/>
                <w:highlight w:val="none"/>
                <w:u w:val="none"/>
                <w:lang w:val="en-US" w:eastAsia="zh-CN" w:bidi="ar"/>
              </w:rPr>
              <w:t>类样品</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DFB4FDE">
            <w:pPr>
              <w:keepNext w:val="0"/>
              <w:keepLines w:val="0"/>
              <w:widowControl/>
              <w:suppressLineNumbers w:val="0"/>
              <w:jc w:val="left"/>
              <w:textAlignment w:val="top"/>
              <w:rPr>
                <w:rStyle w:val="123"/>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所有样品：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铅、总砷、总汞、</w:t>
            </w:r>
            <w:r>
              <w:rPr>
                <w:rStyle w:val="123"/>
                <w:rFonts w:hint="eastAsia" w:ascii="仿宋" w:hAnsi="仿宋" w:eastAsia="仿宋" w:cs="仿宋"/>
                <w:color w:val="auto"/>
                <w:sz w:val="21"/>
                <w:szCs w:val="21"/>
                <w:highlight w:val="none"/>
                <w:lang w:val="en-US" w:eastAsia="zh-CN" w:bidi="ar"/>
              </w:rPr>
              <w:t>装量/重量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减肥降脂类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西布曲明、芬氟拉明、麻黄碱、酚酞、N-单去甲基西布曲明、N,N-双去甲基西布曲明</w:t>
            </w:r>
            <w:r>
              <w:rPr>
                <w:rStyle w:val="123"/>
                <w:rFonts w:hint="eastAsia" w:ascii="仿宋" w:hAnsi="仿宋" w:eastAsia="仿宋" w:cs="仿宋"/>
                <w:color w:val="auto"/>
                <w:sz w:val="21"/>
                <w:szCs w:val="21"/>
                <w:highlight w:val="none"/>
                <w:lang w:val="en-US" w:eastAsia="zh-CN" w:bidi="ar"/>
              </w:rPr>
              <w:t>、伪麻黄碱、甲基麻黄碱、苯丙醇胺、氯噻嗪、氢氯噻嗪、普伐他汀、呋塞米、氟西汀、吲达帕胺、比沙可啶、苯扎贝特、布美他尼、洛伐他汀、辛伐他汀、非诺贝特、番泻苷A、番泻苷B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降糖降压类：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甲苯磺丁脲、格列本脲、格列齐特、格列吡嗪、格列喹酮、格列美脲、罗格列酮、瑞格列奈</w:t>
            </w:r>
            <w:r>
              <w:rPr>
                <w:rStyle w:val="123"/>
                <w:rFonts w:hint="eastAsia" w:ascii="仿宋" w:hAnsi="仿宋" w:eastAsia="仿宋" w:cs="仿宋"/>
                <w:color w:val="auto"/>
                <w:sz w:val="21"/>
                <w:szCs w:val="21"/>
                <w:highlight w:val="none"/>
                <w:lang w:val="en-US" w:eastAsia="zh-CN" w:bidi="ar"/>
              </w:rPr>
              <w:t>、二甲双胍、苯乙双胍、吡格列酮、丁二胍、</w:t>
            </w:r>
            <w:r>
              <w:rPr>
                <w:rFonts w:hint="eastAsia" w:ascii="仿宋" w:hAnsi="仿宋" w:eastAsia="仿宋" w:cs="仿宋"/>
                <w:i w:val="0"/>
                <w:iCs w:val="0"/>
                <w:color w:val="auto"/>
                <w:kern w:val="0"/>
                <w:sz w:val="21"/>
                <w:szCs w:val="21"/>
                <w:highlight w:val="none"/>
                <w:u w:val="none"/>
                <w:lang w:val="en-US" w:eastAsia="zh-CN" w:bidi="ar"/>
              </w:rPr>
              <w:t>格列波脲、氨氯地平、尼群地平、尼莫地平、非洛地平、</w:t>
            </w:r>
            <w:r>
              <w:rPr>
                <w:rStyle w:val="123"/>
                <w:rFonts w:hint="eastAsia" w:ascii="仿宋" w:hAnsi="仿宋" w:eastAsia="仿宋" w:cs="仿宋"/>
                <w:color w:val="auto"/>
                <w:sz w:val="21"/>
                <w:szCs w:val="21"/>
                <w:highlight w:val="none"/>
                <w:lang w:val="en-US" w:eastAsia="zh-CN" w:bidi="ar"/>
              </w:rPr>
              <w:t>尼索地平、</w:t>
            </w:r>
            <w:r>
              <w:rPr>
                <w:rFonts w:hint="eastAsia" w:ascii="仿宋" w:hAnsi="仿宋" w:eastAsia="仿宋" w:cs="仿宋"/>
                <w:i w:val="0"/>
                <w:iCs w:val="0"/>
                <w:color w:val="auto"/>
                <w:kern w:val="0"/>
                <w:sz w:val="21"/>
                <w:szCs w:val="21"/>
                <w:highlight w:val="none"/>
                <w:u w:val="none"/>
                <w:lang w:val="en-US" w:eastAsia="zh-CN" w:bidi="ar"/>
              </w:rPr>
              <w:t>硝苯地平</w:t>
            </w:r>
            <w:r>
              <w:rPr>
                <w:rStyle w:val="123"/>
                <w:rFonts w:hint="eastAsia" w:ascii="仿宋" w:hAnsi="仿宋" w:eastAsia="仿宋" w:cs="仿宋"/>
                <w:color w:val="auto"/>
                <w:sz w:val="21"/>
                <w:szCs w:val="21"/>
                <w:highlight w:val="none"/>
                <w:lang w:val="en-US" w:eastAsia="zh-CN" w:bidi="ar"/>
              </w:rPr>
              <w:t>、卡托普利</w:t>
            </w:r>
            <w:r>
              <w:rPr>
                <w:rFonts w:hint="eastAsia" w:ascii="仿宋" w:hAnsi="仿宋" w:eastAsia="仿宋" w:cs="仿宋"/>
                <w:i w:val="0"/>
                <w:iCs w:val="0"/>
                <w:color w:val="auto"/>
                <w:kern w:val="0"/>
                <w:sz w:val="21"/>
                <w:szCs w:val="21"/>
                <w:highlight w:val="none"/>
                <w:u w:val="none"/>
                <w:lang w:val="en-US" w:eastAsia="zh-CN" w:bidi="ar"/>
              </w:rPr>
              <w:t>、利血平、阿替洛尔、盐酸可乐定、哌唑嗪</w:t>
            </w:r>
            <w:r>
              <w:rPr>
                <w:rStyle w:val="123"/>
                <w:rFonts w:hint="eastAsia" w:ascii="仿宋" w:hAnsi="仿宋" w:eastAsia="仿宋" w:cs="仿宋"/>
                <w:color w:val="auto"/>
                <w:sz w:val="21"/>
                <w:szCs w:val="21"/>
                <w:highlight w:val="none"/>
                <w:lang w:val="en-US" w:eastAsia="zh-CN" w:bidi="ar"/>
              </w:rPr>
              <w:t>、氢氯噻嗪</w:t>
            </w:r>
          </w:p>
          <w:p w14:paraId="3D60C43F">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缓解体力疲劳/提高免疫力/安神类：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西地那非、豪莫西地那非、羟基豪莫西地那非</w:t>
            </w:r>
            <w:r>
              <w:rPr>
                <w:rStyle w:val="123"/>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那莫西地那非、硫代艾地那非、红地那非、那红地那非、伪伐地那非、他达那非</w:t>
            </w:r>
            <w:r>
              <w:rPr>
                <w:rStyle w:val="123"/>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氨基他达拉非、伐地那非、</w:t>
            </w:r>
            <w:r>
              <w:rPr>
                <w:rStyle w:val="123"/>
                <w:rFonts w:hint="eastAsia" w:ascii="仿宋" w:hAnsi="仿宋" w:eastAsia="仿宋" w:cs="仿宋"/>
                <w:color w:val="auto"/>
                <w:sz w:val="21"/>
                <w:szCs w:val="21"/>
                <w:highlight w:val="none"/>
                <w:lang w:val="en-US" w:eastAsia="zh-CN" w:bidi="ar"/>
              </w:rPr>
              <w:t>去甲基他达拉非、二硫代去甲基卡巴地那非、去甲基卡巴地那非、那非乙酰酸、三唑仑、马来酸咪达唑仑、劳拉西泮、氯硝西泮、阿普唑仑、艾司唑仑、奥沙西泮、地西泮、硝西泮、司可巴比妥、苯巴比妥、异戊巴比妥、巴比妥、氯氮卓</w:t>
            </w:r>
          </w:p>
        </w:tc>
        <w:tc>
          <w:tcPr>
            <w:tcW w:w="2185" w:type="pct"/>
            <w:tcBorders>
              <w:top w:val="single" w:color="000000" w:sz="4" w:space="0"/>
              <w:left w:val="single" w:color="000000" w:sz="4" w:space="0"/>
              <w:bottom w:val="single" w:color="000000" w:sz="4" w:space="0"/>
              <w:right w:val="single" w:color="000000" w:sz="4" w:space="0"/>
            </w:tcBorders>
            <w:noWrap w:val="0"/>
            <w:vAlign w:val="center"/>
          </w:tcPr>
          <w:p w14:paraId="4D7C1C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所有样品：</w:t>
            </w:r>
          </w:p>
          <w:p w14:paraId="50B0477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5009.11 食品安全国家标准 食品中总砷及无机砷的测定 </w:t>
            </w:r>
          </w:p>
          <w:p w14:paraId="4D2CC53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5009.12 食品安全国家标准 食品中铅的测定 </w:t>
            </w:r>
          </w:p>
          <w:p w14:paraId="6EC312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5009.17 食品安全国家标准 食品中总汞及有机汞的测定 </w:t>
            </w:r>
          </w:p>
          <w:p w14:paraId="18A02F4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GB 16740 食品安全国家标准 保健食品</w:t>
            </w:r>
          </w:p>
          <w:p w14:paraId="4081F86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减肥降脂类：</w:t>
            </w:r>
          </w:p>
          <w:p w14:paraId="511B8D9D">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201701食品中西布曲明等化合物的测定</w:t>
            </w:r>
          </w:p>
          <w:p w14:paraId="1AB4448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201917 食品中番泻苷A、番泻苷B 和大黄素甲醚的测定</w:t>
            </w:r>
          </w:p>
          <w:p w14:paraId="4402838B">
            <w:pPr>
              <w:pStyle w:val="11"/>
              <w:ind w:left="0" w:leftChars="0" w:firstLine="0" w:firstLineChars="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降糖降压类：</w:t>
            </w:r>
          </w:p>
          <w:p w14:paraId="1F3A18F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201901食品中二甲双胍等非食品用化学物质的测定</w:t>
            </w:r>
          </w:p>
          <w:p w14:paraId="2E051C8E">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药品检验补充检验方法和检验项目批准件编号2014008(二)</w:t>
            </w:r>
          </w:p>
          <w:p w14:paraId="7DA59AF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药品检验补充检验方法和检验项目批准件编号2009032(三)</w:t>
            </w:r>
          </w:p>
          <w:p w14:paraId="780B09C5">
            <w:pPr>
              <w:pStyle w:val="11"/>
              <w:ind w:left="0" w:leftChars="0" w:firstLine="0" w:firstLineChars="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缓解体力疲劳/提高免疫力/安神类：</w:t>
            </w:r>
          </w:p>
          <w:p w14:paraId="0DF2C3D8">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202405 食品中西地那非、他达拉非等化合物的测定</w:t>
            </w:r>
          </w:p>
          <w:p w14:paraId="1BDC9650">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药品检验补充检验方法和检验项目批准件编号2009024(三)</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A4FA9F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60</w:t>
            </w:r>
          </w:p>
        </w:tc>
      </w:tr>
      <w:tr w14:paraId="38B9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5" w:hRule="atLeast"/>
        </w:trPr>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3AE006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化妆品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74AF6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面膜</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1146C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片状面膜、膏状面膜等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C47BA9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糖皮质激素（地塞米松、可的松、泼尼松、曲安西龙、泼尼松龙、氢化可的松、甲基泼尼松龙、倍他米松、氟米松、倍氯米松、曲安奈德、氟氢缩松、曲安西龙双醋酸酯、泼尼松龙醋酸酯、氟米龙、氢化可的松醋酸酯、地夫可特、氟氢可的松醋酸酯、泼尼松醋酸酯、可的松醋酸酯、甲基泼尼松龙醋酸酯、倍他米松醋酸酯、布地奈德、氢化可的松丁酸酯、地塞米松醋酸酯、氟米龙醋酸酯、氢化可的松戊酸酯、曲安奈德醋酸酯、氟轻松醋酸酯、二氟拉松双醋酸酯、倍他米松戊酸酯、泼尼卡酯、哈西奈德、阿氯米松双丙酸酯、安西奈德、氯倍他索丙酸酯、氟替卡松丙酸酯、莫米他松糠酸酯、倍他米松双丙酸酯、倍氯米松双丙酸酯、氯倍他松丁酸酯）、苯酚、氢醌、甲醇、防腐剂（甲基氯异噻唑啉酮、2-溴-2-硝基丙烷-1,3-二醇、甲基异噻唑啉酮、苯甲醇、苯氧乙醇、4-羟基苯甲酸甲酯、苯甲酸、4-羟基苯甲酸乙酯、4-羟基苯甲酸异丙酯、4-羟基苯甲酸丙酯、4-羟基苯甲酸异丁酯、4-羟基苯甲酸丁酯）、汞、铅、砷、镉、菌落总数、霉菌和酵母菌总数、耐热大肠菌群、金黄色葡萄球菌、铜绿假单胞菌、二甲硝咪唑、氯甲硝咪唑、苯硝咪唑、异丙硝唑、甲硝唑、羟基甲硝唑、洛硝哒唑、奥硝唑、萘啶酸、替硝唑、磺胺吡啶、磺胺甲噁唑、磺胺噻唑、二甲氧苄啶、苄哒唑、磺胺甲嘧啶（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2902162C">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《化妆品安全技术规范》2015年版</w:t>
            </w:r>
          </w:p>
          <w:p w14:paraId="4D2BEA3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GB/T 24800.2-2009《化妆品中四十一种糖皮质激素的测定 液相色谱串联质谱法和薄层层析法》</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9B4D6E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40</w:t>
            </w:r>
          </w:p>
        </w:tc>
      </w:tr>
      <w:tr w14:paraId="7E46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1FCB2">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88E56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彩妆</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E5044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指甲油、口红、眉笔、唇彩、睫毛膏、眼线等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A3F18FD">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化剂、邻苯二甲酸二丁酯（DBP）、邻苯二甲酸二（2-甲氧乙基）酯（DMEP）、邻苯二甲酸二异戊酯（DIPP）、邻苯二甲酸戊基异戊酯（DnIPP）、邻苯二甲酸二正戊酯（DnPP）、邻苯二甲酸丁苄酯（BBP）、邻苯二甲酸二（2-乙基己基）酯（DEHP）、1,2-苯基二羧酸支链和直链二戊基酯）、酸性黄36、颜料红53:1、颜料橙5、苏丹红II、苏丹红IV、汞、铅、砷、镉、VOC（二氯甲烷、1,1-二氯乙烷、1,2-二氯乙烯、三氯甲烷、1,2-二氯乙烷、苯、三氯乙烯、四氯乙烯）、比马前列素等5项（比马前列素、他氟乙酰胺、拉坦前列素、曲伏前列素、他氟前列素，仅限眼部产品）（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20AE25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484BF999">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71C4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D204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23E783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防晒用品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DDE33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防晒霜、防晒乳等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706BC1C3">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晒剂（3-亚苄基樟脑、4-甲基苄亚基樟脑、二苯酮-3、二苯酮-4或二苯酮-5、亚苄基樟脑磺酸、双-乙基己氧苯酚甲氧苯基三嗪、丁基甲氧基二苯甲酰基甲烷、樟脑苯扎铵甲基硫酸盐、二乙氨羟苯甲酰基苯甲酸己酯、二乙基己基丁酰胺基三嗪酮、甲酚曲唑三硅氧烷、二甲基PABA乙基己酯、甲氧基肉桂酸乙基己酯、水杨酸乙基己酯、乙基己基三嗪酮、胡莫柳酯、对甲氧基肉桂酸异戊酯、亚甲基双-苯并三唑基四甲基丁基酚、奥克立林、苯基苯并咪唑磺酸、对苯二亚甲基二樟脑磺酸、苯基二苯并咪唑四磺酸酯二钠）、汞、铅、砷、镉、菌落总数、霉菌和酵母菌总数、耐热大肠菌群、金黄色葡萄球菌、铜绿假单胞菌、防腐剂（甲基氯异噻唑啉酮、2-溴-2-硝基丙烷-1,3-二醇、甲基异噻唑啉酮、苯甲醇、苯氧乙醇、4-羟基苯甲酸甲酯、苯甲酸、4-羟基苯甲酸乙酯、4-羟基苯甲酸异丙酯、4-羟基苯甲酸丙酯、4-羟基苯甲酸异丁酯、4-羟基苯甲酸丁酯、氯苯甘醚）（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22A09C5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08DE2C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r>
      <w:tr w14:paraId="6AF0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3889E6">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EC862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水乳液、霜等</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2A34B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保湿霜、卸妆水、日晚霜、BB霜、精华液、祛痘膏等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57B9A3CA">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腐剂（甲基氯异噻唑啉酮、2-溴-2-硝基丙烷-1,3-二醇、甲基异噻唑啉酮、苯甲醇、苯氧乙醇、4-羟基苯甲酸甲酯、苯甲酸、4-羟基苯甲酸乙酯、4-羟基苯甲酸异丙酯、4-羟基苯甲酸丙酯、4-羟基苯甲酸异丁酯、4-羟基苯甲酸丁酯、氯苯甘醚）、汞、铅、砷、镉、菌落总数、霉菌和酵母菌总数、耐热大肠菌群、金黄色葡萄球菌、铜绿假单胞菌、糖皮质激素（地塞米松、可的松、泼尼松、曲安西龙、泼尼松龙、氢化可的松、甲基泼尼松龙、倍他米松、氟米松、倍氯米松、曲安奈德、氟氢缩松、曲安西龙双醋酸酯、泼尼松龙醋酸酯、氟米龙、氢化可的松醋酸酯、地夫可特、氟氢可的松醋酸酯、泼尼松醋酸酯、可的松醋酸酯、甲基泼尼松龙醋酸酯、倍他米松醋酸酯、布地奈德、氢化可的松丁酸酯、地塞米松醋酸酯、氟米龙醋酸酯、氢化可的松戊酸酯、曲安奈德醋酸酯、氟轻松醋酸酯、二氟拉松双醋酸酯、倍他米松戊酸酯、泼尼卡酯、哈西奈德、阿氯米松双丙酸酯、安西奈德、氯倍他索丙酸酯、氟替卡松丙酸酯、莫米他松糠酸酯、倍他米松双丙酸酯、倍氯米松双丙酸酯、氯倍他松丁酸酯）（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5657DDBF">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化妆品安全技术规范》2015年版</w:t>
            </w:r>
          </w:p>
          <w:p w14:paraId="0F0B3647">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GB/T 24800.2-2009《化妆品中四十一种糖皮质激素的测定 液相色谱串联质谱法和薄层层析法》</w:t>
            </w:r>
          </w:p>
          <w:p w14:paraId="7EF8A45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86ABAF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50</w:t>
            </w:r>
          </w:p>
        </w:tc>
      </w:tr>
      <w:tr w14:paraId="4D89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0638B">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2012B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染发用品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E3251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染发膏、染发剂等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36A2B7A0">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间苯二胺、对苯二胺、对氨基苯酚、甲苯-2,5-二胺硫酸盐、间氨基苯酚、邻苯二胺、2-氯对苯二胺硫酸盐、邻氨基苯酚、间苯二酚、2-硝基对苯二胺、甲苯-3,4-二胺、4-氨基-2-羟基甲苯、2-甲基间苯二酚、6-氨基间甲酚、苯基甲基吡唑啉酮、N,N-二乙基甲苯-2,5-二胺盐酸盐、4-氨基-3-硝基苯酚、2,4-二氨基苯氧基乙醇盐酸盐、氢醌、4-氨基间甲酚、2-氨基-3-羟基吡啶、N,N-双(2-羟乙基)对苯二胺硫酸盐、对甲基氨基苯酚硫酸盐、4-硝基邻苯二胺、2,6-二氨基吡啶、N,N-二乙基对苯二胺硫酸盐、6-羟基吲哚、4-氯间苯二酚、2,7-萘二酚、N-苯基对苯二胺、1,5-萘二酚、1-萘酚、汞、铅、砷、镉（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6995C38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4241CD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2A64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222800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日化用品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7DAA0B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洗浴类产品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0980C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沐浴露、洗发水、护发素、等</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2079D3F6">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甲醇、防腐剂（甲基氯异噻唑啉酮、2-溴-2-硝基丙烷-1,3-二醇、甲基异噻唑啉酮、苯甲醇、苯氧乙醇、4-羟基苯甲酸甲酯、苯甲酸、4-羟基苯甲酸乙酯、4-羟基苯甲酸异丙酯、4-羟基苯甲酸丙酯、4-羟基苯甲酸异丁酯、4-羟基苯甲酸丁酯）、4-羟基苯甲酸、氯苯甘醚、脱氢乙酸、5-溴-5-硝基-1,3-二噁烷、4-羟基苯甲酸苯酯、4-羟基苯甲酸苄酯、苯甲酸乙酯、4-羟基苯甲酸戊酯、苯甲酸异丙酯、苯甲酸丙酯、苯甲酸苯基酯、五氯苯酚、六氯酚、汞、铅、砷、镉、菌落总数、霉菌和酵母菌总数、耐热大肠菌群、金黄色葡萄球菌、铜绿假单胞菌、二噁烷、三氯卡班、三氯生、苯酚、氢醌（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0176B47">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《化妆品安全技术规范》2015年版</w:t>
            </w:r>
          </w:p>
          <w:p w14:paraId="78665024">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GB/T 30929《化妆品中禁用物质2,4,6-三氯苯酚、五氯苯酚和硫氯酚的测定 高效液相色谱法》</w:t>
            </w:r>
          </w:p>
          <w:p w14:paraId="3C22B569">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GB/T 29673《化妆品中六氯酚的测定 高效液相色谱法》</w:t>
            </w:r>
          </w:p>
          <w:p w14:paraId="78CC71D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rPr>
              <w:t>SN/T 1786《进出口化妆品中三氯生和三氯卡班的测定 液相色谱法》</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89E4C7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020A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5744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2E7E1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牙膏</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712EC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成人、儿童牙膏</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1911DB08">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铅、砷、菌落总数、霉菌和酵母菌总数、耐热大肠菌群、金黄色葡萄球菌、铜绿假单胞菌、pH值、游离氟、总氟、汞、镉、二噁烷（仅标准适用产品）</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8CDB89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8372-2017《牙膏》</w:t>
            </w:r>
          </w:p>
          <w:p w14:paraId="2819E27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1C410E7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48AB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EF9A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动植物产品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2F40EC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蜂蜜</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551F7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蜂蜜、麦卢卡蜂蜜</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56BCE154">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蜂蜜(Honey)δ13CH、碳-4植物糖含量、蛋白质(Protein) δ13CP、果糖和葡萄糖、蔗糖、氯霉素、呋喃他酮代谢物、呋喃妥因代谢物、呋喃西林代谢物、呋喃唑酮代谢物、洛硝哒唑、甲硝唑、地美硝唑、山梨酸及其钾盐(以山梨酸计)、嗜渗酵母菌计数,霉菌计数,菌落总数</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0DDBD66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2760 食品安全国家标准 食品添加剂使用标准</w:t>
            </w:r>
          </w:p>
          <w:p w14:paraId="2EA00AB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5009.8 食品安全国家标准 食品中果糖、葡萄糖、蔗糖、麦芽糖、乳糖的测定</w:t>
            </w:r>
          </w:p>
          <w:p w14:paraId="7827CD7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5009.28 食品安全国家标准 食品中苯甲酸、山梨酸和糖精钠的测定</w:t>
            </w:r>
          </w:p>
          <w:p w14:paraId="57D6AF0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14963 食品安全国家标准 蜂蜜</w:t>
            </w:r>
          </w:p>
          <w:p w14:paraId="21F783B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18932.19 蜂蜜中氯霉素残留量的测定方法 液相色谱-串联质谱法</w:t>
            </w:r>
          </w:p>
          <w:p w14:paraId="15E2119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18932.24 蜂蜜中呋喃它酮、呋喃西林、呋喃妥因和呋喃唑酮代谢物残留量的测定</w:t>
            </w:r>
          </w:p>
          <w:p w14:paraId="15D4967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方法 液相色谱-串联质谱法</w:t>
            </w:r>
          </w:p>
          <w:p w14:paraId="04E76C0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23410 蜂蜜中硝基咪唑类药物及其代谢物残留量的测定 液相色谱-质谱/质谱法</w:t>
            </w:r>
          </w:p>
          <w:p w14:paraId="7145A92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31650 食品安全国家标准 食品中兽药最大残留限量</w:t>
            </w:r>
          </w:p>
          <w:p w14:paraId="5B067CB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农业农村部公告 第 250 号 食品动物中禁止使用的药品及其他化合物清单</w:t>
            </w:r>
          </w:p>
          <w:p w14:paraId="319BAD4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农业部公告 第 235 号 动物性食品中兽药最高残留限量</w:t>
            </w:r>
          </w:p>
          <w:p w14:paraId="1059109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产品明示标准和质量要求</w:t>
            </w:r>
          </w:p>
          <w:p w14:paraId="593BDFF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相关的法律法规、部门规章和规定</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8B3AA6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5598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11C6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6BDF02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燕窝及其制品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60058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即食燕窝、燕盏</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2AD70546">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总砷、铅、总汞、亚硝酸盐、二氧化硫、蛋白质、唾液酸、DNA成分</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44992D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5009.5</w:t>
            </w:r>
            <w:r>
              <w:rPr>
                <w:rFonts w:hint="eastAsia" w:ascii="仿宋" w:hAnsi="仿宋" w:eastAsia="仿宋" w:cs="仿宋"/>
                <w:i w:val="0"/>
                <w:iCs w:val="0"/>
                <w:color w:val="auto"/>
                <w:sz w:val="21"/>
                <w:szCs w:val="21"/>
                <w:highlight w:val="none"/>
                <w:lang w:val="en-US" w:eastAsia="zh-CN"/>
              </w:rPr>
              <w:t>食品安全国家标准 食品中蛋白质的测定</w:t>
            </w:r>
          </w:p>
          <w:p w14:paraId="006D7B4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5009.11</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食品中总砷及无机砷的测定</w:t>
            </w:r>
          </w:p>
          <w:p w14:paraId="62693E8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5009.12</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食品中铅的测定</w:t>
            </w:r>
          </w:p>
          <w:p w14:paraId="55193C0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5009.17</w:t>
            </w:r>
            <w:r>
              <w:rPr>
                <w:rFonts w:hint="eastAsia" w:ascii="仿宋" w:hAnsi="仿宋" w:eastAsia="仿宋" w:cs="仿宋"/>
                <w:i w:val="0"/>
                <w:iCs w:val="0"/>
                <w:color w:val="auto"/>
                <w:sz w:val="21"/>
                <w:szCs w:val="21"/>
                <w:highlight w:val="none"/>
                <w:lang w:val="en-US" w:eastAsia="zh-CN"/>
              </w:rPr>
              <w:t xml:space="preserve"> 食品安全国家标准 食品中总汞及有机汞的测定</w:t>
            </w:r>
          </w:p>
          <w:p w14:paraId="50AFC315">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5009.33</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食品中亚硝酸盐与硝酸盐的测定</w:t>
            </w:r>
          </w:p>
          <w:p w14:paraId="6A23D65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 5009.34</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食品中二氧化硫的测定</w:t>
            </w:r>
          </w:p>
          <w:p w14:paraId="3FA6F49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GB/T 30636</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燕窝及其制品中唾液酸的测定 液相色谱法</w:t>
            </w:r>
          </w:p>
          <w:p w14:paraId="19F13F35">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28050</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预包装食品营养标签通则</w:t>
            </w:r>
          </w:p>
          <w:p w14:paraId="7BDD47B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SN/T 3033</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出口燕窝的分子生物学真伪鉴别方法 实时荧光PCR法和双向电泳法</w:t>
            </w:r>
          </w:p>
          <w:p w14:paraId="07BF4AB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产品明示标准和质量要求</w:t>
            </w:r>
          </w:p>
          <w:p w14:paraId="647E3E6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rPr>
              <w:t>相关的法律法规、部门规章和</w:t>
            </w:r>
            <w:r>
              <w:rPr>
                <w:rFonts w:hint="eastAsia" w:ascii="仿宋" w:hAnsi="仿宋" w:eastAsia="仿宋" w:cs="仿宋"/>
                <w:i w:val="0"/>
                <w:iCs w:val="0"/>
                <w:color w:val="auto"/>
                <w:sz w:val="21"/>
                <w:szCs w:val="21"/>
                <w:highlight w:val="none"/>
                <w:lang w:eastAsia="zh-CN"/>
              </w:rPr>
              <w:t>规定</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7D8D8F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r>
      <w:tr w14:paraId="2BB8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8FA3E">
            <w:pPr>
              <w:jc w:val="center"/>
              <w:rPr>
                <w:rFonts w:hint="eastAsia" w:ascii="仿宋" w:hAnsi="仿宋" w:eastAsia="仿宋" w:cs="仿宋"/>
                <w:i w:val="0"/>
                <w:iCs w:val="0"/>
                <w:color w:val="000000"/>
                <w:sz w:val="21"/>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C64B4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宠物饲料</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87988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猫粮狗粮</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45625462">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黄曲霉毒素 B1、赭曲霉素 A、玉米赤霉烯酮、脱氧雪腐镰刀菌烯醇（呕吐毒素）、T-2毒素、沙门氏菌、肠杆菌科、H5亚型禽流感病毒、H7亚型禽流感病毒、H9亚型禽流感病毒、非洲猪瘟病毒、猪圆环病毒2型、口蹄疫病毒、猪瘟病毒、小反刍兽疫病毒、转基因成分、动物源性成分</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4FCF5C5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17480-2008 饲料中黄曲霉毒素B1的测定酶联免疫吸附法</w:t>
            </w:r>
          </w:p>
          <w:p w14:paraId="2CD033F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19539-2004 饲料中赭曲霉毒素A的测定</w:t>
            </w:r>
          </w:p>
          <w:p w14:paraId="41BCF79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19540-2004 饲料中玉米赤霉烯酮的测定</w:t>
            </w:r>
          </w:p>
          <w:p w14:paraId="7DDCD51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5009.111-2016 食品中脱氧雪腐镰刀菌烯醇及其乙酰化衍生物的测定</w:t>
            </w:r>
          </w:p>
          <w:p w14:paraId="5E68F11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5026-2017饲料中T-2毒素的测定</w:t>
            </w:r>
          </w:p>
          <w:p w14:paraId="01D088B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13091-2018饲料中沙门氏菌的测定</w:t>
            </w:r>
          </w:p>
          <w:p w14:paraId="0D1501C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4789.41-2016 食品安全国家标准 食品微生物学检验 肠杆菌科检验</w:t>
            </w:r>
          </w:p>
          <w:p w14:paraId="03C84F6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19438.2-2004 H5亚型禽流感病毒荧光RT-PCR 检测方法</w:t>
            </w:r>
          </w:p>
          <w:p w14:paraId="482DB77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19438.3-2004 H7亚型禽流感病毒荧光RT-PCR 检测方法</w:t>
            </w:r>
          </w:p>
          <w:p w14:paraId="069E513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19438.4-2004 H9亚型禽流感病毒荧光RT-PCR检测方法</w:t>
            </w:r>
          </w:p>
          <w:p w14:paraId="48B345A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1559-2010 非洲猪瘟检疫技术规范</w:t>
            </w:r>
          </w:p>
          <w:p w14:paraId="0555076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2708-2010 猪圆环病毒病检疫技术规范</w:t>
            </w:r>
          </w:p>
          <w:p w14:paraId="70B772E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22915-2008 口蹄疫病毒荧光RT-PCR检测方法</w:t>
            </w:r>
          </w:p>
          <w:p w14:paraId="769313A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27540-2011 猪瘟病毒实时荧光RT-PCR检测方法</w:t>
            </w:r>
          </w:p>
          <w:p w14:paraId="146F1F8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27982-2011 小反刍兽疫诊断技术</w:t>
            </w:r>
          </w:p>
          <w:p w14:paraId="3C948E7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0"/>
                <w:sz w:val="21"/>
                <w:szCs w:val="21"/>
                <w:highlight w:val="none"/>
                <w:lang w:bidi="ar"/>
              </w:rPr>
              <w:t>SN/T 1201-2014</w:t>
            </w:r>
            <w:r>
              <w:rPr>
                <w:rFonts w:hint="eastAsia" w:ascii="仿宋" w:hAnsi="仿宋" w:eastAsia="仿宋" w:cs="仿宋"/>
                <w:i w:val="0"/>
                <w:iCs w:val="0"/>
                <w:color w:val="auto"/>
                <w:kern w:val="0"/>
                <w:sz w:val="21"/>
                <w:szCs w:val="21"/>
                <w:highlight w:val="none"/>
                <w:lang w:val="en-US" w:eastAsia="zh-CN" w:bidi="ar"/>
              </w:rPr>
              <w:t xml:space="preserve"> 饲料中转基因植物成份PCR检测方法</w:t>
            </w:r>
          </w:p>
          <w:p w14:paraId="2F76C18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 xml:space="preserve">SN/T 3496-2013动物源性饲料中转基因成分实时荧光PCR检测方法 </w:t>
            </w:r>
          </w:p>
          <w:p w14:paraId="4F12DF3C">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2051-2008食品、化妆品和饲料中牛羊猪源性成分检测方法 实时PCR法（牛、羊、猪）</w:t>
            </w:r>
          </w:p>
          <w:p w14:paraId="1A58BAFC">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2727-2010 饲料中禽源性成分检测方法 实时荧光PCR方法（鸡、鸭、鹅、鹌鹑）</w:t>
            </w:r>
          </w:p>
          <w:p w14:paraId="3C19707A">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3731.4-2013食品及饲料中常见禽类品种的鉴定方法 第4部分:火鸡成分检测 实时荧光PCR法</w:t>
            </w:r>
          </w:p>
          <w:p w14:paraId="33526F80">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3730.5-2013食品及饲料中常见畜类品种的鉴定方法 第5部分:马成分检测 实时荧光PCR法</w:t>
            </w:r>
          </w:p>
          <w:p w14:paraId="7D1956CE">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SN/T 3730.4-2013食品及饲料中常见畜类品种的鉴定方法 第4部分:驴成分检测 实时荧光PCR法 </w:t>
            </w:r>
          </w:p>
          <w:p w14:paraId="2EC3F98C">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SN/T 4397-2015出口食品中牦牛源性成分的检测方法 实时荧光PCR法 </w:t>
            </w:r>
          </w:p>
          <w:p w14:paraId="2FA7DBE2">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3730.7-2013食品及饲料中常见畜类品种的鉴定方法 第7部分:水牛成分检测 实时荧光PCR法</w:t>
            </w:r>
          </w:p>
          <w:p w14:paraId="551FB2C1">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1961.14-2013出口食品过敏原成分检测 第14部分：实时荧光PCR方法检测鱼成分</w:t>
            </w:r>
          </w:p>
          <w:p w14:paraId="1FB437A5">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3589.3-2013出口食品中常见鱼类及其制品的鉴伪方法 第3部分：鲑鱼成分检测 实时荧光PCR法</w:t>
            </w:r>
          </w:p>
          <w:p w14:paraId="0A31973C">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3589.7-2013出口食品中常见鱼类及其制品的鉴伪方法 第7部分：鳕鱼成分检测 实时荧光PCR法</w:t>
            </w:r>
          </w:p>
          <w:p w14:paraId="4409BD9A">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3589.6-2013出口食品中常见鱼类及其制品的鉴伪方法 第6部分：金枪鱼成分检测 实时荧光PCR法</w:t>
            </w:r>
          </w:p>
          <w:p w14:paraId="1042089B">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GB/T 38164-2019常见畜禽动物源性成分检测方法实时荧光PCR法（黄牛、牦牛、水牛、骆驼、梅花鹿、马鹿、驯鹿、山羊、绵羊、猪、狗、鸽子、火鸡、狐狸、貉、鸡、鼠、鸭、鹅、鹌鹑、兔、水貂、猫）</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C4FF7FA">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r>
      <w:tr w14:paraId="4451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04A680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退货再销售商品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D96A6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根据实际退货产品确定类别</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9ACD2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食品、化妆品等产品</w:t>
            </w:r>
          </w:p>
        </w:tc>
        <w:tc>
          <w:tcPr>
            <w:tcW w:w="1288" w:type="pct"/>
            <w:tcBorders>
              <w:top w:val="single" w:color="000000" w:sz="4" w:space="0"/>
              <w:left w:val="single" w:color="000000" w:sz="4" w:space="0"/>
              <w:bottom w:val="single" w:color="000000" w:sz="4" w:space="0"/>
              <w:right w:val="single" w:color="000000" w:sz="4" w:space="0"/>
            </w:tcBorders>
            <w:noWrap/>
            <w:vAlign w:val="center"/>
          </w:tcPr>
          <w:p w14:paraId="06FF3A39">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4661019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根据产品实际类别参照附表1检验标准进行检测</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A80490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50</w:t>
            </w:r>
          </w:p>
        </w:tc>
      </w:tr>
      <w:tr w14:paraId="32A9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4A4133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闲置商品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DEAE4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闲置商品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7C7019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箱包、服饰、鞋类、珠宝首饰</w:t>
            </w:r>
          </w:p>
        </w:tc>
        <w:tc>
          <w:tcPr>
            <w:tcW w:w="1288" w:type="pct"/>
            <w:tcBorders>
              <w:top w:val="single" w:color="000000" w:sz="4" w:space="0"/>
              <w:left w:val="single" w:color="000000" w:sz="4" w:space="0"/>
              <w:bottom w:val="single" w:color="000000" w:sz="4" w:space="0"/>
              <w:right w:val="single" w:color="000000" w:sz="4" w:space="0"/>
            </w:tcBorders>
            <w:noWrap/>
            <w:vAlign w:val="center"/>
          </w:tcPr>
          <w:p w14:paraId="7A2F1CAA">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箱包、服饰、鞋类、珠宝首饰等鉴定</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0867FD4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C72B84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r>
      <w:tr w14:paraId="181D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03" w:type="pct"/>
            <w:tcBorders>
              <w:top w:val="single" w:color="000000" w:sz="4" w:space="0"/>
              <w:left w:val="single" w:color="000000" w:sz="4" w:space="0"/>
              <w:bottom w:val="single" w:color="000000" w:sz="4" w:space="0"/>
              <w:right w:val="single" w:color="000000" w:sz="4" w:space="0"/>
            </w:tcBorders>
            <w:noWrap w:val="0"/>
            <w:vAlign w:val="center"/>
          </w:tcPr>
          <w:p w14:paraId="721E851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生物医药特殊物品</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143647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生物医药特殊物品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68B2F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血液等</w:t>
            </w:r>
          </w:p>
        </w:tc>
        <w:tc>
          <w:tcPr>
            <w:tcW w:w="1288" w:type="pct"/>
            <w:tcBorders>
              <w:top w:val="single" w:color="000000" w:sz="4" w:space="0"/>
              <w:left w:val="single" w:color="000000" w:sz="4" w:space="0"/>
              <w:bottom w:val="single" w:color="000000" w:sz="4" w:space="0"/>
              <w:right w:val="single" w:color="000000" w:sz="4" w:space="0"/>
            </w:tcBorders>
            <w:noWrap/>
            <w:vAlign w:val="center"/>
          </w:tcPr>
          <w:p w14:paraId="70022CA0">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0F88C34C">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全国艾滋病检测技术规范 2020版，第二章,4.2.1筛查试验</w:t>
            </w:r>
          </w:p>
          <w:p w14:paraId="30C43D5D">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《全国临床检验操作规程》第四版（2015年）</w:t>
            </w:r>
          </w:p>
          <w:p w14:paraId="0FCAEAAA">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《新冠肺炎实验室检测技术指南》</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678278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r>
      <w:tr w14:paraId="314C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14:paraId="5E0629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合计使用经费情况</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FE3C910">
            <w:pPr>
              <w:jc w:val="center"/>
              <w:rPr>
                <w:rFonts w:hint="eastAsia" w:ascii="仿宋" w:hAnsi="仿宋" w:eastAsia="仿宋" w:cs="仿宋"/>
                <w:i w:val="0"/>
                <w:iCs w:val="0"/>
                <w:color w:val="000000"/>
                <w:sz w:val="21"/>
                <w:szCs w:val="21"/>
                <w:highlight w:val="none"/>
                <w:u w:val="none"/>
              </w:rPr>
            </w:pPr>
          </w:p>
        </w:tc>
        <w:tc>
          <w:tcPr>
            <w:tcW w:w="434" w:type="pct"/>
            <w:tcBorders>
              <w:top w:val="single" w:color="000000" w:sz="4" w:space="0"/>
              <w:left w:val="single" w:color="000000" w:sz="4" w:space="0"/>
              <w:bottom w:val="single" w:color="000000" w:sz="4" w:space="0"/>
              <w:right w:val="single" w:color="000000" w:sz="4" w:space="0"/>
            </w:tcBorders>
            <w:noWrap/>
            <w:vAlign w:val="center"/>
          </w:tcPr>
          <w:p w14:paraId="6B4FC58D">
            <w:pPr>
              <w:jc w:val="center"/>
              <w:rPr>
                <w:rFonts w:hint="eastAsia" w:ascii="仿宋" w:hAnsi="仿宋" w:eastAsia="仿宋" w:cs="仿宋"/>
                <w:i w:val="0"/>
                <w:iCs w:val="0"/>
                <w:color w:val="000000"/>
                <w:sz w:val="21"/>
                <w:szCs w:val="21"/>
                <w:highlight w:val="none"/>
                <w:u w:val="none"/>
              </w:rPr>
            </w:pPr>
          </w:p>
        </w:tc>
        <w:tc>
          <w:tcPr>
            <w:tcW w:w="1288" w:type="pct"/>
            <w:tcBorders>
              <w:top w:val="single" w:color="000000" w:sz="4" w:space="0"/>
              <w:left w:val="single" w:color="000000" w:sz="4" w:space="0"/>
              <w:bottom w:val="single" w:color="000000" w:sz="4" w:space="0"/>
              <w:right w:val="single" w:color="000000" w:sz="4" w:space="0"/>
            </w:tcBorders>
            <w:noWrap/>
            <w:vAlign w:val="center"/>
          </w:tcPr>
          <w:p w14:paraId="41E1CAC9">
            <w:pPr>
              <w:jc w:val="left"/>
              <w:rPr>
                <w:rFonts w:hint="eastAsia" w:ascii="仿宋" w:hAnsi="仿宋" w:eastAsia="仿宋" w:cs="仿宋"/>
                <w:b/>
                <w:bCs/>
                <w:i w:val="0"/>
                <w:iCs w:val="0"/>
                <w:color w:val="000000"/>
                <w:sz w:val="21"/>
                <w:szCs w:val="21"/>
                <w:highlight w:val="none"/>
                <w:u w:val="none"/>
              </w:rPr>
            </w:pP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9A69484">
            <w:pPr>
              <w:jc w:val="left"/>
              <w:rPr>
                <w:rFonts w:hint="eastAsia" w:ascii="仿宋" w:hAnsi="仿宋" w:eastAsia="仿宋" w:cs="仿宋"/>
                <w:b/>
                <w:bCs/>
                <w:i w:val="0"/>
                <w:iCs w:val="0"/>
                <w:color w:val="000000"/>
                <w:sz w:val="21"/>
                <w:szCs w:val="21"/>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C38060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410</w:t>
            </w:r>
          </w:p>
        </w:tc>
      </w:tr>
    </w:tbl>
    <w:p w14:paraId="1CA7C49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rPr>
      </w:pPr>
    </w:p>
    <w:p w14:paraId="1A666E4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注：</w:t>
      </w:r>
    </w:p>
    <w:p w14:paraId="5FF12D5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lang w:val="en-US" w:eastAsia="zh-CN"/>
        </w:rPr>
        <w:t>1.</w:t>
      </w:r>
      <w:r>
        <w:rPr>
          <w:rFonts w:hint="eastAsia" w:ascii="仿宋" w:hAnsi="仿宋" w:eastAsia="仿宋" w:cs="仿宋"/>
          <w:b/>
          <w:i w:val="0"/>
          <w:iCs w:val="0"/>
          <w:color w:val="FF0000"/>
          <w:sz w:val="24"/>
          <w:szCs w:val="24"/>
          <w:highlight w:val="none"/>
          <w:lang w:val="en-US" w:eastAsia="zh-CN"/>
        </w:rPr>
        <w:t>本项目通过甲方委托海关下达任务</w:t>
      </w:r>
      <w:r>
        <w:rPr>
          <w:rFonts w:hint="eastAsia" w:ascii="仿宋" w:hAnsi="仿宋" w:eastAsia="仿宋" w:cs="仿宋"/>
          <w:b/>
          <w:i w:val="0"/>
          <w:iCs w:val="0"/>
          <w:color w:val="auto"/>
          <w:sz w:val="24"/>
          <w:szCs w:val="24"/>
          <w:highlight w:val="none"/>
          <w:lang w:val="en-US" w:eastAsia="zh-CN"/>
        </w:rPr>
        <w:t>，以上检测批次数为预计数，</w:t>
      </w:r>
      <w:r>
        <w:rPr>
          <w:rFonts w:hint="eastAsia" w:ascii="仿宋" w:hAnsi="仿宋" w:eastAsia="仿宋" w:cs="仿宋"/>
          <w:b/>
          <w:i w:val="0"/>
          <w:iCs w:val="0"/>
          <w:color w:val="FF0000"/>
          <w:sz w:val="24"/>
          <w:szCs w:val="24"/>
          <w:highlight w:val="none"/>
          <w:lang w:val="en-US" w:eastAsia="zh-CN"/>
        </w:rPr>
        <w:t>实际批次以海关下达任务单为准</w:t>
      </w:r>
      <w:r>
        <w:rPr>
          <w:rFonts w:hint="eastAsia" w:ascii="仿宋" w:hAnsi="仿宋" w:eastAsia="仿宋" w:cs="仿宋"/>
          <w:b/>
          <w:i w:val="0"/>
          <w:iCs w:val="0"/>
          <w:color w:val="auto"/>
          <w:sz w:val="24"/>
          <w:szCs w:val="24"/>
          <w:highlight w:val="none"/>
        </w:rPr>
        <w:t>，</w:t>
      </w:r>
      <w:r>
        <w:rPr>
          <w:rFonts w:hint="eastAsia" w:ascii="仿宋" w:hAnsi="仿宋" w:eastAsia="仿宋" w:cs="仿宋"/>
          <w:b/>
          <w:i w:val="0"/>
          <w:iCs w:val="0"/>
          <w:color w:val="auto"/>
          <w:sz w:val="24"/>
          <w:szCs w:val="24"/>
          <w:highlight w:val="none"/>
          <w:lang w:val="en-US" w:eastAsia="zh-CN"/>
        </w:rPr>
        <w:t>实际费用按照各类目投标报价单价*实际批次相加的总价进行结算，其中报价单价为各类目产品费用平均价格，如最后总价超出中标金额，按照中标金额结算</w:t>
      </w:r>
      <w:r>
        <w:rPr>
          <w:rFonts w:hint="eastAsia" w:ascii="仿宋" w:hAnsi="仿宋" w:eastAsia="仿宋" w:cs="仿宋"/>
          <w:b/>
          <w:i w:val="0"/>
          <w:iCs w:val="0"/>
          <w:color w:val="auto"/>
          <w:sz w:val="24"/>
          <w:szCs w:val="24"/>
          <w:highlight w:val="none"/>
          <w:lang w:eastAsia="zh-CN"/>
        </w:rPr>
        <w:t>。</w:t>
      </w:r>
    </w:p>
    <w:p w14:paraId="73DEC1A2">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2.检验标准未注明日期的或有更新的，按现行有效版本实施，部分项目根据产品材质特征、配料表标注及实际任务等情况进行检测，可根据实际任务情况适当增减项目；部分消费品实施原产地标准（或者国际标准）和国标比对双标准监测，实际情况根据产品进口信息及海关要求执行任务；针对附表1以外，未在表内其他类别商品需增加监测任务批次的，按照海关指定项目进行检测，如不具备相关检测能力或资质的项目允许分包。以上未在表内的所有新增项目费用按照中标单位对外公示价进行结算。</w:t>
      </w:r>
    </w:p>
    <w:p w14:paraId="2513FBC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eastAsia="zh-CN"/>
        </w:rPr>
      </w:pPr>
      <w:r>
        <w:rPr>
          <w:rFonts w:hint="eastAsia" w:ascii="仿宋" w:hAnsi="仿宋" w:eastAsia="仿宋" w:cs="仿宋"/>
          <w:b/>
          <w:i w:val="0"/>
          <w:iCs w:val="0"/>
          <w:color w:val="auto"/>
          <w:sz w:val="24"/>
          <w:szCs w:val="24"/>
          <w:highlight w:val="none"/>
          <w:lang w:val="en-US" w:eastAsia="zh-CN"/>
        </w:rPr>
        <w:t>3.</w:t>
      </w:r>
      <w:r>
        <w:rPr>
          <w:rFonts w:hint="eastAsia" w:ascii="仿宋" w:hAnsi="仿宋" w:eastAsia="仿宋" w:cs="仿宋"/>
          <w:b/>
          <w:i w:val="0"/>
          <w:iCs w:val="0"/>
          <w:color w:val="auto"/>
          <w:sz w:val="24"/>
          <w:szCs w:val="24"/>
          <w:highlight w:val="none"/>
        </w:rPr>
        <w:t>报价</w:t>
      </w:r>
      <w:r>
        <w:rPr>
          <w:rFonts w:hint="eastAsia" w:ascii="仿宋" w:hAnsi="仿宋" w:eastAsia="仿宋" w:cs="仿宋"/>
          <w:b/>
          <w:i w:val="0"/>
          <w:iCs w:val="0"/>
          <w:color w:val="auto"/>
          <w:sz w:val="24"/>
          <w:szCs w:val="24"/>
          <w:highlight w:val="none"/>
          <w:lang w:val="en-US" w:eastAsia="zh-CN"/>
        </w:rPr>
        <w:t>单价</w:t>
      </w:r>
      <w:r>
        <w:rPr>
          <w:rFonts w:hint="eastAsia" w:ascii="仿宋" w:hAnsi="仿宋" w:eastAsia="仿宋" w:cs="仿宋"/>
          <w:b/>
          <w:i w:val="0"/>
          <w:iCs w:val="0"/>
          <w:color w:val="auto"/>
          <w:sz w:val="24"/>
          <w:szCs w:val="24"/>
          <w:highlight w:val="none"/>
        </w:rPr>
        <w:t>包含检测商品购买</w:t>
      </w:r>
      <w:r>
        <w:rPr>
          <w:rFonts w:hint="eastAsia" w:ascii="仿宋" w:hAnsi="仿宋" w:eastAsia="仿宋" w:cs="仿宋"/>
          <w:b/>
          <w:i w:val="0"/>
          <w:iCs w:val="0"/>
          <w:color w:val="auto"/>
          <w:sz w:val="24"/>
          <w:szCs w:val="24"/>
          <w:highlight w:val="none"/>
          <w:lang w:eastAsia="zh-CN"/>
        </w:rPr>
        <w:t>费用。</w:t>
      </w:r>
    </w:p>
    <w:p w14:paraId="51CFAD8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4.抽样任务总数包括线上抽样不低于50批次作为补充抽样，购买样品需从跨境电商平台杭州下沙保税仓发货。</w:t>
      </w:r>
    </w:p>
    <w:p w14:paraId="15A5759E">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hint="eastAsia" w:ascii="仿宋" w:hAnsi="仿宋" w:eastAsia="仿宋" w:cs="仿宋"/>
          <w:b/>
          <w:i w:val="0"/>
          <w:iCs w:val="0"/>
          <w:color w:val="auto"/>
          <w:sz w:val="24"/>
          <w:szCs w:val="24"/>
          <w:highlight w:val="none"/>
          <w:lang w:val="en-US" w:eastAsia="zh-CN"/>
        </w:rPr>
      </w:pPr>
      <w:r>
        <w:rPr>
          <w:rFonts w:hint="eastAsia" w:ascii="仿宋" w:hAnsi="仿宋" w:eastAsia="仿宋" w:cs="仿宋"/>
          <w:b/>
          <w:i w:val="0"/>
          <w:iCs w:val="0"/>
          <w:color w:val="auto"/>
          <w:sz w:val="24"/>
          <w:szCs w:val="24"/>
          <w:highlight w:val="none"/>
          <w:lang w:val="en-US" w:eastAsia="zh-CN"/>
        </w:rPr>
        <w:t>5.生物医药特殊物品任务由采购人负责下发任务单。</w:t>
      </w:r>
    </w:p>
    <w:p w14:paraId="3DB2053E">
      <w:pPr>
        <w:adjustRightInd w:val="0"/>
        <w:snapToGrid w:val="0"/>
        <w:spacing w:line="360" w:lineRule="auto"/>
        <w:ind w:firstLine="420" w:firstLineChars="200"/>
        <w:rPr>
          <w:rFonts w:hint="eastAsia" w:ascii="仿宋" w:hAnsi="仿宋" w:eastAsia="仿宋" w:cs="仿宋"/>
          <w:highlight w:val="none"/>
        </w:rPr>
        <w:sectPr>
          <w:type w:val="continuous"/>
          <w:pgSz w:w="16783" w:h="11850" w:orient="landscape"/>
          <w:pgMar w:top="1588" w:right="1247" w:bottom="1588" w:left="1089" w:header="851" w:footer="992" w:gutter="0"/>
          <w:cols w:space="720" w:num="1"/>
          <w:docGrid w:linePitch="312" w:charSpace="0"/>
        </w:sectPr>
      </w:pPr>
    </w:p>
    <w:p w14:paraId="0AC73D3C">
      <w:pPr>
        <w:adjustRightInd w:val="0"/>
        <w:snapToGrid w:val="0"/>
        <w:spacing w:line="360" w:lineRule="auto"/>
        <w:ind w:firstLine="420" w:firstLineChars="200"/>
        <w:rPr>
          <w:rFonts w:hint="eastAsia" w:ascii="仿宋" w:hAnsi="仿宋" w:eastAsia="仿宋" w:cs="仿宋"/>
          <w:highlight w:val="none"/>
        </w:rPr>
      </w:pPr>
    </w:p>
    <w:bookmarkEnd w:id="54"/>
    <w:bookmarkEnd w:id="55"/>
    <w:bookmarkEnd w:id="56"/>
    <w:bookmarkEnd w:id="57"/>
    <w:p w14:paraId="24022EB0">
      <w:pPr>
        <w:adjustRightInd w:val="0"/>
        <w:snapToGrid w:val="0"/>
        <w:spacing w:before="120" w:beforeLines="50" w:after="120" w:afterLines="50" w:line="360" w:lineRule="auto"/>
        <w:jc w:val="center"/>
        <w:outlineLvl w:val="0"/>
        <w:rPr>
          <w:rFonts w:hint="eastAsia" w:ascii="仿宋" w:hAnsi="仿宋" w:eastAsia="仿宋" w:cs="仿宋"/>
          <w:b/>
          <w:color w:val="000000" w:themeColor="text1"/>
          <w:sz w:val="30"/>
          <w:szCs w:val="30"/>
          <w:highlight w:val="none"/>
          <w14:textFill>
            <w14:solidFill>
              <w14:schemeClr w14:val="tx1"/>
            </w14:solidFill>
          </w14:textFill>
        </w:rPr>
      </w:pPr>
      <w:bookmarkStart w:id="88" w:name="_Toc14349"/>
      <w:bookmarkStart w:id="89" w:name="_Toc25398"/>
      <w:r>
        <w:rPr>
          <w:rFonts w:hint="eastAsia" w:ascii="仿宋" w:hAnsi="仿宋" w:eastAsia="仿宋" w:cs="仿宋"/>
          <w:b/>
          <w:color w:val="000000" w:themeColor="text1"/>
          <w:sz w:val="30"/>
          <w:szCs w:val="30"/>
          <w:highlight w:val="none"/>
          <w14:textFill>
            <w14:solidFill>
              <w14:schemeClr w14:val="tx1"/>
            </w14:solidFill>
          </w14:textFill>
        </w:rPr>
        <w:t>第四部分  评标办法</w:t>
      </w:r>
      <w:bookmarkEnd w:id="88"/>
      <w:bookmarkEnd w:id="89"/>
    </w:p>
    <w:p w14:paraId="29D1337F">
      <w:pPr>
        <w:pStyle w:val="4"/>
        <w:snapToGrid w:val="0"/>
        <w:spacing w:before="120" w:beforeLines="50" w:after="120" w:afterLines="50" w:line="360" w:lineRule="auto"/>
        <w:rPr>
          <w:rFonts w:hint="eastAsia" w:ascii="仿宋" w:hAnsi="仿宋" w:eastAsia="仿宋" w:cs="仿宋"/>
          <w:sz w:val="24"/>
          <w:szCs w:val="24"/>
          <w:highlight w:val="none"/>
        </w:rPr>
      </w:pPr>
      <w:bookmarkStart w:id="90" w:name="_Toc16598"/>
      <w:bookmarkStart w:id="91" w:name="_Toc11969"/>
      <w:r>
        <w:rPr>
          <w:rFonts w:hint="eastAsia" w:ascii="仿宋" w:hAnsi="仿宋" w:eastAsia="仿宋" w:cs="仿宋"/>
          <w:sz w:val="24"/>
          <w:szCs w:val="24"/>
          <w:highlight w:val="none"/>
        </w:rPr>
        <w:t>评标办法前附表</w:t>
      </w:r>
      <w:bookmarkEnd w:id="90"/>
      <w:bookmarkEnd w:id="91"/>
    </w:p>
    <w:p w14:paraId="613A7CA7">
      <w:pPr>
        <w:pStyle w:val="18"/>
        <w:adjustRightInd w:val="0"/>
        <w:snapToGrid w:val="0"/>
        <w:spacing w:line="360" w:lineRule="auto"/>
        <w:ind w:firstLine="420" w:firstLineChars="200"/>
        <w:rPr>
          <w:rFonts w:hint="eastAsia" w:ascii="仿宋" w:hAnsi="仿宋" w:eastAsia="仿宋" w:cs="仿宋"/>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629"/>
        <w:gridCol w:w="675"/>
        <w:gridCol w:w="943"/>
        <w:gridCol w:w="1386"/>
      </w:tblGrid>
      <w:tr w14:paraId="384D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blHeader/>
          <w:jc w:val="center"/>
        </w:trPr>
        <w:tc>
          <w:tcPr>
            <w:tcW w:w="862" w:type="dxa"/>
            <w:noWrap w:val="0"/>
            <w:vAlign w:val="center"/>
          </w:tcPr>
          <w:p w14:paraId="7B7006C9">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4629" w:type="dxa"/>
            <w:noWrap w:val="0"/>
            <w:vAlign w:val="center"/>
          </w:tcPr>
          <w:p w14:paraId="6B71B63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sz w:val="24"/>
                <w:highlight w:val="none"/>
              </w:rPr>
            </w:pPr>
            <w:r>
              <w:rPr>
                <w:rFonts w:hint="eastAsia" w:ascii="仿宋" w:hAnsi="仿宋" w:eastAsia="仿宋" w:cs="仿宋"/>
                <w:bCs/>
                <w:color w:val="auto"/>
                <w:sz w:val="24"/>
                <w:szCs w:val="24"/>
                <w:highlight w:val="none"/>
              </w:rPr>
              <w:t>评标标准</w:t>
            </w:r>
          </w:p>
        </w:tc>
        <w:tc>
          <w:tcPr>
            <w:tcW w:w="675" w:type="dxa"/>
            <w:noWrap w:val="0"/>
            <w:vAlign w:val="center"/>
          </w:tcPr>
          <w:p w14:paraId="54F98F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highlight w:val="none"/>
              </w:rPr>
            </w:pPr>
            <w:r>
              <w:rPr>
                <w:rFonts w:hint="eastAsia" w:ascii="仿宋" w:hAnsi="仿宋" w:eastAsia="仿宋" w:cs="仿宋"/>
                <w:bCs/>
                <w:color w:val="auto"/>
                <w:sz w:val="24"/>
                <w:szCs w:val="24"/>
                <w:highlight w:val="none"/>
              </w:rPr>
              <w:t>权重</w:t>
            </w:r>
          </w:p>
        </w:tc>
        <w:tc>
          <w:tcPr>
            <w:tcW w:w="943" w:type="dxa"/>
            <w:noWrap w:val="0"/>
            <w:vAlign w:val="center"/>
          </w:tcPr>
          <w:p w14:paraId="5B0000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highlight w:val="none"/>
              </w:rPr>
            </w:pPr>
            <w:r>
              <w:rPr>
                <w:rFonts w:hint="eastAsia" w:ascii="仿宋" w:hAnsi="仿宋" w:eastAsia="仿宋" w:cs="仿宋"/>
                <w:bCs/>
                <w:color w:val="auto"/>
                <w:sz w:val="24"/>
                <w:szCs w:val="24"/>
                <w:highlight w:val="none"/>
              </w:rPr>
              <w:t>主观分/客观分属性</w:t>
            </w:r>
          </w:p>
        </w:tc>
        <w:tc>
          <w:tcPr>
            <w:tcW w:w="1386" w:type="dxa"/>
            <w:noWrap w:val="0"/>
            <w:vAlign w:val="center"/>
          </w:tcPr>
          <w:p w14:paraId="3F680A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sz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p>
        </w:tc>
      </w:tr>
      <w:tr w14:paraId="462B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2" w:type="dxa"/>
            <w:noWrap w:val="0"/>
            <w:vAlign w:val="center"/>
          </w:tcPr>
          <w:p w14:paraId="2241E78E">
            <w:pPr>
              <w:adjustRightInd w:val="0"/>
              <w:snapToGrid w:val="0"/>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629" w:type="dxa"/>
            <w:noWrap w:val="0"/>
            <w:vAlign w:val="center"/>
          </w:tcPr>
          <w:p w14:paraId="244826D9">
            <w:pPr>
              <w:snapToGrid w:val="0"/>
              <w:rPr>
                <w:rFonts w:hint="eastAsia" w:ascii="仿宋" w:hAnsi="仿宋" w:eastAsia="仿宋" w:cs="仿宋"/>
                <w:sz w:val="24"/>
                <w:highlight w:val="none"/>
              </w:rPr>
            </w:pPr>
            <w:r>
              <w:rPr>
                <w:rFonts w:hint="eastAsia" w:ascii="仿宋" w:hAnsi="仿宋" w:eastAsia="仿宋" w:cs="仿宋"/>
                <w:bCs/>
                <w:kern w:val="0"/>
                <w:sz w:val="24"/>
                <w:highlight w:val="none"/>
                <w:lang w:val="en-US" w:eastAsia="zh-CN"/>
              </w:rPr>
              <w:t>供应商业绩。</w:t>
            </w:r>
            <w:r>
              <w:rPr>
                <w:rFonts w:hint="eastAsia" w:ascii="仿宋" w:hAnsi="仿宋" w:eastAsia="仿宋" w:cs="仿宋"/>
                <w:sz w:val="24"/>
                <w:highlight w:val="none"/>
              </w:rPr>
              <w:t>自20</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年1月1日以来投标人</w:t>
            </w:r>
            <w:r>
              <w:rPr>
                <w:rFonts w:hint="eastAsia" w:ascii="仿宋" w:hAnsi="仿宋" w:eastAsia="仿宋" w:cs="仿宋"/>
                <w:sz w:val="24"/>
                <w:highlight w:val="none"/>
                <w:lang w:val="en-US" w:eastAsia="zh-CN"/>
              </w:rPr>
              <w:t>(如联合体投标，以联合体牵头方为准)</w:t>
            </w:r>
            <w:r>
              <w:rPr>
                <w:rFonts w:hint="eastAsia" w:ascii="仿宋" w:hAnsi="仿宋" w:eastAsia="仿宋" w:cs="仿宋"/>
                <w:sz w:val="24"/>
                <w:highlight w:val="none"/>
              </w:rPr>
              <w:t>承担过跨境</w:t>
            </w:r>
            <w:r>
              <w:rPr>
                <w:rFonts w:hint="eastAsia" w:ascii="仿宋" w:hAnsi="仿宋" w:eastAsia="仿宋" w:cs="仿宋"/>
                <w:sz w:val="24"/>
                <w:highlight w:val="none"/>
                <w:lang w:val="en-US" w:eastAsia="zh-CN"/>
              </w:rPr>
              <w:t>电商商品</w:t>
            </w:r>
            <w:r>
              <w:rPr>
                <w:rFonts w:hint="eastAsia" w:ascii="仿宋" w:hAnsi="仿宋" w:eastAsia="仿宋" w:cs="仿宋"/>
                <w:sz w:val="24"/>
                <w:highlight w:val="none"/>
              </w:rPr>
              <w:t>质量安全风险监测任务的，每个得0.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p w14:paraId="78A33F83">
            <w:pPr>
              <w:snapToGrid w:val="0"/>
              <w:rPr>
                <w:rFonts w:hint="eastAsia" w:ascii="仿宋" w:hAnsi="仿宋" w:eastAsia="仿宋" w:cs="仿宋"/>
                <w:bCs/>
                <w:kern w:val="0"/>
                <w:sz w:val="24"/>
                <w:highlight w:val="none"/>
                <w:lang w:val="en-US" w:eastAsia="zh-CN"/>
              </w:rPr>
            </w:pPr>
            <w:r>
              <w:rPr>
                <w:rFonts w:hint="eastAsia" w:ascii="仿宋" w:hAnsi="仿宋" w:eastAsia="仿宋" w:cs="仿宋"/>
                <w:sz w:val="24"/>
                <w:highlight w:val="none"/>
              </w:rPr>
              <w:t>证明材料：提供任务下达部门文件、委托书或其他证明材料。</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证明材料未能体现时间或内容不符合要求的此项不得分。</w:t>
            </w:r>
            <w:r>
              <w:rPr>
                <w:rFonts w:hint="eastAsia" w:ascii="仿宋" w:hAnsi="仿宋" w:eastAsia="仿宋" w:cs="仿宋"/>
                <w:sz w:val="24"/>
                <w:highlight w:val="none"/>
                <w:lang w:eastAsia="zh-CN"/>
              </w:rPr>
              <w:t>）</w:t>
            </w:r>
          </w:p>
        </w:tc>
        <w:tc>
          <w:tcPr>
            <w:tcW w:w="675" w:type="dxa"/>
            <w:noWrap w:val="0"/>
            <w:vAlign w:val="center"/>
          </w:tcPr>
          <w:p w14:paraId="506009A1">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w:t>
            </w:r>
          </w:p>
        </w:tc>
        <w:tc>
          <w:tcPr>
            <w:tcW w:w="943" w:type="dxa"/>
            <w:noWrap w:val="0"/>
            <w:vAlign w:val="center"/>
          </w:tcPr>
          <w:p w14:paraId="52C5A91C">
            <w:pPr>
              <w:adjustRightInd w:val="0"/>
              <w:snapToGrid w:val="0"/>
              <w:jc w:val="center"/>
              <w:rPr>
                <w:rFonts w:hint="eastAsia" w:ascii="仿宋" w:hAnsi="仿宋" w:eastAsia="仿宋" w:cs="仿宋"/>
                <w:sz w:val="24"/>
                <w:highlight w:val="none"/>
                <w:lang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4816BC34">
            <w:pPr>
              <w:adjustRightInd w:val="0"/>
              <w:snapToGrid w:val="0"/>
              <w:jc w:val="center"/>
              <w:rPr>
                <w:rFonts w:hint="eastAsia" w:ascii="仿宋" w:hAnsi="仿宋" w:eastAsia="仿宋" w:cs="仿宋"/>
                <w:b/>
                <w:sz w:val="24"/>
                <w:highlight w:val="none"/>
              </w:rPr>
            </w:pPr>
          </w:p>
        </w:tc>
      </w:tr>
      <w:tr w14:paraId="115F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4889253B">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4629" w:type="dxa"/>
            <w:noWrap w:val="0"/>
            <w:vAlign w:val="center"/>
          </w:tcPr>
          <w:p w14:paraId="527235B4">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投标人被授权开展非洲猪瘟检测工作的得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p w14:paraId="13B48D04">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证明材料：需提供相关行政主管部门批准的证明材料。</w:t>
            </w:r>
          </w:p>
        </w:tc>
        <w:tc>
          <w:tcPr>
            <w:tcW w:w="675" w:type="dxa"/>
            <w:noWrap w:val="0"/>
            <w:vAlign w:val="center"/>
          </w:tcPr>
          <w:p w14:paraId="593B879D">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943" w:type="dxa"/>
            <w:noWrap w:val="0"/>
            <w:vAlign w:val="center"/>
          </w:tcPr>
          <w:p w14:paraId="5BDE7B1A">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0D7639E5">
            <w:pPr>
              <w:adjustRightInd w:val="0"/>
              <w:snapToGrid w:val="0"/>
              <w:jc w:val="center"/>
              <w:rPr>
                <w:rFonts w:hint="eastAsia" w:ascii="仿宋" w:hAnsi="仿宋" w:eastAsia="仿宋" w:cs="仿宋"/>
                <w:sz w:val="24"/>
                <w:highlight w:val="none"/>
              </w:rPr>
            </w:pPr>
          </w:p>
        </w:tc>
      </w:tr>
      <w:tr w14:paraId="19CA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4183D7D5">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4629" w:type="dxa"/>
            <w:noWrap w:val="0"/>
            <w:vAlign w:val="center"/>
          </w:tcPr>
          <w:p w14:paraId="785B2618">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相关产品实验室能力验证</w:t>
            </w:r>
            <w:r>
              <w:rPr>
                <w:rFonts w:hint="eastAsia" w:ascii="仿宋" w:hAnsi="仿宋" w:eastAsia="仿宋" w:cs="仿宋"/>
                <w:color w:val="auto"/>
                <w:sz w:val="24"/>
                <w:highlight w:val="none"/>
                <w:lang w:val="en-US" w:eastAsia="zh-CN"/>
              </w:rPr>
              <w:t>情况</w:t>
            </w:r>
          </w:p>
        </w:tc>
        <w:tc>
          <w:tcPr>
            <w:tcW w:w="675" w:type="dxa"/>
            <w:noWrap w:val="0"/>
            <w:vAlign w:val="center"/>
          </w:tcPr>
          <w:p w14:paraId="2F910B68">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c>
          <w:tcPr>
            <w:tcW w:w="943" w:type="dxa"/>
            <w:noWrap w:val="0"/>
            <w:vAlign w:val="center"/>
          </w:tcPr>
          <w:p w14:paraId="64AB53E0">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lang w:val="en-US" w:eastAsia="zh-CN"/>
              </w:rPr>
              <w:t>/</w:t>
            </w:r>
          </w:p>
        </w:tc>
        <w:tc>
          <w:tcPr>
            <w:tcW w:w="1386" w:type="dxa"/>
            <w:noWrap w:val="0"/>
            <w:vAlign w:val="center"/>
          </w:tcPr>
          <w:p w14:paraId="1A741AAA">
            <w:pPr>
              <w:adjustRightInd w:val="0"/>
              <w:snapToGrid w:val="0"/>
              <w:jc w:val="center"/>
              <w:rPr>
                <w:rFonts w:hint="eastAsia" w:ascii="仿宋" w:hAnsi="仿宋" w:eastAsia="仿宋" w:cs="仿宋"/>
                <w:sz w:val="24"/>
                <w:highlight w:val="none"/>
              </w:rPr>
            </w:pPr>
          </w:p>
        </w:tc>
      </w:tr>
      <w:tr w14:paraId="5C9F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71C2CF20">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3.1</w:t>
            </w:r>
          </w:p>
        </w:tc>
        <w:tc>
          <w:tcPr>
            <w:tcW w:w="4629" w:type="dxa"/>
            <w:noWrap w:val="0"/>
            <w:vAlign w:val="center"/>
          </w:tcPr>
          <w:p w14:paraId="4CE438E9">
            <w:pPr>
              <w:snapToGrid w:val="0"/>
              <w:rPr>
                <w:rFonts w:hint="eastAsia" w:ascii="仿宋" w:hAnsi="仿宋" w:eastAsia="仿宋" w:cs="仿宋"/>
                <w:highlight w:val="none"/>
              </w:rPr>
            </w:pPr>
            <w:r>
              <w:rPr>
                <w:rFonts w:hint="eastAsia" w:ascii="仿宋" w:hAnsi="仿宋" w:eastAsia="仿宋" w:cs="仿宋"/>
                <w:color w:val="auto"/>
                <w:sz w:val="24"/>
                <w:highlight w:val="none"/>
                <w:lang w:eastAsia="zh-CN"/>
              </w:rPr>
              <w:t>承担本项目消费品类产品检测的实验室在近3年内曾获得实验室能力验证“满意”评价的得1分，不符合不得分。</w:t>
            </w:r>
          </w:p>
          <w:p w14:paraId="0B2CBD25">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573D367F">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2D197D45">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4D35709A">
            <w:pPr>
              <w:adjustRightInd w:val="0"/>
              <w:snapToGrid w:val="0"/>
              <w:jc w:val="center"/>
              <w:rPr>
                <w:rFonts w:hint="eastAsia" w:ascii="仿宋" w:hAnsi="仿宋" w:eastAsia="仿宋" w:cs="仿宋"/>
                <w:sz w:val="24"/>
                <w:highlight w:val="none"/>
              </w:rPr>
            </w:pPr>
          </w:p>
        </w:tc>
      </w:tr>
      <w:tr w14:paraId="62D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370FA218">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3.2</w:t>
            </w:r>
          </w:p>
        </w:tc>
        <w:tc>
          <w:tcPr>
            <w:tcW w:w="4629" w:type="dxa"/>
            <w:noWrap w:val="0"/>
            <w:vAlign w:val="center"/>
          </w:tcPr>
          <w:p w14:paraId="2602A2A2">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承担本项目电器产品类产品检测的实验室在近3年内曾获得实验室能力验证“满意”评价的得1分，不符合不得分。</w:t>
            </w:r>
          </w:p>
          <w:p w14:paraId="386EEFDD">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5B052DAC">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4D2224A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176D42C3">
            <w:pPr>
              <w:adjustRightInd w:val="0"/>
              <w:snapToGrid w:val="0"/>
              <w:jc w:val="center"/>
              <w:rPr>
                <w:rFonts w:hint="eastAsia" w:ascii="仿宋" w:hAnsi="仿宋" w:eastAsia="仿宋" w:cs="仿宋"/>
                <w:sz w:val="24"/>
                <w:highlight w:val="none"/>
              </w:rPr>
            </w:pPr>
          </w:p>
        </w:tc>
      </w:tr>
      <w:tr w14:paraId="02C8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0E975458">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3.3</w:t>
            </w:r>
          </w:p>
        </w:tc>
        <w:tc>
          <w:tcPr>
            <w:tcW w:w="4629" w:type="dxa"/>
            <w:noWrap w:val="0"/>
            <w:vAlign w:val="center"/>
          </w:tcPr>
          <w:p w14:paraId="642BACAB">
            <w:pPr>
              <w:snapToGrid w:val="0"/>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承担本项目普通食品类产品检测的实验室在近3年内曾获得实验室能力验证“满意”评价的得1分，不符合不得分。</w:t>
            </w:r>
          </w:p>
          <w:p w14:paraId="3D49A7F7">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198C9775">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54F9A370">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c>
          <w:tcPr>
            <w:tcW w:w="1386" w:type="dxa"/>
            <w:noWrap w:val="0"/>
            <w:vAlign w:val="center"/>
          </w:tcPr>
          <w:p w14:paraId="20FE9804">
            <w:pPr>
              <w:adjustRightInd w:val="0"/>
              <w:snapToGrid w:val="0"/>
              <w:jc w:val="center"/>
              <w:rPr>
                <w:rFonts w:hint="eastAsia" w:ascii="仿宋" w:hAnsi="仿宋" w:eastAsia="仿宋" w:cs="仿宋"/>
                <w:sz w:val="24"/>
                <w:highlight w:val="none"/>
              </w:rPr>
            </w:pPr>
          </w:p>
        </w:tc>
      </w:tr>
      <w:tr w14:paraId="28A2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515A7BFB">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3.4</w:t>
            </w:r>
          </w:p>
        </w:tc>
        <w:tc>
          <w:tcPr>
            <w:tcW w:w="4629" w:type="dxa"/>
            <w:noWrap w:val="0"/>
            <w:vAlign w:val="center"/>
          </w:tcPr>
          <w:p w14:paraId="5128A3BC">
            <w:pPr>
              <w:snapToGrid w:val="0"/>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承担本项目保健品类产品检测的实验室在近3年内曾获得实验室能力验证“满意”评价的得1分，不符合不得分。</w:t>
            </w:r>
          </w:p>
          <w:p w14:paraId="1FFF4895">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1C3D643E">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2B3C320B">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c>
          <w:tcPr>
            <w:tcW w:w="1386" w:type="dxa"/>
            <w:noWrap w:val="0"/>
            <w:vAlign w:val="center"/>
          </w:tcPr>
          <w:p w14:paraId="23EDE761">
            <w:pPr>
              <w:adjustRightInd w:val="0"/>
              <w:snapToGrid w:val="0"/>
              <w:jc w:val="center"/>
              <w:rPr>
                <w:rFonts w:hint="eastAsia" w:ascii="仿宋" w:hAnsi="仿宋" w:eastAsia="仿宋" w:cs="仿宋"/>
                <w:sz w:val="24"/>
                <w:highlight w:val="none"/>
              </w:rPr>
            </w:pPr>
          </w:p>
        </w:tc>
      </w:tr>
      <w:tr w14:paraId="4651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4633001E">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3.5</w:t>
            </w:r>
          </w:p>
        </w:tc>
        <w:tc>
          <w:tcPr>
            <w:tcW w:w="4629" w:type="dxa"/>
            <w:noWrap w:val="0"/>
            <w:vAlign w:val="center"/>
          </w:tcPr>
          <w:p w14:paraId="486426DE">
            <w:pPr>
              <w:snapToGrid w:val="0"/>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承担本项目化妆品类产品检测的实验室在近3年内曾获得实验室能力验证“满意”评价的得1分，不符合不得分。</w:t>
            </w:r>
          </w:p>
          <w:p w14:paraId="13411CF8">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6155FFED">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4579B94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1F5D3D6E">
            <w:pPr>
              <w:adjustRightInd w:val="0"/>
              <w:snapToGrid w:val="0"/>
              <w:jc w:val="center"/>
              <w:rPr>
                <w:rFonts w:hint="eastAsia" w:ascii="仿宋" w:hAnsi="仿宋" w:eastAsia="仿宋" w:cs="仿宋"/>
                <w:sz w:val="24"/>
                <w:highlight w:val="none"/>
              </w:rPr>
            </w:pPr>
          </w:p>
        </w:tc>
      </w:tr>
      <w:tr w14:paraId="4E03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3E1D6D98">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3.6</w:t>
            </w:r>
          </w:p>
        </w:tc>
        <w:tc>
          <w:tcPr>
            <w:tcW w:w="4629" w:type="dxa"/>
            <w:noWrap w:val="0"/>
            <w:vAlign w:val="center"/>
          </w:tcPr>
          <w:p w14:paraId="74A0D027">
            <w:pPr>
              <w:snapToGrid w:val="0"/>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承担本项目日化用品类产品检测的实验室在近3年内曾获得实验室能力验证“满意”评价的得1分，不符合不得分。</w:t>
            </w:r>
          </w:p>
          <w:p w14:paraId="7448A630">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469E8E91">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2EC86374">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11DBF69B">
            <w:pPr>
              <w:adjustRightInd w:val="0"/>
              <w:snapToGrid w:val="0"/>
              <w:jc w:val="center"/>
              <w:rPr>
                <w:rFonts w:hint="eastAsia" w:ascii="仿宋" w:hAnsi="仿宋" w:eastAsia="仿宋" w:cs="仿宋"/>
                <w:sz w:val="24"/>
                <w:highlight w:val="none"/>
              </w:rPr>
            </w:pPr>
          </w:p>
        </w:tc>
      </w:tr>
      <w:tr w14:paraId="73B4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3896669F">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3.7</w:t>
            </w:r>
          </w:p>
        </w:tc>
        <w:tc>
          <w:tcPr>
            <w:tcW w:w="4629" w:type="dxa"/>
            <w:noWrap w:val="0"/>
            <w:vAlign w:val="center"/>
          </w:tcPr>
          <w:p w14:paraId="408AD386">
            <w:pPr>
              <w:snapToGrid w:val="0"/>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承担本项目动植物产品类产品检测的实验室在近3年内曾获得实验室能力验证“满意”评价的得1分，不符合不得分。</w:t>
            </w:r>
          </w:p>
          <w:p w14:paraId="28790EA1">
            <w:pPr>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证明材料：以投标人提供的能力验证</w:t>
            </w:r>
            <w:r>
              <w:rPr>
                <w:rFonts w:hint="eastAsia" w:ascii="仿宋" w:hAnsi="仿宋" w:eastAsia="仿宋" w:cs="仿宋"/>
                <w:color w:val="auto"/>
                <w:sz w:val="24"/>
                <w:highlight w:val="none"/>
                <w:lang w:val="en-US" w:eastAsia="zh-CN"/>
              </w:rPr>
              <w:t>结果报告</w:t>
            </w:r>
            <w:r>
              <w:rPr>
                <w:rFonts w:hint="eastAsia" w:ascii="仿宋" w:hAnsi="仿宋" w:eastAsia="仿宋" w:cs="仿宋"/>
                <w:color w:val="auto"/>
                <w:sz w:val="24"/>
                <w:highlight w:val="none"/>
                <w:lang w:eastAsia="zh-CN"/>
              </w:rPr>
              <w:t>等相关证明材料为评分依据。</w:t>
            </w:r>
          </w:p>
        </w:tc>
        <w:tc>
          <w:tcPr>
            <w:tcW w:w="675" w:type="dxa"/>
            <w:noWrap w:val="0"/>
            <w:vAlign w:val="center"/>
          </w:tcPr>
          <w:p w14:paraId="57F04C98">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943" w:type="dxa"/>
            <w:noWrap w:val="0"/>
            <w:vAlign w:val="center"/>
          </w:tcPr>
          <w:p w14:paraId="7C064DCE">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客观分</w:t>
            </w:r>
          </w:p>
        </w:tc>
        <w:tc>
          <w:tcPr>
            <w:tcW w:w="1386" w:type="dxa"/>
            <w:noWrap w:val="0"/>
            <w:vAlign w:val="center"/>
          </w:tcPr>
          <w:p w14:paraId="34678480">
            <w:pPr>
              <w:adjustRightInd w:val="0"/>
              <w:snapToGrid w:val="0"/>
              <w:jc w:val="center"/>
              <w:rPr>
                <w:rFonts w:hint="eastAsia" w:ascii="仿宋" w:hAnsi="仿宋" w:eastAsia="仿宋" w:cs="仿宋"/>
                <w:sz w:val="24"/>
                <w:highlight w:val="none"/>
              </w:rPr>
            </w:pPr>
          </w:p>
        </w:tc>
      </w:tr>
      <w:tr w14:paraId="0865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3A560C22">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4629" w:type="dxa"/>
            <w:noWrap w:val="0"/>
            <w:vAlign w:val="center"/>
          </w:tcPr>
          <w:p w14:paraId="0F3E7CD3">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针对招标文件第三部分用户需求制定</w:t>
            </w:r>
            <w:r>
              <w:rPr>
                <w:rFonts w:hint="eastAsia" w:ascii="仿宋" w:hAnsi="仿宋" w:eastAsia="仿宋" w:cs="仿宋"/>
                <w:sz w:val="24"/>
                <w:highlight w:val="none"/>
              </w:rPr>
              <w:t>风险监测工作方案</w:t>
            </w:r>
          </w:p>
        </w:tc>
        <w:tc>
          <w:tcPr>
            <w:tcW w:w="675" w:type="dxa"/>
            <w:noWrap w:val="0"/>
            <w:vAlign w:val="center"/>
          </w:tcPr>
          <w:p w14:paraId="2B43C242">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943" w:type="dxa"/>
            <w:noWrap w:val="0"/>
            <w:vAlign w:val="center"/>
          </w:tcPr>
          <w:p w14:paraId="3F2DC225">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386" w:type="dxa"/>
            <w:noWrap w:val="0"/>
            <w:vAlign w:val="center"/>
          </w:tcPr>
          <w:p w14:paraId="777B961A">
            <w:pPr>
              <w:adjustRightInd w:val="0"/>
              <w:snapToGrid w:val="0"/>
              <w:jc w:val="center"/>
              <w:rPr>
                <w:rFonts w:hint="eastAsia" w:ascii="仿宋" w:hAnsi="仿宋" w:eastAsia="仿宋" w:cs="仿宋"/>
                <w:sz w:val="24"/>
                <w:highlight w:val="none"/>
              </w:rPr>
            </w:pPr>
          </w:p>
        </w:tc>
      </w:tr>
      <w:tr w14:paraId="40F5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35C3F1B8">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w:t>
            </w:r>
          </w:p>
        </w:tc>
        <w:tc>
          <w:tcPr>
            <w:tcW w:w="4629" w:type="dxa"/>
            <w:noWrap w:val="0"/>
            <w:vAlign w:val="center"/>
          </w:tcPr>
          <w:p w14:paraId="4AC27F5D">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检验检测工作</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w:t>
            </w:r>
          </w:p>
          <w:p w14:paraId="383140E4">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分值</w:t>
            </w:r>
            <w:r>
              <w:rPr>
                <w:rFonts w:hint="eastAsia" w:ascii="仿宋" w:hAnsi="仿宋" w:eastAsia="仿宋" w:cs="仿宋"/>
                <w:sz w:val="24"/>
                <w:highlight w:val="none"/>
                <w:lang w:eastAsia="zh-CN"/>
              </w:rPr>
              <w:t>范围：</w:t>
            </w:r>
            <w:r>
              <w:rPr>
                <w:rFonts w:hint="eastAsia" w:ascii="仿宋" w:hAnsi="仿宋" w:eastAsia="仿宋" w:cs="仿宋"/>
                <w:sz w:val="24"/>
                <w:highlight w:val="none"/>
                <w:lang w:val="en-US" w:eastAsia="zh-CN"/>
              </w:rPr>
              <w:t>5,4,3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CN"/>
              </w:rPr>
              <w:t>）</w:t>
            </w:r>
          </w:p>
        </w:tc>
        <w:tc>
          <w:tcPr>
            <w:tcW w:w="675" w:type="dxa"/>
            <w:noWrap w:val="0"/>
            <w:vAlign w:val="center"/>
          </w:tcPr>
          <w:p w14:paraId="2028849D">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43" w:type="dxa"/>
            <w:noWrap w:val="0"/>
            <w:vAlign w:val="center"/>
          </w:tcPr>
          <w:p w14:paraId="3948AD52">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主观分</w:t>
            </w:r>
          </w:p>
        </w:tc>
        <w:tc>
          <w:tcPr>
            <w:tcW w:w="1386" w:type="dxa"/>
            <w:noWrap w:val="0"/>
            <w:vAlign w:val="center"/>
          </w:tcPr>
          <w:p w14:paraId="382F4E64">
            <w:pPr>
              <w:adjustRightInd w:val="0"/>
              <w:snapToGrid w:val="0"/>
              <w:jc w:val="center"/>
              <w:rPr>
                <w:rFonts w:hint="eastAsia" w:ascii="仿宋" w:hAnsi="仿宋" w:eastAsia="仿宋" w:cs="仿宋"/>
                <w:sz w:val="24"/>
                <w:highlight w:val="none"/>
              </w:rPr>
            </w:pPr>
          </w:p>
        </w:tc>
      </w:tr>
      <w:tr w14:paraId="6C2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2A6FB7CC">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w:t>
            </w:r>
          </w:p>
        </w:tc>
        <w:tc>
          <w:tcPr>
            <w:tcW w:w="4629" w:type="dxa"/>
            <w:noWrap w:val="0"/>
            <w:vAlign w:val="center"/>
          </w:tcPr>
          <w:p w14:paraId="090A8141">
            <w:pPr>
              <w:snapToGrid w:val="0"/>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lang w:eastAsia="zh-CN"/>
              </w:rPr>
              <w:t>抽样及物流安排</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（包括</w:t>
            </w:r>
            <w:r>
              <w:rPr>
                <w:rFonts w:hint="eastAsia" w:ascii="仿宋" w:hAnsi="仿宋" w:eastAsia="仿宋" w:cs="仿宋"/>
                <w:sz w:val="24"/>
                <w:highlight w:val="none"/>
              </w:rPr>
              <w:t>确定抽样时间</w:t>
            </w:r>
            <w:r>
              <w:rPr>
                <w:rFonts w:hint="eastAsia" w:ascii="仿宋" w:hAnsi="仿宋" w:eastAsia="仿宋" w:cs="仿宋"/>
                <w:sz w:val="24"/>
                <w:highlight w:val="none"/>
                <w:lang w:eastAsia="zh-CN"/>
              </w:rPr>
              <w:t>、</w:t>
            </w:r>
            <w:r>
              <w:rPr>
                <w:rFonts w:hint="eastAsia" w:ascii="仿宋" w:hAnsi="仿宋" w:eastAsia="仿宋" w:cs="仿宋"/>
                <w:sz w:val="24"/>
                <w:highlight w:val="none"/>
              </w:rPr>
              <w:t>抽样相关人员及车辆</w:t>
            </w:r>
            <w:r>
              <w:rPr>
                <w:rFonts w:hint="eastAsia" w:ascii="仿宋" w:hAnsi="仿宋" w:eastAsia="仿宋" w:cs="仿宋"/>
                <w:sz w:val="24"/>
                <w:highlight w:val="none"/>
                <w:lang w:eastAsia="zh-CN"/>
              </w:rPr>
              <w:t>、检测商品送达时间等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分值</w:t>
            </w:r>
            <w:r>
              <w:rPr>
                <w:rFonts w:hint="eastAsia" w:ascii="仿宋" w:hAnsi="仿宋" w:eastAsia="仿宋" w:cs="仿宋"/>
                <w:sz w:val="24"/>
                <w:highlight w:val="none"/>
                <w:lang w:eastAsia="zh-CN"/>
              </w:rPr>
              <w:t>范围：</w:t>
            </w:r>
            <w:r>
              <w:rPr>
                <w:rFonts w:hint="eastAsia" w:ascii="仿宋" w:hAnsi="仿宋" w:eastAsia="仿宋" w:cs="仿宋"/>
                <w:sz w:val="24"/>
                <w:highlight w:val="none"/>
                <w:lang w:val="en-US" w:eastAsia="zh-CN"/>
              </w:rPr>
              <w:t>5,4,3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CN"/>
              </w:rPr>
              <w:t>）</w:t>
            </w:r>
          </w:p>
        </w:tc>
        <w:tc>
          <w:tcPr>
            <w:tcW w:w="675" w:type="dxa"/>
            <w:noWrap w:val="0"/>
            <w:vAlign w:val="center"/>
          </w:tcPr>
          <w:p w14:paraId="6EAC207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43" w:type="dxa"/>
            <w:noWrap w:val="0"/>
            <w:vAlign w:val="center"/>
          </w:tcPr>
          <w:p w14:paraId="5D46D2FA">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c>
          <w:tcPr>
            <w:tcW w:w="1386" w:type="dxa"/>
            <w:noWrap w:val="0"/>
            <w:vAlign w:val="center"/>
          </w:tcPr>
          <w:p w14:paraId="797516FD">
            <w:pPr>
              <w:adjustRightInd w:val="0"/>
              <w:snapToGrid w:val="0"/>
              <w:jc w:val="center"/>
              <w:rPr>
                <w:rFonts w:hint="eastAsia" w:ascii="仿宋" w:hAnsi="仿宋" w:eastAsia="仿宋" w:cs="仿宋"/>
                <w:sz w:val="24"/>
                <w:highlight w:val="none"/>
              </w:rPr>
            </w:pPr>
          </w:p>
        </w:tc>
      </w:tr>
      <w:tr w14:paraId="504A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0A7362E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w:t>
            </w:r>
          </w:p>
        </w:tc>
        <w:tc>
          <w:tcPr>
            <w:tcW w:w="4629" w:type="dxa"/>
            <w:noWrap w:val="0"/>
            <w:vAlign w:val="center"/>
          </w:tcPr>
          <w:p w14:paraId="27D8335F">
            <w:pPr>
              <w:snapToGrid w:val="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z w:val="24"/>
                <w:highlight w:val="none"/>
                <w:lang w:eastAsia="zh-CN"/>
              </w:rPr>
              <w:t>数据汇总</w:t>
            </w:r>
            <w:r>
              <w:rPr>
                <w:rFonts w:hint="eastAsia" w:ascii="仿宋" w:hAnsi="仿宋" w:eastAsia="仿宋" w:cs="仿宋"/>
                <w:sz w:val="24"/>
                <w:highlight w:val="none"/>
                <w:lang w:eastAsia="zh-CN"/>
              </w:rPr>
              <w:t>（包括</w:t>
            </w:r>
            <w:r>
              <w:rPr>
                <w:rFonts w:hint="eastAsia" w:ascii="仿宋" w:hAnsi="仿宋" w:eastAsia="仿宋" w:cs="仿宋"/>
                <w:sz w:val="24"/>
                <w:highlight w:val="none"/>
              </w:rPr>
              <w:t>检测报告、汇总统计表、质量分析报告</w:t>
            </w:r>
            <w:r>
              <w:rPr>
                <w:rFonts w:hint="eastAsia" w:ascii="仿宋" w:hAnsi="仿宋" w:eastAsia="仿宋" w:cs="仿宋"/>
                <w:sz w:val="24"/>
                <w:highlight w:val="none"/>
                <w:lang w:eastAsia="zh-CN"/>
              </w:rPr>
              <w:t>等）</w:t>
            </w:r>
            <w:r>
              <w:rPr>
                <w:rFonts w:hint="eastAsia" w:ascii="仿宋" w:hAnsi="仿宋" w:eastAsia="仿宋" w:cs="仿宋"/>
                <w:color w:val="auto"/>
                <w:sz w:val="24"/>
                <w:highlight w:val="none"/>
                <w:lang w:eastAsia="zh-CN"/>
              </w:rPr>
              <w:t>工作安排</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分值</w:t>
            </w:r>
            <w:r>
              <w:rPr>
                <w:rFonts w:hint="eastAsia" w:ascii="仿宋" w:hAnsi="仿宋" w:eastAsia="仿宋" w:cs="仿宋"/>
                <w:sz w:val="24"/>
                <w:highlight w:val="none"/>
                <w:lang w:eastAsia="zh-CN"/>
              </w:rPr>
              <w:t>范围：</w:t>
            </w:r>
            <w:r>
              <w:rPr>
                <w:rFonts w:hint="eastAsia" w:ascii="仿宋" w:hAnsi="仿宋" w:eastAsia="仿宋" w:cs="仿宋"/>
                <w:sz w:val="24"/>
                <w:highlight w:val="none"/>
                <w:lang w:val="en-US" w:eastAsia="zh-CN"/>
              </w:rPr>
              <w:t>5,4,3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CN"/>
              </w:rPr>
              <w:t>）</w:t>
            </w:r>
          </w:p>
        </w:tc>
        <w:tc>
          <w:tcPr>
            <w:tcW w:w="675" w:type="dxa"/>
            <w:noWrap w:val="0"/>
            <w:vAlign w:val="center"/>
          </w:tcPr>
          <w:p w14:paraId="73D8BC16">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43" w:type="dxa"/>
            <w:noWrap w:val="0"/>
            <w:vAlign w:val="center"/>
          </w:tcPr>
          <w:p w14:paraId="1A246011">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主观分</w:t>
            </w:r>
          </w:p>
        </w:tc>
        <w:tc>
          <w:tcPr>
            <w:tcW w:w="1386" w:type="dxa"/>
            <w:noWrap w:val="0"/>
            <w:vAlign w:val="center"/>
          </w:tcPr>
          <w:p w14:paraId="2DF22534">
            <w:pPr>
              <w:adjustRightInd w:val="0"/>
              <w:snapToGrid w:val="0"/>
              <w:jc w:val="center"/>
              <w:rPr>
                <w:rFonts w:hint="eastAsia" w:ascii="仿宋" w:hAnsi="仿宋" w:eastAsia="仿宋" w:cs="仿宋"/>
                <w:sz w:val="24"/>
                <w:highlight w:val="none"/>
              </w:rPr>
            </w:pPr>
          </w:p>
        </w:tc>
      </w:tr>
      <w:tr w14:paraId="6976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62" w:type="dxa"/>
            <w:noWrap w:val="0"/>
            <w:vAlign w:val="center"/>
          </w:tcPr>
          <w:p w14:paraId="1F5900D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4629" w:type="dxa"/>
            <w:noWrap w:val="0"/>
            <w:vAlign w:val="center"/>
          </w:tcPr>
          <w:p w14:paraId="30E7A246">
            <w:pPr>
              <w:snapToGrid w:val="0"/>
              <w:rPr>
                <w:rFonts w:hint="eastAsia" w:ascii="仿宋" w:hAnsi="仿宋" w:eastAsia="仿宋" w:cs="仿宋"/>
                <w:sz w:val="24"/>
                <w:highlight w:val="none"/>
              </w:rPr>
            </w:pPr>
            <w:bookmarkStart w:id="92" w:name="OLE_LINK10"/>
            <w:r>
              <w:rPr>
                <w:rFonts w:hint="eastAsia" w:ascii="仿宋" w:hAnsi="仿宋" w:eastAsia="仿宋" w:cs="仿宋"/>
                <w:sz w:val="24"/>
                <w:highlight w:val="none"/>
                <w:lang w:val="en-US" w:eastAsia="zh-CN"/>
              </w:rPr>
              <w:t>拟派项目组成员情况</w:t>
            </w:r>
            <w:bookmarkEnd w:id="92"/>
          </w:p>
        </w:tc>
        <w:tc>
          <w:tcPr>
            <w:tcW w:w="675" w:type="dxa"/>
            <w:noWrap w:val="0"/>
            <w:vAlign w:val="center"/>
          </w:tcPr>
          <w:p w14:paraId="00CA435D">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943" w:type="dxa"/>
            <w:noWrap w:val="0"/>
            <w:vAlign w:val="center"/>
          </w:tcPr>
          <w:p w14:paraId="5945E53D">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w:t>
            </w:r>
          </w:p>
        </w:tc>
        <w:tc>
          <w:tcPr>
            <w:tcW w:w="1386" w:type="dxa"/>
            <w:noWrap w:val="0"/>
            <w:vAlign w:val="center"/>
          </w:tcPr>
          <w:p w14:paraId="31A16DE9">
            <w:pPr>
              <w:adjustRightInd w:val="0"/>
              <w:snapToGrid w:val="0"/>
              <w:jc w:val="center"/>
              <w:rPr>
                <w:rFonts w:hint="eastAsia" w:ascii="仿宋" w:hAnsi="仿宋" w:eastAsia="仿宋" w:cs="仿宋"/>
                <w:sz w:val="24"/>
                <w:highlight w:val="none"/>
              </w:rPr>
            </w:pPr>
          </w:p>
        </w:tc>
      </w:tr>
      <w:tr w14:paraId="1D57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3FF6B0CD">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w:t>
            </w:r>
          </w:p>
        </w:tc>
        <w:tc>
          <w:tcPr>
            <w:tcW w:w="4629" w:type="dxa"/>
            <w:noWrap w:val="0"/>
            <w:vAlign w:val="center"/>
          </w:tcPr>
          <w:p w14:paraId="39003E15">
            <w:pPr>
              <w:snapToGrid w:val="0"/>
              <w:rPr>
                <w:rFonts w:hint="eastAsia" w:ascii="仿宋" w:hAnsi="仿宋" w:eastAsia="仿宋" w:cs="仿宋"/>
                <w:color w:val="auto"/>
                <w:sz w:val="24"/>
                <w:highlight w:val="none"/>
                <w:lang w:val="en-US" w:eastAsia="zh-CN"/>
              </w:rPr>
            </w:pPr>
            <w:r>
              <w:rPr>
                <w:rFonts w:hint="eastAsia" w:ascii="仿宋" w:hAnsi="仿宋" w:eastAsia="仿宋" w:cs="仿宋"/>
                <w:bCs/>
                <w:sz w:val="24"/>
                <w:highlight w:val="none"/>
              </w:rPr>
              <w:t>拟派的项目负责人情况</w:t>
            </w:r>
            <w:r>
              <w:rPr>
                <w:rFonts w:hint="eastAsia" w:ascii="仿宋" w:hAnsi="仿宋" w:eastAsia="仿宋" w:cs="仿宋"/>
                <w:bCs/>
                <w:sz w:val="24"/>
                <w:highlight w:val="none"/>
                <w:lang w:val="en-US" w:eastAsia="zh-CN"/>
              </w:rPr>
              <w:t>:</w:t>
            </w:r>
            <w:r>
              <w:rPr>
                <w:rFonts w:hint="eastAsia" w:ascii="仿宋" w:hAnsi="仿宋" w:eastAsia="仿宋" w:cs="仿宋"/>
                <w:color w:val="auto"/>
                <w:sz w:val="24"/>
                <w:highlight w:val="none"/>
                <w:lang w:val="en-US" w:eastAsia="zh-CN"/>
              </w:rPr>
              <w:t>具有3年（含）以上的产品质量风险监测或抽检负责经历，并承诺在本项目服务期内不作变动的，得4分。</w:t>
            </w:r>
          </w:p>
          <w:p w14:paraId="3C546EB8">
            <w:pPr>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证明材料：</w:t>
            </w:r>
            <w:r>
              <w:rPr>
                <w:rFonts w:hint="eastAsia" w:ascii="仿宋" w:hAnsi="仿宋" w:eastAsia="仿宋" w:cs="仿宋"/>
                <w:bCs/>
                <w:kern w:val="2"/>
                <w:sz w:val="24"/>
                <w:szCs w:val="24"/>
                <w:highlight w:val="none"/>
                <w:lang w:val="en-US" w:eastAsia="zh-CN" w:bidi="ar-SA"/>
              </w:rPr>
              <w:t>①</w:t>
            </w:r>
            <w:r>
              <w:rPr>
                <w:rFonts w:hint="eastAsia" w:ascii="仿宋" w:hAnsi="仿宋" w:eastAsia="仿宋" w:cs="仿宋"/>
                <w:sz w:val="24"/>
                <w:highlight w:val="none"/>
                <w:lang w:val="en-US" w:eastAsia="zh-CN"/>
              </w:rPr>
              <w:t>相关履历表、相关承诺</w:t>
            </w:r>
            <w:r>
              <w:rPr>
                <w:rFonts w:hint="eastAsia" w:ascii="仿宋" w:hAnsi="仿宋" w:eastAsia="仿宋" w:cs="仿宋"/>
                <w:color w:val="auto"/>
                <w:sz w:val="24"/>
                <w:szCs w:val="24"/>
                <w:highlight w:val="none"/>
                <w:lang w:val="en-US" w:eastAsia="zh-CN"/>
              </w:rPr>
              <w:t>，需确保真实性;</w:t>
            </w:r>
            <w:r>
              <w:rPr>
                <w:rFonts w:hint="eastAsia" w:ascii="仿宋" w:hAnsi="仿宋" w:eastAsia="仿宋" w:cs="仿宋"/>
                <w:sz w:val="24"/>
                <w:highlight w:val="none"/>
                <w:lang w:val="en-US" w:eastAsia="zh-CN"/>
              </w:rPr>
              <w:t>②</w:t>
            </w:r>
            <w:r>
              <w:rPr>
                <w:rFonts w:hint="eastAsia" w:ascii="仿宋" w:hAnsi="仿宋" w:eastAsia="仿宋" w:cs="仿宋"/>
                <w:color w:val="auto"/>
                <w:kern w:val="2"/>
                <w:sz w:val="24"/>
                <w:szCs w:val="24"/>
                <w:highlight w:val="none"/>
                <w:lang w:val="en-US" w:eastAsia="zh-CN" w:bidi="ar-SA"/>
              </w:rPr>
              <w:t>提供投</w:t>
            </w:r>
            <w:r>
              <w:rPr>
                <w:rFonts w:hint="eastAsia" w:ascii="仿宋" w:hAnsi="仿宋" w:eastAsia="仿宋" w:cs="仿宋"/>
                <w:color w:val="auto"/>
                <w:sz w:val="24"/>
                <w:szCs w:val="24"/>
                <w:highlight w:val="none"/>
                <w:lang w:val="en-US" w:eastAsia="zh-CN"/>
              </w:rPr>
              <w:t>标人为其缴纳的、距投标截止时间3个月内任意时间出具的社保证明，</w:t>
            </w:r>
            <w:r>
              <w:rPr>
                <w:rFonts w:hint="eastAsia" w:ascii="仿宋" w:hAnsi="仿宋" w:eastAsia="仿宋" w:cs="仿宋"/>
                <w:snapToGrid/>
                <w:color w:val="auto"/>
                <w:kern w:val="0"/>
                <w:sz w:val="24"/>
                <w:szCs w:val="24"/>
                <w:highlight w:val="none"/>
                <w:lang w:val="en-US" w:eastAsia="zh-CN" w:bidi="ar-SA"/>
              </w:rPr>
              <w:t>否则评审时不予认可。</w:t>
            </w:r>
          </w:p>
        </w:tc>
        <w:tc>
          <w:tcPr>
            <w:tcW w:w="675" w:type="dxa"/>
            <w:noWrap w:val="0"/>
            <w:vAlign w:val="center"/>
          </w:tcPr>
          <w:p w14:paraId="4BD385E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943" w:type="dxa"/>
            <w:noWrap w:val="0"/>
            <w:vAlign w:val="center"/>
          </w:tcPr>
          <w:p w14:paraId="03FB2A1B">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7B585407">
            <w:pPr>
              <w:adjustRightInd w:val="0"/>
              <w:snapToGrid w:val="0"/>
              <w:jc w:val="center"/>
              <w:rPr>
                <w:rFonts w:hint="eastAsia" w:ascii="仿宋" w:hAnsi="仿宋" w:eastAsia="仿宋" w:cs="仿宋"/>
                <w:sz w:val="24"/>
                <w:highlight w:val="none"/>
              </w:rPr>
            </w:pPr>
          </w:p>
        </w:tc>
      </w:tr>
      <w:tr w14:paraId="6124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22CB314D">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w:t>
            </w:r>
          </w:p>
        </w:tc>
        <w:tc>
          <w:tcPr>
            <w:tcW w:w="4629" w:type="dxa"/>
            <w:noWrap w:val="0"/>
            <w:vAlign w:val="center"/>
          </w:tcPr>
          <w:p w14:paraId="7069F5F6">
            <w:pPr>
              <w:snapToGrid w:val="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拟派的</w:t>
            </w:r>
            <w:r>
              <w:rPr>
                <w:rFonts w:hint="eastAsia" w:ascii="仿宋" w:hAnsi="仿宋" w:eastAsia="仿宋" w:cs="仿宋"/>
                <w:bCs/>
                <w:sz w:val="24"/>
                <w:highlight w:val="none"/>
                <w:lang w:val="en-US" w:eastAsia="zh-CN"/>
              </w:rPr>
              <w:t>项目授权签字人</w:t>
            </w:r>
            <w:r>
              <w:rPr>
                <w:rFonts w:hint="eastAsia" w:ascii="仿宋" w:hAnsi="仿宋" w:eastAsia="仿宋" w:cs="仿宋"/>
                <w:bCs/>
                <w:sz w:val="24"/>
                <w:highlight w:val="none"/>
              </w:rPr>
              <w:t>情</w:t>
            </w:r>
            <w:r>
              <w:rPr>
                <w:rFonts w:hint="eastAsia" w:ascii="仿宋" w:hAnsi="仿宋" w:eastAsia="仿宋" w:cs="仿宋"/>
                <w:bCs/>
                <w:sz w:val="24"/>
                <w:highlight w:val="none"/>
                <w:lang w:val="en-US" w:eastAsia="zh-CN"/>
              </w:rPr>
              <w:t>况：具有5年（含）以上检验工作经历并具有食品或化学专业副高级或以上技术职称的得4分；具有5年（含）以上检验工作经历并具有食品或者化学类中级技术职称的得2分，不满足不得分。</w:t>
            </w:r>
          </w:p>
          <w:p w14:paraId="390C5770">
            <w:pPr>
              <w:snapToGrid w:val="0"/>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highlight w:val="none"/>
                <w:lang w:val="en-US" w:eastAsia="zh-CN"/>
              </w:rPr>
              <w:t>证明材料：</w:t>
            </w:r>
            <w:r>
              <w:rPr>
                <w:rFonts w:hint="eastAsia" w:ascii="仿宋" w:hAnsi="仿宋" w:eastAsia="仿宋" w:cs="仿宋"/>
                <w:bCs/>
                <w:kern w:val="2"/>
                <w:sz w:val="24"/>
                <w:szCs w:val="24"/>
                <w:highlight w:val="none"/>
                <w:lang w:val="en-US" w:eastAsia="zh-CN" w:bidi="ar-SA"/>
              </w:rPr>
              <w:t>①</w:t>
            </w:r>
            <w:r>
              <w:rPr>
                <w:rFonts w:hint="eastAsia" w:ascii="仿宋" w:hAnsi="仿宋" w:eastAsia="仿宋" w:cs="仿宋"/>
                <w:sz w:val="24"/>
                <w:highlight w:val="none"/>
                <w:lang w:val="en-US" w:eastAsia="zh-CN"/>
              </w:rPr>
              <w:t>相关履历表、相关承诺</w:t>
            </w:r>
            <w:r>
              <w:rPr>
                <w:rFonts w:hint="eastAsia" w:ascii="仿宋" w:hAnsi="仿宋" w:eastAsia="仿宋" w:cs="仿宋"/>
                <w:color w:val="auto"/>
                <w:sz w:val="24"/>
                <w:szCs w:val="24"/>
                <w:highlight w:val="none"/>
                <w:lang w:val="en-US" w:eastAsia="zh-CN"/>
              </w:rPr>
              <w:t>，需确保真实性;</w:t>
            </w:r>
            <w:r>
              <w:rPr>
                <w:rFonts w:hint="eastAsia" w:ascii="仿宋" w:hAnsi="仿宋" w:eastAsia="仿宋" w:cs="仿宋"/>
                <w:sz w:val="24"/>
                <w:highlight w:val="none"/>
                <w:lang w:val="en-US" w:eastAsia="zh-CN"/>
              </w:rPr>
              <w:t>②</w:t>
            </w:r>
            <w:r>
              <w:rPr>
                <w:rFonts w:hint="eastAsia" w:ascii="仿宋" w:hAnsi="仿宋" w:eastAsia="仿宋" w:cs="仿宋"/>
                <w:color w:val="auto"/>
                <w:kern w:val="2"/>
                <w:sz w:val="24"/>
                <w:szCs w:val="24"/>
                <w:highlight w:val="none"/>
                <w:lang w:val="en-US" w:eastAsia="zh-CN" w:bidi="ar-SA"/>
              </w:rPr>
              <w:t>提供投</w:t>
            </w:r>
            <w:r>
              <w:rPr>
                <w:rFonts w:hint="eastAsia" w:ascii="仿宋" w:hAnsi="仿宋" w:eastAsia="仿宋" w:cs="仿宋"/>
                <w:color w:val="auto"/>
                <w:sz w:val="24"/>
                <w:szCs w:val="24"/>
                <w:highlight w:val="none"/>
                <w:lang w:val="en-US" w:eastAsia="zh-CN"/>
              </w:rPr>
              <w:t>标人为其缴纳的、距投标截止时间3个月内任意时间出具的社保证明，</w:t>
            </w:r>
            <w:r>
              <w:rPr>
                <w:rFonts w:hint="eastAsia" w:ascii="仿宋" w:hAnsi="仿宋" w:eastAsia="仿宋" w:cs="仿宋"/>
                <w:snapToGrid/>
                <w:color w:val="auto"/>
                <w:kern w:val="0"/>
                <w:sz w:val="24"/>
                <w:szCs w:val="24"/>
                <w:highlight w:val="none"/>
                <w:lang w:val="en-US" w:eastAsia="zh-CN" w:bidi="ar-SA"/>
              </w:rPr>
              <w:t>否则评审时不予认可。</w:t>
            </w:r>
          </w:p>
        </w:tc>
        <w:tc>
          <w:tcPr>
            <w:tcW w:w="675" w:type="dxa"/>
            <w:noWrap w:val="0"/>
            <w:vAlign w:val="center"/>
          </w:tcPr>
          <w:p w14:paraId="25B86D9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164F0A23">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671B580D">
            <w:pPr>
              <w:adjustRightInd w:val="0"/>
              <w:snapToGrid w:val="0"/>
              <w:jc w:val="center"/>
              <w:rPr>
                <w:rFonts w:hint="eastAsia" w:ascii="仿宋" w:hAnsi="仿宋" w:eastAsia="仿宋" w:cs="仿宋"/>
                <w:sz w:val="24"/>
                <w:highlight w:val="none"/>
              </w:rPr>
            </w:pPr>
          </w:p>
        </w:tc>
      </w:tr>
      <w:tr w14:paraId="07FC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noWrap w:val="0"/>
            <w:vAlign w:val="center"/>
          </w:tcPr>
          <w:p w14:paraId="438A8E4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w:t>
            </w:r>
          </w:p>
        </w:tc>
        <w:tc>
          <w:tcPr>
            <w:tcW w:w="4629" w:type="dxa"/>
            <w:noWrap w:val="0"/>
            <w:vAlign w:val="center"/>
          </w:tcPr>
          <w:p w14:paraId="67308552">
            <w:pPr>
              <w:snapToGrid w:val="0"/>
              <w:rPr>
                <w:rFonts w:hint="eastAsia" w:ascii="仿宋" w:hAnsi="仿宋" w:eastAsia="仿宋" w:cs="仿宋"/>
                <w:bCs/>
                <w:sz w:val="24"/>
                <w:highlight w:val="none"/>
                <w:lang w:val="en-US" w:eastAsia="zh-CN"/>
              </w:rPr>
            </w:pPr>
            <w:bookmarkStart w:id="93" w:name="OLE_LINK12"/>
            <w:r>
              <w:rPr>
                <w:rFonts w:hint="eastAsia" w:ascii="仿宋" w:hAnsi="仿宋" w:eastAsia="仿宋" w:cs="仿宋"/>
                <w:sz w:val="24"/>
                <w:szCs w:val="24"/>
                <w:highlight w:val="none"/>
                <w:lang w:val="en-US" w:eastAsia="zh-CN"/>
              </w:rPr>
              <w:t>拟派的</w:t>
            </w:r>
            <w:r>
              <w:rPr>
                <w:rFonts w:hint="eastAsia" w:ascii="仿宋" w:hAnsi="仿宋" w:eastAsia="仿宋" w:cs="仿宋"/>
                <w:bCs/>
                <w:sz w:val="24"/>
                <w:highlight w:val="none"/>
                <w:lang w:val="en-US" w:eastAsia="zh-CN"/>
              </w:rPr>
              <w:t>项目检验人员</w:t>
            </w:r>
            <w:r>
              <w:rPr>
                <w:rFonts w:hint="eastAsia" w:ascii="仿宋" w:hAnsi="仿宋" w:eastAsia="仿宋" w:cs="仿宋"/>
                <w:bCs/>
                <w:sz w:val="24"/>
                <w:highlight w:val="none"/>
              </w:rPr>
              <w:t>情况</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项目负责人</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项目授权签字人除外</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：获得食品或化学专业中级（含）以上技术职称人员数量不少于5人（含）的得4分。</w:t>
            </w:r>
          </w:p>
          <w:p w14:paraId="686F8A13">
            <w:pPr>
              <w:snapToGrid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证明材料：①提供相关证书复印件；</w:t>
            </w:r>
            <w:r>
              <w:rPr>
                <w:rFonts w:hint="eastAsia" w:ascii="仿宋" w:hAnsi="仿宋" w:eastAsia="仿宋" w:cs="仿宋"/>
                <w:sz w:val="24"/>
                <w:highlight w:val="none"/>
                <w:lang w:val="en-US" w:eastAsia="zh-CN"/>
              </w:rPr>
              <w:t>②</w:t>
            </w:r>
            <w:bookmarkEnd w:id="93"/>
            <w:r>
              <w:rPr>
                <w:rFonts w:hint="eastAsia" w:ascii="仿宋" w:hAnsi="仿宋" w:eastAsia="仿宋" w:cs="仿宋"/>
                <w:color w:val="auto"/>
                <w:kern w:val="2"/>
                <w:sz w:val="24"/>
                <w:szCs w:val="24"/>
                <w:highlight w:val="none"/>
                <w:lang w:val="en-US" w:eastAsia="zh-CN" w:bidi="ar-SA"/>
              </w:rPr>
              <w:t>提供投</w:t>
            </w:r>
            <w:r>
              <w:rPr>
                <w:rFonts w:hint="eastAsia" w:ascii="仿宋" w:hAnsi="仿宋" w:eastAsia="仿宋" w:cs="仿宋"/>
                <w:color w:val="auto"/>
                <w:sz w:val="24"/>
                <w:szCs w:val="24"/>
                <w:highlight w:val="none"/>
                <w:lang w:val="en-US" w:eastAsia="zh-CN"/>
              </w:rPr>
              <w:t>标人为其缴纳的、距投标截止时间3个月内任意时间出具的社保证明，</w:t>
            </w:r>
            <w:r>
              <w:rPr>
                <w:rFonts w:hint="eastAsia" w:ascii="仿宋" w:hAnsi="仿宋" w:eastAsia="仿宋" w:cs="仿宋"/>
                <w:snapToGrid/>
                <w:color w:val="auto"/>
                <w:kern w:val="0"/>
                <w:sz w:val="24"/>
                <w:szCs w:val="24"/>
                <w:highlight w:val="none"/>
                <w:lang w:val="en-US" w:eastAsia="zh-CN" w:bidi="ar-SA"/>
              </w:rPr>
              <w:t>否则评审时不予认可。</w:t>
            </w:r>
          </w:p>
        </w:tc>
        <w:tc>
          <w:tcPr>
            <w:tcW w:w="675" w:type="dxa"/>
            <w:noWrap w:val="0"/>
            <w:vAlign w:val="center"/>
          </w:tcPr>
          <w:p w14:paraId="4D288CA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943" w:type="dxa"/>
            <w:noWrap w:val="0"/>
            <w:vAlign w:val="center"/>
          </w:tcPr>
          <w:p w14:paraId="720945D2">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客观分</w:t>
            </w:r>
          </w:p>
        </w:tc>
        <w:tc>
          <w:tcPr>
            <w:tcW w:w="1386" w:type="dxa"/>
            <w:noWrap w:val="0"/>
            <w:vAlign w:val="center"/>
          </w:tcPr>
          <w:p w14:paraId="76586858">
            <w:pPr>
              <w:adjustRightInd w:val="0"/>
              <w:snapToGrid w:val="0"/>
              <w:jc w:val="center"/>
              <w:rPr>
                <w:rFonts w:hint="eastAsia" w:ascii="仿宋" w:hAnsi="仿宋" w:eastAsia="仿宋" w:cs="仿宋"/>
                <w:sz w:val="24"/>
                <w:highlight w:val="none"/>
              </w:rPr>
            </w:pPr>
          </w:p>
        </w:tc>
      </w:tr>
      <w:tr w14:paraId="4BB9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62" w:type="dxa"/>
            <w:noWrap w:val="0"/>
            <w:vAlign w:val="center"/>
          </w:tcPr>
          <w:p w14:paraId="7FC186F8">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4629" w:type="dxa"/>
            <w:noWrap w:val="0"/>
            <w:vAlign w:val="center"/>
          </w:tcPr>
          <w:p w14:paraId="0A2987B5">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承诺提供消费品、电器产品、普通食品、保健品、化妆品、日化用品、动植物产品七大类产品的检测设备，检测设备在计量检定（校准）有效期内，能覆盖所承担项目需要，台套数能满足本项目承检样品检测需要的得5分。</w:t>
            </w:r>
          </w:p>
          <w:p w14:paraId="67807195">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说明：如承诺检测品类内容不全或虚假承诺影响合同履约的，</w:t>
            </w:r>
            <w:r>
              <w:rPr>
                <w:rFonts w:hint="eastAsia" w:ascii="仿宋" w:hAnsi="仿宋" w:eastAsia="仿宋" w:cs="仿宋"/>
                <w:bCs/>
                <w:kern w:val="2"/>
                <w:sz w:val="24"/>
                <w:szCs w:val="24"/>
                <w:highlight w:val="none"/>
                <w:lang w:val="en-US" w:eastAsia="zh-CN" w:bidi="ar-SA"/>
              </w:rPr>
              <w:t>采购人将视为投标人违约，有权解除合同。</w:t>
            </w:r>
          </w:p>
          <w:p w14:paraId="0A2F12D4">
            <w:pPr>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highlight w:val="none"/>
                <w:lang w:val="en-US" w:eastAsia="zh-CN"/>
              </w:rPr>
              <w:t>证明材料：需提供承诺函（格式自拟）加盖供应商公章（或电子签章），否则不得分。</w:t>
            </w:r>
          </w:p>
        </w:tc>
        <w:tc>
          <w:tcPr>
            <w:tcW w:w="675" w:type="dxa"/>
            <w:noWrap w:val="0"/>
            <w:vAlign w:val="center"/>
          </w:tcPr>
          <w:p w14:paraId="123DA1FF">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5</w:t>
            </w:r>
          </w:p>
        </w:tc>
        <w:tc>
          <w:tcPr>
            <w:tcW w:w="943" w:type="dxa"/>
            <w:noWrap w:val="0"/>
            <w:vAlign w:val="center"/>
          </w:tcPr>
          <w:p w14:paraId="58CD3342">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5DF1DB51">
            <w:pPr>
              <w:adjustRightInd w:val="0"/>
              <w:snapToGrid w:val="0"/>
              <w:jc w:val="center"/>
              <w:rPr>
                <w:rFonts w:hint="eastAsia" w:ascii="仿宋" w:hAnsi="仿宋" w:eastAsia="仿宋" w:cs="仿宋"/>
                <w:sz w:val="24"/>
                <w:highlight w:val="none"/>
              </w:rPr>
            </w:pPr>
          </w:p>
        </w:tc>
      </w:tr>
      <w:tr w14:paraId="39E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62" w:type="dxa"/>
            <w:noWrap w:val="0"/>
            <w:vAlign w:val="center"/>
          </w:tcPr>
          <w:p w14:paraId="084D6290">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4629" w:type="dxa"/>
            <w:noWrap w:val="0"/>
            <w:vAlign w:val="center"/>
          </w:tcPr>
          <w:p w14:paraId="2D8FC57F">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专用采样车：根据投入项目的专用采样车辆情况,每提供一辆得2分，最高得4分。</w:t>
            </w:r>
          </w:p>
          <w:p w14:paraId="3D227DC0">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sz w:val="24"/>
                <w:highlight w:val="none"/>
                <w:lang w:val="en-US" w:eastAsia="zh-CN"/>
              </w:rPr>
              <w:t>证明材料：车辆自有或租赁均可，提供车辆信息及照片、车辆自有产权证明（行驶证）或租赁证明。</w:t>
            </w:r>
          </w:p>
        </w:tc>
        <w:tc>
          <w:tcPr>
            <w:tcW w:w="675" w:type="dxa"/>
            <w:noWrap w:val="0"/>
            <w:vAlign w:val="center"/>
          </w:tcPr>
          <w:p w14:paraId="50F6BE9B">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3FA3B065">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271D2BA9">
            <w:pPr>
              <w:adjustRightInd w:val="0"/>
              <w:snapToGrid w:val="0"/>
              <w:jc w:val="center"/>
              <w:rPr>
                <w:rFonts w:hint="eastAsia" w:ascii="仿宋" w:hAnsi="仿宋" w:eastAsia="仿宋" w:cs="仿宋"/>
                <w:sz w:val="24"/>
                <w:highlight w:val="none"/>
              </w:rPr>
            </w:pPr>
          </w:p>
        </w:tc>
      </w:tr>
      <w:tr w14:paraId="3B89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7C271DB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4629" w:type="dxa"/>
            <w:noWrap w:val="0"/>
            <w:vAlign w:val="center"/>
          </w:tcPr>
          <w:p w14:paraId="00A2A14B">
            <w:pPr>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拟安排实验场地情况（位置、规模不限；满足服务需求即可）。投标人具有满足检测工作需要的、独立的、固定的实验场地</w:t>
            </w:r>
            <w:r>
              <w:rPr>
                <w:rFonts w:hint="eastAsia" w:ascii="仿宋" w:hAnsi="仿宋" w:eastAsia="仿宋" w:cs="仿宋"/>
                <w:sz w:val="24"/>
                <w:highlight w:val="none"/>
                <w:lang w:eastAsia="zh-CN"/>
              </w:rPr>
              <w:t>情况，</w:t>
            </w:r>
            <w:r>
              <w:rPr>
                <w:rFonts w:hint="eastAsia" w:ascii="仿宋" w:hAnsi="仿宋" w:eastAsia="仿宋" w:cs="仿宋"/>
                <w:bCs/>
                <w:color w:val="auto"/>
                <w:sz w:val="24"/>
                <w:szCs w:val="24"/>
                <w:highlight w:val="none"/>
                <w:lang w:val="en-US" w:eastAsia="zh-CN"/>
              </w:rPr>
              <w:t>完全满足采购需求的得4分，</w:t>
            </w:r>
            <w:r>
              <w:rPr>
                <w:rFonts w:hint="eastAsia" w:ascii="仿宋" w:hAnsi="仿宋" w:eastAsia="仿宋" w:cs="仿宋"/>
                <w:color w:val="auto"/>
                <w:sz w:val="24"/>
                <w:szCs w:val="24"/>
                <w:highlight w:val="none"/>
                <w:lang w:val="en-US" w:eastAsia="zh-CN"/>
              </w:rPr>
              <w:t>不满足不得分。</w:t>
            </w:r>
          </w:p>
          <w:p w14:paraId="355D9294">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sz w:val="24"/>
                <w:highlight w:val="none"/>
                <w:lang w:val="zh-CN"/>
              </w:rPr>
              <w:t>注：提供</w:t>
            </w:r>
            <w:r>
              <w:rPr>
                <w:rFonts w:hint="eastAsia" w:ascii="仿宋" w:hAnsi="仿宋" w:eastAsia="仿宋" w:cs="仿宋"/>
                <w:sz w:val="24"/>
                <w:highlight w:val="none"/>
              </w:rPr>
              <w:t>场所产权证明或有效租赁合同</w:t>
            </w:r>
            <w:r>
              <w:rPr>
                <w:rFonts w:hint="eastAsia" w:ascii="仿宋" w:hAnsi="仿宋" w:eastAsia="仿宋" w:cs="仿宋"/>
                <w:sz w:val="24"/>
                <w:highlight w:val="none"/>
                <w:lang w:val="zh-CN"/>
              </w:rPr>
              <w:t>。</w:t>
            </w:r>
          </w:p>
        </w:tc>
        <w:tc>
          <w:tcPr>
            <w:tcW w:w="675" w:type="dxa"/>
            <w:noWrap w:val="0"/>
            <w:vAlign w:val="center"/>
          </w:tcPr>
          <w:p w14:paraId="1426362E">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943" w:type="dxa"/>
            <w:noWrap w:val="0"/>
            <w:vAlign w:val="center"/>
          </w:tcPr>
          <w:p w14:paraId="4C191EA3">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7C835658">
            <w:pPr>
              <w:adjustRightInd w:val="0"/>
              <w:snapToGrid w:val="0"/>
              <w:jc w:val="center"/>
              <w:rPr>
                <w:rFonts w:hint="eastAsia" w:ascii="仿宋" w:hAnsi="仿宋" w:eastAsia="仿宋" w:cs="仿宋"/>
                <w:sz w:val="24"/>
                <w:highlight w:val="none"/>
              </w:rPr>
            </w:pPr>
          </w:p>
        </w:tc>
      </w:tr>
      <w:tr w14:paraId="177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12D87F5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4629" w:type="dxa"/>
            <w:noWrap w:val="0"/>
            <w:vAlign w:val="center"/>
          </w:tcPr>
          <w:p w14:paraId="0B2ABABA">
            <w:pPr>
              <w:keepLines w:val="0"/>
              <w:pageBreakBefore w:val="0"/>
              <w:kinsoku/>
              <w:wordWrap/>
              <w:overflowPunct/>
              <w:topLinePunct w:val="0"/>
              <w:bidi w:val="0"/>
              <w:adjustRightInd w:val="0"/>
              <w:snapToGrid w:val="0"/>
              <w:spacing w:line="240" w:lineRule="auto"/>
              <w:textAlignment w:val="auto"/>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拟安排实验场地情况。投标人具有满足检测工作需要的、独立的、固定的不小于50平方米的仓储场地用于存放抽检样品。</w:t>
            </w:r>
            <w:r>
              <w:rPr>
                <w:rFonts w:hint="eastAsia" w:ascii="仿宋" w:hAnsi="仿宋" w:eastAsia="仿宋" w:cs="仿宋"/>
                <w:bCs/>
                <w:color w:val="auto"/>
                <w:sz w:val="24"/>
                <w:szCs w:val="24"/>
                <w:highlight w:val="none"/>
                <w:lang w:val="en-US" w:eastAsia="zh-CN"/>
              </w:rPr>
              <w:t>完全满足采购需求的得4分，</w:t>
            </w:r>
            <w:r>
              <w:rPr>
                <w:rFonts w:hint="eastAsia" w:ascii="仿宋" w:hAnsi="仿宋" w:eastAsia="仿宋" w:cs="仿宋"/>
                <w:color w:val="auto"/>
                <w:sz w:val="24"/>
                <w:szCs w:val="24"/>
                <w:highlight w:val="none"/>
                <w:lang w:val="en-US" w:eastAsia="zh-CN"/>
              </w:rPr>
              <w:t>不满足不得分。</w:t>
            </w:r>
          </w:p>
          <w:p w14:paraId="41F4660B">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sz w:val="24"/>
                <w:highlight w:val="none"/>
                <w:lang w:val="zh-CN"/>
              </w:rPr>
              <w:t>注：提供</w:t>
            </w:r>
            <w:r>
              <w:rPr>
                <w:rFonts w:hint="eastAsia" w:ascii="仿宋" w:hAnsi="仿宋" w:eastAsia="仿宋" w:cs="仿宋"/>
                <w:sz w:val="24"/>
                <w:highlight w:val="none"/>
              </w:rPr>
              <w:t>场所产权证明或有效租赁合同</w:t>
            </w:r>
            <w:r>
              <w:rPr>
                <w:rFonts w:hint="eastAsia" w:ascii="仿宋" w:hAnsi="仿宋" w:eastAsia="仿宋" w:cs="仿宋"/>
                <w:sz w:val="24"/>
                <w:highlight w:val="none"/>
                <w:lang w:val="zh-CN"/>
              </w:rPr>
              <w:t>。</w:t>
            </w:r>
          </w:p>
        </w:tc>
        <w:tc>
          <w:tcPr>
            <w:tcW w:w="675" w:type="dxa"/>
            <w:noWrap w:val="0"/>
            <w:vAlign w:val="center"/>
          </w:tcPr>
          <w:p w14:paraId="04C3F383">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339C7773">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客观分</w:t>
            </w:r>
          </w:p>
        </w:tc>
        <w:tc>
          <w:tcPr>
            <w:tcW w:w="1386" w:type="dxa"/>
            <w:noWrap w:val="0"/>
            <w:vAlign w:val="center"/>
          </w:tcPr>
          <w:p w14:paraId="07961884">
            <w:pPr>
              <w:adjustRightInd w:val="0"/>
              <w:snapToGrid w:val="0"/>
              <w:jc w:val="center"/>
              <w:rPr>
                <w:rFonts w:hint="eastAsia" w:ascii="仿宋" w:hAnsi="仿宋" w:eastAsia="仿宋" w:cs="仿宋"/>
                <w:sz w:val="24"/>
                <w:highlight w:val="none"/>
              </w:rPr>
            </w:pPr>
          </w:p>
        </w:tc>
      </w:tr>
      <w:tr w14:paraId="4200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222978F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4629" w:type="dxa"/>
            <w:noWrap w:val="0"/>
            <w:vAlign w:val="center"/>
          </w:tcPr>
          <w:p w14:paraId="786E2AF8">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sz w:val="24"/>
                <w:highlight w:val="none"/>
              </w:rPr>
              <w:t>管理制度</w:t>
            </w:r>
            <w:r>
              <w:rPr>
                <w:rFonts w:hint="eastAsia" w:ascii="仿宋" w:hAnsi="仿宋" w:eastAsia="仿宋" w:cs="仿宋"/>
                <w:sz w:val="24"/>
                <w:highlight w:val="none"/>
                <w:lang w:eastAsia="zh-CN"/>
              </w:rPr>
              <w:t>。</w:t>
            </w:r>
            <w:r>
              <w:rPr>
                <w:rFonts w:hint="eastAsia" w:ascii="仿宋" w:hAnsi="仿宋" w:eastAsia="仿宋" w:cs="仿宋"/>
                <w:bCs/>
                <w:sz w:val="24"/>
                <w:highlight w:val="none"/>
                <w:lang w:val="en-US" w:eastAsia="zh-CN"/>
              </w:rPr>
              <w:t>根据各投标人的</w:t>
            </w:r>
            <w:r>
              <w:rPr>
                <w:rFonts w:hint="eastAsia" w:ascii="仿宋" w:hAnsi="仿宋" w:eastAsia="仿宋" w:cs="仿宋"/>
                <w:bCs/>
                <w:sz w:val="24"/>
                <w:highlight w:val="none"/>
              </w:rPr>
              <w:t>组织结构完整</w:t>
            </w:r>
            <w:r>
              <w:rPr>
                <w:rFonts w:hint="eastAsia" w:ascii="仿宋" w:hAnsi="仿宋" w:eastAsia="仿宋" w:cs="仿宋"/>
                <w:bCs/>
                <w:sz w:val="24"/>
                <w:highlight w:val="none"/>
                <w:lang w:eastAsia="zh-CN"/>
              </w:rPr>
              <w:t>性，</w:t>
            </w:r>
            <w:r>
              <w:rPr>
                <w:rFonts w:hint="eastAsia" w:ascii="仿宋" w:hAnsi="仿宋" w:eastAsia="仿宋" w:cs="仿宋"/>
                <w:bCs/>
                <w:sz w:val="24"/>
                <w:highlight w:val="none"/>
              </w:rPr>
              <w:t>管理制度健全性</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单位质量管理体系完善性</w:t>
            </w:r>
            <w:r>
              <w:rPr>
                <w:rFonts w:hint="eastAsia" w:ascii="仿宋" w:hAnsi="仿宋" w:eastAsia="仿宋" w:cs="仿宋"/>
                <w:bCs/>
                <w:sz w:val="24"/>
                <w:highlight w:val="none"/>
                <w:lang w:eastAsia="zh-CN"/>
              </w:rPr>
              <w:t>，风险监测抽查相关制度规定健全</w:t>
            </w:r>
            <w:r>
              <w:rPr>
                <w:rFonts w:hint="eastAsia" w:ascii="仿宋" w:hAnsi="仿宋" w:eastAsia="仿宋" w:cs="仿宋"/>
                <w:bCs/>
                <w:sz w:val="24"/>
                <w:highlight w:val="none"/>
                <w:lang w:val="en-US" w:eastAsia="zh-CN"/>
              </w:rPr>
              <w:t>性、完整性</w:t>
            </w:r>
            <w:r>
              <w:rPr>
                <w:rFonts w:hint="eastAsia" w:ascii="仿宋" w:hAnsi="仿宋" w:eastAsia="仿宋" w:cs="仿宋"/>
                <w:bCs/>
                <w:sz w:val="24"/>
                <w:highlight w:val="none"/>
                <w:lang w:eastAsia="zh-CN"/>
              </w:rPr>
              <w:t>进行评分。</w:t>
            </w:r>
            <w:r>
              <w:rPr>
                <w:rFonts w:hint="eastAsia" w:ascii="仿宋" w:hAnsi="仿宋" w:eastAsia="仿宋" w:cs="仿宋"/>
                <w:bCs/>
                <w:color w:val="auto"/>
                <w:sz w:val="24"/>
                <w:szCs w:val="24"/>
                <w:highlight w:val="none"/>
                <w:lang w:val="en-US" w:eastAsia="zh-CN"/>
              </w:rPr>
              <w:t>（分值范围：4,3,2,1,0）</w:t>
            </w:r>
          </w:p>
        </w:tc>
        <w:tc>
          <w:tcPr>
            <w:tcW w:w="675" w:type="dxa"/>
            <w:noWrap w:val="0"/>
            <w:vAlign w:val="center"/>
          </w:tcPr>
          <w:p w14:paraId="54DA8EB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17F09DF7">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386" w:type="dxa"/>
            <w:noWrap w:val="0"/>
            <w:vAlign w:val="center"/>
          </w:tcPr>
          <w:p w14:paraId="50C097D7">
            <w:pPr>
              <w:adjustRightInd w:val="0"/>
              <w:snapToGrid w:val="0"/>
              <w:jc w:val="center"/>
              <w:rPr>
                <w:rFonts w:hint="eastAsia" w:ascii="仿宋" w:hAnsi="仿宋" w:eastAsia="仿宋" w:cs="仿宋"/>
                <w:sz w:val="24"/>
                <w:highlight w:val="none"/>
              </w:rPr>
            </w:pPr>
          </w:p>
        </w:tc>
      </w:tr>
      <w:tr w14:paraId="5E9D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4EE4BE1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4629" w:type="dxa"/>
            <w:noWrap w:val="0"/>
            <w:vAlign w:val="center"/>
          </w:tcPr>
          <w:p w14:paraId="6EDFA9B1">
            <w:pPr>
              <w:snapToGrid w:val="0"/>
              <w:rPr>
                <w:rFonts w:hint="eastAsia" w:ascii="仿宋" w:hAnsi="仿宋" w:eastAsia="仿宋" w:cs="仿宋"/>
                <w:bCs/>
                <w:sz w:val="24"/>
                <w:highlight w:val="none"/>
                <w:lang w:eastAsia="zh-CN"/>
              </w:rPr>
            </w:pPr>
            <w:bookmarkStart w:id="94" w:name="OLE_LINK16"/>
            <w:r>
              <w:rPr>
                <w:rFonts w:hint="eastAsia" w:ascii="仿宋" w:hAnsi="仿宋" w:eastAsia="仿宋" w:cs="仿宋"/>
                <w:bCs/>
                <w:sz w:val="24"/>
                <w:highlight w:val="none"/>
                <w:lang w:eastAsia="zh-CN"/>
              </w:rPr>
              <w:t>检测项目覆盖率响应情况。投标人承诺针对拟检测项目（详见采购需求书</w:t>
            </w:r>
            <w:r>
              <w:rPr>
                <w:rFonts w:hint="eastAsia" w:ascii="仿宋" w:hAnsi="仿宋" w:eastAsia="仿宋" w:cs="仿宋"/>
                <w:bCs/>
                <w:sz w:val="24"/>
                <w:highlight w:val="none"/>
                <w:lang w:val="en-US" w:eastAsia="zh-CN"/>
              </w:rPr>
              <w:t>附表1）</w:t>
            </w:r>
            <w:r>
              <w:rPr>
                <w:rFonts w:hint="eastAsia" w:ascii="仿宋" w:hAnsi="仿宋" w:eastAsia="仿宋" w:cs="仿宋"/>
                <w:bCs/>
                <w:sz w:val="24"/>
                <w:highlight w:val="none"/>
                <w:lang w:eastAsia="zh-CN"/>
              </w:rPr>
              <w:t>覆盖率达到</w:t>
            </w:r>
            <w:r>
              <w:rPr>
                <w:rFonts w:hint="eastAsia" w:ascii="仿宋" w:hAnsi="仿宋" w:eastAsia="仿宋" w:cs="仿宋"/>
                <w:bCs/>
                <w:sz w:val="24"/>
                <w:highlight w:val="none"/>
                <w:lang w:val="en-US" w:eastAsia="zh-CN"/>
              </w:rPr>
              <w:t>100%得10分，覆盖率80%（含）-100%（不含）得5分，覆盖率60%（含）-80%（不含）得3分，覆盖率50%（含）-60%（不含）得1分，覆盖率低于50%（不含）不得分。</w:t>
            </w:r>
          </w:p>
          <w:p w14:paraId="6C2EF59B">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bCs/>
                <w:sz w:val="24"/>
                <w:highlight w:val="none"/>
                <w:lang w:eastAsia="zh-CN"/>
              </w:rPr>
              <w:t>注：本覆盖率指标项内的覆盖率，检验标准、项目应具备</w:t>
            </w:r>
            <w:r>
              <w:rPr>
                <w:rFonts w:hint="eastAsia" w:ascii="仿宋" w:hAnsi="仿宋" w:eastAsia="仿宋" w:cs="仿宋"/>
                <w:bCs/>
                <w:sz w:val="24"/>
                <w:highlight w:val="none"/>
                <w:lang w:val="en-US" w:eastAsia="zh-CN"/>
              </w:rPr>
              <w:t>CNAS或CMA资质，</w:t>
            </w:r>
            <w:r>
              <w:rPr>
                <w:rFonts w:hint="eastAsia" w:ascii="仿宋" w:hAnsi="仿宋" w:eastAsia="仿宋" w:cs="仿宋"/>
                <w:bCs/>
                <w:sz w:val="24"/>
                <w:highlight w:val="none"/>
                <w:lang w:eastAsia="zh-CN"/>
              </w:rPr>
              <w:t>需提供承诺函（格式自拟）。</w:t>
            </w:r>
            <w:bookmarkEnd w:id="94"/>
          </w:p>
        </w:tc>
        <w:tc>
          <w:tcPr>
            <w:tcW w:w="675" w:type="dxa"/>
            <w:noWrap w:val="0"/>
            <w:vAlign w:val="center"/>
          </w:tcPr>
          <w:p w14:paraId="013BC515">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943" w:type="dxa"/>
            <w:noWrap w:val="0"/>
            <w:vAlign w:val="center"/>
          </w:tcPr>
          <w:p w14:paraId="4F241A04">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lang w:eastAsia="zh-CN"/>
              </w:rPr>
              <w:t>客观</w:t>
            </w:r>
            <w:r>
              <w:rPr>
                <w:rFonts w:hint="eastAsia" w:ascii="仿宋" w:hAnsi="仿宋" w:eastAsia="仿宋" w:cs="仿宋"/>
                <w:bCs/>
                <w:color w:val="auto"/>
                <w:sz w:val="24"/>
                <w:szCs w:val="24"/>
                <w:highlight w:val="none"/>
              </w:rPr>
              <w:t>分</w:t>
            </w:r>
          </w:p>
        </w:tc>
        <w:tc>
          <w:tcPr>
            <w:tcW w:w="1386" w:type="dxa"/>
            <w:noWrap w:val="0"/>
            <w:vAlign w:val="center"/>
          </w:tcPr>
          <w:p w14:paraId="59774DA3">
            <w:pPr>
              <w:adjustRightInd w:val="0"/>
              <w:snapToGrid w:val="0"/>
              <w:jc w:val="center"/>
              <w:rPr>
                <w:rFonts w:hint="eastAsia" w:ascii="仿宋" w:hAnsi="仿宋" w:eastAsia="仿宋" w:cs="仿宋"/>
                <w:sz w:val="24"/>
                <w:highlight w:val="none"/>
              </w:rPr>
            </w:pPr>
          </w:p>
        </w:tc>
      </w:tr>
      <w:tr w14:paraId="44E3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246B1DF0">
            <w:pPr>
              <w:adjustRightInd w:val="0"/>
              <w:snapToGrid w:val="0"/>
              <w:jc w:val="center"/>
              <w:rPr>
                <w:rFonts w:hint="eastAsia" w:ascii="仿宋" w:hAnsi="仿宋" w:eastAsia="仿宋" w:cs="仿宋"/>
                <w:sz w:val="24"/>
                <w:highlight w:val="none"/>
                <w:lang w:val="en-US" w:eastAsia="zh-CN"/>
              </w:rPr>
            </w:pPr>
            <w:bookmarkStart w:id="95" w:name="OLE_LINK17" w:colFirst="1" w:colLast="1"/>
            <w:r>
              <w:rPr>
                <w:rFonts w:hint="eastAsia" w:ascii="仿宋" w:hAnsi="仿宋" w:eastAsia="仿宋" w:cs="仿宋"/>
                <w:sz w:val="24"/>
                <w:highlight w:val="none"/>
                <w:lang w:val="en-US" w:eastAsia="zh-CN"/>
              </w:rPr>
              <w:t>12</w:t>
            </w:r>
          </w:p>
        </w:tc>
        <w:tc>
          <w:tcPr>
            <w:tcW w:w="4629" w:type="dxa"/>
            <w:noWrap w:val="0"/>
            <w:vAlign w:val="center"/>
          </w:tcPr>
          <w:p w14:paraId="32BD1632">
            <w:pPr>
              <w:snapToGrid w:val="0"/>
              <w:rPr>
                <w:rFonts w:hint="eastAsia" w:ascii="仿宋" w:hAnsi="仿宋" w:eastAsia="仿宋" w:cs="仿宋"/>
                <w:bCs/>
                <w:color w:val="auto"/>
                <w:sz w:val="24"/>
                <w:szCs w:val="24"/>
                <w:highlight w:val="none"/>
                <w:lang w:val="en-US" w:eastAsia="zh-CN"/>
              </w:rPr>
            </w:pPr>
            <w:r>
              <w:rPr>
                <w:rFonts w:hint="eastAsia" w:ascii="仿宋" w:hAnsi="仿宋" w:eastAsia="仿宋" w:cs="仿宋"/>
                <w:sz w:val="24"/>
                <w:highlight w:val="none"/>
                <w:lang w:val="en-US"/>
              </w:rPr>
              <w:t>检测</w:t>
            </w:r>
            <w:r>
              <w:rPr>
                <w:rFonts w:hint="eastAsia" w:ascii="仿宋" w:hAnsi="仿宋" w:eastAsia="仿宋" w:cs="仿宋"/>
                <w:bCs/>
                <w:sz w:val="24"/>
                <w:highlight w:val="none"/>
                <w:lang w:val="en-US" w:eastAsia="zh-CN"/>
              </w:rPr>
              <w:t>实施</w:t>
            </w:r>
            <w:r>
              <w:rPr>
                <w:rFonts w:hint="eastAsia" w:ascii="仿宋" w:hAnsi="仿宋" w:eastAsia="仿宋" w:cs="仿宋"/>
                <w:bCs/>
                <w:sz w:val="24"/>
                <w:highlight w:val="none"/>
              </w:rPr>
              <w:t>进度计划</w:t>
            </w:r>
            <w:r>
              <w:rPr>
                <w:rFonts w:hint="eastAsia" w:ascii="仿宋" w:hAnsi="仿宋" w:eastAsia="仿宋" w:cs="仿宋"/>
                <w:bCs/>
                <w:sz w:val="24"/>
                <w:highlight w:val="none"/>
                <w:lang w:eastAsia="zh-CN"/>
              </w:rPr>
              <w:t>方案</w:t>
            </w:r>
            <w:r>
              <w:rPr>
                <w:rFonts w:hint="eastAsia" w:ascii="仿宋" w:hAnsi="仿宋" w:eastAsia="仿宋" w:cs="仿宋"/>
                <w:bCs/>
                <w:sz w:val="24"/>
                <w:highlight w:val="none"/>
              </w:rPr>
              <w:t>。根据方案</w:t>
            </w:r>
            <w:r>
              <w:rPr>
                <w:rFonts w:hint="eastAsia" w:ascii="仿宋" w:hAnsi="仿宋" w:eastAsia="仿宋" w:cs="仿宋"/>
                <w:bCs/>
                <w:sz w:val="24"/>
                <w:highlight w:val="none"/>
                <w:lang w:eastAsia="zh-CN"/>
              </w:rPr>
              <w:t>（进度计划应包括时间安排、各阶段工作内容、</w:t>
            </w:r>
            <w:r>
              <w:rPr>
                <w:rFonts w:hint="eastAsia" w:ascii="仿宋" w:hAnsi="仿宋" w:eastAsia="仿宋" w:cs="仿宋"/>
                <w:bCs/>
                <w:sz w:val="24"/>
                <w:highlight w:val="none"/>
              </w:rPr>
              <w:t>节点控制</w:t>
            </w:r>
            <w:r>
              <w:rPr>
                <w:rFonts w:hint="eastAsia" w:ascii="仿宋" w:hAnsi="仿宋" w:eastAsia="仿宋" w:cs="仿宋"/>
                <w:bCs/>
                <w:sz w:val="24"/>
                <w:highlight w:val="none"/>
                <w:lang w:val="en-US" w:eastAsia="zh-CN"/>
              </w:rPr>
              <w:t>等</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的完整性、可行性，与项目匹配性进行评价。</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分值</w:t>
            </w:r>
            <w:r>
              <w:rPr>
                <w:rFonts w:hint="eastAsia" w:ascii="仿宋" w:hAnsi="仿宋" w:eastAsia="仿宋" w:cs="仿宋"/>
                <w:bCs/>
                <w:sz w:val="24"/>
                <w:highlight w:val="none"/>
                <w:lang w:eastAsia="zh-CN"/>
              </w:rPr>
              <w:t>范围：</w:t>
            </w:r>
            <w:r>
              <w:rPr>
                <w:rFonts w:hint="eastAsia" w:ascii="仿宋" w:hAnsi="仿宋" w:eastAsia="仿宋" w:cs="仿宋"/>
                <w:bCs/>
                <w:sz w:val="24"/>
                <w:highlight w:val="none"/>
                <w:lang w:val="en-US" w:eastAsia="zh-CN"/>
              </w:rPr>
              <w:t>5,4,3</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,1,</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lang w:eastAsia="zh-CN"/>
              </w:rPr>
              <w:t>）</w:t>
            </w:r>
          </w:p>
        </w:tc>
        <w:tc>
          <w:tcPr>
            <w:tcW w:w="675" w:type="dxa"/>
            <w:noWrap w:val="0"/>
            <w:vAlign w:val="center"/>
          </w:tcPr>
          <w:p w14:paraId="45C96A9F">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43" w:type="dxa"/>
            <w:noWrap w:val="0"/>
            <w:vAlign w:val="center"/>
          </w:tcPr>
          <w:p w14:paraId="03832718">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主观分</w:t>
            </w:r>
          </w:p>
        </w:tc>
        <w:tc>
          <w:tcPr>
            <w:tcW w:w="1386" w:type="dxa"/>
            <w:noWrap w:val="0"/>
            <w:vAlign w:val="center"/>
          </w:tcPr>
          <w:p w14:paraId="01FC8043">
            <w:pPr>
              <w:adjustRightInd w:val="0"/>
              <w:snapToGrid w:val="0"/>
              <w:jc w:val="center"/>
              <w:rPr>
                <w:rFonts w:hint="eastAsia" w:ascii="仿宋" w:hAnsi="仿宋" w:eastAsia="仿宋" w:cs="仿宋"/>
                <w:sz w:val="24"/>
                <w:highlight w:val="none"/>
              </w:rPr>
            </w:pPr>
          </w:p>
        </w:tc>
      </w:tr>
      <w:bookmarkEnd w:id="95"/>
      <w:tr w14:paraId="1E85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1FEC4D9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4629" w:type="dxa"/>
            <w:noWrap w:val="0"/>
            <w:vAlign w:val="center"/>
          </w:tcPr>
          <w:p w14:paraId="49EC500F">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质量控制方案。根据投标人编制的质量控制方案（</w:t>
            </w:r>
            <w:r>
              <w:rPr>
                <w:rFonts w:hint="eastAsia" w:ascii="仿宋" w:hAnsi="仿宋" w:eastAsia="仿宋" w:cs="仿宋"/>
                <w:sz w:val="24"/>
                <w:highlight w:val="none"/>
              </w:rPr>
              <w:t>样品采集实验室检测数据报送等</w:t>
            </w:r>
            <w:r>
              <w:rPr>
                <w:rFonts w:hint="eastAsia" w:ascii="仿宋" w:hAnsi="仿宋" w:eastAsia="仿宋" w:cs="仿宋"/>
                <w:bCs/>
                <w:color w:val="auto"/>
                <w:sz w:val="24"/>
                <w:szCs w:val="24"/>
                <w:highlight w:val="none"/>
                <w:lang w:val="en-US" w:eastAsia="zh-CN"/>
              </w:rPr>
              <w:t>）编制内容的全面性、针对性以及符合采购需求情况等进行打分。</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分值</w:t>
            </w:r>
            <w:r>
              <w:rPr>
                <w:rFonts w:hint="eastAsia" w:ascii="仿宋" w:hAnsi="仿宋" w:eastAsia="仿宋" w:cs="仿宋"/>
                <w:bCs/>
                <w:sz w:val="24"/>
                <w:highlight w:val="none"/>
                <w:lang w:eastAsia="zh-CN"/>
              </w:rPr>
              <w:t>范围：</w:t>
            </w:r>
            <w:r>
              <w:rPr>
                <w:rFonts w:hint="eastAsia" w:ascii="仿宋" w:hAnsi="仿宋" w:eastAsia="仿宋" w:cs="仿宋"/>
                <w:bCs/>
                <w:sz w:val="24"/>
                <w:highlight w:val="none"/>
                <w:lang w:val="en-US" w:eastAsia="zh-CN"/>
              </w:rPr>
              <w:t>4,3</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,1,</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lang w:eastAsia="zh-CN"/>
              </w:rPr>
              <w:t>）</w:t>
            </w:r>
          </w:p>
        </w:tc>
        <w:tc>
          <w:tcPr>
            <w:tcW w:w="675" w:type="dxa"/>
            <w:noWrap w:val="0"/>
            <w:vAlign w:val="center"/>
          </w:tcPr>
          <w:p w14:paraId="55D7B38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943" w:type="dxa"/>
            <w:noWrap w:val="0"/>
            <w:vAlign w:val="center"/>
          </w:tcPr>
          <w:p w14:paraId="5EF865E7">
            <w:pPr>
              <w:adjustRightInd w:val="0"/>
              <w:snapToGri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主观分</w:t>
            </w:r>
          </w:p>
        </w:tc>
        <w:tc>
          <w:tcPr>
            <w:tcW w:w="1386" w:type="dxa"/>
            <w:noWrap w:val="0"/>
            <w:vAlign w:val="center"/>
          </w:tcPr>
          <w:p w14:paraId="51471414">
            <w:pPr>
              <w:adjustRightInd w:val="0"/>
              <w:snapToGrid w:val="0"/>
              <w:jc w:val="center"/>
              <w:rPr>
                <w:rFonts w:hint="eastAsia" w:ascii="仿宋" w:hAnsi="仿宋" w:eastAsia="仿宋" w:cs="仿宋"/>
                <w:sz w:val="24"/>
                <w:highlight w:val="none"/>
              </w:rPr>
            </w:pPr>
          </w:p>
        </w:tc>
      </w:tr>
      <w:tr w14:paraId="35BC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2" w:type="dxa"/>
            <w:noWrap w:val="0"/>
            <w:vAlign w:val="center"/>
          </w:tcPr>
          <w:p w14:paraId="05BFD831">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4629" w:type="dxa"/>
            <w:noWrap w:val="0"/>
            <w:vAlign w:val="center"/>
          </w:tcPr>
          <w:p w14:paraId="039C3E0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应急保障方案。</w:t>
            </w:r>
            <w:r>
              <w:rPr>
                <w:rFonts w:hint="eastAsia" w:ascii="仿宋" w:hAnsi="仿宋" w:eastAsia="仿宋" w:cs="仿宋"/>
                <w:sz w:val="24"/>
                <w:highlight w:val="none"/>
              </w:rPr>
              <w:t>根据各投标人针对突发事件</w:t>
            </w:r>
            <w:r>
              <w:rPr>
                <w:rFonts w:hint="eastAsia" w:ascii="仿宋" w:hAnsi="仿宋" w:eastAsia="仿宋" w:cs="仿宋"/>
                <w:sz w:val="24"/>
                <w:highlight w:val="none"/>
                <w:lang w:eastAsia="zh-CN"/>
              </w:rPr>
              <w:t>制定</w:t>
            </w:r>
            <w:r>
              <w:rPr>
                <w:rFonts w:hint="eastAsia" w:ascii="仿宋" w:hAnsi="仿宋" w:eastAsia="仿宋" w:cs="仿宋"/>
                <w:sz w:val="24"/>
                <w:highlight w:val="none"/>
              </w:rPr>
              <w:t>符合</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需求的应急保障</w:t>
            </w:r>
            <w:r>
              <w:rPr>
                <w:rFonts w:hint="eastAsia" w:ascii="仿宋" w:hAnsi="仿宋" w:eastAsia="仿宋" w:cs="仿宋"/>
                <w:sz w:val="24"/>
                <w:highlight w:val="none"/>
                <w:lang w:eastAsia="zh-CN"/>
              </w:rPr>
              <w:t>方案（包括</w:t>
            </w:r>
            <w:r>
              <w:rPr>
                <w:rFonts w:hint="eastAsia" w:ascii="仿宋" w:hAnsi="仿宋" w:eastAsia="仿宋" w:cs="仿宋"/>
                <w:sz w:val="24"/>
                <w:highlight w:val="none"/>
              </w:rPr>
              <w:t>有</w:t>
            </w:r>
            <w:r>
              <w:rPr>
                <w:rFonts w:hint="eastAsia" w:ascii="仿宋" w:hAnsi="仿宋" w:eastAsia="仿宋" w:cs="仿宋"/>
                <w:sz w:val="24"/>
                <w:highlight w:val="none"/>
                <w:lang w:eastAsia="zh-CN"/>
              </w:rPr>
              <w:t>能力</w:t>
            </w:r>
            <w:r>
              <w:rPr>
                <w:rFonts w:hint="eastAsia" w:ascii="仿宋" w:hAnsi="仿宋" w:eastAsia="仿宋" w:cs="仿宋"/>
                <w:sz w:val="24"/>
                <w:highlight w:val="none"/>
              </w:rPr>
              <w:t>应对突发事件的专业人员</w:t>
            </w:r>
            <w:r>
              <w:rPr>
                <w:rFonts w:hint="eastAsia" w:ascii="仿宋" w:hAnsi="仿宋" w:eastAsia="仿宋" w:cs="仿宋"/>
                <w:sz w:val="24"/>
                <w:highlight w:val="none"/>
                <w:lang w:eastAsia="zh-CN"/>
              </w:rPr>
              <w:t>、</w:t>
            </w:r>
            <w:r>
              <w:rPr>
                <w:rFonts w:hint="eastAsia" w:ascii="仿宋" w:hAnsi="仿宋" w:eastAsia="仿宋" w:cs="仿宋"/>
                <w:sz w:val="24"/>
                <w:highlight w:val="none"/>
              </w:rPr>
              <w:t>专业设备及应急响应时间等</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szCs w:val="24"/>
                <w:highlight w:val="none"/>
                <w:lang w:val="en-US" w:eastAsia="zh-CN"/>
              </w:rPr>
              <w:t>全面性、针对性以及符合采购需求情况等进行打分。</w:t>
            </w:r>
            <w:bookmarkStart w:id="96" w:name="OLE_LINK38"/>
          </w:p>
          <w:p w14:paraId="5D3DC47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color w:val="000000"/>
                <w:kern w:val="0"/>
                <w:sz w:val="24"/>
                <w:szCs w:val="24"/>
                <w:highlight w:val="none"/>
                <w:shd w:val="clear" w:color="auto" w:fill="auto"/>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分值</w:t>
            </w:r>
            <w:r>
              <w:rPr>
                <w:rFonts w:hint="eastAsia" w:ascii="仿宋" w:hAnsi="仿宋" w:eastAsia="仿宋" w:cs="仿宋"/>
                <w:sz w:val="24"/>
                <w:highlight w:val="none"/>
                <w:lang w:eastAsia="zh-CN"/>
              </w:rPr>
              <w:t>范围：</w:t>
            </w:r>
            <w:r>
              <w:rPr>
                <w:rFonts w:hint="eastAsia" w:ascii="仿宋" w:hAnsi="仿宋" w:eastAsia="仿宋" w:cs="仿宋"/>
                <w:sz w:val="24"/>
                <w:highlight w:val="none"/>
                <w:lang w:val="en-US" w:eastAsia="zh-CN"/>
              </w:rPr>
              <w:t>4,3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CN"/>
              </w:rPr>
              <w:t>）</w:t>
            </w:r>
            <w:bookmarkEnd w:id="96"/>
          </w:p>
        </w:tc>
        <w:tc>
          <w:tcPr>
            <w:tcW w:w="675" w:type="dxa"/>
            <w:noWrap w:val="0"/>
            <w:vAlign w:val="center"/>
          </w:tcPr>
          <w:p w14:paraId="5827349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57C64526">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386" w:type="dxa"/>
            <w:noWrap w:val="0"/>
            <w:vAlign w:val="center"/>
          </w:tcPr>
          <w:p w14:paraId="0D953A24">
            <w:pPr>
              <w:adjustRightInd w:val="0"/>
              <w:snapToGrid w:val="0"/>
              <w:jc w:val="center"/>
              <w:rPr>
                <w:rFonts w:hint="eastAsia" w:ascii="仿宋" w:hAnsi="仿宋" w:eastAsia="仿宋" w:cs="仿宋"/>
                <w:sz w:val="24"/>
                <w:highlight w:val="none"/>
              </w:rPr>
            </w:pPr>
          </w:p>
        </w:tc>
      </w:tr>
      <w:tr w14:paraId="542B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noWrap w:val="0"/>
            <w:vAlign w:val="center"/>
          </w:tcPr>
          <w:p w14:paraId="43646EEE">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4629" w:type="dxa"/>
            <w:noWrap w:val="0"/>
            <w:vAlign w:val="center"/>
          </w:tcPr>
          <w:p w14:paraId="1EC083DD">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bookmarkStart w:id="97" w:name="OLE_LINK20"/>
            <w:r>
              <w:rPr>
                <w:rFonts w:hint="eastAsia" w:ascii="仿宋" w:hAnsi="仿宋" w:eastAsia="仿宋" w:cs="仿宋"/>
                <w:color w:val="auto"/>
                <w:sz w:val="24"/>
                <w:szCs w:val="24"/>
                <w:highlight w:val="none"/>
                <w:lang w:val="en-US" w:eastAsia="zh-CN"/>
              </w:rPr>
              <w:t>根据各投标人特色服务方案（如</w:t>
            </w:r>
            <w:r>
              <w:rPr>
                <w:rFonts w:hint="eastAsia" w:ascii="仿宋" w:hAnsi="仿宋" w:eastAsia="仿宋" w:cs="仿宋"/>
                <w:kern w:val="0"/>
                <w:sz w:val="24"/>
                <w:highlight w:val="none"/>
                <w:lang w:eastAsia="zh-CN"/>
              </w:rPr>
              <w:t>为采购人举办不少于一次的业务培训</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lang w:eastAsia="zh-CN"/>
              </w:rPr>
              <w:t>应明确相应培训内容及提供培训服务等</w:t>
            </w:r>
            <w:r>
              <w:rPr>
                <w:rFonts w:hint="eastAsia" w:ascii="仿宋" w:hAnsi="仿宋" w:eastAsia="仿宋" w:cs="仿宋"/>
                <w:color w:val="auto"/>
                <w:sz w:val="24"/>
                <w:szCs w:val="24"/>
                <w:highlight w:val="none"/>
                <w:lang w:val="en-US" w:eastAsia="zh-CN"/>
              </w:rPr>
              <w:t>）可行性、可实现程度进行评分。</w:t>
            </w:r>
          </w:p>
          <w:p w14:paraId="4F9438F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kern w:val="0"/>
                <w:sz w:val="24"/>
                <w:szCs w:val="24"/>
                <w:highlight w:val="none"/>
                <w:shd w:val="clear" w:color="auto" w:fill="auto"/>
                <w:lang w:val="en-US" w:eastAsia="zh-CN"/>
              </w:rPr>
              <w:t>（分值范围：4,3,2,1,0）</w:t>
            </w:r>
            <w:bookmarkEnd w:id="97"/>
          </w:p>
        </w:tc>
        <w:tc>
          <w:tcPr>
            <w:tcW w:w="675" w:type="dxa"/>
            <w:noWrap w:val="0"/>
            <w:vAlign w:val="center"/>
          </w:tcPr>
          <w:p w14:paraId="0400A0C7">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943" w:type="dxa"/>
            <w:noWrap w:val="0"/>
            <w:vAlign w:val="center"/>
          </w:tcPr>
          <w:p w14:paraId="7D1D9117">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386" w:type="dxa"/>
            <w:noWrap w:val="0"/>
            <w:vAlign w:val="center"/>
          </w:tcPr>
          <w:p w14:paraId="2447121A">
            <w:pPr>
              <w:adjustRightInd w:val="0"/>
              <w:snapToGrid w:val="0"/>
              <w:jc w:val="center"/>
              <w:rPr>
                <w:rFonts w:hint="eastAsia" w:ascii="仿宋" w:hAnsi="仿宋" w:eastAsia="仿宋" w:cs="仿宋"/>
                <w:sz w:val="24"/>
                <w:highlight w:val="none"/>
              </w:rPr>
            </w:pPr>
          </w:p>
        </w:tc>
      </w:tr>
      <w:tr w14:paraId="35D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62" w:type="dxa"/>
            <w:noWrap w:val="0"/>
            <w:vAlign w:val="center"/>
          </w:tcPr>
          <w:p w14:paraId="4CBACC09">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4629" w:type="dxa"/>
            <w:noWrap w:val="0"/>
            <w:vAlign w:val="center"/>
          </w:tcPr>
          <w:p w14:paraId="1476E37A">
            <w:pPr>
              <w:snapToGrid w:val="0"/>
              <w:rPr>
                <w:rFonts w:hint="eastAsia" w:ascii="仿宋" w:hAnsi="仿宋" w:eastAsia="仿宋" w:cs="仿宋"/>
                <w:color w:val="auto"/>
                <w:sz w:val="24"/>
                <w:szCs w:val="24"/>
                <w:highlight w:val="none"/>
                <w:lang w:val="en-US" w:eastAsia="zh-CN"/>
              </w:rPr>
            </w:pPr>
            <w:bookmarkStart w:id="98" w:name="OLE_LINK21"/>
            <w:r>
              <w:rPr>
                <w:rFonts w:hint="eastAsia" w:ascii="仿宋" w:hAnsi="仿宋" w:eastAsia="仿宋" w:cs="仿宋"/>
                <w:color w:val="auto"/>
                <w:sz w:val="24"/>
                <w:szCs w:val="24"/>
                <w:highlight w:val="none"/>
                <w:lang w:val="en-US" w:eastAsia="zh-CN"/>
              </w:rPr>
              <w:t>针对本项目重点、难点及相应解决措施</w:t>
            </w:r>
            <w:bookmarkEnd w:id="98"/>
            <w:r>
              <w:rPr>
                <w:rFonts w:hint="eastAsia" w:ascii="仿宋" w:hAnsi="仿宋" w:eastAsia="仿宋" w:cs="仿宋"/>
                <w:color w:val="auto"/>
                <w:sz w:val="24"/>
                <w:szCs w:val="24"/>
                <w:highlight w:val="none"/>
                <w:lang w:val="en-US" w:eastAsia="zh-CN"/>
              </w:rPr>
              <w:t>。</w:t>
            </w:r>
            <w:bookmarkStart w:id="99" w:name="OLE_LINK23"/>
            <w:r>
              <w:rPr>
                <w:rFonts w:hint="eastAsia" w:ascii="仿宋" w:hAnsi="仿宋" w:eastAsia="仿宋" w:cs="仿宋"/>
                <w:sz w:val="24"/>
                <w:highlight w:val="none"/>
                <w:lang w:eastAsia="zh-CN"/>
              </w:rPr>
              <w:t>根据各投标人</w:t>
            </w:r>
            <w:r>
              <w:rPr>
                <w:rFonts w:hint="eastAsia" w:ascii="仿宋" w:hAnsi="仿宋" w:eastAsia="仿宋" w:cs="仿宋"/>
                <w:sz w:val="24"/>
                <w:highlight w:val="none"/>
                <w:lang w:val="en-US" w:eastAsia="zh-CN"/>
              </w:rPr>
              <w:t>结合</w:t>
            </w:r>
            <w:r>
              <w:rPr>
                <w:rFonts w:hint="eastAsia" w:ascii="仿宋" w:hAnsi="仿宋" w:eastAsia="仿宋" w:cs="仿宋"/>
                <w:color w:val="auto"/>
                <w:sz w:val="24"/>
                <w:szCs w:val="24"/>
                <w:highlight w:val="none"/>
                <w:lang w:val="en-US" w:eastAsia="zh-CN"/>
              </w:rPr>
              <w:t>对</w:t>
            </w:r>
            <w:bookmarkStart w:id="100" w:name="OLE_LINK22"/>
            <w:r>
              <w:rPr>
                <w:rFonts w:hint="eastAsia" w:ascii="仿宋" w:hAnsi="仿宋" w:eastAsia="仿宋" w:cs="仿宋"/>
                <w:bCs/>
                <w:snapToGrid/>
                <w:color w:val="auto"/>
                <w:kern w:val="2"/>
                <w:sz w:val="24"/>
                <w:szCs w:val="24"/>
                <w:highlight w:val="none"/>
                <w:lang w:eastAsia="zh-CN"/>
              </w:rPr>
              <w:t>跨境零售进口商品质量安全风险监测服务</w:t>
            </w:r>
            <w:r>
              <w:rPr>
                <w:rFonts w:hint="eastAsia" w:ascii="仿宋" w:hAnsi="仿宋" w:eastAsia="仿宋" w:cs="仿宋"/>
                <w:color w:val="auto"/>
                <w:sz w:val="24"/>
                <w:szCs w:val="24"/>
                <w:highlight w:val="none"/>
                <w:lang w:val="en-US" w:eastAsia="zh-CN"/>
              </w:rPr>
              <w:t>采购需求的理解，对服务存在的难点、要点问题分析及解决措施的针对性、全面性、</w:t>
            </w:r>
            <w:bookmarkEnd w:id="100"/>
            <w:r>
              <w:rPr>
                <w:rFonts w:hint="eastAsia" w:ascii="仿宋" w:hAnsi="仿宋" w:eastAsia="仿宋" w:cs="仿宋"/>
                <w:color w:val="auto"/>
                <w:sz w:val="24"/>
                <w:szCs w:val="24"/>
                <w:highlight w:val="none"/>
                <w:lang w:val="en-US" w:eastAsia="zh-CN"/>
              </w:rPr>
              <w:t>可行性进行评分。</w:t>
            </w:r>
          </w:p>
          <w:p w14:paraId="01D19300">
            <w:pPr>
              <w:snapToGrid w:val="0"/>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分值</w:t>
            </w:r>
            <w:r>
              <w:rPr>
                <w:rFonts w:hint="eastAsia" w:ascii="仿宋" w:hAnsi="仿宋" w:eastAsia="仿宋" w:cs="仿宋"/>
                <w:sz w:val="24"/>
                <w:highlight w:val="none"/>
                <w:lang w:eastAsia="zh-CN"/>
              </w:rPr>
              <w:t>范围：</w:t>
            </w:r>
            <w:r>
              <w:rPr>
                <w:rFonts w:hint="eastAsia" w:ascii="仿宋" w:hAnsi="仿宋" w:eastAsia="仿宋" w:cs="仿宋"/>
                <w:sz w:val="24"/>
                <w:highlight w:val="none"/>
                <w:lang w:val="en-US" w:eastAsia="zh-CN"/>
              </w:rPr>
              <w:t>5,4,3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CN"/>
              </w:rPr>
              <w:t>）</w:t>
            </w:r>
            <w:bookmarkEnd w:id="99"/>
          </w:p>
        </w:tc>
        <w:tc>
          <w:tcPr>
            <w:tcW w:w="675" w:type="dxa"/>
            <w:noWrap w:val="0"/>
            <w:vAlign w:val="center"/>
          </w:tcPr>
          <w:p w14:paraId="1A6C4FF6">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5</w:t>
            </w:r>
          </w:p>
        </w:tc>
        <w:tc>
          <w:tcPr>
            <w:tcW w:w="943" w:type="dxa"/>
            <w:noWrap w:val="0"/>
            <w:vAlign w:val="center"/>
          </w:tcPr>
          <w:p w14:paraId="28D57DEA">
            <w:pPr>
              <w:adjustRightInd w:val="0"/>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386" w:type="dxa"/>
            <w:noWrap w:val="0"/>
            <w:vAlign w:val="center"/>
          </w:tcPr>
          <w:p w14:paraId="4B83EB13">
            <w:pPr>
              <w:adjustRightInd w:val="0"/>
              <w:snapToGrid w:val="0"/>
              <w:jc w:val="center"/>
              <w:rPr>
                <w:rFonts w:hint="eastAsia" w:ascii="仿宋" w:hAnsi="仿宋" w:eastAsia="仿宋" w:cs="仿宋"/>
                <w:sz w:val="24"/>
                <w:highlight w:val="none"/>
              </w:rPr>
            </w:pPr>
          </w:p>
        </w:tc>
      </w:tr>
      <w:tr w14:paraId="41AE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91" w:type="dxa"/>
            <w:gridSpan w:val="2"/>
            <w:noWrap w:val="0"/>
            <w:vAlign w:val="center"/>
          </w:tcPr>
          <w:p w14:paraId="4F734216">
            <w:pPr>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合计</w:t>
            </w:r>
          </w:p>
        </w:tc>
        <w:tc>
          <w:tcPr>
            <w:tcW w:w="675" w:type="dxa"/>
            <w:noWrap w:val="0"/>
            <w:vAlign w:val="center"/>
          </w:tcPr>
          <w:p w14:paraId="678CC1B8">
            <w:pPr>
              <w:adjustRightInd w:val="0"/>
              <w:snapToGrid w:val="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90</w:t>
            </w:r>
          </w:p>
        </w:tc>
        <w:tc>
          <w:tcPr>
            <w:tcW w:w="943" w:type="dxa"/>
            <w:noWrap w:val="0"/>
            <w:vAlign w:val="center"/>
          </w:tcPr>
          <w:p w14:paraId="2EB1D458">
            <w:pPr>
              <w:adjustRightInd w:val="0"/>
              <w:snapToGrid w:val="0"/>
              <w:jc w:val="center"/>
              <w:rPr>
                <w:rFonts w:hint="eastAsia" w:ascii="仿宋" w:hAnsi="仿宋" w:eastAsia="仿宋" w:cs="仿宋"/>
                <w:bCs/>
                <w:color w:val="auto"/>
                <w:sz w:val="24"/>
                <w:szCs w:val="24"/>
                <w:highlight w:val="none"/>
              </w:rPr>
            </w:pPr>
          </w:p>
        </w:tc>
        <w:tc>
          <w:tcPr>
            <w:tcW w:w="1386" w:type="dxa"/>
            <w:noWrap w:val="0"/>
            <w:vAlign w:val="center"/>
          </w:tcPr>
          <w:p w14:paraId="6722F4EA">
            <w:pPr>
              <w:adjustRightInd w:val="0"/>
              <w:snapToGrid w:val="0"/>
              <w:jc w:val="center"/>
              <w:rPr>
                <w:rFonts w:hint="eastAsia" w:ascii="仿宋" w:hAnsi="仿宋" w:eastAsia="仿宋" w:cs="仿宋"/>
                <w:sz w:val="24"/>
                <w:highlight w:val="none"/>
              </w:rPr>
            </w:pPr>
          </w:p>
        </w:tc>
      </w:tr>
    </w:tbl>
    <w:p w14:paraId="6D94528C">
      <w:pPr>
        <w:snapToGrid w:val="0"/>
        <w:spacing w:line="360" w:lineRule="auto"/>
        <w:rPr>
          <w:rFonts w:hint="eastAsia" w:ascii="仿宋" w:hAnsi="仿宋" w:eastAsia="仿宋" w:cs="仿宋"/>
          <w:sz w:val="24"/>
          <w:highlight w:val="none"/>
        </w:rPr>
      </w:pPr>
    </w:p>
    <w:p w14:paraId="10553D4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报价部分（权重为10）</w:t>
      </w:r>
    </w:p>
    <w:p w14:paraId="505C49FD">
      <w:pPr>
        <w:snapToGrid w:val="0"/>
        <w:spacing w:line="360" w:lineRule="auto"/>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w:t>
      </w:r>
      <w:r>
        <w:rPr>
          <w:rFonts w:hint="eastAsia" w:ascii="仿宋" w:hAnsi="仿宋" w:eastAsia="仿宋" w:cs="仿宋"/>
          <w:sz w:val="24"/>
          <w:highlight w:val="none"/>
        </w:rPr>
        <w:t>价得分=（评标基准价/投标报价）*权重］的计算公式计算。</w:t>
      </w:r>
    </w:p>
    <w:p w14:paraId="530DDB7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3D9E6ED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因落实政府采购政策需要进行价格调整的，以调整后的价格计算评标基准价和投标报价。（因专门面向中小企业，价格调整在本次项目不适用）</w:t>
      </w:r>
    </w:p>
    <w:p w14:paraId="15DD6465">
      <w:pPr>
        <w:pStyle w:val="2"/>
        <w:rPr>
          <w:rFonts w:hint="eastAsia" w:ascii="仿宋" w:hAnsi="仿宋" w:eastAsia="仿宋" w:cs="仿宋"/>
          <w:highlight w:val="none"/>
        </w:rPr>
      </w:pPr>
    </w:p>
    <w:p w14:paraId="33FA56B6">
      <w:pPr>
        <w:pStyle w:val="18"/>
        <w:rPr>
          <w:rFonts w:hint="eastAsia" w:ascii="仿宋" w:hAnsi="仿宋" w:eastAsia="仿宋" w:cs="仿宋"/>
          <w:b/>
          <w:sz w:val="32"/>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2BE3EAAE">
      <w:pPr>
        <w:rPr>
          <w:rFonts w:hint="eastAsia" w:ascii="仿宋" w:hAnsi="仿宋" w:eastAsia="仿宋" w:cs="仿宋"/>
          <w:b/>
          <w:sz w:val="32"/>
          <w:highlight w:val="none"/>
        </w:rPr>
      </w:pPr>
    </w:p>
    <w:p w14:paraId="015B2C75">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1" w:name="_Toc9192"/>
      <w:r>
        <w:rPr>
          <w:rFonts w:hint="eastAsia" w:ascii="仿宋" w:hAnsi="仿宋" w:eastAsia="仿宋" w:cs="仿宋"/>
          <w:sz w:val="24"/>
          <w:highlight w:val="none"/>
        </w:rPr>
        <w:br w:type="page"/>
      </w:r>
      <w:bookmarkEnd w:id="101"/>
      <w:bookmarkStart w:id="102" w:name="_Toc28508"/>
      <w:bookmarkStart w:id="103" w:name="_Toc19686"/>
      <w:bookmarkStart w:id="104" w:name="_Toc14163"/>
      <w:r>
        <w:rPr>
          <w:rFonts w:hint="eastAsia" w:ascii="仿宋" w:hAnsi="仿宋" w:eastAsia="仿宋" w:cs="仿宋"/>
          <w:b/>
          <w:sz w:val="28"/>
          <w:szCs w:val="28"/>
          <w:highlight w:val="none"/>
        </w:rPr>
        <w:t>评标方法</w:t>
      </w:r>
      <w:bookmarkEnd w:id="102"/>
      <w:bookmarkEnd w:id="103"/>
      <w:bookmarkEnd w:id="104"/>
    </w:p>
    <w:p w14:paraId="16DF3E9E">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w:t>
      </w:r>
      <w:r>
        <w:rPr>
          <w:rFonts w:hint="eastAsia" w:ascii="仿宋" w:hAnsi="仿宋" w:eastAsia="仿宋" w:cs="仿宋"/>
          <w:kern w:val="0"/>
          <w:sz w:val="24"/>
          <w:highlight w:val="none"/>
        </w:rPr>
        <w:t>满足招标文件全部实质性要求，且按照评审因素的量化指标评审得分最高的投标人为中标候选人的评标方法。</w:t>
      </w:r>
    </w:p>
    <w:p w14:paraId="51F62B4B">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5" w:name="_Toc9518"/>
      <w:bookmarkStart w:id="106" w:name="_Toc9220"/>
      <w:bookmarkStart w:id="107" w:name="_Toc5897"/>
      <w:bookmarkStart w:id="108" w:name="_Toc25354"/>
      <w:bookmarkStart w:id="109" w:name="_Toc19233"/>
      <w:r>
        <w:rPr>
          <w:rFonts w:hint="eastAsia" w:ascii="仿宋" w:hAnsi="仿宋" w:eastAsia="仿宋" w:cs="仿宋"/>
          <w:b/>
          <w:sz w:val="28"/>
          <w:szCs w:val="28"/>
          <w:highlight w:val="none"/>
        </w:rPr>
        <w:t>评标标准</w:t>
      </w:r>
      <w:bookmarkEnd w:id="105"/>
      <w:bookmarkEnd w:id="106"/>
      <w:bookmarkEnd w:id="107"/>
      <w:bookmarkEnd w:id="108"/>
      <w:bookmarkEnd w:id="109"/>
    </w:p>
    <w:p w14:paraId="0038EEE3">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6D486ABA">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10" w:name="_Toc4050"/>
      <w:bookmarkStart w:id="111" w:name="_Toc17122"/>
      <w:bookmarkStart w:id="112" w:name="_Toc1897"/>
      <w:bookmarkStart w:id="113" w:name="_Toc10741"/>
      <w:bookmarkStart w:id="114" w:name="_Toc26738"/>
      <w:r>
        <w:rPr>
          <w:rFonts w:hint="eastAsia" w:ascii="仿宋" w:hAnsi="仿宋" w:eastAsia="仿宋" w:cs="仿宋"/>
          <w:b/>
          <w:sz w:val="28"/>
          <w:szCs w:val="28"/>
          <w:highlight w:val="none"/>
        </w:rPr>
        <w:t>评标程序</w:t>
      </w:r>
      <w:bookmarkEnd w:id="110"/>
      <w:bookmarkEnd w:id="111"/>
      <w:bookmarkEnd w:id="112"/>
      <w:bookmarkEnd w:id="113"/>
      <w:bookmarkEnd w:id="114"/>
    </w:p>
    <w:p w14:paraId="28DBA6FD">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3ED7A864">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D0FE6D2">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34E55253">
      <w:pPr>
        <w:tabs>
          <w:tab w:val="left" w:pos="210"/>
        </w:tabs>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069013F9">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报价评审。</w:t>
      </w:r>
    </w:p>
    <w:p w14:paraId="2008929A">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投标文件报价出现前后不一致的，按照下列规定修正：</w:t>
      </w:r>
    </w:p>
    <w:p w14:paraId="76DAFD7E">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投标文件中开标一览表(报价表)内容与投标文件中相应内容不一致的，以开标一览表(报价表)为准;</w:t>
      </w:r>
    </w:p>
    <w:p w14:paraId="44F8D378">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大写金额和小写金</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额不一致的，以大写金额为准;</w:t>
      </w:r>
    </w:p>
    <w:p w14:paraId="565D6512">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单价金额小数点或者百分比有明显错位的，以开标一览表的总价为准，并修改单价;</w:t>
      </w:r>
    </w:p>
    <w:p w14:paraId="2D09C4FF">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总价金额与按单价汇总金额不一致的，以单价金额计算结果为准。</w:t>
      </w:r>
    </w:p>
    <w:p w14:paraId="0E8ADECF">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F8615AE">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投标文件出现不是唯一的、有选择性投标报价的，投标无效。</w:t>
      </w:r>
    </w:p>
    <w:p w14:paraId="01BE888C">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投标报价超过招标文件中规定的预算金额或者最高限价的，投标无效。</w:t>
      </w:r>
    </w:p>
    <w:p w14:paraId="1772262D">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6D3E83">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highlight w:val="none"/>
        </w:rPr>
        <w:t>10%</w:t>
      </w:r>
      <w:r>
        <w:rPr>
          <w:rFonts w:hint="eastAsia" w:ascii="仿宋" w:hAnsi="仿宋" w:eastAsia="仿宋"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 w:val="24"/>
          <w:highlight w:val="none"/>
        </w:rPr>
        <w:t>4%</w:t>
      </w:r>
      <w:r>
        <w:rPr>
          <w:rFonts w:hint="eastAsia" w:ascii="仿宋" w:hAnsi="仿宋" w:eastAsia="仿宋"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2614AE8B">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排序与推荐。</w:t>
      </w:r>
    </w:p>
    <w:p w14:paraId="2BE92087">
      <w:pPr>
        <w:adjustRightInd w:val="0"/>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7B9C7E">
      <w:pPr>
        <w:pStyle w:val="59"/>
        <w:keepNext w:val="0"/>
        <w:keepLines w:val="0"/>
        <w:pageBreakBefore w:val="0"/>
        <w:widowControl w:val="0"/>
        <w:kinsoku/>
        <w:wordWrap/>
        <w:overflowPunct/>
        <w:topLinePunct w:val="0"/>
        <w:autoSpaceDE w:val="0"/>
        <w:autoSpaceDN w:val="0"/>
        <w:bidi w:val="0"/>
        <w:adjustRightInd/>
        <w:snapToGrid w:val="0"/>
        <w:ind w:left="0" w:leftChars="0"/>
        <w:textAlignment w:val="auto"/>
        <w:rPr>
          <w:rFonts w:hint="eastAsia" w:ascii="仿宋" w:hAnsi="仿宋" w:eastAsia="仿宋" w:cs="仿宋"/>
          <w:color w:val="auto"/>
          <w:highlight w:val="none"/>
        </w:rPr>
      </w:pPr>
      <w:r>
        <w:rPr>
          <w:rFonts w:hint="eastAsia" w:ascii="仿宋" w:hAnsi="仿宋" w:eastAsia="仿宋" w:cs="仿宋"/>
          <w:b w:val="0"/>
          <w:bCs w:val="0"/>
          <w:i w:val="0"/>
          <w:iCs w:val="0"/>
          <w:color w:val="auto"/>
          <w:kern w:val="0"/>
          <w:sz w:val="24"/>
          <w:highlight w:val="none"/>
          <w:lang w:val="en-US" w:eastAsia="zh-CN"/>
        </w:rPr>
        <w:t>说明：</w:t>
      </w:r>
      <w:r>
        <w:rPr>
          <w:rFonts w:hint="eastAsia" w:ascii="仿宋" w:hAnsi="仿宋" w:eastAsia="仿宋" w:cs="仿宋"/>
          <w:b w:val="0"/>
          <w:bCs w:val="0"/>
          <w:i w:val="0"/>
          <w:iCs w:val="0"/>
          <w:color w:val="auto"/>
          <w:kern w:val="0"/>
          <w:sz w:val="24"/>
          <w:highlight w:val="none"/>
        </w:rPr>
        <w:t>▲</w:t>
      </w:r>
      <w:r>
        <w:rPr>
          <w:rFonts w:hint="eastAsia" w:ascii="仿宋" w:hAnsi="仿宋" w:eastAsia="仿宋" w:cs="仿宋"/>
          <w:b w:val="0"/>
          <w:bCs w:val="0"/>
          <w:i w:val="0"/>
          <w:iCs w:val="0"/>
          <w:color w:val="auto"/>
          <w:kern w:val="0"/>
          <w:sz w:val="24"/>
          <w:highlight w:val="none"/>
          <w:lang w:val="en-US" w:eastAsia="zh-CN"/>
        </w:rPr>
        <w:t>本项目采用兼投不兼中的原则确定各标项第一中标候选人，即：供应商可自行选择其中一个或多个标项投标，但只允许中标一个标项。评审时按照标项一、标项二的顺序依次进行评审，已在前面的标项中被推荐为第一中标候选人的供应商在后续标项中不再作为有效供应商。</w:t>
      </w:r>
    </w:p>
    <w:p w14:paraId="6E29FEAE">
      <w:pPr>
        <w:adjustRightInd w:val="0"/>
        <w:snapToGrid w:val="0"/>
        <w:spacing w:line="360" w:lineRule="auto"/>
        <w:ind w:firstLine="482" w:firstLineChars="200"/>
        <w:rPr>
          <w:rFonts w:hint="eastAsia" w:ascii="仿宋" w:hAnsi="仿宋" w:eastAsia="仿宋" w:cs="仿宋"/>
          <w:snapToGrid w:val="0"/>
          <w:kern w:val="28"/>
          <w:sz w:val="24"/>
          <w:highlight w:val="none"/>
        </w:rPr>
      </w:pPr>
      <w:r>
        <w:rPr>
          <w:rFonts w:hint="eastAsia" w:ascii="仿宋" w:hAnsi="仿宋" w:eastAsia="仿宋" w:cs="仿宋"/>
          <w:b/>
          <w:bCs/>
          <w:kern w:val="0"/>
          <w:sz w:val="24"/>
          <w:highlight w:val="none"/>
        </w:rPr>
        <w:t>注：采购文件中未特别说明的，评标委员会推荐的中标候选人数量为1名。</w:t>
      </w:r>
    </w:p>
    <w:p w14:paraId="361ACBD8">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评分时保留小数点后1位小数（客观分有2位小数的可保留2位），计算评分值时保留小数点后2位小数。</w:t>
      </w:r>
    </w:p>
    <w:p w14:paraId="536E7B3A">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9823DE">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15" w:name="_Toc5821"/>
      <w:bookmarkStart w:id="116" w:name="_Toc6871"/>
      <w:bookmarkStart w:id="117" w:name="_Toc16391"/>
      <w:bookmarkStart w:id="118" w:name="_Toc25049"/>
      <w:bookmarkStart w:id="119" w:name="_Toc14486"/>
      <w:r>
        <w:rPr>
          <w:rFonts w:hint="eastAsia" w:ascii="仿宋" w:hAnsi="仿宋" w:eastAsia="仿宋" w:cs="仿宋"/>
          <w:b/>
          <w:sz w:val="28"/>
          <w:szCs w:val="28"/>
          <w:highlight w:val="none"/>
        </w:rPr>
        <w:t>评标中的其他事项</w:t>
      </w:r>
      <w:bookmarkEnd w:id="115"/>
      <w:bookmarkEnd w:id="116"/>
      <w:bookmarkEnd w:id="117"/>
      <w:bookmarkEnd w:id="118"/>
      <w:bookmarkEnd w:id="119"/>
    </w:p>
    <w:p w14:paraId="0D1D63CD">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投标人澄清、说明或者补正。</w:t>
      </w:r>
      <w:r>
        <w:rPr>
          <w:rFonts w:hint="eastAsia" w:ascii="仿宋" w:hAnsi="仿宋" w:eastAsia="仿宋"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6C59FA">
      <w:pPr>
        <w:numPr>
          <w:ilvl w:val="1"/>
          <w:numId w:val="8"/>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投标无效。有下列情况之一的，投标无效：</w:t>
      </w:r>
    </w:p>
    <w:p w14:paraId="29488C26">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投标人不具备招标文件中规定的资格要求的（投标人未提供有效的资格文件的，视为投标人不具备招标文件中规定的资格要求）；</w:t>
      </w:r>
    </w:p>
    <w:p w14:paraId="635CECFA">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投标文件未按照招标文件要求签署、盖章的；</w:t>
      </w:r>
    </w:p>
    <w:p w14:paraId="6FF3F67F">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15111728">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投标文件含有采购人不能接受的附加条件的；</w:t>
      </w:r>
    </w:p>
    <w:p w14:paraId="4EABFB81">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投标文件中承诺的投标有效期少于招标文件中载明的投标有效期的；</w:t>
      </w:r>
    </w:p>
    <w:p w14:paraId="75EF86A4">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w:t>
      </w:r>
    </w:p>
    <w:p w14:paraId="5DB070C7">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w:t>
      </w:r>
    </w:p>
    <w:p w14:paraId="60F79350">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明显低于其他通过符合性审查投标人的报价，有可能影响产品质量或者不能诚信履约的，未能按要求提供书面说明或者提交相关证明材料，不能证明其报价合理性的;投标人对根据修正原则修正后的报价不确认的；</w:t>
      </w:r>
    </w:p>
    <w:p w14:paraId="558D2F64">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投标人提供虚假材料投标的；</w:t>
      </w:r>
    </w:p>
    <w:p w14:paraId="193CE83E">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投标人有恶意串通、妨碍其他投标人的竞争行为、损害采购人或者其他投标人的合法权益情形的；</w:t>
      </w:r>
    </w:p>
    <w:p w14:paraId="54F4754F">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E9F804">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投标人仅提交备份投标文件，没有在电子交易平台传输递交投标文件的，投标无效；</w:t>
      </w:r>
    </w:p>
    <w:p w14:paraId="649A63CB">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投标文件不满足招标文件的其它实质性要求的；</w:t>
      </w:r>
    </w:p>
    <w:p w14:paraId="16C2976E">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法律、法规、规章（适用本市的）及省级以上规范性文件（适用本市的）规定的其他无效情形。</w:t>
      </w:r>
    </w:p>
    <w:p w14:paraId="2497E0B7">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废标。</w:t>
      </w:r>
      <w:r>
        <w:rPr>
          <w:rFonts w:hint="eastAsia" w:ascii="仿宋" w:hAnsi="仿宋" w:eastAsia="仿宋" w:cs="仿宋"/>
          <w:kern w:val="0"/>
          <w:sz w:val="24"/>
          <w:highlight w:val="none"/>
        </w:rPr>
        <w:t>根据《中华人民共和国政府采购法》第三十六条之规定，在采购中，出现下列情形之一的，应予废标：</w:t>
      </w:r>
    </w:p>
    <w:p w14:paraId="5C86909E">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符合专业条件的供应商或者对招标文件作实质响应的供应商不足3家的；</w:t>
      </w:r>
    </w:p>
    <w:p w14:paraId="32605B43">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出现影响采购公正的违法、违规行为的；</w:t>
      </w:r>
    </w:p>
    <w:p w14:paraId="0FCAC423">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投标人的报价均超过了采购预算，采购人不能支付的；</w:t>
      </w:r>
    </w:p>
    <w:p w14:paraId="5F0351BA">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因重大变故，采购任务取消的。</w:t>
      </w:r>
    </w:p>
    <w:p w14:paraId="7A9E205A">
      <w:pPr>
        <w:pStyle w:val="2"/>
        <w:snapToGrid w:val="0"/>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55CF0764">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修改招标文件，重新组织采购活动。</w:t>
      </w:r>
      <w:r>
        <w:rPr>
          <w:rFonts w:hint="eastAsia" w:ascii="仿宋" w:hAnsi="仿宋" w:eastAsia="仿宋"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BF71CD">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重新开展采购。</w:t>
      </w:r>
      <w:r>
        <w:rPr>
          <w:rFonts w:hint="eastAsia" w:ascii="仿宋" w:hAnsi="仿宋" w:eastAsia="仿宋" w:cs="仿宋"/>
          <w:kern w:val="0"/>
          <w:sz w:val="24"/>
          <w:highlight w:val="none"/>
        </w:rPr>
        <w:t>有政府采购法第七十一条、第七十二条规定的违法行为之一，影响或者可能影响中标、成交结果的，依照下列规定处理：</w:t>
      </w:r>
    </w:p>
    <w:p w14:paraId="23B9FF7D">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未确定中标或者中标人的，终止本次政府采购活动，重新开展政府采购活动。</w:t>
      </w:r>
    </w:p>
    <w:p w14:paraId="1302A856">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15224131">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546E0E86">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政府采购合同已经履行，给采购人、供应商造成损失的，由责任人承担赔偿责任。</w:t>
      </w:r>
    </w:p>
    <w:p w14:paraId="434183B2">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7287C36D">
      <w:pPr>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bookmarkEnd w:id="58"/>
    <w:p w14:paraId="37D49F9A">
      <w:pPr>
        <w:adjustRightInd w:val="0"/>
        <w:snapToGrid w:val="0"/>
        <w:spacing w:before="120" w:beforeLines="50" w:after="120" w:afterLines="50" w:line="360" w:lineRule="auto"/>
        <w:jc w:val="center"/>
        <w:outlineLvl w:val="0"/>
        <w:rPr>
          <w:rFonts w:hint="eastAsia" w:ascii="仿宋" w:hAnsi="仿宋" w:eastAsia="仿宋" w:cs="仿宋"/>
          <w:sz w:val="36"/>
          <w:highlight w:val="none"/>
        </w:rPr>
      </w:pPr>
      <w:bookmarkStart w:id="120" w:name="_Toc242012824"/>
      <w:bookmarkStart w:id="121" w:name="_Toc19650"/>
      <w:bookmarkStart w:id="122" w:name="_Toc2880"/>
      <w:r>
        <w:rPr>
          <w:rFonts w:hint="eastAsia" w:ascii="仿宋" w:hAnsi="仿宋" w:eastAsia="仿宋" w:cs="仿宋"/>
          <w:b/>
          <w:sz w:val="30"/>
          <w:szCs w:val="30"/>
          <w:highlight w:val="none"/>
        </w:rPr>
        <w:t>第五部分  合同条款</w:t>
      </w:r>
      <w:bookmarkEnd w:id="120"/>
      <w:bookmarkEnd w:id="121"/>
      <w:bookmarkEnd w:id="122"/>
    </w:p>
    <w:p w14:paraId="3FC0BEBE">
      <w:pPr>
        <w:adjustRightInd w:val="0"/>
        <w:snapToGrid w:val="0"/>
        <w:spacing w:line="360" w:lineRule="auto"/>
        <w:ind w:firstLine="420" w:firstLineChars="200"/>
        <w:rPr>
          <w:rFonts w:hint="eastAsia" w:ascii="仿宋" w:hAnsi="仿宋" w:eastAsia="仿宋" w:cs="仿宋"/>
          <w:snapToGrid w:val="0"/>
          <w:kern w:val="0"/>
          <w:szCs w:val="21"/>
          <w:highlight w:val="none"/>
        </w:rPr>
      </w:pPr>
      <w:bookmarkStart w:id="123" w:name="_Toc251566661"/>
      <w:bookmarkStart w:id="124" w:name="_Toc249760790"/>
      <w:bookmarkStart w:id="125" w:name="_Hlk534720381"/>
      <w:r>
        <w:rPr>
          <w:rFonts w:hint="eastAsia" w:ascii="仿宋" w:hAnsi="仿宋" w:eastAsia="仿宋" w:cs="仿宋"/>
          <w:snapToGrid w:val="0"/>
          <w:kern w:val="0"/>
          <w:szCs w:val="21"/>
          <w:highlight w:val="none"/>
        </w:rPr>
        <w:t>合同将由</w:t>
      </w:r>
      <w:r>
        <w:rPr>
          <w:rFonts w:hint="eastAsia" w:ascii="仿宋" w:hAnsi="仿宋" w:eastAsia="仿宋" w:cs="仿宋"/>
          <w:snapToGrid w:val="0"/>
          <w:kern w:val="0"/>
          <w:szCs w:val="21"/>
          <w:highlight w:val="none"/>
          <w:lang w:eastAsia="zh-CN"/>
        </w:rPr>
        <w:t>杭州综合保税区管理办公室</w:t>
      </w:r>
      <w:r>
        <w:rPr>
          <w:rFonts w:hint="eastAsia" w:ascii="仿宋" w:hAnsi="仿宋" w:eastAsia="仿宋" w:cs="仿宋"/>
          <w:snapToGrid w:val="0"/>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61D56361">
      <w:pPr>
        <w:snapToGrid w:val="0"/>
        <w:spacing w:before="120" w:beforeLines="50" w:after="120" w:afterLines="50"/>
        <w:jc w:val="center"/>
        <w:rPr>
          <w:rFonts w:hint="eastAsia" w:ascii="仿宋" w:hAnsi="仿宋" w:eastAsia="仿宋" w:cs="仿宋"/>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spacing w:val="-6"/>
          <w:highlight w:val="none"/>
        </w:rPr>
        <w:t>（本合同为合同样稿）</w:t>
      </w:r>
    </w:p>
    <w:bookmarkEnd w:id="123"/>
    <w:bookmarkEnd w:id="124"/>
    <w:bookmarkEnd w:id="125"/>
    <w:p w14:paraId="0FD6283D">
      <w:pPr>
        <w:adjustRightInd w:val="0"/>
        <w:snapToGrid w:val="0"/>
        <w:spacing w:line="360" w:lineRule="auto"/>
        <w:ind w:firstLine="482" w:firstLineChars="200"/>
        <w:rPr>
          <w:rFonts w:hint="eastAsia" w:ascii="仿宋" w:hAnsi="仿宋" w:eastAsia="仿宋" w:cs="仿宋"/>
          <w:b/>
          <w:bCs/>
          <w:sz w:val="24"/>
          <w:highlight w:val="none"/>
        </w:rPr>
      </w:pPr>
      <w:bookmarkStart w:id="126" w:name="_Toc367274988"/>
      <w:bookmarkStart w:id="127" w:name="_Toc251566662"/>
      <w:bookmarkStart w:id="128" w:name="_Toc415814139"/>
      <w:bookmarkStart w:id="129" w:name="_Toc249760791"/>
      <w:bookmarkStart w:id="130" w:name="_Toc295465366"/>
      <w:r>
        <w:rPr>
          <w:rFonts w:hint="eastAsia" w:ascii="仿宋" w:hAnsi="仿宋" w:eastAsia="仿宋" w:cs="仿宋"/>
          <w:b/>
          <w:bCs/>
          <w:sz w:val="24"/>
          <w:highlight w:val="none"/>
        </w:rPr>
        <w:t>合同参考格式</w:t>
      </w:r>
    </w:p>
    <w:p w14:paraId="3A98650D">
      <w:pPr>
        <w:snapToGrid w:val="0"/>
        <w:spacing w:before="120" w:beforeLines="50" w:after="120" w:afterLines="50"/>
        <w:jc w:val="center"/>
        <w:rPr>
          <w:rFonts w:hint="eastAsia" w:ascii="仿宋" w:hAnsi="仿宋" w:eastAsia="仿宋" w:cs="仿宋"/>
          <w:b/>
          <w:color w:val="000000" w:themeColor="text1"/>
          <w:sz w:val="32"/>
          <w:szCs w:val="32"/>
          <w:highlight w:val="none"/>
          <w:lang w:val="zh-CN"/>
          <w14:textFill>
            <w14:solidFill>
              <w14:schemeClr w14:val="tx1"/>
            </w14:solidFill>
          </w14:textFill>
        </w:rPr>
      </w:pPr>
    </w:p>
    <w:p w14:paraId="6ADCF253">
      <w:pPr>
        <w:snapToGrid w:val="0"/>
        <w:spacing w:before="120" w:beforeLines="50" w:after="120" w:afterLines="50"/>
        <w:jc w:val="center"/>
        <w:rPr>
          <w:rFonts w:hint="eastAsia" w:ascii="仿宋" w:hAnsi="仿宋" w:eastAsia="仿宋" w:cs="仿宋"/>
          <w:b/>
          <w:color w:val="000000" w:themeColor="text1"/>
          <w:sz w:val="32"/>
          <w:szCs w:val="32"/>
          <w:highlight w:val="none"/>
          <w:lang w:val="zh-CN"/>
          <w14:textFill>
            <w14:solidFill>
              <w14:schemeClr w14:val="tx1"/>
            </w14:solidFill>
          </w14:textFill>
        </w:rPr>
      </w:pPr>
      <w:r>
        <w:rPr>
          <w:rFonts w:hint="eastAsia" w:ascii="仿宋" w:hAnsi="仿宋" w:eastAsia="仿宋" w:cs="仿宋"/>
          <w:b/>
          <w:color w:val="000000" w:themeColor="text1"/>
          <w:sz w:val="32"/>
          <w:szCs w:val="32"/>
          <w:highlight w:val="none"/>
          <w:lang w:val="zh-CN"/>
          <w14:textFill>
            <w14:solidFill>
              <w14:schemeClr w14:val="tx1"/>
            </w14:solidFill>
          </w14:textFill>
        </w:rPr>
        <w:t>跨境零售进口商品质量安全风险监测服务项目合同</w:t>
      </w:r>
    </w:p>
    <w:p w14:paraId="3796E2B3">
      <w:pPr>
        <w:adjustRightInd w:val="0"/>
        <w:snapToGrid w:val="0"/>
        <w:spacing w:line="360" w:lineRule="auto"/>
        <w:ind w:firstLine="422" w:firstLineChars="200"/>
        <w:rPr>
          <w:rFonts w:hint="eastAsia" w:ascii="仿宋" w:hAnsi="仿宋" w:eastAsia="仿宋" w:cs="仿宋"/>
          <w:b/>
          <w:szCs w:val="21"/>
          <w:highlight w:val="none"/>
        </w:rPr>
      </w:pPr>
    </w:p>
    <w:p w14:paraId="4CBA658D">
      <w:pPr>
        <w:adjustRightInd w:val="0"/>
        <w:snapToGrid w:val="0"/>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甲方：</w:t>
      </w:r>
      <w:r>
        <w:rPr>
          <w:rFonts w:hint="eastAsia" w:ascii="仿宋" w:hAnsi="仿宋" w:eastAsia="仿宋" w:cs="仿宋"/>
          <w:b/>
          <w:sz w:val="24"/>
          <w:highlight w:val="none"/>
          <w:lang w:eastAsia="zh-CN"/>
        </w:rPr>
        <w:t>杭州综合保税区管理办公室</w:t>
      </w:r>
    </w:p>
    <w:p w14:paraId="704D2D8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p>
    <w:p w14:paraId="6D29138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p>
    <w:p w14:paraId="48ED0FF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4C42614D">
      <w:pPr>
        <w:tabs>
          <w:tab w:val="left" w:pos="6237"/>
          <w:tab w:val="left" w:pos="6521"/>
        </w:tabs>
        <w:adjustRightInd w:val="0"/>
        <w:snapToGrid w:val="0"/>
        <w:spacing w:line="360" w:lineRule="auto"/>
        <w:ind w:firstLine="480" w:firstLineChars="200"/>
        <w:rPr>
          <w:rFonts w:hint="eastAsia" w:ascii="仿宋" w:hAnsi="仿宋" w:eastAsia="仿宋" w:cs="仿宋"/>
          <w:sz w:val="24"/>
          <w:highlight w:val="none"/>
        </w:rPr>
      </w:pPr>
    </w:p>
    <w:p w14:paraId="09A0C52A">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乙方：</w:t>
      </w:r>
    </w:p>
    <w:p w14:paraId="2E8FC30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p>
    <w:p w14:paraId="10A5748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w:t>
      </w:r>
    </w:p>
    <w:p w14:paraId="0C11C64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统一社会信用代码：</w:t>
      </w:r>
    </w:p>
    <w:p w14:paraId="1C9CFAD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授权代表： </w:t>
      </w:r>
    </w:p>
    <w:p w14:paraId="2AEC3D7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p>
    <w:p w14:paraId="44DE129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60CFF564">
      <w:pPr>
        <w:adjustRightInd w:val="0"/>
        <w:snapToGrid w:val="0"/>
        <w:spacing w:line="360" w:lineRule="auto"/>
        <w:ind w:firstLine="480" w:firstLineChars="200"/>
        <w:rPr>
          <w:rFonts w:hint="eastAsia" w:ascii="仿宋" w:hAnsi="仿宋" w:eastAsia="仿宋" w:cs="仿宋"/>
          <w:sz w:val="24"/>
          <w:highlight w:val="none"/>
        </w:rPr>
      </w:pPr>
    </w:p>
    <w:p w14:paraId="4BCFB3DF">
      <w:pPr>
        <w:pStyle w:val="140"/>
        <w:adjustRightInd w:val="0"/>
        <w:snapToGrid w:val="0"/>
        <w:spacing w:before="0" w:beforeAutospacing="0" w:after="0" w:afterAutospacing="0"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依据《中华人民共和国政府采购法》、《</w:t>
      </w:r>
      <w:r>
        <w:rPr>
          <w:rFonts w:hint="eastAsia" w:ascii="仿宋" w:hAnsi="仿宋" w:eastAsia="仿宋" w:cs="仿宋"/>
          <w:szCs w:val="24"/>
          <w:highlight w:val="none"/>
          <w:lang w:val="zh-CN"/>
        </w:rPr>
        <w:t>中华人民共和国民法典</w:t>
      </w:r>
      <w:r>
        <w:rPr>
          <w:rFonts w:hint="eastAsia" w:ascii="仿宋" w:hAnsi="仿宋" w:eastAsia="仿宋" w:cs="仿宋"/>
          <w:szCs w:val="24"/>
          <w:highlight w:val="none"/>
        </w:rPr>
        <w:t>》等相关法律法规，以及</w:t>
      </w:r>
      <w:r>
        <w:rPr>
          <w:rFonts w:hint="eastAsia" w:ascii="仿宋" w:hAnsi="仿宋" w:eastAsia="仿宋" w:cs="仿宋"/>
          <w:highlight w:val="none"/>
          <w:u w:val="single"/>
          <w:lang w:eastAsia="zh-CN"/>
        </w:rPr>
        <w:t>跨境零售进口商品质量安全风险监测服务项目</w:t>
      </w:r>
      <w:r>
        <w:rPr>
          <w:rFonts w:hint="eastAsia" w:ascii="仿宋" w:hAnsi="仿宋" w:eastAsia="仿宋" w:cs="仿宋"/>
          <w:szCs w:val="24"/>
          <w:highlight w:val="none"/>
        </w:rPr>
        <w:t>（项目编号：</w:t>
      </w:r>
      <w:r>
        <w:rPr>
          <w:rFonts w:hint="eastAsia" w:ascii="仿宋" w:hAnsi="仿宋" w:eastAsia="仿宋" w:cs="仿宋"/>
          <w:szCs w:val="24"/>
          <w:highlight w:val="none"/>
          <w:lang w:eastAsia="zh-CN"/>
        </w:rPr>
        <w:t>QTCG-GK-2025-109</w:t>
      </w:r>
      <w:r>
        <w:rPr>
          <w:rFonts w:hint="eastAsia" w:ascii="仿宋" w:hAnsi="仿宋" w:eastAsia="仿宋" w:cs="仿宋"/>
          <w:szCs w:val="24"/>
          <w:highlight w:val="none"/>
        </w:rPr>
        <w:t>）的中标结果，乙方为该项目承接单位。甲乙双方在平等自愿的基础上，同意按照下面的条款和条件，签署政府采购合同。</w:t>
      </w:r>
    </w:p>
    <w:p w14:paraId="15D85B19">
      <w:pPr>
        <w:pStyle w:val="140"/>
        <w:adjustRightInd w:val="0"/>
        <w:snapToGrid w:val="0"/>
        <w:spacing w:before="0" w:beforeAutospacing="0" w:after="0" w:afterAutospacing="0" w:line="360" w:lineRule="auto"/>
        <w:ind w:firstLine="480" w:firstLineChars="200"/>
        <w:rPr>
          <w:rFonts w:hint="eastAsia" w:ascii="仿宋" w:hAnsi="仿宋" w:eastAsia="仿宋" w:cs="仿宋"/>
          <w:szCs w:val="24"/>
          <w:highlight w:val="none"/>
        </w:rPr>
      </w:pPr>
    </w:p>
    <w:p w14:paraId="337915FF">
      <w:pPr>
        <w:tabs>
          <w:tab w:val="left" w:pos="540"/>
        </w:tabs>
        <w:snapToGrid w:val="0"/>
        <w:spacing w:line="360" w:lineRule="auto"/>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一、服务内容：</w:t>
      </w:r>
      <w:r>
        <w:rPr>
          <w:rFonts w:hint="eastAsia" w:ascii="仿宋" w:hAnsi="仿宋" w:eastAsia="仿宋" w:cs="仿宋"/>
          <w:b/>
          <w:bCs/>
          <w:sz w:val="24"/>
          <w:szCs w:val="24"/>
          <w:highlight w:val="none"/>
          <w:u w:val="single"/>
        </w:rPr>
        <w:t>详见采购文件第三部分采购需求书</w:t>
      </w:r>
    </w:p>
    <w:p w14:paraId="01434CE2">
      <w:pPr>
        <w:tabs>
          <w:tab w:val="left" w:pos="540"/>
        </w:tabs>
        <w:snapToGrid w:val="0"/>
        <w:spacing w:line="360" w:lineRule="auto"/>
        <w:ind w:firstLine="482" w:firstLineChars="20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lang w:val="zh-CN"/>
        </w:rPr>
        <w:t>二、项目地点：</w:t>
      </w:r>
      <w:r>
        <w:rPr>
          <w:rFonts w:hint="eastAsia" w:ascii="仿宋" w:hAnsi="仿宋" w:eastAsia="仿宋" w:cs="仿宋"/>
          <w:b/>
          <w:bCs/>
          <w:sz w:val="24"/>
          <w:szCs w:val="24"/>
          <w:highlight w:val="none"/>
          <w:u w:val="single"/>
        </w:rPr>
        <w:t xml:space="preserve">                                </w:t>
      </w:r>
    </w:p>
    <w:p w14:paraId="786FFCF6">
      <w:pPr>
        <w:tabs>
          <w:tab w:val="left" w:pos="540"/>
        </w:tabs>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三、服务期</w:t>
      </w:r>
    </w:p>
    <w:p w14:paraId="2B7DE800">
      <w:pPr>
        <w:pStyle w:val="41"/>
        <w:wordWrap w:val="0"/>
        <w:snapToGrid w:val="0"/>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1.服务期限：</w:t>
      </w:r>
      <w:r>
        <w:rPr>
          <w:rFonts w:hint="eastAsia" w:ascii="仿宋" w:hAnsi="仿宋" w:eastAsia="仿宋" w:cs="仿宋"/>
          <w:sz w:val="24"/>
          <w:szCs w:val="24"/>
          <w:highlight w:val="none"/>
          <w:lang w:val="en-US" w:eastAsia="zh-CN"/>
        </w:rPr>
        <w:t>整体服务期1年，自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日止。</w:t>
      </w:r>
    </w:p>
    <w:p w14:paraId="21E15EFA">
      <w:pPr>
        <w:pStyle w:val="41"/>
        <w:wordWrap w:val="0"/>
        <w:snapToGrid w:val="0"/>
        <w:spacing w:before="0" w:beforeAutospacing="0" w:after="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2.检测期限：</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应在收到样品后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天内完成检验工作（检验规范要求时间超出除外），并出具具有相关资质的检测报告和汇总表。</w:t>
      </w:r>
    </w:p>
    <w:p w14:paraId="115C8A57">
      <w:pPr>
        <w:tabs>
          <w:tab w:val="left" w:pos="540"/>
        </w:tabs>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四、合同价格及付款方式</w:t>
      </w:r>
    </w:p>
    <w:p w14:paraId="5516D53A">
      <w:pPr>
        <w:tabs>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w:t>
      </w:r>
      <w:r>
        <w:rPr>
          <w:rFonts w:hint="eastAsia" w:ascii="仿宋" w:hAnsi="仿宋" w:eastAsia="仿宋" w:cs="仿宋"/>
          <w:bCs/>
          <w:color w:val="auto"/>
          <w:sz w:val="24"/>
          <w:szCs w:val="24"/>
          <w:highlight w:val="none"/>
          <w:lang w:eastAsia="zh-CN"/>
        </w:rPr>
        <w:t>合同</w:t>
      </w:r>
      <w:r>
        <w:rPr>
          <w:rFonts w:hint="eastAsia" w:ascii="仿宋" w:hAnsi="仿宋" w:eastAsia="仿宋" w:cs="仿宋"/>
          <w:bCs/>
          <w:color w:val="auto"/>
          <w:sz w:val="24"/>
          <w:szCs w:val="24"/>
          <w:highlight w:val="none"/>
          <w:lang w:val="en-US" w:eastAsia="zh-CN"/>
        </w:rPr>
        <w:t>总</w:t>
      </w:r>
      <w:r>
        <w:rPr>
          <w:rFonts w:hint="eastAsia" w:ascii="仿宋" w:hAnsi="仿宋" w:eastAsia="仿宋" w:cs="仿宋"/>
          <w:bCs/>
          <w:color w:val="auto"/>
          <w:sz w:val="24"/>
          <w:szCs w:val="24"/>
          <w:highlight w:val="none"/>
          <w:lang w:eastAsia="zh-CN"/>
        </w:rPr>
        <w:t>价格</w:t>
      </w: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i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元）人民币。</w:t>
      </w:r>
      <w:r>
        <w:rPr>
          <w:rFonts w:hint="eastAsia" w:ascii="仿宋" w:hAnsi="仿宋" w:eastAsia="仿宋" w:cs="仿宋"/>
          <w:bCs/>
          <w:color w:val="auto"/>
          <w:sz w:val="24"/>
          <w:szCs w:val="24"/>
          <w:highlight w:val="none"/>
          <w:lang w:eastAsia="zh-CN"/>
        </w:rPr>
        <w:t>（说明：本项目合同支付总金额最高不超过人民币</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eastAsia="zh-CN"/>
        </w:rPr>
        <w:t>万元。</w:t>
      </w:r>
      <w:r>
        <w:rPr>
          <w:rFonts w:hint="eastAsia" w:ascii="仿宋" w:hAnsi="仿宋" w:eastAsia="仿宋" w:cs="仿宋"/>
          <w:b w:val="0"/>
          <w:bCs w:val="0"/>
          <w:color w:val="auto"/>
          <w:sz w:val="24"/>
          <w:szCs w:val="24"/>
          <w:highlight w:val="none"/>
          <w:lang w:val="en-US" w:eastAsia="zh-CN"/>
        </w:rPr>
        <w:t>如有超出，合同履约内容结束。乙方有义务提醒甲方项目总价的实时统计情况，以免工作量超限价</w:t>
      </w:r>
      <w:r>
        <w:rPr>
          <w:rFonts w:hint="eastAsia" w:ascii="仿宋" w:hAnsi="仿宋" w:eastAsia="仿宋" w:cs="仿宋"/>
          <w:bCs/>
          <w:color w:val="auto"/>
          <w:sz w:val="24"/>
          <w:szCs w:val="24"/>
          <w:highlight w:val="none"/>
          <w:lang w:eastAsia="zh-CN"/>
        </w:rPr>
        <w:t>）</w:t>
      </w:r>
    </w:p>
    <w:p w14:paraId="17AE3A43">
      <w:pPr>
        <w:snapToGri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r>
        <w:rPr>
          <w:rFonts w:hint="eastAsia" w:ascii="仿宋" w:hAnsi="仿宋" w:eastAsia="仿宋" w:cs="仿宋"/>
          <w:color w:val="auto"/>
          <w:sz w:val="24"/>
          <w:szCs w:val="24"/>
          <w:highlight w:val="none"/>
          <w:lang w:val="en-US" w:eastAsia="zh-CN"/>
        </w:rPr>
        <w:t>各综合单价如下：</w:t>
      </w:r>
    </w:p>
    <w:tbl>
      <w:tblPr>
        <w:tblStyle w:val="45"/>
        <w:tblW w:w="4998" w:type="pct"/>
        <w:tblInd w:w="0" w:type="dxa"/>
        <w:tblLayout w:type="autofit"/>
        <w:tblCellMar>
          <w:top w:w="0" w:type="dxa"/>
          <w:left w:w="108" w:type="dxa"/>
          <w:bottom w:w="0" w:type="dxa"/>
          <w:right w:w="108" w:type="dxa"/>
        </w:tblCellMar>
      </w:tblPr>
      <w:tblGrid>
        <w:gridCol w:w="990"/>
        <w:gridCol w:w="1739"/>
        <w:gridCol w:w="2088"/>
        <w:gridCol w:w="1707"/>
        <w:gridCol w:w="1379"/>
        <w:gridCol w:w="1379"/>
      </w:tblGrid>
      <w:tr w14:paraId="24F0654F">
        <w:tblPrEx>
          <w:tblCellMar>
            <w:top w:w="0" w:type="dxa"/>
            <w:left w:w="108" w:type="dxa"/>
            <w:bottom w:w="0" w:type="dxa"/>
            <w:right w:w="108" w:type="dxa"/>
          </w:tblCellMar>
        </w:tblPrEx>
        <w:trPr>
          <w:trHeight w:val="939" w:hRule="atLeast"/>
        </w:trPr>
        <w:tc>
          <w:tcPr>
            <w:tcW w:w="533" w:type="pct"/>
            <w:tcBorders>
              <w:top w:val="single" w:color="auto" w:sz="6" w:space="0"/>
              <w:left w:val="single" w:color="auto" w:sz="6" w:space="0"/>
              <w:bottom w:val="single" w:color="auto" w:sz="6" w:space="0"/>
              <w:right w:val="single" w:color="auto" w:sz="6" w:space="0"/>
            </w:tcBorders>
            <w:noWrap w:val="0"/>
            <w:vAlign w:val="center"/>
          </w:tcPr>
          <w:p w14:paraId="7D87FC4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序号</w:t>
            </w:r>
          </w:p>
        </w:tc>
        <w:tc>
          <w:tcPr>
            <w:tcW w:w="936" w:type="pct"/>
            <w:tcBorders>
              <w:top w:val="single" w:color="auto" w:sz="6" w:space="0"/>
              <w:left w:val="single" w:color="auto" w:sz="6" w:space="0"/>
              <w:bottom w:val="single" w:color="auto" w:sz="6" w:space="0"/>
              <w:right w:val="single" w:color="auto" w:sz="6" w:space="0"/>
            </w:tcBorders>
            <w:noWrap w:val="0"/>
            <w:vAlign w:val="center"/>
          </w:tcPr>
          <w:p w14:paraId="7ABB433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商品类目</w:t>
            </w:r>
          </w:p>
          <w:p w14:paraId="7AE02D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val="en-US" w:eastAsia="zh-CN"/>
              </w:rPr>
              <w:t>（一级）</w:t>
            </w:r>
          </w:p>
        </w:tc>
        <w:tc>
          <w:tcPr>
            <w:tcW w:w="1124" w:type="pct"/>
            <w:tcBorders>
              <w:top w:val="single" w:color="auto" w:sz="6" w:space="0"/>
              <w:left w:val="single" w:color="auto" w:sz="6" w:space="0"/>
              <w:bottom w:val="single" w:color="auto" w:sz="6" w:space="0"/>
              <w:right w:val="single" w:color="auto" w:sz="6" w:space="0"/>
            </w:tcBorders>
            <w:noWrap w:val="0"/>
            <w:vAlign w:val="center"/>
          </w:tcPr>
          <w:p w14:paraId="0D1AA50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商品类目</w:t>
            </w:r>
          </w:p>
          <w:p w14:paraId="2C65AF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val="en-US" w:eastAsia="zh-CN"/>
              </w:rPr>
              <w:t>（二级）</w:t>
            </w:r>
          </w:p>
        </w:tc>
        <w:tc>
          <w:tcPr>
            <w:tcW w:w="919" w:type="pct"/>
            <w:tcBorders>
              <w:top w:val="single" w:color="auto" w:sz="6" w:space="0"/>
              <w:left w:val="single" w:color="auto" w:sz="6" w:space="0"/>
              <w:bottom w:val="single" w:color="auto" w:sz="6" w:space="0"/>
              <w:right w:val="single" w:color="auto" w:sz="6" w:space="0"/>
            </w:tcBorders>
            <w:noWrap w:val="0"/>
            <w:vAlign w:val="center"/>
          </w:tcPr>
          <w:p w14:paraId="5BD7F39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lang w:val="en-US" w:eastAsia="zh-CN"/>
              </w:rPr>
              <w:t>检测项目</w:t>
            </w:r>
          </w:p>
        </w:tc>
        <w:tc>
          <w:tcPr>
            <w:tcW w:w="742" w:type="pct"/>
            <w:tcBorders>
              <w:top w:val="single" w:color="auto" w:sz="6" w:space="0"/>
              <w:left w:val="single" w:color="auto" w:sz="6" w:space="0"/>
              <w:bottom w:val="single" w:color="auto" w:sz="6" w:space="0"/>
              <w:right w:val="single" w:color="auto" w:sz="6" w:space="0"/>
            </w:tcBorders>
            <w:noWrap w:val="0"/>
            <w:vAlign w:val="center"/>
          </w:tcPr>
          <w:p w14:paraId="22DEF17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检验标准</w:t>
            </w:r>
          </w:p>
        </w:tc>
        <w:tc>
          <w:tcPr>
            <w:tcW w:w="742" w:type="pct"/>
            <w:tcBorders>
              <w:top w:val="single" w:color="auto" w:sz="6" w:space="0"/>
              <w:left w:val="single" w:color="auto" w:sz="6" w:space="0"/>
              <w:bottom w:val="single" w:color="auto" w:sz="6" w:space="0"/>
              <w:right w:val="single" w:color="auto" w:sz="6" w:space="0"/>
            </w:tcBorders>
            <w:noWrap w:val="0"/>
            <w:vAlign w:val="center"/>
          </w:tcPr>
          <w:p w14:paraId="107CFA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单价</w:t>
            </w:r>
          </w:p>
        </w:tc>
      </w:tr>
      <w:tr w14:paraId="0153D3A1">
        <w:tblPrEx>
          <w:tblCellMar>
            <w:top w:w="0" w:type="dxa"/>
            <w:left w:w="108" w:type="dxa"/>
            <w:bottom w:w="0" w:type="dxa"/>
            <w:right w:w="108" w:type="dxa"/>
          </w:tblCellMar>
        </w:tblPrEx>
        <w:trPr>
          <w:trHeight w:val="515" w:hRule="atLeast"/>
        </w:trPr>
        <w:tc>
          <w:tcPr>
            <w:tcW w:w="533" w:type="pct"/>
            <w:vMerge w:val="restart"/>
            <w:tcBorders>
              <w:top w:val="single" w:color="auto" w:sz="6" w:space="0"/>
              <w:left w:val="single" w:color="auto" w:sz="6" w:space="0"/>
              <w:right w:val="single" w:color="auto" w:sz="6" w:space="0"/>
            </w:tcBorders>
            <w:noWrap w:val="0"/>
            <w:vAlign w:val="center"/>
          </w:tcPr>
          <w:p w14:paraId="07907677">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1</w:t>
            </w:r>
          </w:p>
        </w:tc>
        <w:tc>
          <w:tcPr>
            <w:tcW w:w="936" w:type="pct"/>
            <w:vMerge w:val="restart"/>
            <w:tcBorders>
              <w:top w:val="single" w:color="auto" w:sz="6" w:space="0"/>
              <w:left w:val="single" w:color="auto" w:sz="6" w:space="0"/>
              <w:right w:val="single" w:color="auto" w:sz="6" w:space="0"/>
            </w:tcBorders>
            <w:noWrap w:val="0"/>
            <w:vAlign w:val="top"/>
          </w:tcPr>
          <w:p w14:paraId="3E883708">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799AEAE3">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4ADDD5CB">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5D11B6B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46D8F69F">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4D880844">
        <w:tblPrEx>
          <w:tblCellMar>
            <w:top w:w="0" w:type="dxa"/>
            <w:left w:w="108" w:type="dxa"/>
            <w:bottom w:w="0" w:type="dxa"/>
            <w:right w:w="108" w:type="dxa"/>
          </w:tblCellMar>
        </w:tblPrEx>
        <w:trPr>
          <w:trHeight w:val="515" w:hRule="atLeast"/>
        </w:trPr>
        <w:tc>
          <w:tcPr>
            <w:tcW w:w="533" w:type="pct"/>
            <w:vMerge w:val="continue"/>
            <w:tcBorders>
              <w:left w:val="single" w:color="auto" w:sz="6" w:space="0"/>
              <w:right w:val="single" w:color="auto" w:sz="6" w:space="0"/>
            </w:tcBorders>
            <w:noWrap w:val="0"/>
            <w:vAlign w:val="center"/>
          </w:tcPr>
          <w:p w14:paraId="46B1D39D">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right w:val="single" w:color="auto" w:sz="6" w:space="0"/>
            </w:tcBorders>
            <w:noWrap w:val="0"/>
            <w:vAlign w:val="top"/>
          </w:tcPr>
          <w:p w14:paraId="4CAAB11A">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48F8D5A6">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67821EC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460BA516">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364CD06A">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6B26FFB9">
        <w:tblPrEx>
          <w:tblCellMar>
            <w:top w:w="0" w:type="dxa"/>
            <w:left w:w="108" w:type="dxa"/>
            <w:bottom w:w="0" w:type="dxa"/>
            <w:right w:w="108" w:type="dxa"/>
          </w:tblCellMar>
        </w:tblPrEx>
        <w:trPr>
          <w:trHeight w:val="515" w:hRule="atLeast"/>
        </w:trPr>
        <w:tc>
          <w:tcPr>
            <w:tcW w:w="533" w:type="pct"/>
            <w:vMerge w:val="continue"/>
            <w:tcBorders>
              <w:left w:val="single" w:color="auto" w:sz="6" w:space="0"/>
              <w:bottom w:val="single" w:color="auto" w:sz="6" w:space="0"/>
              <w:right w:val="single" w:color="auto" w:sz="6" w:space="0"/>
            </w:tcBorders>
            <w:noWrap w:val="0"/>
            <w:vAlign w:val="center"/>
          </w:tcPr>
          <w:p w14:paraId="6718B6B3">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bottom w:val="single" w:color="auto" w:sz="6" w:space="0"/>
              <w:right w:val="single" w:color="auto" w:sz="6" w:space="0"/>
            </w:tcBorders>
            <w:noWrap w:val="0"/>
            <w:vAlign w:val="top"/>
          </w:tcPr>
          <w:p w14:paraId="72571385">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264F9D2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61B642C5">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13F256F2">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65F3B0E3">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5435DCB3">
        <w:tblPrEx>
          <w:tblCellMar>
            <w:top w:w="0" w:type="dxa"/>
            <w:left w:w="108" w:type="dxa"/>
            <w:bottom w:w="0" w:type="dxa"/>
            <w:right w:w="108" w:type="dxa"/>
          </w:tblCellMar>
        </w:tblPrEx>
        <w:trPr>
          <w:trHeight w:val="515" w:hRule="atLeast"/>
        </w:trPr>
        <w:tc>
          <w:tcPr>
            <w:tcW w:w="533" w:type="pct"/>
            <w:vMerge w:val="restart"/>
            <w:tcBorders>
              <w:top w:val="single" w:color="auto" w:sz="6" w:space="0"/>
              <w:left w:val="single" w:color="auto" w:sz="6" w:space="0"/>
              <w:right w:val="single" w:color="auto" w:sz="6" w:space="0"/>
            </w:tcBorders>
            <w:noWrap w:val="0"/>
            <w:vAlign w:val="center"/>
          </w:tcPr>
          <w:p w14:paraId="40A223AB">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2</w:t>
            </w:r>
          </w:p>
        </w:tc>
        <w:tc>
          <w:tcPr>
            <w:tcW w:w="936" w:type="pct"/>
            <w:vMerge w:val="restart"/>
            <w:tcBorders>
              <w:top w:val="single" w:color="auto" w:sz="6" w:space="0"/>
              <w:left w:val="single" w:color="auto" w:sz="6" w:space="0"/>
              <w:right w:val="single" w:color="auto" w:sz="6" w:space="0"/>
            </w:tcBorders>
            <w:noWrap w:val="0"/>
            <w:vAlign w:val="top"/>
          </w:tcPr>
          <w:p w14:paraId="194F872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65085551">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6EEDE95D">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4DC9B260">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5DB24A26">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1884390D">
        <w:tblPrEx>
          <w:tblCellMar>
            <w:top w:w="0" w:type="dxa"/>
            <w:left w:w="108" w:type="dxa"/>
            <w:bottom w:w="0" w:type="dxa"/>
            <w:right w:w="108" w:type="dxa"/>
          </w:tblCellMar>
        </w:tblPrEx>
        <w:trPr>
          <w:trHeight w:val="515" w:hRule="atLeast"/>
        </w:trPr>
        <w:tc>
          <w:tcPr>
            <w:tcW w:w="533" w:type="pct"/>
            <w:vMerge w:val="continue"/>
            <w:tcBorders>
              <w:left w:val="single" w:color="auto" w:sz="6" w:space="0"/>
              <w:right w:val="single" w:color="auto" w:sz="6" w:space="0"/>
            </w:tcBorders>
            <w:noWrap w:val="0"/>
            <w:vAlign w:val="center"/>
          </w:tcPr>
          <w:p w14:paraId="62A4C1D3">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right w:val="single" w:color="auto" w:sz="6" w:space="0"/>
            </w:tcBorders>
            <w:noWrap w:val="0"/>
            <w:vAlign w:val="top"/>
          </w:tcPr>
          <w:p w14:paraId="7C6A0953">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1D019912">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46C36A35">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2BCF42B7">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2E8C8880">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37B8D4D9">
        <w:tblPrEx>
          <w:tblCellMar>
            <w:top w:w="0" w:type="dxa"/>
            <w:left w:w="108" w:type="dxa"/>
            <w:bottom w:w="0" w:type="dxa"/>
            <w:right w:w="108" w:type="dxa"/>
          </w:tblCellMar>
        </w:tblPrEx>
        <w:trPr>
          <w:trHeight w:val="515" w:hRule="atLeast"/>
        </w:trPr>
        <w:tc>
          <w:tcPr>
            <w:tcW w:w="533" w:type="pct"/>
            <w:vMerge w:val="continue"/>
            <w:tcBorders>
              <w:left w:val="single" w:color="auto" w:sz="6" w:space="0"/>
              <w:bottom w:val="single" w:color="auto" w:sz="6" w:space="0"/>
              <w:right w:val="single" w:color="auto" w:sz="6" w:space="0"/>
            </w:tcBorders>
            <w:noWrap w:val="0"/>
            <w:vAlign w:val="center"/>
          </w:tcPr>
          <w:p w14:paraId="324B4BAC">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bottom w:val="single" w:color="auto" w:sz="6" w:space="0"/>
              <w:right w:val="single" w:color="auto" w:sz="6" w:space="0"/>
            </w:tcBorders>
            <w:noWrap w:val="0"/>
            <w:vAlign w:val="top"/>
          </w:tcPr>
          <w:p w14:paraId="7BCE47C0">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10A38FA0">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67B01F4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2FC20E9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5F72DCCD">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262A6ED4">
        <w:tblPrEx>
          <w:tblCellMar>
            <w:top w:w="0" w:type="dxa"/>
            <w:left w:w="108" w:type="dxa"/>
            <w:bottom w:w="0" w:type="dxa"/>
            <w:right w:w="108" w:type="dxa"/>
          </w:tblCellMar>
        </w:tblPrEx>
        <w:trPr>
          <w:trHeight w:val="515" w:hRule="atLeast"/>
        </w:trPr>
        <w:tc>
          <w:tcPr>
            <w:tcW w:w="533" w:type="pct"/>
            <w:vMerge w:val="restart"/>
            <w:tcBorders>
              <w:top w:val="single" w:color="auto" w:sz="6" w:space="0"/>
              <w:left w:val="single" w:color="auto" w:sz="6" w:space="0"/>
              <w:right w:val="single" w:color="auto" w:sz="6" w:space="0"/>
            </w:tcBorders>
            <w:noWrap w:val="0"/>
            <w:vAlign w:val="center"/>
          </w:tcPr>
          <w:p w14:paraId="5DB48615">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w:t>
            </w:r>
          </w:p>
        </w:tc>
        <w:tc>
          <w:tcPr>
            <w:tcW w:w="936" w:type="pct"/>
            <w:vMerge w:val="restart"/>
            <w:tcBorders>
              <w:top w:val="single" w:color="auto" w:sz="6" w:space="0"/>
              <w:left w:val="single" w:color="auto" w:sz="6" w:space="0"/>
              <w:right w:val="single" w:color="auto" w:sz="6" w:space="0"/>
            </w:tcBorders>
            <w:noWrap w:val="0"/>
            <w:vAlign w:val="top"/>
          </w:tcPr>
          <w:p w14:paraId="3DF1E8D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626323B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03DBA428">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541F1CFE">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34739B4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32212F0E">
        <w:tblPrEx>
          <w:tblCellMar>
            <w:top w:w="0" w:type="dxa"/>
            <w:left w:w="108" w:type="dxa"/>
            <w:bottom w:w="0" w:type="dxa"/>
            <w:right w:w="108" w:type="dxa"/>
          </w:tblCellMar>
        </w:tblPrEx>
        <w:trPr>
          <w:trHeight w:val="515" w:hRule="atLeast"/>
        </w:trPr>
        <w:tc>
          <w:tcPr>
            <w:tcW w:w="533" w:type="pct"/>
            <w:vMerge w:val="continue"/>
            <w:tcBorders>
              <w:left w:val="single" w:color="auto" w:sz="6" w:space="0"/>
              <w:right w:val="single" w:color="auto" w:sz="6" w:space="0"/>
            </w:tcBorders>
            <w:noWrap w:val="0"/>
            <w:vAlign w:val="center"/>
          </w:tcPr>
          <w:p w14:paraId="7045D6A1">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right w:val="single" w:color="auto" w:sz="6" w:space="0"/>
            </w:tcBorders>
            <w:noWrap w:val="0"/>
            <w:vAlign w:val="top"/>
          </w:tcPr>
          <w:p w14:paraId="6154239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39F5C351">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1D8EBD77">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7F0A0EA2">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41DA55D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r w14:paraId="2F9FCB19">
        <w:tblPrEx>
          <w:tblCellMar>
            <w:top w:w="0" w:type="dxa"/>
            <w:left w:w="108" w:type="dxa"/>
            <w:bottom w:w="0" w:type="dxa"/>
            <w:right w:w="108" w:type="dxa"/>
          </w:tblCellMar>
        </w:tblPrEx>
        <w:trPr>
          <w:trHeight w:val="545" w:hRule="atLeast"/>
        </w:trPr>
        <w:tc>
          <w:tcPr>
            <w:tcW w:w="533" w:type="pct"/>
            <w:vMerge w:val="continue"/>
            <w:tcBorders>
              <w:left w:val="single" w:color="auto" w:sz="6" w:space="0"/>
              <w:bottom w:val="single" w:color="auto" w:sz="6" w:space="0"/>
              <w:right w:val="single" w:color="auto" w:sz="6" w:space="0"/>
            </w:tcBorders>
            <w:noWrap w:val="0"/>
            <w:vAlign w:val="center"/>
          </w:tcPr>
          <w:p w14:paraId="202D73FE">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36" w:type="pct"/>
            <w:vMerge w:val="continue"/>
            <w:tcBorders>
              <w:left w:val="single" w:color="auto" w:sz="6" w:space="0"/>
              <w:bottom w:val="single" w:color="auto" w:sz="6" w:space="0"/>
              <w:right w:val="single" w:color="auto" w:sz="6" w:space="0"/>
            </w:tcBorders>
            <w:noWrap w:val="0"/>
            <w:vAlign w:val="top"/>
          </w:tcPr>
          <w:p w14:paraId="4F404F14">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1124" w:type="pct"/>
            <w:tcBorders>
              <w:top w:val="single" w:color="auto" w:sz="6" w:space="0"/>
              <w:left w:val="single" w:color="auto" w:sz="6" w:space="0"/>
              <w:bottom w:val="single" w:color="auto" w:sz="6" w:space="0"/>
              <w:right w:val="single" w:color="auto" w:sz="6" w:space="0"/>
            </w:tcBorders>
            <w:noWrap w:val="0"/>
            <w:vAlign w:val="top"/>
          </w:tcPr>
          <w:p w14:paraId="7E297302">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919" w:type="pct"/>
            <w:tcBorders>
              <w:top w:val="single" w:color="auto" w:sz="6" w:space="0"/>
              <w:left w:val="single" w:color="auto" w:sz="6" w:space="0"/>
              <w:bottom w:val="single" w:color="auto" w:sz="6" w:space="0"/>
              <w:right w:val="single" w:color="auto" w:sz="6" w:space="0"/>
            </w:tcBorders>
            <w:noWrap w:val="0"/>
            <w:vAlign w:val="top"/>
          </w:tcPr>
          <w:p w14:paraId="46E89B09">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330661DE">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c>
          <w:tcPr>
            <w:tcW w:w="742" w:type="pct"/>
            <w:tcBorders>
              <w:top w:val="single" w:color="auto" w:sz="6" w:space="0"/>
              <w:left w:val="single" w:color="auto" w:sz="6" w:space="0"/>
              <w:bottom w:val="single" w:color="auto" w:sz="6" w:space="0"/>
              <w:right w:val="single" w:color="auto" w:sz="6" w:space="0"/>
            </w:tcBorders>
            <w:noWrap w:val="0"/>
            <w:vAlign w:val="top"/>
          </w:tcPr>
          <w:p w14:paraId="6ECA973A">
            <w:pPr>
              <w:autoSpaceDE w:val="0"/>
              <w:autoSpaceDN w:val="0"/>
              <w:adjustRightInd w:val="0"/>
              <w:snapToGrid w:val="0"/>
              <w:spacing w:line="360" w:lineRule="auto"/>
              <w:jc w:val="center"/>
              <w:rPr>
                <w:rFonts w:hint="eastAsia" w:ascii="仿宋" w:hAnsi="仿宋" w:eastAsia="仿宋" w:cs="仿宋"/>
                <w:snapToGrid w:val="0"/>
                <w:kern w:val="0"/>
                <w:sz w:val="24"/>
                <w:szCs w:val="24"/>
                <w:highlight w:val="none"/>
              </w:rPr>
            </w:pPr>
          </w:p>
        </w:tc>
      </w:tr>
    </w:tbl>
    <w:p w14:paraId="44BE8F42">
      <w:pPr>
        <w:snapToGrid w:val="0"/>
        <w:spacing w:line="360" w:lineRule="auto"/>
        <w:ind w:firstLine="480" w:firstLineChars="200"/>
        <w:rPr>
          <w:rFonts w:hint="eastAsia" w:ascii="仿宋" w:hAnsi="仿宋" w:eastAsia="仿宋" w:cs="仿宋"/>
          <w:sz w:val="24"/>
          <w:highlight w:val="none"/>
        </w:rPr>
      </w:pPr>
    </w:p>
    <w:p w14:paraId="0F93159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付款方式：</w:t>
      </w:r>
    </w:p>
    <w:p w14:paraId="34D34178">
      <w:pPr>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eastAsia="zh-CN"/>
        </w:rPr>
        <w:t>合同生效以及具备实施条件后</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个工作日内，</w:t>
      </w:r>
      <w:r>
        <w:rPr>
          <w:rFonts w:hint="eastAsia" w:ascii="仿宋" w:hAnsi="仿宋" w:eastAsia="仿宋" w:cs="仿宋"/>
          <w:b w:val="0"/>
          <w:bCs w:val="0"/>
          <w:color w:val="auto"/>
          <w:sz w:val="24"/>
          <w:szCs w:val="24"/>
          <w:highlight w:val="none"/>
          <w:lang w:val="en-US" w:eastAsia="zh-CN"/>
        </w:rPr>
        <w:t>甲方向乙方支付</w:t>
      </w:r>
      <w:r>
        <w:rPr>
          <w:rFonts w:hint="eastAsia" w:ascii="仿宋" w:hAnsi="仿宋" w:eastAsia="仿宋" w:cs="仿宋"/>
          <w:b w:val="0"/>
          <w:bCs w:val="0"/>
          <w:color w:val="auto"/>
          <w:sz w:val="24"/>
          <w:szCs w:val="24"/>
          <w:highlight w:val="none"/>
          <w:lang w:eastAsia="zh-CN"/>
        </w:rPr>
        <w:t>合同金额的</w:t>
      </w:r>
      <w:r>
        <w:rPr>
          <w:rFonts w:hint="eastAsia" w:ascii="仿宋" w:hAnsi="仿宋" w:eastAsia="仿宋" w:cs="仿宋"/>
          <w:b w:val="0"/>
          <w:bCs w:val="0"/>
          <w:color w:val="auto"/>
          <w:sz w:val="24"/>
          <w:szCs w:val="24"/>
          <w:highlight w:val="none"/>
          <w:lang w:val="en-US" w:eastAsia="zh-CN"/>
        </w:rPr>
        <w:t>50</w:t>
      </w:r>
      <w:r>
        <w:rPr>
          <w:rFonts w:hint="eastAsia" w:ascii="仿宋" w:hAnsi="仿宋" w:eastAsia="仿宋" w:cs="仿宋"/>
          <w:b w:val="0"/>
          <w:bCs w:val="0"/>
          <w:color w:val="auto"/>
          <w:sz w:val="24"/>
          <w:szCs w:val="24"/>
          <w:highlight w:val="none"/>
          <w:lang w:eastAsia="zh-CN"/>
        </w:rPr>
        <w:t>%作为预付款，预付款在后续合同款中作相应抵扣；（在签订合同时，</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eastAsia="zh-CN"/>
        </w:rPr>
        <w:t>明确表示无需预付款或者主动要求降低预付款比例的，可不适用预付款相关规定）</w:t>
      </w:r>
    </w:p>
    <w:p w14:paraId="1F4D0D4F">
      <w:pPr>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（2）合同履约期限满6个月后，甲方向乙方支付合同金额的40%；</w:t>
      </w:r>
    </w:p>
    <w:p w14:paraId="29F2F751">
      <w:pPr>
        <w:snapToGri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（3）完成合同内所有服务内容并经甲方验收通过后，按实际检测批次数量如实结算。</w:t>
      </w:r>
    </w:p>
    <w:p w14:paraId="2E505050">
      <w:pPr>
        <w:pStyle w:val="1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sz w:val="24"/>
          <w:highlight w:val="none"/>
        </w:rPr>
      </w:pPr>
      <w:r>
        <w:rPr>
          <w:rFonts w:hint="eastAsia" w:ascii="仿宋" w:hAnsi="仿宋" w:eastAsia="仿宋" w:cs="仿宋"/>
          <w:color w:val="auto"/>
          <w:sz w:val="24"/>
          <w:szCs w:val="24"/>
          <w:highlight w:val="none"/>
          <w:lang w:val="en-US" w:eastAsia="zh-CN"/>
        </w:rPr>
        <w:t>4、说明：付款前，乙方</w:t>
      </w:r>
      <w:r>
        <w:rPr>
          <w:rFonts w:hint="eastAsia" w:ascii="仿宋" w:hAnsi="仿宋" w:eastAsia="仿宋" w:cs="仿宋"/>
          <w:color w:val="auto"/>
          <w:sz w:val="24"/>
          <w:szCs w:val="24"/>
          <w:highlight w:val="none"/>
        </w:rPr>
        <w:t>必须提供给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相应</w:t>
      </w:r>
      <w:r>
        <w:rPr>
          <w:rFonts w:hint="eastAsia" w:ascii="仿宋" w:hAnsi="仿宋" w:eastAsia="仿宋" w:cs="仿宋"/>
          <w:color w:val="auto"/>
          <w:sz w:val="24"/>
          <w:szCs w:val="24"/>
          <w:highlight w:val="none"/>
          <w:lang w:val="en-US" w:eastAsia="zh-CN"/>
        </w:rPr>
        <w:t>款项</w:t>
      </w:r>
      <w:r>
        <w:rPr>
          <w:rFonts w:hint="eastAsia" w:ascii="仿宋" w:hAnsi="仿宋" w:eastAsia="仿宋" w:cs="仿宋"/>
          <w:color w:val="auto"/>
          <w:sz w:val="24"/>
          <w:szCs w:val="24"/>
          <w:highlight w:val="none"/>
        </w:rPr>
        <w:t>一致的全额、正规、合法、有效的发票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自收到</w:t>
      </w:r>
      <w:r>
        <w:rPr>
          <w:rFonts w:hint="eastAsia" w:ascii="仿宋" w:hAnsi="仿宋" w:eastAsia="仿宋" w:cs="仿宋"/>
          <w:color w:val="auto"/>
          <w:sz w:val="24"/>
          <w:szCs w:val="24"/>
          <w:highlight w:val="none"/>
          <w:lang w:val="en-US" w:eastAsia="zh-CN"/>
        </w:rPr>
        <w:t>乙方支付申请及发票的5</w:t>
      </w:r>
      <w:r>
        <w:rPr>
          <w:rFonts w:hint="eastAsia" w:ascii="仿宋" w:hAnsi="仿宋" w:eastAsia="仿宋" w:cs="仿宋"/>
          <w:color w:val="auto"/>
          <w:sz w:val="24"/>
          <w:szCs w:val="24"/>
          <w:highlight w:val="none"/>
        </w:rPr>
        <w:t>个工作日内</w:t>
      </w:r>
      <w:r>
        <w:rPr>
          <w:rFonts w:hint="eastAsia" w:ascii="仿宋" w:hAnsi="仿宋" w:eastAsia="仿宋" w:cs="仿宋"/>
          <w:color w:val="auto"/>
          <w:sz w:val="24"/>
          <w:szCs w:val="24"/>
          <w:highlight w:val="none"/>
          <w:lang w:eastAsia="zh-CN"/>
        </w:rPr>
        <w:t>支付相应款项。</w:t>
      </w:r>
      <w:r>
        <w:rPr>
          <w:rFonts w:hint="eastAsia" w:ascii="仿宋" w:hAnsi="仿宋" w:eastAsia="仿宋" w:cs="仿宋"/>
          <w:color w:val="auto"/>
          <w:sz w:val="24"/>
          <w:szCs w:val="24"/>
          <w:highlight w:val="none"/>
          <w:lang w:val="en-US" w:eastAsia="zh-CN"/>
        </w:rPr>
        <w:t>如因财政支付原因付款时间延后的，按甲方要求执行。</w:t>
      </w:r>
      <w:r>
        <w:rPr>
          <w:rFonts w:hint="eastAsia" w:ascii="仿宋" w:hAnsi="仿宋" w:eastAsia="仿宋" w:cs="仿宋"/>
          <w:sz w:val="24"/>
          <w:highlight w:val="none"/>
        </w:rPr>
        <w:t xml:space="preserve">   </w:t>
      </w:r>
    </w:p>
    <w:p w14:paraId="50D28604">
      <w:pPr>
        <w:tabs>
          <w:tab w:val="left" w:pos="540"/>
        </w:tabs>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五、履约保证金</w:t>
      </w:r>
    </w:p>
    <w:p w14:paraId="121E3DD6">
      <w:pPr>
        <w:pStyle w:val="1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合同签</w:t>
      </w:r>
      <w:r>
        <w:rPr>
          <w:rFonts w:hint="eastAsia" w:ascii="仿宋" w:hAnsi="仿宋" w:eastAsia="仿宋" w:cs="仿宋"/>
          <w:bCs/>
          <w:sz w:val="24"/>
          <w:szCs w:val="24"/>
          <w:highlight w:val="none"/>
        </w:rPr>
        <w:t>订后</w:t>
      </w:r>
      <w:r>
        <w:rPr>
          <w:rFonts w:hint="eastAsia" w:ascii="仿宋" w:hAnsi="仿宋" w:eastAsia="仿宋" w:cs="仿宋"/>
          <w:bCs/>
          <w:sz w:val="24"/>
          <w:szCs w:val="24"/>
          <w:highlight w:val="none"/>
          <w:lang w:val="en-US" w:eastAsia="zh-CN"/>
        </w:rPr>
        <w:t>1</w:t>
      </w:r>
      <w:r>
        <w:rPr>
          <w:rFonts w:hint="eastAsia" w:ascii="仿宋" w:hAnsi="仿宋" w:eastAsia="仿宋" w:cs="仿宋"/>
          <w:sz w:val="24"/>
          <w:szCs w:val="24"/>
          <w:highlight w:val="none"/>
        </w:rPr>
        <w:t>5个工作日内，</w:t>
      </w:r>
      <w:r>
        <w:rPr>
          <w:rFonts w:hint="eastAsia" w:ascii="仿宋" w:hAnsi="仿宋" w:eastAsia="仿宋" w:cs="仿宋"/>
          <w:sz w:val="24"/>
          <w:szCs w:val="24"/>
          <w:highlight w:val="none"/>
          <w:lang w:val="en-US"/>
        </w:rPr>
        <w:t>甲方</w:t>
      </w:r>
      <w:r>
        <w:rPr>
          <w:rFonts w:hint="eastAsia" w:ascii="仿宋" w:hAnsi="仿宋" w:eastAsia="仿宋" w:cs="仿宋"/>
          <w:sz w:val="24"/>
          <w:szCs w:val="24"/>
          <w:highlight w:val="none"/>
        </w:rPr>
        <w:t>向采购人支付</w:t>
      </w:r>
      <w:r>
        <w:rPr>
          <w:rFonts w:hint="eastAsia" w:ascii="仿宋" w:hAnsi="仿宋" w:eastAsia="仿宋" w:cs="仿宋"/>
          <w:sz w:val="24"/>
          <w:szCs w:val="24"/>
          <w:highlight w:val="none"/>
          <w:u w:val="single"/>
          <w:lang w:eastAsia="zh-CN"/>
        </w:rPr>
        <w:t>预算</w:t>
      </w:r>
      <w:r>
        <w:rPr>
          <w:rFonts w:hint="eastAsia" w:ascii="仿宋" w:hAnsi="仿宋" w:eastAsia="仿宋" w:cs="仿宋"/>
          <w:sz w:val="24"/>
          <w:szCs w:val="24"/>
          <w:highlight w:val="none"/>
          <w:u w:val="single"/>
        </w:rPr>
        <w:t>金额的</w:t>
      </w:r>
      <w:r>
        <w:rPr>
          <w:rFonts w:hint="eastAsia" w:ascii="仿宋" w:hAnsi="仿宋" w:eastAsia="仿宋" w:cs="仿宋"/>
          <w:sz w:val="24"/>
          <w:szCs w:val="24"/>
          <w:highlight w:val="none"/>
          <w:u w:val="single"/>
          <w:lang w:val="en-US"/>
        </w:rPr>
        <w:t>1</w:t>
      </w:r>
      <w:r>
        <w:rPr>
          <w:rFonts w:hint="eastAsia" w:ascii="仿宋" w:hAnsi="仿宋" w:eastAsia="仿宋" w:cs="仿宋"/>
          <w:sz w:val="24"/>
          <w:szCs w:val="24"/>
          <w:highlight w:val="none"/>
          <w:u w:val="single"/>
        </w:rPr>
        <w:t>%（计     元）</w:t>
      </w:r>
      <w:r>
        <w:rPr>
          <w:rFonts w:hint="eastAsia" w:ascii="仿宋" w:hAnsi="仿宋" w:eastAsia="仿宋" w:cs="仿宋"/>
          <w:sz w:val="24"/>
          <w:szCs w:val="24"/>
          <w:highlight w:val="none"/>
        </w:rPr>
        <w:t>作为履约保证金。</w:t>
      </w:r>
    </w:p>
    <w:p w14:paraId="12712A48">
      <w:pPr>
        <w:pStyle w:val="1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以支票、汇票、本票、保函等非现金形式缴纳或提交履约保证金。鼓励和支持</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以银行、保险公司出具的保函形式提供履约保证。</w:t>
      </w:r>
    </w:p>
    <w:p w14:paraId="02489DF7">
      <w:pPr>
        <w:pStyle w:val="1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项目全部义务履约完毕，如未出现违约责任则予以退还。有违约责任的，从合同款中扣除</w:t>
      </w:r>
      <w:r>
        <w:rPr>
          <w:rFonts w:hint="eastAsia" w:ascii="仿宋" w:hAnsi="仿宋" w:eastAsia="仿宋" w:cs="仿宋"/>
          <w:sz w:val="24"/>
          <w:szCs w:val="24"/>
          <w:highlight w:val="none"/>
          <w:lang w:val="en-US" w:eastAsia="zh-CN"/>
        </w:rPr>
        <w:t>违约金额，或乙方另行缴纳违约金</w:t>
      </w:r>
      <w:r>
        <w:rPr>
          <w:rFonts w:hint="eastAsia" w:ascii="仿宋" w:hAnsi="仿宋" w:eastAsia="仿宋" w:cs="仿宋"/>
          <w:sz w:val="24"/>
          <w:szCs w:val="24"/>
          <w:highlight w:val="none"/>
        </w:rPr>
        <w:t>。</w:t>
      </w:r>
    </w:p>
    <w:p w14:paraId="60D4393E">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六、质量要求</w:t>
      </w:r>
    </w:p>
    <w:p w14:paraId="1CA18CB9">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乙方保证所提交成果符合国家相关规范、规程的要求。</w:t>
      </w:r>
    </w:p>
    <w:p w14:paraId="01A34C5A">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七、技术资料</w:t>
      </w:r>
    </w:p>
    <w:p w14:paraId="67F5E589">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1.乙方应按采购文件规定的时间向甲方提供有关技术资料。</w:t>
      </w:r>
    </w:p>
    <w:p w14:paraId="26C0A72E">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2.没有甲方事先书面同意，乙方不得将由甲方提供的有关合同或任何合同条文或资料提供给与履行本合同无关的任何其他人。即使向履行本合同有关的人员提供，也应注意保密并限于履行合同的必需范围。</w:t>
      </w:r>
    </w:p>
    <w:p w14:paraId="0C827CBC">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八、知识产权</w:t>
      </w:r>
    </w:p>
    <w:p w14:paraId="09226041">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乙方应保证提供服务过程中不会侵犯任何第三方的知识产权。</w:t>
      </w:r>
    </w:p>
    <w:p w14:paraId="051D29DA">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九、验收</w:t>
      </w:r>
    </w:p>
    <w:p w14:paraId="51D8A0F7">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本项目组织履约验收，验收合格的情况作为项目支付的依据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甲方有权在乙方提供服务的过程中，对乙方的服务内容和质量进行中期考核，乙方应当配合进行。（考核程序及要求细则见合同附件1）</w:t>
      </w:r>
    </w:p>
    <w:p w14:paraId="51DBD80A">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1.验收主体：杭州综合保税区管理办公室或杭州海关下沙办</w:t>
      </w:r>
    </w:p>
    <w:p w14:paraId="5C4298CB">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2.最终验收时间：服务履约期满或支付费用达到合同约定金额（以先满足的条件为准）</w:t>
      </w:r>
    </w:p>
    <w:p w14:paraId="6C7D1D54">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验收依据：①</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文件确定的技术指标或者服务要求；②响应文件承诺、询标回复；③服务合同。未进行相应约定的，应当符合国家强制性规定、政策要求、安全标准、行业或企业有关标准等。</w:t>
      </w:r>
    </w:p>
    <w:p w14:paraId="25D4F86B">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本项目的验收标准：①服务质量反馈；②服务台账，要求台账记录清晰完整、材料完备。</w:t>
      </w:r>
    </w:p>
    <w:p w14:paraId="1E2844E8">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5.验收产生的费用由甲方承担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如因乙方原因造成首次验收不能通过的，后续验收费用由乙方承担。</w:t>
      </w:r>
    </w:p>
    <w:p w14:paraId="77952B19">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十、转包或分包</w:t>
      </w:r>
    </w:p>
    <w:p w14:paraId="5011C015">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1.本合同范围的服务，应由乙方直接供应，不得转让他人供应；</w:t>
      </w:r>
    </w:p>
    <w:p w14:paraId="2E69C5EE">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2.如有转让和未经甲方</w:t>
      </w:r>
      <w:r>
        <w:rPr>
          <w:rFonts w:hint="eastAsia" w:ascii="仿宋" w:hAnsi="仿宋" w:eastAsia="仿宋" w:cs="仿宋"/>
          <w:sz w:val="24"/>
          <w:szCs w:val="24"/>
          <w:highlight w:val="none"/>
          <w:lang w:val="en-US" w:eastAsia="zh-CN"/>
        </w:rPr>
        <w:t>或任务下达方</w:t>
      </w:r>
      <w:r>
        <w:rPr>
          <w:rFonts w:hint="eastAsia" w:ascii="仿宋" w:hAnsi="仿宋" w:eastAsia="仿宋" w:cs="仿宋"/>
          <w:sz w:val="24"/>
          <w:szCs w:val="24"/>
          <w:highlight w:val="none"/>
        </w:rPr>
        <w:t>同意的分包行为，甲方有权解除合同，并追究乙方的违约责任。</w:t>
      </w:r>
    </w:p>
    <w:p w14:paraId="38CEA56D">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十一、税费</w:t>
      </w:r>
    </w:p>
    <w:p w14:paraId="7F62FDD2">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合同履约有关的一切税费，均按照中华人民共和国法律的相关规定缴纳。</w:t>
      </w:r>
    </w:p>
    <w:p w14:paraId="559CEB48">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十二、质量保证及后续服务</w:t>
      </w:r>
    </w:p>
    <w:p w14:paraId="778371F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乙方应按采购文件规定向甲方提供服务。</w:t>
      </w:r>
    </w:p>
    <w:p w14:paraId="163450F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乙方提供的服务成果在服务质量保证期内发生问题，乙方应负责免费提供后续服务。对达不到要求者，甲方有权选择按以下办法处理：</w:t>
      </w:r>
    </w:p>
    <w:p w14:paraId="487F2CC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(1)重做：由乙方承担所发生的全部费用。</w:t>
      </w:r>
    </w:p>
    <w:p w14:paraId="0FFC2BC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(2)解除合同。</w:t>
      </w:r>
    </w:p>
    <w:p w14:paraId="151B071A">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十三、违约责任</w:t>
      </w:r>
    </w:p>
    <w:p w14:paraId="716DD6A5">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1．甲方无正当理由拒收接受服务的，甲方向乙方偿付合同款项百分之五作为违约金。</w:t>
      </w:r>
    </w:p>
    <w:p w14:paraId="476BA4D5">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2．甲方无故逾期验收和办理款项支付手续的,甲方应按逾期付款总额每日万分之五向乙方支付违约金。</w:t>
      </w:r>
    </w:p>
    <w:p w14:paraId="106B745F">
      <w:pPr>
        <w:keepNext w:val="0"/>
        <w:keepLines w:val="0"/>
        <w:pageBreakBefore w:val="0"/>
        <w:widowControl w:val="0"/>
        <w:tabs>
          <w:tab w:val="left" w:pos="54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7010865">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十四、</w:t>
      </w:r>
      <w:r>
        <w:rPr>
          <w:rFonts w:hint="eastAsia" w:ascii="仿宋" w:hAnsi="仿宋" w:eastAsia="仿宋" w:cs="仿宋"/>
          <w:b/>
          <w:bCs/>
          <w:sz w:val="24"/>
          <w:szCs w:val="24"/>
          <w:highlight w:val="none"/>
        </w:rPr>
        <w:t>不可抗力</w:t>
      </w:r>
    </w:p>
    <w:p w14:paraId="0AA290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不可抗力：如果双方中任何一方由于战争、严重火灾、水灾、台风、地震、</w:t>
      </w:r>
      <w:r>
        <w:rPr>
          <w:rFonts w:hint="eastAsia" w:ascii="仿宋" w:hAnsi="仿宋" w:eastAsia="仿宋" w:cs="仿宋"/>
          <w:color w:val="auto"/>
          <w:sz w:val="24"/>
          <w:szCs w:val="24"/>
          <w:highlight w:val="none"/>
          <w:lang w:val="en-US" w:eastAsia="zh-CN"/>
        </w:rPr>
        <w:t>政策因素</w:t>
      </w:r>
      <w:r>
        <w:rPr>
          <w:rFonts w:hint="eastAsia" w:ascii="仿宋" w:hAnsi="仿宋" w:eastAsia="仿宋" w:cs="仿宋"/>
          <w:color w:val="auto"/>
          <w:sz w:val="24"/>
          <w:szCs w:val="24"/>
          <w:highlight w:val="none"/>
          <w:lang w:val="zh-CN"/>
        </w:rPr>
        <w:t>以及其它经双方同意属于不可抗力的事故，致使合同履行受阻时，履行合同的期限应予延长，延长的期限应相当于事故所影响的时间。</w:t>
      </w:r>
    </w:p>
    <w:p w14:paraId="6F1B0D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受事故影响的一方应在不可抗力的事故发生后尽快以书面形式通知另一方，并在事故发生后14天内，将有关证明送给另一方。如果不可抗力影响时间延续120天以上的，双方应通过友好协商在合理的时间内达成进一步履行合同的协议。</w:t>
      </w:r>
    </w:p>
    <w:p w14:paraId="61743A21">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十五、法律适用与争议解决</w:t>
      </w:r>
    </w:p>
    <w:p w14:paraId="15BB82F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本合同应适用中国法律并应根据中国法律解释。</w:t>
      </w:r>
    </w:p>
    <w:p w14:paraId="1D1DE25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本合同引起的或与本合同有关的任何争议，双方应当协商解决。经双方协商不能解决的，任何一方均有权向甲方所在地人民法院提起诉讼。</w:t>
      </w:r>
    </w:p>
    <w:p w14:paraId="68E64039">
      <w:pPr>
        <w:keepNext w:val="0"/>
        <w:keepLines w:val="0"/>
        <w:pageBreakBefore w:val="0"/>
        <w:widowControl w:val="0"/>
        <w:tabs>
          <w:tab w:val="left" w:pos="540"/>
        </w:tabs>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十六、合同生效</w:t>
      </w:r>
    </w:p>
    <w:p w14:paraId="494012D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本合同由甲乙双方签字盖章之日起生效。</w:t>
      </w:r>
    </w:p>
    <w:p w14:paraId="21F05A0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合同期内乙方不得转包；如转包，立即解除合同</w:t>
      </w:r>
    </w:p>
    <w:p w14:paraId="5AF10CA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对本合同的任何修改和补充均应以补充合同的形式作出，由双方签字盖章后生效。本合同的附件、补充合同与本合同具有同等法律效力。</w:t>
      </w:r>
    </w:p>
    <w:p w14:paraId="6B26B28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本合同部分无效，不影响其他部分效力的，其他部分仍然有效。</w:t>
      </w:r>
    </w:p>
    <w:p w14:paraId="1F8AF07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．本合同一式</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份，甲方执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份，乙方执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w:t>
      </w:r>
    </w:p>
    <w:p w14:paraId="7FC6375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．与本合同有关的</w:t>
      </w:r>
      <w:r>
        <w:rPr>
          <w:rFonts w:hint="eastAsia" w:ascii="仿宋" w:hAnsi="仿宋" w:eastAsia="仿宋" w:cs="仿宋"/>
          <w:snapToGrid w:val="0"/>
          <w:color w:val="auto"/>
          <w:sz w:val="24"/>
          <w:szCs w:val="24"/>
          <w:highlight w:val="none"/>
          <w:lang w:val="en-US" w:eastAsia="zh-CN"/>
        </w:rPr>
        <w:t>采购</w:t>
      </w:r>
      <w:r>
        <w:rPr>
          <w:rFonts w:hint="eastAsia" w:ascii="仿宋" w:hAnsi="仿宋" w:eastAsia="仿宋" w:cs="仿宋"/>
          <w:snapToGrid w:val="0"/>
          <w:color w:val="auto"/>
          <w:sz w:val="24"/>
          <w:szCs w:val="24"/>
          <w:highlight w:val="none"/>
        </w:rPr>
        <w:t>文件、投标文件、询价纪要、澄清回复、补充协议等与本合同同样具有法律效力。</w:t>
      </w:r>
    </w:p>
    <w:p w14:paraId="43232E3B">
      <w:pPr>
        <w:adjustRightInd w:val="0"/>
        <w:snapToGrid w:val="0"/>
        <w:spacing w:line="360" w:lineRule="auto"/>
        <w:ind w:firstLine="482" w:firstLineChars="200"/>
        <w:rPr>
          <w:rFonts w:hint="eastAsia"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14:paraId="3A1FEF6D">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bl>
      <w:tblPr>
        <w:tblStyle w:val="45"/>
        <w:tblW w:w="8895" w:type="dxa"/>
        <w:tblCellSpacing w:w="0" w:type="dxa"/>
        <w:tblInd w:w="0" w:type="dxa"/>
        <w:tblLayout w:type="fixed"/>
        <w:tblCellMar>
          <w:top w:w="0" w:type="dxa"/>
          <w:left w:w="0" w:type="dxa"/>
          <w:bottom w:w="0" w:type="dxa"/>
          <w:right w:w="0" w:type="dxa"/>
        </w:tblCellMar>
      </w:tblPr>
      <w:tblGrid>
        <w:gridCol w:w="5160"/>
        <w:gridCol w:w="3735"/>
      </w:tblGrid>
      <w:tr w14:paraId="7003C42E">
        <w:tblPrEx>
          <w:tblCellMar>
            <w:top w:w="0" w:type="dxa"/>
            <w:left w:w="0" w:type="dxa"/>
            <w:bottom w:w="0" w:type="dxa"/>
            <w:right w:w="0" w:type="dxa"/>
          </w:tblCellMar>
        </w:tblPrEx>
        <w:trPr>
          <w:trHeight w:val="600" w:hRule="atLeast"/>
          <w:tblCellSpacing w:w="0" w:type="dxa"/>
        </w:trPr>
        <w:tc>
          <w:tcPr>
            <w:tcW w:w="5160" w:type="dxa"/>
            <w:vAlign w:val="center"/>
          </w:tcPr>
          <w:p w14:paraId="7CA0C20F">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vAlign w:val="center"/>
          </w:tcPr>
          <w:p w14:paraId="72FBEA3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14:paraId="37F5CB71">
        <w:tblPrEx>
          <w:tblCellMar>
            <w:top w:w="0" w:type="dxa"/>
            <w:left w:w="0" w:type="dxa"/>
            <w:bottom w:w="0" w:type="dxa"/>
            <w:right w:w="0" w:type="dxa"/>
          </w:tblCellMar>
        </w:tblPrEx>
        <w:trPr>
          <w:trHeight w:val="705" w:hRule="atLeast"/>
          <w:tblCellSpacing w:w="0" w:type="dxa"/>
        </w:trPr>
        <w:tc>
          <w:tcPr>
            <w:tcW w:w="5160" w:type="dxa"/>
            <w:vAlign w:val="center"/>
          </w:tcPr>
          <w:p w14:paraId="5F3821F1">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4A8673A4">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vAlign w:val="center"/>
          </w:tcPr>
          <w:p w14:paraId="1FF89869">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p w14:paraId="1DD31A4E">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14:paraId="409DF32E">
        <w:tblPrEx>
          <w:tblCellMar>
            <w:top w:w="0" w:type="dxa"/>
            <w:left w:w="0" w:type="dxa"/>
            <w:bottom w:w="0" w:type="dxa"/>
            <w:right w:w="0" w:type="dxa"/>
          </w:tblCellMar>
        </w:tblPrEx>
        <w:trPr>
          <w:trHeight w:val="600" w:hRule="atLeast"/>
          <w:tblCellSpacing w:w="0" w:type="dxa"/>
        </w:trPr>
        <w:tc>
          <w:tcPr>
            <w:tcW w:w="5160" w:type="dxa"/>
            <w:vAlign w:val="center"/>
          </w:tcPr>
          <w:p w14:paraId="0DB0E8DE">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14:paraId="44502097">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14:paraId="4BE1B5E0">
        <w:tblPrEx>
          <w:tblCellMar>
            <w:top w:w="0" w:type="dxa"/>
            <w:left w:w="0" w:type="dxa"/>
            <w:bottom w:w="0" w:type="dxa"/>
            <w:right w:w="0" w:type="dxa"/>
          </w:tblCellMar>
        </w:tblPrEx>
        <w:trPr>
          <w:trHeight w:val="600" w:hRule="atLeast"/>
          <w:tblCellSpacing w:w="0" w:type="dxa"/>
        </w:trPr>
        <w:tc>
          <w:tcPr>
            <w:tcW w:w="5160" w:type="dxa"/>
            <w:vAlign w:val="center"/>
          </w:tcPr>
          <w:p w14:paraId="75718889">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14:paraId="0E4F71D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14:paraId="7DC409F3">
        <w:tblPrEx>
          <w:tblCellMar>
            <w:top w:w="0" w:type="dxa"/>
            <w:left w:w="0" w:type="dxa"/>
            <w:bottom w:w="0" w:type="dxa"/>
            <w:right w:w="0" w:type="dxa"/>
          </w:tblCellMar>
        </w:tblPrEx>
        <w:trPr>
          <w:trHeight w:val="600" w:hRule="atLeast"/>
          <w:tblCellSpacing w:w="0" w:type="dxa"/>
        </w:trPr>
        <w:tc>
          <w:tcPr>
            <w:tcW w:w="5160" w:type="dxa"/>
            <w:vAlign w:val="center"/>
          </w:tcPr>
          <w:p w14:paraId="2382F9D7">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14:paraId="6F59C446">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14:paraId="15F9A158">
        <w:tblPrEx>
          <w:tblCellMar>
            <w:top w:w="0" w:type="dxa"/>
            <w:left w:w="0" w:type="dxa"/>
            <w:bottom w:w="0" w:type="dxa"/>
            <w:right w:w="0" w:type="dxa"/>
          </w:tblCellMar>
        </w:tblPrEx>
        <w:trPr>
          <w:trHeight w:val="600" w:hRule="atLeast"/>
          <w:tblCellSpacing w:w="0" w:type="dxa"/>
        </w:trPr>
        <w:tc>
          <w:tcPr>
            <w:tcW w:w="5160" w:type="dxa"/>
            <w:vAlign w:val="center"/>
          </w:tcPr>
          <w:p w14:paraId="7EAE19A4">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14:paraId="6736F477">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14:paraId="603A5B31">
        <w:tblPrEx>
          <w:tblCellMar>
            <w:top w:w="0" w:type="dxa"/>
            <w:left w:w="0" w:type="dxa"/>
            <w:bottom w:w="0" w:type="dxa"/>
            <w:right w:w="0" w:type="dxa"/>
          </w:tblCellMar>
        </w:tblPrEx>
        <w:trPr>
          <w:trHeight w:val="600" w:hRule="atLeast"/>
          <w:tblCellSpacing w:w="0" w:type="dxa"/>
        </w:trPr>
        <w:tc>
          <w:tcPr>
            <w:tcW w:w="5160" w:type="dxa"/>
            <w:vAlign w:val="center"/>
          </w:tcPr>
          <w:p w14:paraId="73682E93">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14:paraId="7698CA0C">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14:paraId="35BBAF28">
        <w:tblPrEx>
          <w:tblCellMar>
            <w:top w:w="0" w:type="dxa"/>
            <w:left w:w="0" w:type="dxa"/>
            <w:bottom w:w="0" w:type="dxa"/>
            <w:right w:w="0" w:type="dxa"/>
          </w:tblCellMar>
        </w:tblPrEx>
        <w:trPr>
          <w:trHeight w:val="600" w:hRule="atLeast"/>
          <w:tblCellSpacing w:w="0" w:type="dxa"/>
        </w:trPr>
        <w:tc>
          <w:tcPr>
            <w:tcW w:w="5160" w:type="dxa"/>
            <w:vAlign w:val="center"/>
          </w:tcPr>
          <w:p w14:paraId="3726A9A8">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14:paraId="483F0471">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14:paraId="7D994FE2">
        <w:tblPrEx>
          <w:tblCellMar>
            <w:top w:w="0" w:type="dxa"/>
            <w:left w:w="0" w:type="dxa"/>
            <w:bottom w:w="0" w:type="dxa"/>
            <w:right w:w="0" w:type="dxa"/>
          </w:tblCellMar>
        </w:tblPrEx>
        <w:trPr>
          <w:trHeight w:val="600" w:hRule="atLeast"/>
          <w:tblCellSpacing w:w="0" w:type="dxa"/>
        </w:trPr>
        <w:tc>
          <w:tcPr>
            <w:tcW w:w="5160" w:type="dxa"/>
            <w:vAlign w:val="center"/>
          </w:tcPr>
          <w:p w14:paraId="398E554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vAlign w:val="center"/>
          </w:tcPr>
          <w:p w14:paraId="28329234">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14:paraId="7788EFB0">
      <w:pPr>
        <w:adjustRightInd w:val="0"/>
        <w:snapToGrid w:val="0"/>
        <w:spacing w:line="360" w:lineRule="auto"/>
        <w:rPr>
          <w:rFonts w:hint="eastAsia" w:ascii="仿宋" w:hAnsi="仿宋" w:eastAsia="仿宋" w:cs="仿宋"/>
          <w:color w:val="auto"/>
          <w:kern w:val="0"/>
          <w:sz w:val="24"/>
          <w:highlight w:val="none"/>
        </w:rPr>
      </w:pPr>
    </w:p>
    <w:p w14:paraId="62678910">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14:paraId="6738CB9E">
      <w:pPr>
        <w:rPr>
          <w:rFonts w:hint="eastAsia" w:ascii="仿宋" w:hAnsi="仿宋" w:eastAsia="仿宋" w:cs="仿宋"/>
          <w:b/>
          <w:bCs/>
          <w:snapToGrid w:val="0"/>
          <w:kern w:val="0"/>
          <w:sz w:val="24"/>
          <w:szCs w:val="24"/>
          <w:highlight w:val="none"/>
          <w:lang w:val="en-US" w:eastAsia="zh-CN"/>
        </w:rPr>
      </w:pPr>
      <w:r>
        <w:rPr>
          <w:rFonts w:hint="eastAsia" w:ascii="仿宋" w:hAnsi="仿宋" w:eastAsia="仿宋" w:cs="仿宋"/>
          <w:bCs/>
          <w:kern w:val="0"/>
          <w:sz w:val="24"/>
          <w:highlight w:val="none"/>
          <w:lang w:bidi="zh-CN"/>
        </w:rPr>
        <w:br w:type="page"/>
      </w:r>
      <w:r>
        <w:rPr>
          <w:rFonts w:hint="eastAsia" w:ascii="仿宋" w:hAnsi="仿宋" w:eastAsia="仿宋" w:cs="仿宋"/>
          <w:b/>
          <w:bCs/>
          <w:snapToGrid w:val="0"/>
          <w:kern w:val="0"/>
          <w:sz w:val="24"/>
          <w:szCs w:val="24"/>
          <w:highlight w:val="none"/>
          <w:lang w:val="en-US" w:eastAsia="zh-CN"/>
        </w:rPr>
        <w:t>附件1：考核程序及要求细则</w:t>
      </w:r>
    </w:p>
    <w:p w14:paraId="7B9D42FE">
      <w:pPr>
        <w:snapToGrid w:val="0"/>
        <w:spacing w:line="440" w:lineRule="exact"/>
        <w:rPr>
          <w:rFonts w:hint="eastAsia" w:ascii="仿宋" w:hAnsi="仿宋" w:eastAsia="仿宋" w:cs="仿宋"/>
          <w:snapToGrid w:val="0"/>
          <w:kern w:val="0"/>
          <w:sz w:val="24"/>
          <w:szCs w:val="24"/>
          <w:highlight w:val="none"/>
          <w:lang w:val="en-US" w:eastAsia="zh-CN" w:bidi="ar-SA"/>
        </w:rPr>
      </w:pPr>
    </w:p>
    <w:p w14:paraId="28DC5A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甲方或甲方依法委托的其他机构将对乙方项目完成情况进行考核，考核原则上通过项目全流程检查、日常部分检测指标抽检、服务质量评定等方式展开。全流程检查、日常部分检测指标抽检结果可以是服务质量评定的结论依据。</w:t>
      </w:r>
    </w:p>
    <w:p w14:paraId="13344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乙方在接受考核前，应提交相应的考核材料表（附件2），考核材料的内容应包括：实施项目的基本情况介绍、项目执行进度情况表(附件3）、乙方在抽采样过程中收到的海关任务委托书以及对应的产品抽/采样凭证、已完成检测的产品检测报告，半年或者全年的风险监测质量分析。</w:t>
      </w:r>
    </w:p>
    <w:p w14:paraId="3DD60A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甲方根据考核情况对乙方进行评定，针对乙方提供的考核材料表中的材料进行抽查及验证，并出具考核情况报告（见附件4），各项考核事项均需要达到符合或基本符合要求，如有不符合项视为考核不合格，考核不合格的，甲方有权暂停支付后续相应费用，且应当通知乙方限期达到合同约定的要求。经甲方见证整改符合要求后出具整改合格考核结论。给甲方造成损失的，乙方应当承担赔偿责任。</w:t>
      </w:r>
    </w:p>
    <w:p w14:paraId="7E166DF0">
      <w:pPr>
        <w:snapToGrid w:val="0"/>
        <w:spacing w:line="440" w:lineRule="exact"/>
        <w:rPr>
          <w:rFonts w:hint="eastAsia" w:ascii="仿宋" w:hAnsi="仿宋" w:eastAsia="仿宋" w:cs="仿宋"/>
          <w:b/>
          <w:bCs/>
          <w:snapToGrid w:val="0"/>
          <w:kern w:val="0"/>
          <w:sz w:val="24"/>
          <w:szCs w:val="24"/>
          <w:highlight w:val="none"/>
          <w:lang w:val="en-US" w:eastAsia="zh-CN" w:bidi="ar-SA"/>
        </w:rPr>
      </w:pPr>
      <w:r>
        <w:rPr>
          <w:rFonts w:hint="eastAsia" w:ascii="仿宋" w:hAnsi="仿宋" w:eastAsia="仿宋" w:cs="仿宋"/>
          <w:b/>
          <w:bCs/>
          <w:snapToGrid w:val="0"/>
          <w:kern w:val="0"/>
          <w:sz w:val="24"/>
          <w:szCs w:val="24"/>
          <w:highlight w:val="none"/>
          <w:lang w:val="en-US" w:eastAsia="zh-CN" w:bidi="ar-SA"/>
        </w:rPr>
        <w:t>附件2：考核材料表</w:t>
      </w:r>
    </w:p>
    <w:p w14:paraId="51671977">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依据：</w:t>
      </w:r>
      <w:r>
        <w:rPr>
          <w:rFonts w:hint="eastAsia" w:ascii="仿宋" w:hAnsi="仿宋" w:eastAsia="仿宋" w:cs="仿宋"/>
          <w:sz w:val="24"/>
          <w:szCs w:val="24"/>
          <w:highlight w:val="none"/>
        </w:rPr>
        <w:t>□合同要求 □合同要求+相关标准 □其他_________</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903"/>
        <w:gridCol w:w="3347"/>
        <w:gridCol w:w="1980"/>
      </w:tblGrid>
      <w:tr w14:paraId="5E8D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3FB9A4C4">
            <w:pPr>
              <w:adjustRightInd w:val="0"/>
              <w:snapToGrid w:val="0"/>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563" w:type="pct"/>
          </w:tcPr>
          <w:p w14:paraId="31C411AF">
            <w:pPr>
              <w:adjustRightInd w:val="0"/>
              <w:snapToGrid w:val="0"/>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考核</w:t>
            </w:r>
            <w:r>
              <w:rPr>
                <w:rFonts w:hint="eastAsia" w:ascii="仿宋" w:hAnsi="仿宋" w:eastAsia="仿宋" w:cs="仿宋"/>
                <w:b/>
                <w:bCs/>
                <w:kern w:val="0"/>
                <w:sz w:val="24"/>
                <w:szCs w:val="24"/>
                <w:highlight w:val="none"/>
              </w:rPr>
              <w:t>事项</w:t>
            </w:r>
          </w:p>
        </w:tc>
        <w:tc>
          <w:tcPr>
            <w:tcW w:w="1802" w:type="pct"/>
          </w:tcPr>
          <w:p w14:paraId="0ED137B8">
            <w:pPr>
              <w:adjustRightInd w:val="0"/>
              <w:snapToGrid w:val="0"/>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符合情况</w:t>
            </w:r>
          </w:p>
        </w:tc>
        <w:tc>
          <w:tcPr>
            <w:tcW w:w="1066" w:type="pct"/>
          </w:tcPr>
          <w:p w14:paraId="5F6A8B09">
            <w:pPr>
              <w:adjustRightInd w:val="0"/>
              <w:snapToGrid w:val="0"/>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5B8C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518D164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63" w:type="pct"/>
          </w:tcPr>
          <w:p w14:paraId="46E6D7DA">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实施项目的基本情况介绍</w:t>
            </w:r>
          </w:p>
        </w:tc>
        <w:tc>
          <w:tcPr>
            <w:tcW w:w="1802" w:type="pct"/>
          </w:tcPr>
          <w:p w14:paraId="1B96A2B3">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4C3FE402">
            <w:pPr>
              <w:adjustRightInd w:val="0"/>
              <w:snapToGrid w:val="0"/>
              <w:spacing w:line="360" w:lineRule="auto"/>
              <w:jc w:val="center"/>
              <w:rPr>
                <w:rFonts w:hint="eastAsia" w:ascii="仿宋" w:hAnsi="仿宋" w:eastAsia="仿宋" w:cs="仿宋"/>
                <w:kern w:val="0"/>
                <w:sz w:val="24"/>
                <w:szCs w:val="24"/>
                <w:highlight w:val="none"/>
              </w:rPr>
            </w:pPr>
          </w:p>
        </w:tc>
      </w:tr>
      <w:tr w14:paraId="381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73B3F0B9">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63" w:type="pct"/>
          </w:tcPr>
          <w:p w14:paraId="758FC4FE">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项目执行进度情况表</w:t>
            </w:r>
          </w:p>
        </w:tc>
        <w:tc>
          <w:tcPr>
            <w:tcW w:w="1802" w:type="pct"/>
          </w:tcPr>
          <w:p w14:paraId="3B355A94">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6C6A0E1E">
            <w:pPr>
              <w:adjustRightInd w:val="0"/>
              <w:snapToGrid w:val="0"/>
              <w:spacing w:line="360" w:lineRule="auto"/>
              <w:jc w:val="center"/>
              <w:rPr>
                <w:rFonts w:hint="eastAsia" w:ascii="仿宋" w:hAnsi="仿宋" w:eastAsia="仿宋" w:cs="仿宋"/>
                <w:kern w:val="0"/>
                <w:sz w:val="24"/>
                <w:szCs w:val="24"/>
                <w:highlight w:val="none"/>
              </w:rPr>
            </w:pPr>
          </w:p>
        </w:tc>
      </w:tr>
      <w:tr w14:paraId="533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28BF731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63" w:type="pct"/>
          </w:tcPr>
          <w:p w14:paraId="030CD067">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海关任务委托书</w:t>
            </w:r>
          </w:p>
        </w:tc>
        <w:tc>
          <w:tcPr>
            <w:tcW w:w="1802" w:type="pct"/>
          </w:tcPr>
          <w:p w14:paraId="350AC416">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277EF3B3">
            <w:pPr>
              <w:adjustRightInd w:val="0"/>
              <w:snapToGrid w:val="0"/>
              <w:spacing w:line="360" w:lineRule="auto"/>
              <w:jc w:val="center"/>
              <w:rPr>
                <w:rFonts w:hint="eastAsia" w:ascii="仿宋" w:hAnsi="仿宋" w:eastAsia="仿宋" w:cs="仿宋"/>
                <w:kern w:val="0"/>
                <w:sz w:val="24"/>
                <w:szCs w:val="24"/>
                <w:highlight w:val="none"/>
              </w:rPr>
            </w:pPr>
          </w:p>
        </w:tc>
      </w:tr>
      <w:tr w14:paraId="139C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E04554A">
            <w:pPr>
              <w:adjustRightInd w:val="0"/>
              <w:snapToGrid w:val="0"/>
              <w:spacing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563" w:type="pct"/>
          </w:tcPr>
          <w:p w14:paraId="2D7FC243">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抽/采样凭证</w:t>
            </w:r>
          </w:p>
        </w:tc>
        <w:tc>
          <w:tcPr>
            <w:tcW w:w="1802" w:type="pct"/>
          </w:tcPr>
          <w:p w14:paraId="22DAC6F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5106FA05">
            <w:pPr>
              <w:adjustRightInd w:val="0"/>
              <w:snapToGrid w:val="0"/>
              <w:spacing w:line="360" w:lineRule="auto"/>
              <w:jc w:val="center"/>
              <w:rPr>
                <w:rFonts w:hint="eastAsia" w:ascii="仿宋" w:hAnsi="仿宋" w:eastAsia="仿宋" w:cs="仿宋"/>
                <w:kern w:val="0"/>
                <w:sz w:val="24"/>
                <w:szCs w:val="24"/>
                <w:highlight w:val="none"/>
              </w:rPr>
            </w:pPr>
          </w:p>
        </w:tc>
      </w:tr>
      <w:tr w14:paraId="55FF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5C8F2C4E">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1563" w:type="pct"/>
          </w:tcPr>
          <w:p w14:paraId="29940A2C">
            <w:pPr>
              <w:widowControl/>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检测报告</w:t>
            </w:r>
          </w:p>
        </w:tc>
        <w:tc>
          <w:tcPr>
            <w:tcW w:w="1802" w:type="pct"/>
          </w:tcPr>
          <w:p w14:paraId="6CB7DFA4">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536E01B0">
            <w:pPr>
              <w:adjustRightInd w:val="0"/>
              <w:snapToGrid w:val="0"/>
              <w:spacing w:line="360" w:lineRule="auto"/>
              <w:jc w:val="center"/>
              <w:rPr>
                <w:rFonts w:hint="eastAsia" w:ascii="仿宋" w:hAnsi="仿宋" w:eastAsia="仿宋" w:cs="仿宋"/>
                <w:kern w:val="0"/>
                <w:sz w:val="24"/>
                <w:szCs w:val="24"/>
                <w:highlight w:val="none"/>
              </w:rPr>
            </w:pPr>
          </w:p>
        </w:tc>
      </w:tr>
      <w:tr w14:paraId="6857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0BFD1AD7">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1563" w:type="pct"/>
          </w:tcPr>
          <w:p w14:paraId="10BDEFEA">
            <w:pPr>
              <w:widowControl/>
              <w:jc w:val="center"/>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半年或者全年质量分析</w:t>
            </w:r>
          </w:p>
        </w:tc>
        <w:tc>
          <w:tcPr>
            <w:tcW w:w="1802" w:type="pct"/>
          </w:tcPr>
          <w:p w14:paraId="0095B31A">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□符合 □基本符合 □不符合</w:t>
            </w:r>
          </w:p>
        </w:tc>
        <w:tc>
          <w:tcPr>
            <w:tcW w:w="1066" w:type="pct"/>
          </w:tcPr>
          <w:p w14:paraId="0CD07C0E">
            <w:pPr>
              <w:adjustRightInd w:val="0"/>
              <w:snapToGrid w:val="0"/>
              <w:spacing w:line="360" w:lineRule="auto"/>
              <w:jc w:val="center"/>
              <w:rPr>
                <w:rFonts w:hint="eastAsia" w:ascii="仿宋" w:hAnsi="仿宋" w:eastAsia="仿宋" w:cs="仿宋"/>
                <w:kern w:val="0"/>
                <w:sz w:val="24"/>
                <w:szCs w:val="24"/>
                <w:highlight w:val="none"/>
              </w:rPr>
            </w:pPr>
          </w:p>
        </w:tc>
      </w:tr>
      <w:tr w14:paraId="0EF4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2AF61D76">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tc>
        <w:tc>
          <w:tcPr>
            <w:tcW w:w="1563" w:type="pct"/>
          </w:tcPr>
          <w:p w14:paraId="545FBC45">
            <w:pPr>
              <w:adjustRightInd w:val="0"/>
              <w:snapToGrid w:val="0"/>
              <w:spacing w:line="360" w:lineRule="auto"/>
              <w:jc w:val="center"/>
              <w:rPr>
                <w:rFonts w:hint="eastAsia" w:ascii="仿宋" w:hAnsi="仿宋" w:eastAsia="仿宋" w:cs="仿宋"/>
                <w:kern w:val="0"/>
                <w:sz w:val="24"/>
                <w:szCs w:val="24"/>
                <w:highlight w:val="none"/>
              </w:rPr>
            </w:pPr>
          </w:p>
        </w:tc>
        <w:tc>
          <w:tcPr>
            <w:tcW w:w="1802" w:type="pct"/>
          </w:tcPr>
          <w:p w14:paraId="550EB5D5">
            <w:pPr>
              <w:adjustRightInd w:val="0"/>
              <w:snapToGrid w:val="0"/>
              <w:spacing w:line="360" w:lineRule="auto"/>
              <w:jc w:val="center"/>
              <w:rPr>
                <w:rFonts w:hint="eastAsia" w:ascii="仿宋" w:hAnsi="仿宋" w:eastAsia="仿宋" w:cs="仿宋"/>
                <w:kern w:val="0"/>
                <w:sz w:val="24"/>
                <w:szCs w:val="24"/>
                <w:highlight w:val="none"/>
              </w:rPr>
            </w:pPr>
          </w:p>
        </w:tc>
        <w:tc>
          <w:tcPr>
            <w:tcW w:w="1066" w:type="pct"/>
          </w:tcPr>
          <w:p w14:paraId="398982F8">
            <w:pPr>
              <w:adjustRightInd w:val="0"/>
              <w:snapToGrid w:val="0"/>
              <w:spacing w:line="360" w:lineRule="auto"/>
              <w:jc w:val="center"/>
              <w:rPr>
                <w:rFonts w:hint="eastAsia" w:ascii="仿宋" w:hAnsi="仿宋" w:eastAsia="仿宋" w:cs="仿宋"/>
                <w:kern w:val="0"/>
                <w:sz w:val="24"/>
                <w:szCs w:val="24"/>
                <w:highlight w:val="none"/>
              </w:rPr>
            </w:pPr>
          </w:p>
        </w:tc>
      </w:tr>
      <w:tr w14:paraId="6E7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117500C6">
            <w:pPr>
              <w:adjustRightInd w:val="0"/>
              <w:snapToGrid w:val="0"/>
              <w:spacing w:line="360" w:lineRule="auto"/>
              <w:jc w:val="center"/>
              <w:rPr>
                <w:rFonts w:hint="eastAsia" w:ascii="仿宋" w:hAnsi="仿宋" w:eastAsia="仿宋" w:cs="仿宋"/>
                <w:kern w:val="0"/>
                <w:sz w:val="24"/>
                <w:szCs w:val="24"/>
                <w:highlight w:val="none"/>
              </w:rPr>
            </w:pPr>
          </w:p>
        </w:tc>
        <w:tc>
          <w:tcPr>
            <w:tcW w:w="1563" w:type="pct"/>
          </w:tcPr>
          <w:p w14:paraId="70035D79">
            <w:pPr>
              <w:adjustRightInd w:val="0"/>
              <w:snapToGrid w:val="0"/>
              <w:spacing w:line="360" w:lineRule="auto"/>
              <w:jc w:val="center"/>
              <w:rPr>
                <w:rFonts w:hint="eastAsia" w:ascii="仿宋" w:hAnsi="仿宋" w:eastAsia="仿宋" w:cs="仿宋"/>
                <w:kern w:val="0"/>
                <w:sz w:val="24"/>
                <w:szCs w:val="24"/>
                <w:highlight w:val="none"/>
              </w:rPr>
            </w:pPr>
          </w:p>
        </w:tc>
        <w:tc>
          <w:tcPr>
            <w:tcW w:w="1802" w:type="pct"/>
          </w:tcPr>
          <w:p w14:paraId="7A2D51C9">
            <w:pPr>
              <w:adjustRightInd w:val="0"/>
              <w:snapToGrid w:val="0"/>
              <w:spacing w:line="360" w:lineRule="auto"/>
              <w:jc w:val="center"/>
              <w:rPr>
                <w:rFonts w:hint="eastAsia" w:ascii="仿宋" w:hAnsi="仿宋" w:eastAsia="仿宋" w:cs="仿宋"/>
                <w:kern w:val="0"/>
                <w:sz w:val="24"/>
                <w:szCs w:val="24"/>
                <w:highlight w:val="none"/>
              </w:rPr>
            </w:pPr>
          </w:p>
        </w:tc>
        <w:tc>
          <w:tcPr>
            <w:tcW w:w="1066" w:type="pct"/>
          </w:tcPr>
          <w:p w14:paraId="7E729DAA">
            <w:pPr>
              <w:adjustRightInd w:val="0"/>
              <w:snapToGrid w:val="0"/>
              <w:spacing w:line="360" w:lineRule="auto"/>
              <w:jc w:val="center"/>
              <w:rPr>
                <w:rFonts w:hint="eastAsia" w:ascii="仿宋" w:hAnsi="仿宋" w:eastAsia="仿宋" w:cs="仿宋"/>
                <w:kern w:val="0"/>
                <w:sz w:val="24"/>
                <w:szCs w:val="24"/>
                <w:highlight w:val="none"/>
              </w:rPr>
            </w:pPr>
          </w:p>
        </w:tc>
      </w:tr>
      <w:tr w14:paraId="723A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4A35B1CC">
            <w:pPr>
              <w:adjustRightInd w:val="0"/>
              <w:snapToGrid w:val="0"/>
              <w:spacing w:line="360" w:lineRule="auto"/>
              <w:jc w:val="center"/>
              <w:rPr>
                <w:rFonts w:hint="eastAsia" w:ascii="仿宋" w:hAnsi="仿宋" w:eastAsia="仿宋" w:cs="仿宋"/>
                <w:kern w:val="0"/>
                <w:sz w:val="24"/>
                <w:szCs w:val="24"/>
                <w:highlight w:val="none"/>
              </w:rPr>
            </w:pPr>
          </w:p>
        </w:tc>
        <w:tc>
          <w:tcPr>
            <w:tcW w:w="1563" w:type="pct"/>
          </w:tcPr>
          <w:p w14:paraId="7A27F1D1">
            <w:pPr>
              <w:adjustRightInd w:val="0"/>
              <w:snapToGrid w:val="0"/>
              <w:spacing w:line="360" w:lineRule="auto"/>
              <w:jc w:val="center"/>
              <w:rPr>
                <w:rFonts w:hint="eastAsia" w:ascii="仿宋" w:hAnsi="仿宋" w:eastAsia="仿宋" w:cs="仿宋"/>
                <w:kern w:val="0"/>
                <w:sz w:val="24"/>
                <w:szCs w:val="24"/>
                <w:highlight w:val="none"/>
              </w:rPr>
            </w:pPr>
          </w:p>
        </w:tc>
        <w:tc>
          <w:tcPr>
            <w:tcW w:w="1802" w:type="pct"/>
          </w:tcPr>
          <w:p w14:paraId="64524B9A">
            <w:pPr>
              <w:adjustRightInd w:val="0"/>
              <w:snapToGrid w:val="0"/>
              <w:spacing w:line="360" w:lineRule="auto"/>
              <w:jc w:val="center"/>
              <w:rPr>
                <w:rFonts w:hint="eastAsia" w:ascii="仿宋" w:hAnsi="仿宋" w:eastAsia="仿宋" w:cs="仿宋"/>
                <w:kern w:val="0"/>
                <w:sz w:val="24"/>
                <w:szCs w:val="24"/>
                <w:highlight w:val="none"/>
              </w:rPr>
            </w:pPr>
          </w:p>
        </w:tc>
        <w:tc>
          <w:tcPr>
            <w:tcW w:w="1066" w:type="pct"/>
          </w:tcPr>
          <w:p w14:paraId="10703570">
            <w:pPr>
              <w:adjustRightInd w:val="0"/>
              <w:snapToGrid w:val="0"/>
              <w:spacing w:line="360" w:lineRule="auto"/>
              <w:jc w:val="center"/>
              <w:rPr>
                <w:rFonts w:hint="eastAsia" w:ascii="仿宋" w:hAnsi="仿宋" w:eastAsia="仿宋" w:cs="仿宋"/>
                <w:kern w:val="0"/>
                <w:sz w:val="24"/>
                <w:szCs w:val="24"/>
                <w:highlight w:val="none"/>
              </w:rPr>
            </w:pPr>
          </w:p>
        </w:tc>
      </w:tr>
      <w:tr w14:paraId="1E9A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1756D4F3">
            <w:pPr>
              <w:adjustRightInd w:val="0"/>
              <w:snapToGrid w:val="0"/>
              <w:spacing w:line="360" w:lineRule="auto"/>
              <w:jc w:val="center"/>
              <w:rPr>
                <w:rFonts w:hint="eastAsia" w:ascii="仿宋" w:hAnsi="仿宋" w:eastAsia="仿宋" w:cs="仿宋"/>
                <w:kern w:val="0"/>
                <w:sz w:val="24"/>
                <w:szCs w:val="24"/>
                <w:highlight w:val="none"/>
              </w:rPr>
            </w:pPr>
          </w:p>
        </w:tc>
        <w:tc>
          <w:tcPr>
            <w:tcW w:w="1563" w:type="pct"/>
          </w:tcPr>
          <w:p w14:paraId="4979C517">
            <w:pPr>
              <w:adjustRightInd w:val="0"/>
              <w:snapToGrid w:val="0"/>
              <w:spacing w:line="360" w:lineRule="auto"/>
              <w:jc w:val="center"/>
              <w:rPr>
                <w:rFonts w:hint="eastAsia" w:ascii="仿宋" w:hAnsi="仿宋" w:eastAsia="仿宋" w:cs="仿宋"/>
                <w:kern w:val="0"/>
                <w:sz w:val="24"/>
                <w:szCs w:val="24"/>
                <w:highlight w:val="none"/>
              </w:rPr>
            </w:pPr>
          </w:p>
        </w:tc>
        <w:tc>
          <w:tcPr>
            <w:tcW w:w="1802" w:type="pct"/>
          </w:tcPr>
          <w:p w14:paraId="1F0409C0">
            <w:pPr>
              <w:adjustRightInd w:val="0"/>
              <w:snapToGrid w:val="0"/>
              <w:spacing w:line="360" w:lineRule="auto"/>
              <w:jc w:val="center"/>
              <w:rPr>
                <w:rFonts w:hint="eastAsia" w:ascii="仿宋" w:hAnsi="仿宋" w:eastAsia="仿宋" w:cs="仿宋"/>
                <w:kern w:val="0"/>
                <w:sz w:val="24"/>
                <w:szCs w:val="24"/>
                <w:highlight w:val="none"/>
              </w:rPr>
            </w:pPr>
          </w:p>
        </w:tc>
        <w:tc>
          <w:tcPr>
            <w:tcW w:w="1066" w:type="pct"/>
          </w:tcPr>
          <w:p w14:paraId="18B1A70D">
            <w:pPr>
              <w:adjustRightInd w:val="0"/>
              <w:snapToGrid w:val="0"/>
              <w:spacing w:line="360" w:lineRule="auto"/>
              <w:jc w:val="center"/>
              <w:rPr>
                <w:rFonts w:hint="eastAsia" w:ascii="仿宋" w:hAnsi="仿宋" w:eastAsia="仿宋" w:cs="仿宋"/>
                <w:kern w:val="0"/>
                <w:sz w:val="24"/>
                <w:szCs w:val="24"/>
                <w:highlight w:val="none"/>
              </w:rPr>
            </w:pPr>
          </w:p>
        </w:tc>
      </w:tr>
      <w:tr w14:paraId="598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D8B153C">
            <w:pPr>
              <w:adjustRightInd w:val="0"/>
              <w:snapToGrid w:val="0"/>
              <w:spacing w:line="360" w:lineRule="auto"/>
              <w:jc w:val="center"/>
              <w:rPr>
                <w:rFonts w:hint="eastAsia" w:ascii="仿宋" w:hAnsi="仿宋" w:eastAsia="仿宋" w:cs="仿宋"/>
                <w:kern w:val="0"/>
                <w:sz w:val="24"/>
                <w:szCs w:val="24"/>
                <w:highlight w:val="none"/>
              </w:rPr>
            </w:pPr>
          </w:p>
        </w:tc>
        <w:tc>
          <w:tcPr>
            <w:tcW w:w="1563" w:type="pct"/>
          </w:tcPr>
          <w:p w14:paraId="214DBF0E">
            <w:pPr>
              <w:adjustRightInd w:val="0"/>
              <w:snapToGrid w:val="0"/>
              <w:spacing w:line="360" w:lineRule="auto"/>
              <w:jc w:val="center"/>
              <w:rPr>
                <w:rFonts w:hint="eastAsia" w:ascii="仿宋" w:hAnsi="仿宋" w:eastAsia="仿宋" w:cs="仿宋"/>
                <w:kern w:val="0"/>
                <w:sz w:val="24"/>
                <w:szCs w:val="24"/>
                <w:highlight w:val="none"/>
              </w:rPr>
            </w:pPr>
          </w:p>
        </w:tc>
        <w:tc>
          <w:tcPr>
            <w:tcW w:w="1802" w:type="pct"/>
          </w:tcPr>
          <w:p w14:paraId="467172BE">
            <w:pPr>
              <w:adjustRightInd w:val="0"/>
              <w:snapToGrid w:val="0"/>
              <w:spacing w:line="360" w:lineRule="auto"/>
              <w:jc w:val="center"/>
              <w:rPr>
                <w:rFonts w:hint="eastAsia" w:ascii="仿宋" w:hAnsi="仿宋" w:eastAsia="仿宋" w:cs="仿宋"/>
                <w:kern w:val="0"/>
                <w:sz w:val="24"/>
                <w:szCs w:val="24"/>
                <w:highlight w:val="none"/>
              </w:rPr>
            </w:pPr>
          </w:p>
        </w:tc>
        <w:tc>
          <w:tcPr>
            <w:tcW w:w="1066" w:type="pct"/>
          </w:tcPr>
          <w:p w14:paraId="59539064">
            <w:pPr>
              <w:adjustRightInd w:val="0"/>
              <w:snapToGrid w:val="0"/>
              <w:spacing w:line="360" w:lineRule="auto"/>
              <w:jc w:val="center"/>
              <w:rPr>
                <w:rFonts w:hint="eastAsia" w:ascii="仿宋" w:hAnsi="仿宋" w:eastAsia="仿宋" w:cs="仿宋"/>
                <w:kern w:val="0"/>
                <w:sz w:val="24"/>
                <w:szCs w:val="24"/>
                <w:highlight w:val="none"/>
              </w:rPr>
            </w:pPr>
          </w:p>
        </w:tc>
      </w:tr>
    </w:tbl>
    <w:p w14:paraId="19DEA5EC">
      <w:pPr>
        <w:pStyle w:val="2"/>
        <w:ind w:left="0" w:leftChars="0" w:firstLine="0" w:firstLineChars="0"/>
        <w:rPr>
          <w:rFonts w:hint="eastAsia" w:ascii="仿宋" w:hAnsi="仿宋" w:eastAsia="仿宋" w:cs="仿宋"/>
          <w:sz w:val="24"/>
          <w:szCs w:val="24"/>
          <w:highlight w:val="none"/>
          <w:lang w:val="en-US" w:eastAsia="zh-CN"/>
        </w:rPr>
      </w:pPr>
    </w:p>
    <w:p w14:paraId="6CDCA30B">
      <w:pPr>
        <w:rPr>
          <w:rFonts w:hint="eastAsia" w:ascii="仿宋" w:hAnsi="仿宋" w:eastAsia="仿宋" w:cs="仿宋"/>
          <w:b/>
          <w:bCs/>
          <w:snapToGrid w:val="0"/>
          <w:kern w:val="0"/>
          <w:sz w:val="24"/>
          <w:szCs w:val="24"/>
          <w:highlight w:val="none"/>
          <w:lang w:val="en-US" w:eastAsia="zh-CN" w:bidi="ar-SA"/>
        </w:rPr>
      </w:pPr>
      <w:r>
        <w:rPr>
          <w:rFonts w:hint="eastAsia" w:ascii="仿宋" w:hAnsi="仿宋" w:eastAsia="仿宋" w:cs="仿宋"/>
          <w:b/>
          <w:bCs/>
          <w:snapToGrid w:val="0"/>
          <w:kern w:val="0"/>
          <w:sz w:val="24"/>
          <w:szCs w:val="24"/>
          <w:highlight w:val="none"/>
          <w:lang w:val="en-US" w:eastAsia="zh-CN" w:bidi="ar-SA"/>
        </w:rPr>
        <w:br w:type="page"/>
      </w:r>
    </w:p>
    <w:p w14:paraId="362B68EA">
      <w:pPr>
        <w:pStyle w:val="2"/>
        <w:ind w:left="0" w:leftChars="0" w:firstLine="0" w:firstLineChars="0"/>
        <w:rPr>
          <w:rFonts w:hint="eastAsia" w:ascii="仿宋" w:hAnsi="仿宋" w:eastAsia="仿宋" w:cs="仿宋"/>
          <w:b/>
          <w:bCs/>
          <w:snapToGrid w:val="0"/>
          <w:kern w:val="0"/>
          <w:sz w:val="24"/>
          <w:szCs w:val="24"/>
          <w:highlight w:val="none"/>
          <w:lang w:val="en-US" w:eastAsia="zh-CN" w:bidi="ar-SA"/>
        </w:rPr>
      </w:pPr>
      <w:r>
        <w:rPr>
          <w:rFonts w:hint="eastAsia" w:ascii="仿宋" w:hAnsi="仿宋" w:eastAsia="仿宋" w:cs="仿宋"/>
          <w:b/>
          <w:bCs/>
          <w:snapToGrid w:val="0"/>
          <w:kern w:val="0"/>
          <w:sz w:val="24"/>
          <w:szCs w:val="24"/>
          <w:highlight w:val="none"/>
          <w:lang w:val="en-US" w:eastAsia="zh-CN" w:bidi="ar-SA"/>
        </w:rPr>
        <w:t>附件3：项目执行进度情况表</w:t>
      </w:r>
    </w:p>
    <w:tbl>
      <w:tblPr>
        <w:tblStyle w:val="45"/>
        <w:tblpPr w:leftFromText="180" w:rightFromText="180" w:vertAnchor="text" w:horzAnchor="page" w:tblpX="997" w:tblpY="550"/>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985"/>
        <w:gridCol w:w="2820"/>
        <w:gridCol w:w="952"/>
        <w:gridCol w:w="1062"/>
        <w:gridCol w:w="841"/>
        <w:gridCol w:w="921"/>
      </w:tblGrid>
      <w:tr w14:paraId="329E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825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Style w:val="136"/>
                <w:rFonts w:hint="eastAsia" w:ascii="仿宋" w:hAnsi="仿宋" w:eastAsia="仿宋" w:cs="仿宋"/>
                <w:sz w:val="24"/>
                <w:szCs w:val="24"/>
                <w:highlight w:val="none"/>
                <w:lang w:val="en-US" w:eastAsia="zh-CN" w:bidi="ar"/>
              </w:rPr>
              <w:t>商品类目（一级）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EEC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Style w:val="136"/>
                <w:rFonts w:hint="eastAsia" w:ascii="仿宋" w:hAnsi="仿宋" w:eastAsia="仿宋" w:cs="仿宋"/>
                <w:sz w:val="24"/>
                <w:szCs w:val="24"/>
                <w:highlight w:val="none"/>
                <w:lang w:val="en-US" w:eastAsia="zh-CN" w:bidi="ar"/>
              </w:rPr>
              <w:t>商品类目（二级）</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1CC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Style w:val="136"/>
                <w:rFonts w:hint="eastAsia" w:ascii="仿宋" w:hAnsi="仿宋" w:eastAsia="仿宋" w:cs="仿宋"/>
                <w:sz w:val="24"/>
                <w:szCs w:val="24"/>
                <w:highlight w:val="none"/>
                <w:lang w:val="en-US" w:eastAsia="zh-CN" w:bidi="ar"/>
              </w:rPr>
              <w:t>商品描述</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89B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Style w:val="136"/>
                <w:rFonts w:hint="eastAsia" w:ascii="仿宋" w:hAnsi="仿宋" w:eastAsia="仿宋" w:cs="仿宋"/>
                <w:sz w:val="24"/>
                <w:szCs w:val="24"/>
                <w:highlight w:val="none"/>
                <w:lang w:val="en-US" w:eastAsia="zh-CN" w:bidi="ar"/>
              </w:rPr>
              <w:t>计划批次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47B8">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实际抽检批次</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8691">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单价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9F33">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总价</w:t>
            </w:r>
          </w:p>
        </w:tc>
      </w:tr>
      <w:tr w14:paraId="768D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75" w:type="pct"/>
            <w:vMerge w:val="restart"/>
            <w:tcBorders>
              <w:top w:val="single" w:color="000000" w:sz="4" w:space="0"/>
              <w:left w:val="single" w:color="000000" w:sz="4" w:space="0"/>
              <w:right w:val="single" w:color="000000" w:sz="4" w:space="0"/>
            </w:tcBorders>
            <w:shd w:val="clear" w:color="auto" w:fill="auto"/>
            <w:vAlign w:val="center"/>
          </w:tcPr>
          <w:p w14:paraId="64AD617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消费品</w:t>
            </w:r>
          </w:p>
          <w:p w14:paraId="61B1DD0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 xml:space="preserve"> </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7D5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婴童食品接触材料</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C5A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奶嘴、奶瓶、水壶、杯子、餐具、勺子等</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D0F6">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20</w:t>
            </w:r>
          </w:p>
        </w:tc>
        <w:tc>
          <w:tcPr>
            <w:tcW w:w="572" w:type="pct"/>
            <w:tcBorders>
              <w:top w:val="single" w:color="000000" w:sz="4" w:space="0"/>
              <w:left w:val="single" w:color="000000" w:sz="4" w:space="0"/>
              <w:right w:val="single" w:color="000000" w:sz="4" w:space="0"/>
            </w:tcBorders>
            <w:shd w:val="clear" w:color="auto" w:fill="auto"/>
            <w:vAlign w:val="center"/>
          </w:tcPr>
          <w:p w14:paraId="05A992A7">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95A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EB70">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76E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5" w:type="pct"/>
            <w:vMerge w:val="continue"/>
            <w:tcBorders>
              <w:left w:val="single" w:color="000000" w:sz="4" w:space="0"/>
              <w:right w:val="single" w:color="000000" w:sz="4" w:space="0"/>
            </w:tcBorders>
            <w:shd w:val="clear" w:color="auto" w:fill="auto"/>
            <w:vAlign w:val="center"/>
          </w:tcPr>
          <w:p w14:paraId="249BCF7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FFB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玩具</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EAC2">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电玩具、静态塑胶玩具、毛绒布制玩具、金属玩具、电动玩具、儿童自行车、儿童三轮车、儿童推车、婴儿学步车</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7EB6">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DF1E">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B9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4D2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5C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75" w:type="pct"/>
            <w:vMerge w:val="continue"/>
            <w:tcBorders>
              <w:left w:val="single" w:color="000000" w:sz="4" w:space="0"/>
              <w:right w:val="single" w:color="000000" w:sz="4" w:space="0"/>
            </w:tcBorders>
            <w:shd w:val="clear" w:color="auto" w:fill="auto"/>
            <w:vAlign w:val="center"/>
          </w:tcPr>
          <w:p w14:paraId="5CB91645">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1D7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卫生用品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990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一次性纸尿裤、湿巾、卫生巾等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0CE">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778E">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ADD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7286">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55D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5" w:type="pct"/>
            <w:vMerge w:val="continue"/>
            <w:tcBorders>
              <w:left w:val="single" w:color="000000" w:sz="4" w:space="0"/>
              <w:right w:val="single" w:color="000000" w:sz="4" w:space="0"/>
            </w:tcBorders>
            <w:shd w:val="clear" w:color="auto" w:fill="auto"/>
            <w:vAlign w:val="center"/>
          </w:tcPr>
          <w:p w14:paraId="7C72281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3CC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学生用品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9BC4">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铅笔、水笔、文具盒、修正液等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79C">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FDB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1B4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4EAC">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A50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75" w:type="pct"/>
            <w:vMerge w:val="continue"/>
            <w:tcBorders>
              <w:left w:val="single" w:color="000000" w:sz="4" w:space="0"/>
              <w:right w:val="single" w:color="000000" w:sz="4" w:space="0"/>
            </w:tcBorders>
            <w:shd w:val="clear" w:color="auto" w:fill="auto"/>
            <w:vAlign w:val="center"/>
          </w:tcPr>
          <w:p w14:paraId="792CDA9C">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BAA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食品接触材料</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DD2F">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碗、杯子、勺子、锅具、饭盒等（PVC、PP、PE、PS、PET、PA、PC、AS、ABS、玻璃陶瓷、橡胶等材质）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E7E5">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529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EE95">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9DB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E8A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 w:type="pct"/>
            <w:vMerge w:val="continue"/>
            <w:tcBorders>
              <w:left w:val="single" w:color="000000" w:sz="4" w:space="0"/>
              <w:right w:val="single" w:color="000000" w:sz="4" w:space="0"/>
            </w:tcBorders>
            <w:shd w:val="clear" w:color="auto" w:fill="auto"/>
            <w:vAlign w:val="center"/>
          </w:tcPr>
          <w:p w14:paraId="21F4B3B0">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42B5">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箱包</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F863">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皮包、布包、书包、钱包、票夹、旅行箱包等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A777">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8C1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2A9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8A2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644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75" w:type="pct"/>
            <w:vMerge w:val="continue"/>
            <w:tcBorders>
              <w:left w:val="single" w:color="000000" w:sz="4" w:space="0"/>
              <w:right w:val="single" w:color="000000" w:sz="4" w:space="0"/>
            </w:tcBorders>
            <w:shd w:val="clear" w:color="auto" w:fill="auto"/>
            <w:vAlign w:val="center"/>
          </w:tcPr>
          <w:p w14:paraId="1609DB18">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98D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饰品</w:t>
            </w:r>
          </w:p>
        </w:tc>
        <w:tc>
          <w:tcPr>
            <w:tcW w:w="1519" w:type="pct"/>
            <w:tcBorders>
              <w:top w:val="single" w:color="000000" w:sz="4" w:space="0"/>
              <w:left w:val="single" w:color="000000" w:sz="4" w:space="0"/>
              <w:bottom w:val="single" w:color="auto" w:sz="4" w:space="0"/>
              <w:right w:val="single" w:color="000000" w:sz="4" w:space="0"/>
            </w:tcBorders>
            <w:shd w:val="clear" w:color="auto" w:fill="auto"/>
            <w:vAlign w:val="center"/>
          </w:tcPr>
          <w:p w14:paraId="30A69241">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工艺饰品、仿真饰品等</w:t>
            </w:r>
          </w:p>
        </w:tc>
        <w:tc>
          <w:tcPr>
            <w:tcW w:w="51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01D2EBB">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5B5">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295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142">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F53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375" w:type="pct"/>
            <w:vMerge w:val="continue"/>
            <w:tcBorders>
              <w:left w:val="single" w:color="000000" w:sz="4" w:space="0"/>
              <w:bottom w:val="single" w:color="000000" w:sz="4" w:space="0"/>
              <w:right w:val="single" w:color="000000" w:sz="4" w:space="0"/>
            </w:tcBorders>
            <w:shd w:val="clear" w:color="auto" w:fill="auto"/>
            <w:vAlign w:val="center"/>
          </w:tcPr>
          <w:p w14:paraId="5D10FC35">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auto" w:sz="4" w:space="0"/>
            </w:tcBorders>
            <w:shd w:val="clear" w:color="auto" w:fill="auto"/>
            <w:vAlign w:val="center"/>
          </w:tcPr>
          <w:p w14:paraId="77ACEAD0">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 xml:space="preserve">小家电 </w:t>
            </w:r>
          </w:p>
        </w:tc>
        <w:tc>
          <w:tcPr>
            <w:tcW w:w="1519" w:type="pct"/>
            <w:tcBorders>
              <w:top w:val="single" w:color="auto" w:sz="4" w:space="0"/>
              <w:left w:val="single" w:color="auto" w:sz="4" w:space="0"/>
              <w:bottom w:val="single" w:color="auto" w:sz="4" w:space="0"/>
              <w:right w:val="single" w:color="auto" w:sz="4" w:space="0"/>
            </w:tcBorders>
            <w:shd w:val="clear" w:color="auto" w:fill="auto"/>
            <w:vAlign w:val="center"/>
          </w:tcPr>
          <w:p w14:paraId="63EA8C64">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咖啡机、吸尘器、电吹风、电饭煲、卷发器、空气净化器、电动牙刷、榨汁机等</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5F519">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20</w:t>
            </w:r>
          </w:p>
        </w:tc>
        <w:tc>
          <w:tcPr>
            <w:tcW w:w="57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337EAB">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347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561C">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1A9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C374">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普通食品</w:t>
            </w:r>
          </w:p>
        </w:tc>
        <w:tc>
          <w:tcPr>
            <w:tcW w:w="1069" w:type="pct"/>
            <w:tcBorders>
              <w:top w:val="single" w:color="000000" w:sz="4" w:space="0"/>
              <w:left w:val="single" w:color="000000" w:sz="4" w:space="0"/>
              <w:bottom w:val="single" w:color="000000" w:sz="4" w:space="0"/>
              <w:right w:val="single" w:color="auto" w:sz="4" w:space="0"/>
            </w:tcBorders>
            <w:shd w:val="clear" w:color="auto" w:fill="auto"/>
            <w:vAlign w:val="center"/>
          </w:tcPr>
          <w:p w14:paraId="292D967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饼干、膨化食品、饮料、酒等一般食品</w:t>
            </w:r>
          </w:p>
        </w:tc>
        <w:tc>
          <w:tcPr>
            <w:tcW w:w="1519" w:type="pct"/>
            <w:tcBorders>
              <w:top w:val="single" w:color="auto" w:sz="4" w:space="0"/>
              <w:left w:val="single" w:color="auto" w:sz="4" w:space="0"/>
              <w:bottom w:val="single" w:color="auto" w:sz="4" w:space="0"/>
              <w:right w:val="single" w:color="auto" w:sz="4" w:space="0"/>
            </w:tcBorders>
            <w:shd w:val="clear" w:color="auto" w:fill="auto"/>
            <w:vAlign w:val="center"/>
          </w:tcPr>
          <w:p w14:paraId="00E08B97">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饼干、膨化食品、饮料、酒等一般食品</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E7673">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10</w:t>
            </w:r>
          </w:p>
        </w:tc>
        <w:tc>
          <w:tcPr>
            <w:tcW w:w="572"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0939DDD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BD13225">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CC81">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2D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B59B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auto" w:sz="4" w:space="0"/>
            </w:tcBorders>
            <w:shd w:val="clear" w:color="auto" w:fill="auto"/>
            <w:vAlign w:val="center"/>
          </w:tcPr>
          <w:p w14:paraId="6D4FE17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婴幼儿配方食品</w:t>
            </w:r>
          </w:p>
        </w:tc>
        <w:tc>
          <w:tcPr>
            <w:tcW w:w="1519" w:type="pct"/>
            <w:tcBorders>
              <w:top w:val="single" w:color="auto" w:sz="4" w:space="0"/>
              <w:left w:val="single" w:color="auto" w:sz="4" w:space="0"/>
              <w:bottom w:val="single" w:color="auto" w:sz="4" w:space="0"/>
              <w:right w:val="single" w:color="auto" w:sz="4" w:space="0"/>
            </w:tcBorders>
            <w:shd w:val="clear" w:color="auto" w:fill="auto"/>
            <w:vAlign w:val="center"/>
          </w:tcPr>
          <w:p w14:paraId="4B6B2B6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婴儿配方食品、较大婴儿配方食品、幼儿配方食品</w:t>
            </w: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AEA09">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15</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CF49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4D007">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7D22B36">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89F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73B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9954">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婴幼儿辅食</w:t>
            </w:r>
          </w:p>
        </w:tc>
        <w:tc>
          <w:tcPr>
            <w:tcW w:w="1519" w:type="pct"/>
            <w:tcBorders>
              <w:top w:val="single" w:color="auto" w:sz="4" w:space="0"/>
              <w:left w:val="single" w:color="000000" w:sz="4" w:space="0"/>
              <w:bottom w:val="single" w:color="auto" w:sz="4" w:space="0"/>
              <w:right w:val="single" w:color="000000" w:sz="4" w:space="0"/>
            </w:tcBorders>
            <w:shd w:val="clear" w:color="auto" w:fill="auto"/>
            <w:vAlign w:val="center"/>
          </w:tcPr>
          <w:p w14:paraId="0301188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婴幼儿谷类辅助食品、婴幼儿罐装辅助食品</w:t>
            </w:r>
          </w:p>
        </w:tc>
        <w:tc>
          <w:tcPr>
            <w:tcW w:w="51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2C55186">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bidi="ar"/>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169553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11B1F1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C14B8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9EC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A0DC">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保健食品</w:t>
            </w:r>
          </w:p>
        </w:tc>
        <w:tc>
          <w:tcPr>
            <w:tcW w:w="1069" w:type="pct"/>
            <w:tcBorders>
              <w:top w:val="single" w:color="000000" w:sz="4" w:space="0"/>
              <w:left w:val="single" w:color="000000" w:sz="4" w:space="0"/>
              <w:bottom w:val="single" w:color="000000" w:sz="4" w:space="0"/>
              <w:right w:val="single" w:color="auto" w:sz="4" w:space="0"/>
            </w:tcBorders>
            <w:shd w:val="clear" w:color="auto" w:fill="auto"/>
            <w:vAlign w:val="center"/>
          </w:tcPr>
          <w:p w14:paraId="7D443B6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保健品</w:t>
            </w:r>
          </w:p>
        </w:tc>
        <w:tc>
          <w:tcPr>
            <w:tcW w:w="1519" w:type="pct"/>
            <w:tcBorders>
              <w:top w:val="single" w:color="auto" w:sz="4" w:space="0"/>
              <w:left w:val="single" w:color="auto" w:sz="4" w:space="0"/>
              <w:bottom w:val="single" w:color="auto" w:sz="4" w:space="0"/>
              <w:right w:val="single" w:color="auto" w:sz="4" w:space="0"/>
            </w:tcBorders>
            <w:shd w:val="clear" w:color="auto" w:fill="auto"/>
            <w:vAlign w:val="center"/>
          </w:tcPr>
          <w:p w14:paraId="49D237F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减肥降脂类样品、降糖降压类样品、缓解体力疲劳类/提高免疫力/安神类样品</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3DC4BF7">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60</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32071C5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69F3A0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95EDCD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B0E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C3DB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化妆品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11B3">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面膜</w:t>
            </w:r>
          </w:p>
        </w:tc>
        <w:tc>
          <w:tcPr>
            <w:tcW w:w="1519" w:type="pct"/>
            <w:tcBorders>
              <w:top w:val="single" w:color="auto" w:sz="4" w:space="0"/>
              <w:left w:val="single" w:color="000000" w:sz="4" w:space="0"/>
              <w:bottom w:val="single" w:color="000000" w:sz="4" w:space="0"/>
              <w:right w:val="single" w:color="000000" w:sz="4" w:space="0"/>
            </w:tcBorders>
            <w:shd w:val="clear" w:color="auto" w:fill="auto"/>
            <w:vAlign w:val="center"/>
          </w:tcPr>
          <w:p w14:paraId="32B4C09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片状面膜、膏状面膜等</w:t>
            </w:r>
          </w:p>
        </w:tc>
        <w:tc>
          <w:tcPr>
            <w:tcW w:w="51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7C414D2">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40</w:t>
            </w:r>
          </w:p>
        </w:tc>
        <w:tc>
          <w:tcPr>
            <w:tcW w:w="57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AE5B09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97B468C">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A8AFE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196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A0E3">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2A0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彩妆</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2235">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指甲油、口红、眉笔、唇彩、睫毛膏、眼线等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B2BB">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615B">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530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139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BC9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5327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47C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防晒用品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B620">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防晒霜、防晒乳等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EB7F">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72AE">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F2C6">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85A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790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FCAC">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76A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水乳液、霜等</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AB9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保湿霜、卸妆水、日晚霜、BB霜、精华液、祛痘膏等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389">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A31">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2E06">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5C31">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C8B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318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B33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染发用品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EC1C">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染发膏、染发剂等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8840">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2BA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56A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017C">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101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8F9B1">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日化用品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DCA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洗浴类产品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5BEF">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沐浴露、洗发水、护发素、等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1A8E">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F222">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B5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CFA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222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4630C">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1822">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牙膏</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BFC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成人、儿童牙膏</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F424">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1526">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3F2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9F8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CFF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A99F">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动植物产品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25A3">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蜂蜜</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B36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蜂蜜、麦卢卡蜂蜜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A9F">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6E65">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7057">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D39E">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102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A03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7168">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燕窝及其制品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30AE">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即食燕窝、燕盏</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83DA">
            <w:pPr>
              <w:widowControl/>
              <w:adjustRightInd w:val="0"/>
              <w:snapToGrid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AAA1">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4E0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4D6D">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7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1D8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03C7">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宠物饲料</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01F4">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猫粮狗粮</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1C52">
            <w:pPr>
              <w:widowControl/>
              <w:adjustRightInd w:val="0"/>
              <w:snapToGrid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56C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B73F">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AA03">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513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EC09">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跨境退货再销售商品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34E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根据实际退货产品确定类别</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2DD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食品、化妆品等产品</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9B1E">
            <w:pPr>
              <w:widowControl/>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50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34E0">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3B78">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63C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811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97A8">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闲置商品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48AB">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闲置商品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8246">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箱包、服饰、鞋类、珠宝首饰</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66CE">
            <w:pPr>
              <w:widowControl/>
              <w:adjustRightInd w:val="0"/>
              <w:snapToGrid w:val="0"/>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E03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A9CC">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231">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33F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AA21">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生物医药特殊物品</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8C5A">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生物医药特殊物品</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869D">
            <w:pPr>
              <w:keepNext w:val="0"/>
              <w:keepLines w:val="0"/>
              <w:widowControl/>
              <w:suppressLineNumbers w:val="0"/>
              <w:jc w:val="center"/>
              <w:textAlignment w:val="center"/>
              <w:rPr>
                <w:rStyle w:val="136"/>
                <w:rFonts w:hint="eastAsia" w:ascii="仿宋" w:hAnsi="仿宋" w:eastAsia="仿宋" w:cs="仿宋"/>
                <w:sz w:val="24"/>
                <w:szCs w:val="24"/>
                <w:highlight w:val="none"/>
                <w:lang w:val="en-US" w:eastAsia="zh-CN" w:bidi="ar"/>
              </w:rPr>
            </w:pPr>
            <w:r>
              <w:rPr>
                <w:rStyle w:val="136"/>
                <w:rFonts w:hint="eastAsia" w:ascii="仿宋" w:hAnsi="仿宋" w:eastAsia="仿宋" w:cs="仿宋"/>
                <w:sz w:val="24"/>
                <w:szCs w:val="24"/>
                <w:highlight w:val="none"/>
                <w:lang w:val="en-US" w:eastAsia="zh-CN" w:bidi="ar"/>
              </w:rPr>
              <w:t>血液等</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CA12">
            <w:pPr>
              <w:widowControl/>
              <w:adjustRightInd w:val="0"/>
              <w:snapToGrid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D252">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8E7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239">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90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832E">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E1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BB0A">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CA4">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51F2">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674FAD07">
      <w:pPr>
        <w:pStyle w:val="2"/>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注：1、以上检测批次数为预计数，具体根据实际批次为准。</w:t>
      </w:r>
    </w:p>
    <w:p w14:paraId="66EA89F3">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592C01B0">
      <w:pPr>
        <w:pStyle w:val="2"/>
        <w:ind w:left="0" w:leftChars="0" w:firstLine="0" w:firstLineChars="0"/>
        <w:rPr>
          <w:rFonts w:hint="eastAsia" w:ascii="仿宋" w:hAnsi="仿宋" w:eastAsia="仿宋" w:cs="仿宋"/>
          <w:b/>
          <w:bCs/>
          <w:snapToGrid w:val="0"/>
          <w:kern w:val="0"/>
          <w:sz w:val="24"/>
          <w:szCs w:val="24"/>
          <w:highlight w:val="none"/>
          <w:lang w:val="en-US" w:eastAsia="zh-CN" w:bidi="ar-SA"/>
        </w:rPr>
      </w:pPr>
      <w:r>
        <w:rPr>
          <w:rFonts w:hint="eastAsia" w:ascii="仿宋" w:hAnsi="仿宋" w:eastAsia="仿宋" w:cs="仿宋"/>
          <w:b/>
          <w:bCs/>
          <w:snapToGrid w:val="0"/>
          <w:kern w:val="0"/>
          <w:sz w:val="24"/>
          <w:szCs w:val="24"/>
          <w:highlight w:val="none"/>
          <w:lang w:val="en-US" w:eastAsia="zh-CN" w:bidi="ar-SA"/>
        </w:rPr>
        <w:t>附件4：考核情况报告</w:t>
      </w:r>
    </w:p>
    <w:p w14:paraId="7B240B94">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考核情况</w:t>
      </w:r>
      <w:r>
        <w:rPr>
          <w:rFonts w:hint="eastAsia" w:ascii="仿宋" w:hAnsi="仿宋" w:eastAsia="仿宋" w:cs="仿宋"/>
          <w:b/>
          <w:bCs/>
          <w:sz w:val="24"/>
          <w:szCs w:val="24"/>
          <w:highlight w:val="none"/>
        </w:rPr>
        <w:t>报告</w:t>
      </w:r>
    </w:p>
    <w:p w14:paraId="1134F55C">
      <w:pPr>
        <w:widowControl/>
        <w:snapToGrid w:val="0"/>
        <w:spacing w:line="360" w:lineRule="auto"/>
        <w:ind w:firstLine="480" w:firstLineChars="200"/>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根据</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跨境零售进口商品质量安全风险监测服务项目合同》</w:t>
      </w:r>
      <w:r>
        <w:rPr>
          <w:rFonts w:hint="eastAsia" w:ascii="仿宋" w:hAnsi="仿宋" w:eastAsia="仿宋" w:cs="仿宋"/>
          <w:kern w:val="0"/>
          <w:sz w:val="24"/>
          <w:szCs w:val="24"/>
          <w:highlight w:val="none"/>
          <w:lang w:bidi="ar"/>
        </w:rPr>
        <w:t>等有关规定，就</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lang w:bidi="ar"/>
        </w:rPr>
        <w:t>项目标项</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u w:val="single"/>
          <w:lang w:val="en-US" w:eastAsia="zh-CN" w:bidi="ar"/>
        </w:rPr>
        <w:t xml:space="preserve">        </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lang w:bidi="ar"/>
        </w:rPr>
        <w:t>合同履约情况进行</w:t>
      </w:r>
      <w:r>
        <w:rPr>
          <w:rFonts w:hint="eastAsia" w:ascii="仿宋" w:hAnsi="仿宋" w:eastAsia="仿宋" w:cs="仿宋"/>
          <w:kern w:val="0"/>
          <w:sz w:val="24"/>
          <w:szCs w:val="24"/>
          <w:highlight w:val="none"/>
          <w:lang w:val="en-US" w:eastAsia="zh-CN" w:bidi="ar"/>
        </w:rPr>
        <w:t>考核</w:t>
      </w:r>
      <w:r>
        <w:rPr>
          <w:rFonts w:hint="eastAsia" w:ascii="仿宋" w:hAnsi="仿宋" w:eastAsia="仿宋" w:cs="仿宋"/>
          <w:kern w:val="0"/>
          <w:sz w:val="24"/>
          <w:szCs w:val="24"/>
          <w:highlight w:val="none"/>
          <w:lang w:bidi="ar"/>
        </w:rPr>
        <w:t>，具体如下：</w:t>
      </w:r>
    </w:p>
    <w:p w14:paraId="1BE4C2D9">
      <w:pPr>
        <w:widowControl/>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kern w:val="0"/>
          <w:sz w:val="24"/>
          <w:szCs w:val="24"/>
          <w:highlight w:val="none"/>
          <w:lang w:bidi="ar"/>
        </w:rPr>
        <w:t>一、项目名称：</w:t>
      </w:r>
    </w:p>
    <w:p w14:paraId="6EA5C42E">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单位：</w:t>
      </w:r>
    </w:p>
    <w:p w14:paraId="220DE493">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三、被验收方：</w:t>
      </w:r>
    </w:p>
    <w:p w14:paraId="3C2C03E9">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四、项目编号：</w:t>
      </w:r>
    </w:p>
    <w:p w14:paraId="3953093A">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五、合同编号：</w:t>
      </w:r>
    </w:p>
    <w:p w14:paraId="3E835948">
      <w:pPr>
        <w:adjustRightInd w:val="0"/>
        <w:snapToGrid w:val="0"/>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六、</w:t>
      </w: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时间：</w:t>
      </w:r>
      <w:r>
        <w:rPr>
          <w:rFonts w:hint="eastAsia" w:ascii="仿宋" w:hAnsi="仿宋" w:eastAsia="仿宋" w:cs="仿宋"/>
          <w:sz w:val="24"/>
          <w:szCs w:val="24"/>
          <w:highlight w:val="none"/>
        </w:rPr>
        <w:t>20  年  月  日</w:t>
      </w:r>
    </w:p>
    <w:p w14:paraId="29F19057">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w:t>
      </w: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过程基本情况：</w:t>
      </w:r>
    </w:p>
    <w:p w14:paraId="7C338CBA">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w:t>
      </w: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人员：</w:t>
      </w:r>
    </w:p>
    <w:p w14:paraId="689B6253">
      <w:pPr>
        <w:adjustRightInd w:val="0"/>
        <w:snapToGrid w:val="0"/>
        <w:spacing w:line="360" w:lineRule="auto"/>
        <w:ind w:firstLine="482" w:firstLineChars="200"/>
        <w:jc w:val="left"/>
        <w:rPr>
          <w:rFonts w:hint="eastAsia" w:ascii="仿宋" w:hAnsi="仿宋" w:eastAsia="仿宋" w:cs="仿宋"/>
          <w:bCs/>
          <w:kern w:val="0"/>
          <w:sz w:val="24"/>
          <w:highlight w:val="none"/>
          <w:lang w:bidi="zh-CN"/>
        </w:rPr>
      </w:pPr>
      <w:r>
        <w:rPr>
          <w:rFonts w:hint="eastAsia" w:ascii="仿宋" w:hAnsi="仿宋" w:eastAsia="仿宋" w:cs="仿宋"/>
          <w:b/>
          <w:bCs/>
          <w:sz w:val="24"/>
          <w:szCs w:val="24"/>
          <w:highlight w:val="none"/>
          <w:lang w:val="en-US" w:eastAsia="zh-CN"/>
        </w:rPr>
        <w:t>九</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考核</w:t>
      </w:r>
      <w:r>
        <w:rPr>
          <w:rFonts w:hint="eastAsia" w:ascii="仿宋" w:hAnsi="仿宋" w:eastAsia="仿宋" w:cs="仿宋"/>
          <w:b/>
          <w:bCs/>
          <w:sz w:val="24"/>
          <w:szCs w:val="24"/>
          <w:highlight w:val="none"/>
        </w:rPr>
        <w:t>意见</w:t>
      </w:r>
      <w:r>
        <w:rPr>
          <w:rFonts w:hint="eastAsia" w:ascii="仿宋" w:hAnsi="仿宋" w:eastAsia="仿宋" w:cs="仿宋"/>
          <w:bCs/>
          <w:kern w:val="0"/>
          <w:sz w:val="24"/>
          <w:highlight w:val="none"/>
          <w:lang w:bidi="zh-CN"/>
        </w:rPr>
        <w:br w:type="page"/>
      </w:r>
    </w:p>
    <w:p w14:paraId="700966AA">
      <w:pPr>
        <w:pStyle w:val="11"/>
        <w:rPr>
          <w:rFonts w:hint="eastAsia" w:ascii="仿宋" w:hAnsi="仿宋" w:eastAsia="仿宋" w:cs="仿宋"/>
          <w:highlight w:val="none"/>
        </w:rPr>
      </w:pPr>
    </w:p>
    <w:p w14:paraId="501AEA83">
      <w:pPr>
        <w:rPr>
          <w:rFonts w:hint="eastAsia" w:ascii="仿宋" w:hAnsi="仿宋" w:eastAsia="仿宋" w:cs="仿宋"/>
          <w:bCs/>
          <w:kern w:val="0"/>
          <w:sz w:val="24"/>
          <w:highlight w:val="none"/>
          <w:lang w:bidi="zh-CN"/>
        </w:rPr>
      </w:pPr>
    </w:p>
    <w:bookmarkEnd w:id="126"/>
    <w:bookmarkEnd w:id="127"/>
    <w:bookmarkEnd w:id="128"/>
    <w:bookmarkEnd w:id="129"/>
    <w:bookmarkEnd w:id="130"/>
    <w:p w14:paraId="1D4F372B">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131" w:name="_Toc249760797"/>
      <w:bookmarkStart w:id="132" w:name="_Toc21370"/>
      <w:bookmarkStart w:id="133" w:name="_Toc1306"/>
      <w:bookmarkStart w:id="134" w:name="_Toc234764855"/>
      <w:bookmarkStart w:id="135" w:name="_Toc251566668"/>
      <w:r>
        <w:rPr>
          <w:rFonts w:hint="eastAsia" w:ascii="仿宋" w:hAnsi="仿宋" w:eastAsia="仿宋" w:cs="仿宋"/>
          <w:b/>
          <w:sz w:val="30"/>
          <w:szCs w:val="30"/>
          <w:highlight w:val="none"/>
        </w:rPr>
        <w:t>第六部分  投标文件格式</w:t>
      </w:r>
      <w:bookmarkEnd w:id="131"/>
      <w:bookmarkEnd w:id="132"/>
      <w:bookmarkEnd w:id="133"/>
      <w:bookmarkEnd w:id="134"/>
      <w:bookmarkEnd w:id="135"/>
    </w:p>
    <w:p w14:paraId="6275E555">
      <w:pPr>
        <w:autoSpaceDE w:val="0"/>
        <w:autoSpaceDN w:val="0"/>
        <w:adjustRightInd w:val="0"/>
        <w:spacing w:line="360" w:lineRule="auto"/>
        <w:ind w:firstLine="480"/>
        <w:rPr>
          <w:rFonts w:hint="eastAsia" w:ascii="仿宋" w:hAnsi="仿宋" w:eastAsia="仿宋" w:cs="仿宋"/>
          <w:sz w:val="24"/>
          <w:highlight w:val="none"/>
        </w:rPr>
      </w:pPr>
    </w:p>
    <w:p w14:paraId="135827A7">
      <w:pPr>
        <w:spacing w:line="360" w:lineRule="auto"/>
        <w:jc w:val="center"/>
        <w:outlineLvl w:val="1"/>
        <w:rPr>
          <w:rFonts w:hint="eastAsia" w:ascii="仿宋" w:hAnsi="仿宋" w:eastAsia="仿宋" w:cs="仿宋"/>
          <w:b/>
          <w:kern w:val="0"/>
          <w:sz w:val="36"/>
          <w:szCs w:val="36"/>
          <w:highlight w:val="none"/>
        </w:rPr>
      </w:pPr>
      <w:bookmarkStart w:id="136" w:name="_Toc23772"/>
      <w:bookmarkStart w:id="137" w:name="_Toc25507"/>
      <w:bookmarkStart w:id="138" w:name="_Toc23013"/>
      <w:bookmarkStart w:id="139" w:name="_Toc18065"/>
      <w:r>
        <w:rPr>
          <w:rFonts w:hint="eastAsia" w:ascii="仿宋" w:hAnsi="仿宋" w:eastAsia="仿宋" w:cs="仿宋"/>
          <w:b/>
          <w:kern w:val="0"/>
          <w:sz w:val="36"/>
          <w:szCs w:val="36"/>
          <w:highlight w:val="none"/>
        </w:rPr>
        <w:t>资格文件部分</w:t>
      </w:r>
      <w:bookmarkEnd w:id="136"/>
      <w:bookmarkEnd w:id="137"/>
      <w:bookmarkEnd w:id="138"/>
      <w:bookmarkEnd w:id="139"/>
    </w:p>
    <w:p w14:paraId="7AB69937">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6609F64">
      <w:pPr>
        <w:spacing w:line="360" w:lineRule="auto"/>
        <w:jc w:val="center"/>
        <w:rPr>
          <w:rFonts w:hint="eastAsia" w:ascii="仿宋" w:hAnsi="仿宋" w:eastAsia="仿宋" w:cs="仿宋"/>
          <w:b/>
          <w:kern w:val="0"/>
          <w:sz w:val="36"/>
          <w:szCs w:val="36"/>
          <w:highlight w:val="none"/>
        </w:rPr>
      </w:pPr>
    </w:p>
    <w:p w14:paraId="405AD7E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B5707E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79C9FF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4B67DDA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0AFCFC3F">
      <w:pPr>
        <w:snapToGrid w:val="0"/>
        <w:spacing w:line="360" w:lineRule="auto"/>
        <w:ind w:firstLine="480" w:firstLineChars="200"/>
        <w:rPr>
          <w:rFonts w:hint="eastAsia" w:ascii="仿宋" w:hAnsi="仿宋" w:eastAsia="仿宋" w:cs="仿宋"/>
          <w:sz w:val="24"/>
          <w:highlight w:val="none"/>
        </w:rPr>
      </w:pPr>
    </w:p>
    <w:p w14:paraId="152B690B">
      <w:pPr>
        <w:spacing w:line="360" w:lineRule="auto"/>
        <w:ind w:firstLine="480" w:firstLineChars="200"/>
        <w:rPr>
          <w:rFonts w:hint="eastAsia" w:ascii="仿宋" w:hAnsi="仿宋" w:eastAsia="仿宋" w:cs="仿宋"/>
          <w:sz w:val="24"/>
          <w:highlight w:val="none"/>
        </w:rPr>
      </w:pPr>
    </w:p>
    <w:p w14:paraId="2CAEC742">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3B89F06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707925C">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5C199ADA">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306E310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4B778EE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14A3BFD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0210DD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9057BD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74E8688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20E4DC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32DC49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79939FF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2751182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31E48DA6">
      <w:pPr>
        <w:pStyle w:val="2"/>
        <w:rPr>
          <w:rFonts w:hint="eastAsia" w:ascii="仿宋" w:hAnsi="仿宋" w:eastAsia="仿宋" w:cs="仿宋"/>
          <w:highlight w:val="none"/>
        </w:rPr>
      </w:pPr>
    </w:p>
    <w:p w14:paraId="51A8FBE8">
      <w:pPr>
        <w:rPr>
          <w:rFonts w:hint="eastAsia" w:ascii="仿宋" w:hAnsi="仿宋" w:eastAsia="仿宋" w:cs="仿宋"/>
          <w:highlight w:val="none"/>
        </w:rPr>
      </w:pPr>
    </w:p>
    <w:p w14:paraId="45597970">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2D3D699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w:t>
      </w:r>
    </w:p>
    <w:p w14:paraId="6208E90C">
      <w:pPr>
        <w:snapToGrid w:val="0"/>
        <w:spacing w:line="360" w:lineRule="auto"/>
        <w:ind w:right="480"/>
        <w:jc w:val="center"/>
        <w:rPr>
          <w:rFonts w:hint="eastAsia" w:ascii="仿宋" w:hAnsi="仿宋" w:eastAsia="仿宋" w:cs="仿宋"/>
          <w:b/>
          <w:kern w:val="0"/>
          <w:sz w:val="32"/>
          <w:szCs w:val="32"/>
          <w:highlight w:val="none"/>
        </w:rPr>
      </w:pPr>
    </w:p>
    <w:p w14:paraId="4CEEC16E">
      <w:pPr>
        <w:snapToGrid w:val="0"/>
        <w:spacing w:line="360" w:lineRule="auto"/>
        <w:ind w:right="480"/>
        <w:jc w:val="center"/>
        <w:rPr>
          <w:rFonts w:hint="eastAsia" w:ascii="仿宋" w:hAnsi="仿宋" w:eastAsia="仿宋" w:cs="仿宋"/>
          <w:b/>
          <w:kern w:val="0"/>
          <w:sz w:val="32"/>
          <w:szCs w:val="32"/>
          <w:highlight w:val="none"/>
        </w:rPr>
      </w:pPr>
    </w:p>
    <w:p w14:paraId="7C6E6442">
      <w:pPr>
        <w:rPr>
          <w:rFonts w:hint="eastAsia" w:ascii="仿宋" w:hAnsi="仿宋" w:eastAsia="仿宋" w:cs="仿宋"/>
          <w:highlight w:val="none"/>
        </w:rPr>
      </w:pPr>
    </w:p>
    <w:p w14:paraId="45FA886B">
      <w:pPr>
        <w:snapToGrid w:val="0"/>
        <w:spacing w:line="360" w:lineRule="auto"/>
        <w:ind w:right="480"/>
        <w:jc w:val="center"/>
        <w:rPr>
          <w:rFonts w:hint="eastAsia" w:ascii="仿宋" w:hAnsi="仿宋" w:eastAsia="仿宋" w:cs="仿宋"/>
          <w:b/>
          <w:kern w:val="0"/>
          <w:sz w:val="32"/>
          <w:szCs w:val="32"/>
          <w:highlight w:val="none"/>
        </w:rPr>
      </w:pPr>
    </w:p>
    <w:p w14:paraId="79C45BB1">
      <w:pPr>
        <w:snapToGrid w:val="0"/>
        <w:spacing w:line="360" w:lineRule="auto"/>
        <w:ind w:right="480"/>
        <w:jc w:val="center"/>
        <w:rPr>
          <w:rFonts w:hint="eastAsia" w:ascii="仿宋" w:hAnsi="仿宋" w:eastAsia="仿宋" w:cs="仿宋"/>
          <w:b/>
          <w:kern w:val="0"/>
          <w:sz w:val="32"/>
          <w:szCs w:val="32"/>
          <w:highlight w:val="none"/>
        </w:rPr>
      </w:pPr>
    </w:p>
    <w:p w14:paraId="370F1AE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912214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072CEB9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4F99DB12">
      <w:pPr>
        <w:snapToGrid w:val="0"/>
        <w:spacing w:line="360" w:lineRule="auto"/>
        <w:ind w:right="480"/>
        <w:jc w:val="center"/>
        <w:rPr>
          <w:rFonts w:hint="eastAsia" w:ascii="仿宋" w:hAnsi="仿宋" w:eastAsia="仿宋" w:cs="仿宋"/>
          <w:b/>
          <w:kern w:val="0"/>
          <w:sz w:val="32"/>
          <w:szCs w:val="32"/>
          <w:highlight w:val="none"/>
        </w:rPr>
      </w:pPr>
    </w:p>
    <w:p w14:paraId="7D13AF76">
      <w:pPr>
        <w:snapToGrid w:val="0"/>
        <w:spacing w:line="360" w:lineRule="auto"/>
        <w:ind w:right="480"/>
        <w:jc w:val="center"/>
        <w:rPr>
          <w:rFonts w:hint="eastAsia" w:ascii="仿宋" w:hAnsi="仿宋" w:eastAsia="仿宋" w:cs="仿宋"/>
          <w:b/>
          <w:kern w:val="0"/>
          <w:sz w:val="32"/>
          <w:szCs w:val="32"/>
          <w:highlight w:val="none"/>
        </w:rPr>
      </w:pPr>
    </w:p>
    <w:p w14:paraId="047AD0B3">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439F6D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04F2B6CF">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19A8D74D">
      <w:pPr>
        <w:widowControl/>
        <w:spacing w:line="360" w:lineRule="auto"/>
        <w:ind w:firstLine="480"/>
        <w:jc w:val="left"/>
        <w:rPr>
          <w:rFonts w:hint="eastAsia" w:ascii="仿宋" w:hAnsi="仿宋" w:eastAsia="仿宋" w:cs="仿宋"/>
          <w:sz w:val="24"/>
          <w:highlight w:val="none"/>
        </w:rPr>
      </w:pPr>
    </w:p>
    <w:p w14:paraId="7172DCB6">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85184FA">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57B00C59">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674651BD">
      <w:pPr>
        <w:snapToGrid w:val="0"/>
        <w:spacing w:before="50" w:after="50" w:line="360" w:lineRule="auto"/>
        <w:jc w:val="both"/>
        <w:rPr>
          <w:rFonts w:hint="eastAsia" w:ascii="仿宋" w:hAnsi="仿宋" w:eastAsia="仿宋" w:cs="仿宋"/>
          <w:highlight w:val="none"/>
          <w:lang w:val="zh-CN"/>
        </w:rPr>
      </w:pPr>
    </w:p>
    <w:p w14:paraId="771BE4AB">
      <w:pPr>
        <w:pStyle w:val="2"/>
        <w:ind w:left="0" w:leftChars="0" w:firstLine="0" w:firstLineChars="0"/>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注：本项目无</w:t>
      </w:r>
      <w:r>
        <w:rPr>
          <w:rFonts w:hint="eastAsia" w:ascii="仿宋" w:hAnsi="仿宋" w:eastAsia="仿宋" w:cs="仿宋"/>
          <w:highlight w:val="none"/>
          <w:lang w:val="zh-CN"/>
        </w:rPr>
        <w:t>）</w:t>
      </w:r>
    </w:p>
    <w:p w14:paraId="00A24EC8">
      <w:pPr>
        <w:keepNext/>
        <w:keepLines/>
        <w:adjustRightInd w:val="0"/>
        <w:spacing w:line="416" w:lineRule="auto"/>
        <w:rPr>
          <w:rFonts w:hint="eastAsia" w:ascii="仿宋" w:hAnsi="仿宋" w:eastAsia="仿宋" w:cs="仿宋"/>
          <w:highlight w:val="none"/>
          <w:lang w:val="zh-CN"/>
        </w:rPr>
      </w:pPr>
    </w:p>
    <w:p w14:paraId="79559D3F">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87B8436">
      <w:pPr>
        <w:pStyle w:val="2"/>
        <w:rPr>
          <w:rFonts w:hint="eastAsia" w:ascii="仿宋" w:hAnsi="仿宋" w:eastAsia="仿宋" w:cs="仿宋"/>
          <w:highlight w:val="none"/>
        </w:rPr>
      </w:pPr>
    </w:p>
    <w:p w14:paraId="2AD067CD">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2AA2935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FA6D16F">
      <w:pPr>
        <w:spacing w:line="360" w:lineRule="auto"/>
        <w:jc w:val="center"/>
        <w:rPr>
          <w:rFonts w:hint="eastAsia" w:ascii="仿宋" w:hAnsi="仿宋" w:eastAsia="仿宋" w:cs="仿宋"/>
          <w:sz w:val="24"/>
          <w:highlight w:val="none"/>
        </w:rPr>
      </w:pPr>
    </w:p>
    <w:p w14:paraId="34C42721">
      <w:pPr>
        <w:pStyle w:val="2"/>
        <w:ind w:left="0" w:leftChars="0" w:firstLine="0" w:firstLineChars="0"/>
        <w:rPr>
          <w:rFonts w:hint="eastAsia" w:ascii="仿宋" w:hAnsi="仿宋" w:eastAsia="仿宋" w:cs="仿宋"/>
          <w:sz w:val="24"/>
          <w:highlight w:val="none"/>
        </w:rPr>
      </w:pPr>
      <w:r>
        <w:rPr>
          <w:rFonts w:hint="eastAsia" w:ascii="仿宋" w:hAnsi="仿宋" w:eastAsia="仿宋" w:cs="仿宋"/>
          <w:highlight w:val="none"/>
          <w:lang w:val="zh-CN" w:eastAsia="zh-CN"/>
        </w:rPr>
        <w:t>（</w:t>
      </w:r>
      <w:r>
        <w:rPr>
          <w:rFonts w:hint="eastAsia" w:ascii="仿宋" w:hAnsi="仿宋" w:eastAsia="仿宋" w:cs="仿宋"/>
          <w:highlight w:val="none"/>
          <w:lang w:val="en-US" w:eastAsia="zh-CN"/>
        </w:rPr>
        <w:t>注：本项目无</w:t>
      </w:r>
      <w:r>
        <w:rPr>
          <w:rFonts w:hint="eastAsia" w:ascii="仿宋" w:hAnsi="仿宋" w:eastAsia="仿宋" w:cs="仿宋"/>
          <w:highlight w:val="none"/>
          <w:lang w:val="zh-CN" w:eastAsia="zh-CN"/>
        </w:rPr>
        <w:t>）</w:t>
      </w:r>
      <w:r>
        <w:rPr>
          <w:rFonts w:hint="eastAsia" w:ascii="仿宋" w:hAnsi="仿宋" w:eastAsia="仿宋" w:cs="仿宋"/>
          <w:sz w:val="24"/>
          <w:highlight w:val="none"/>
        </w:rPr>
        <w:br w:type="page"/>
      </w:r>
    </w:p>
    <w:p w14:paraId="59549198">
      <w:pPr>
        <w:spacing w:line="360" w:lineRule="auto"/>
        <w:ind w:right="420"/>
        <w:jc w:val="center"/>
        <w:outlineLvl w:val="1"/>
        <w:rPr>
          <w:rFonts w:hint="eastAsia" w:ascii="仿宋" w:hAnsi="仿宋" w:eastAsia="仿宋" w:cs="仿宋"/>
          <w:b/>
          <w:kern w:val="0"/>
          <w:sz w:val="36"/>
          <w:szCs w:val="36"/>
          <w:highlight w:val="none"/>
        </w:rPr>
      </w:pPr>
      <w:bookmarkStart w:id="140" w:name="_Toc23502"/>
      <w:bookmarkStart w:id="141" w:name="_Toc3036"/>
      <w:bookmarkStart w:id="142" w:name="_Toc28076"/>
      <w:bookmarkStart w:id="143" w:name="_Toc4272"/>
      <w:r>
        <w:rPr>
          <w:rFonts w:hint="eastAsia" w:ascii="仿宋" w:hAnsi="仿宋" w:eastAsia="仿宋" w:cs="仿宋"/>
          <w:b/>
          <w:kern w:val="0"/>
          <w:sz w:val="36"/>
          <w:szCs w:val="36"/>
          <w:highlight w:val="none"/>
        </w:rPr>
        <w:t>商务技术文件部分</w:t>
      </w:r>
      <w:bookmarkEnd w:id="140"/>
      <w:bookmarkEnd w:id="141"/>
      <w:bookmarkEnd w:id="142"/>
      <w:bookmarkEnd w:id="143"/>
    </w:p>
    <w:p w14:paraId="6F85E681">
      <w:pPr>
        <w:spacing w:line="360" w:lineRule="auto"/>
        <w:jc w:val="center"/>
        <w:rPr>
          <w:rFonts w:hint="eastAsia" w:ascii="仿宋" w:hAnsi="仿宋" w:eastAsia="仿宋" w:cs="仿宋"/>
          <w:b/>
          <w:kern w:val="0"/>
          <w:sz w:val="24"/>
          <w:highlight w:val="none"/>
        </w:rPr>
      </w:pPr>
    </w:p>
    <w:p w14:paraId="1F0F43E3">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74112526">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投标函…………………………………………………………………………（页码）</w:t>
      </w:r>
    </w:p>
    <w:p w14:paraId="23F68D06">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534836E4">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2C110E19">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282F1865">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6B2F1501">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投标标的清单…………………………………………………………………（页码）</w:t>
      </w:r>
    </w:p>
    <w:p w14:paraId="76779967">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0C942465">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75E11759">
      <w:pPr>
        <w:rPr>
          <w:rFonts w:hint="eastAsia" w:ascii="仿宋" w:hAnsi="仿宋" w:eastAsia="仿宋" w:cs="仿宋"/>
          <w:highlight w:val="none"/>
          <w:lang w:val="zh-CN"/>
        </w:rPr>
      </w:pPr>
    </w:p>
    <w:p w14:paraId="634828F0">
      <w:pPr>
        <w:rPr>
          <w:rFonts w:hint="eastAsia" w:ascii="仿宋" w:hAnsi="仿宋" w:eastAsia="仿宋" w:cs="仿宋"/>
          <w:highlight w:val="none"/>
          <w:lang w:val="zh-CN"/>
        </w:rPr>
      </w:pPr>
    </w:p>
    <w:p w14:paraId="2CA51A26">
      <w:pPr>
        <w:rPr>
          <w:rFonts w:hint="eastAsia" w:ascii="仿宋" w:hAnsi="仿宋" w:eastAsia="仿宋" w:cs="仿宋"/>
          <w:highlight w:val="none"/>
          <w:lang w:val="zh-CN"/>
        </w:rPr>
      </w:pPr>
    </w:p>
    <w:p w14:paraId="78F6981E">
      <w:pPr>
        <w:rPr>
          <w:rFonts w:hint="eastAsia" w:ascii="仿宋" w:hAnsi="仿宋" w:eastAsia="仿宋" w:cs="仿宋"/>
          <w:highlight w:val="none"/>
          <w:lang w:val="zh-CN"/>
        </w:rPr>
      </w:pPr>
    </w:p>
    <w:p w14:paraId="653DD438">
      <w:pPr>
        <w:rPr>
          <w:rFonts w:hint="eastAsia" w:ascii="仿宋" w:hAnsi="仿宋" w:eastAsia="仿宋" w:cs="仿宋"/>
          <w:highlight w:val="none"/>
          <w:lang w:val="zh-CN"/>
        </w:rPr>
      </w:pPr>
    </w:p>
    <w:p w14:paraId="2567A243">
      <w:pPr>
        <w:rPr>
          <w:rFonts w:hint="eastAsia" w:ascii="仿宋" w:hAnsi="仿宋" w:eastAsia="仿宋" w:cs="仿宋"/>
          <w:highlight w:val="none"/>
        </w:rPr>
      </w:pPr>
    </w:p>
    <w:p w14:paraId="2B9DE686">
      <w:pPr>
        <w:rPr>
          <w:rFonts w:hint="eastAsia" w:ascii="仿宋" w:hAnsi="仿宋" w:eastAsia="仿宋" w:cs="仿宋"/>
          <w:highlight w:val="none"/>
        </w:rPr>
      </w:pPr>
    </w:p>
    <w:p w14:paraId="57B8D4E8">
      <w:pPr>
        <w:rPr>
          <w:rFonts w:hint="eastAsia" w:ascii="仿宋" w:hAnsi="仿宋" w:eastAsia="仿宋" w:cs="仿宋"/>
          <w:highlight w:val="none"/>
        </w:rPr>
      </w:pPr>
    </w:p>
    <w:p w14:paraId="5A888FA2">
      <w:pPr>
        <w:rPr>
          <w:rFonts w:hint="eastAsia" w:ascii="仿宋" w:hAnsi="仿宋" w:eastAsia="仿宋" w:cs="仿宋"/>
          <w:highlight w:val="none"/>
        </w:rPr>
      </w:pPr>
    </w:p>
    <w:p w14:paraId="67FD456C">
      <w:pPr>
        <w:rPr>
          <w:rFonts w:hint="eastAsia" w:ascii="仿宋" w:hAnsi="仿宋" w:eastAsia="仿宋" w:cs="仿宋"/>
          <w:highlight w:val="none"/>
        </w:rPr>
      </w:pPr>
    </w:p>
    <w:p w14:paraId="1043B275">
      <w:pPr>
        <w:rPr>
          <w:rFonts w:hint="eastAsia" w:ascii="仿宋" w:hAnsi="仿宋" w:eastAsia="仿宋" w:cs="仿宋"/>
          <w:highlight w:val="none"/>
        </w:rPr>
      </w:pPr>
    </w:p>
    <w:p w14:paraId="4A38BCC5">
      <w:pPr>
        <w:rPr>
          <w:rFonts w:hint="eastAsia" w:ascii="仿宋" w:hAnsi="仿宋" w:eastAsia="仿宋" w:cs="仿宋"/>
          <w:highlight w:val="none"/>
        </w:rPr>
      </w:pPr>
    </w:p>
    <w:p w14:paraId="08D460E6">
      <w:pPr>
        <w:rPr>
          <w:rFonts w:hint="eastAsia" w:ascii="仿宋" w:hAnsi="仿宋" w:eastAsia="仿宋" w:cs="仿宋"/>
          <w:highlight w:val="none"/>
        </w:rPr>
      </w:pPr>
    </w:p>
    <w:p w14:paraId="5661CF16">
      <w:pPr>
        <w:rPr>
          <w:rFonts w:hint="eastAsia" w:ascii="仿宋" w:hAnsi="仿宋" w:eastAsia="仿宋" w:cs="仿宋"/>
          <w:highlight w:val="none"/>
        </w:rPr>
      </w:pPr>
    </w:p>
    <w:p w14:paraId="110B388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F0B1E66">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D95F5EF">
      <w:pPr>
        <w:adjustRightInd w:val="0"/>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4919D205">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241A285E">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232730EC">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10484D3E">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500E0FB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2.1.1符合参加政府采购活动应当具备的一般条件的承诺函；</w:t>
      </w:r>
    </w:p>
    <w:p w14:paraId="463BCDBC">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2.1.2联合协议；（如果有)</w:t>
      </w:r>
    </w:p>
    <w:p w14:paraId="74CF4623">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本项目无</w:t>
      </w:r>
      <w:r>
        <w:rPr>
          <w:rFonts w:hint="eastAsia" w:ascii="仿宋" w:hAnsi="仿宋" w:eastAsia="仿宋" w:cs="仿宋"/>
          <w:bCs/>
          <w:sz w:val="24"/>
          <w:highlight w:val="none"/>
        </w:rPr>
        <w:t>）</w:t>
      </w:r>
    </w:p>
    <w:p w14:paraId="52D79E7D">
      <w:pPr>
        <w:adjustRightInd w:val="0"/>
        <w:snapToGrid w:val="0"/>
        <w:spacing w:line="360" w:lineRule="exact"/>
        <w:ind w:left="420" w:leftChars="200" w:firstLine="480" w:firstLineChars="200"/>
        <w:rPr>
          <w:rFonts w:hint="eastAsia" w:ascii="仿宋" w:hAnsi="仿宋" w:eastAsia="仿宋" w:cs="仿宋"/>
          <w:bCs/>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本项目无</w:t>
      </w:r>
      <w:r>
        <w:rPr>
          <w:rFonts w:hint="eastAsia" w:ascii="仿宋" w:hAnsi="仿宋" w:eastAsia="仿宋" w:cs="仿宋"/>
          <w:bCs/>
          <w:sz w:val="24"/>
          <w:highlight w:val="none"/>
        </w:rPr>
        <w:t>）</w:t>
      </w:r>
    </w:p>
    <w:p w14:paraId="68E129F9">
      <w:pPr>
        <w:adjustRightInd w:val="0"/>
        <w:snapToGrid w:val="0"/>
        <w:spacing w:line="36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5A0ED15">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49FC564B">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r>
        <w:rPr>
          <w:rFonts w:hint="eastAsia" w:ascii="仿宋" w:hAnsi="仿宋" w:eastAsia="仿宋" w:cs="仿宋"/>
          <w:bCs/>
          <w:sz w:val="24"/>
          <w:highlight w:val="none"/>
        </w:rPr>
        <w:t>以及为授权代表缴纳、距投标截止时间3个月内任意时间出具的社保证明材料</w:t>
      </w:r>
      <w:r>
        <w:rPr>
          <w:rFonts w:hint="eastAsia" w:ascii="仿宋" w:hAnsi="仿宋" w:eastAsia="仿宋" w:cs="仿宋"/>
          <w:sz w:val="24"/>
          <w:highlight w:val="none"/>
        </w:rPr>
        <w:t>；</w:t>
      </w:r>
    </w:p>
    <w:p w14:paraId="1340407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bCs/>
          <w:sz w:val="24"/>
          <w:highlight w:val="none"/>
        </w:rPr>
        <w:t>如果有</w:t>
      </w:r>
      <w:r>
        <w:rPr>
          <w:rFonts w:hint="eastAsia" w:ascii="仿宋" w:hAnsi="仿宋" w:eastAsia="仿宋" w:cs="仿宋"/>
          <w:sz w:val="24"/>
          <w:highlight w:val="none"/>
        </w:rPr>
        <w:t>）</w:t>
      </w:r>
    </w:p>
    <w:p w14:paraId="6F3D865C">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22F75D2E">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273BD575">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13B7D946">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AD03FE7">
      <w:pPr>
        <w:adjustRightInd w:val="0"/>
        <w:snapToGrid w:val="0"/>
        <w:spacing w:line="36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149C93FC">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1E6F8B19">
      <w:pPr>
        <w:adjustRightInd w:val="0"/>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39E1A1C4">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2.3.2报价明细表</w:t>
      </w:r>
      <w:r>
        <w:rPr>
          <w:rFonts w:hint="eastAsia" w:ascii="仿宋" w:hAnsi="仿宋" w:eastAsia="仿宋" w:cs="仿宋"/>
          <w:sz w:val="24"/>
          <w:highlight w:val="none"/>
          <w:lang w:eastAsia="zh-CN"/>
        </w:rPr>
        <w:t>；</w:t>
      </w:r>
      <w:r>
        <w:rPr>
          <w:rFonts w:hint="eastAsia" w:ascii="仿宋" w:hAnsi="仿宋" w:eastAsia="仿宋" w:cs="仿宋"/>
          <w:sz w:val="24"/>
          <w:highlight w:val="none"/>
        </w:rPr>
        <w:t>（自拟）</w:t>
      </w:r>
    </w:p>
    <w:p w14:paraId="21D93398">
      <w:pPr>
        <w:adjustRightInd w:val="0"/>
        <w:snapToGrid w:val="0"/>
        <w:spacing w:line="360" w:lineRule="exact"/>
        <w:ind w:left="420" w:leftChars="20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2.3.3中小企业声明函。（如果有）</w:t>
      </w:r>
    </w:p>
    <w:p w14:paraId="2E940043">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2820951C">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7BCDB1DD">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3F9244C2">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00617007">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17D1B5C9">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0114C041">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3893B5">
      <w:pPr>
        <w:adjustRightInd w:val="0"/>
        <w:snapToGrid w:val="0"/>
        <w:spacing w:line="360" w:lineRule="exact"/>
        <w:ind w:firstLine="3600" w:firstLineChars="1500"/>
        <w:rPr>
          <w:rFonts w:hint="eastAsia" w:ascii="仿宋" w:hAnsi="仿宋" w:eastAsia="仿宋" w:cs="仿宋"/>
          <w:sz w:val="24"/>
          <w:highlight w:val="none"/>
        </w:rPr>
      </w:pPr>
    </w:p>
    <w:p w14:paraId="45A40D60">
      <w:pPr>
        <w:adjustRightInd w:val="0"/>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5747A24A">
      <w:pPr>
        <w:adjustRightInd w:val="0"/>
        <w:snapToGrid w:val="0"/>
        <w:spacing w:line="360" w:lineRule="exact"/>
        <w:jc w:val="center"/>
        <w:rPr>
          <w:rFonts w:hint="eastAsia" w:ascii="仿宋" w:hAnsi="仿宋" w:eastAsia="仿宋" w:cs="仿宋"/>
          <w:kern w:val="0"/>
          <w:sz w:val="24"/>
          <w:highlight w:val="none"/>
          <w:u w:val="single"/>
          <w:lang w:val="zh-CN"/>
        </w:rPr>
      </w:pPr>
      <w:r>
        <w:rPr>
          <w:rFonts w:hint="eastAsia" w:ascii="仿宋" w:hAnsi="仿宋" w:eastAsia="仿宋" w:cs="仿宋"/>
          <w:sz w:val="24"/>
          <w:highlight w:val="none"/>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247C281B">
      <w:pPr>
        <w:spacing w:line="360" w:lineRule="auto"/>
        <w:ind w:right="420"/>
        <w:rPr>
          <w:rFonts w:hint="eastAsia" w:ascii="仿宋" w:hAnsi="仿宋" w:eastAsia="仿宋" w:cs="仿宋"/>
          <w:sz w:val="24"/>
          <w:highlight w:val="none"/>
        </w:rPr>
      </w:pPr>
    </w:p>
    <w:p w14:paraId="0526E265">
      <w:pPr>
        <w:rPr>
          <w:rFonts w:hint="eastAsia" w:ascii="仿宋" w:hAnsi="仿宋" w:eastAsia="仿宋" w:cs="仿宋"/>
          <w:b/>
          <w:kern w:val="0"/>
          <w:sz w:val="32"/>
          <w:szCs w:val="32"/>
          <w:highlight w:val="none"/>
          <w:lang w:val="zh-CN"/>
        </w:rPr>
      </w:pPr>
    </w:p>
    <w:p w14:paraId="5BE55270">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18099E3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33B9FE9">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6DB117A2">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58F00E83">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36D2BC6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226B664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5BCD186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284918F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5C2B0D7D">
      <w:pPr>
        <w:snapToGrid w:val="0"/>
        <w:spacing w:line="360" w:lineRule="auto"/>
        <w:rPr>
          <w:rFonts w:hint="eastAsia" w:ascii="仿宋" w:hAnsi="仿宋" w:eastAsia="仿宋" w:cs="仿宋"/>
          <w:sz w:val="24"/>
          <w:highlight w:val="none"/>
        </w:rPr>
      </w:pPr>
    </w:p>
    <w:p w14:paraId="7AD379FD">
      <w:pPr>
        <w:snapToGrid w:val="0"/>
        <w:spacing w:line="360" w:lineRule="auto"/>
        <w:rPr>
          <w:rFonts w:hint="eastAsia" w:ascii="仿宋" w:hAnsi="仿宋" w:eastAsia="仿宋" w:cs="仿宋"/>
          <w:sz w:val="24"/>
          <w:highlight w:val="none"/>
        </w:rPr>
      </w:pPr>
    </w:p>
    <w:p w14:paraId="7A07045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61C78F0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728E261E">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449E669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委托期限：</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EABA29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B63004B">
      <w:pPr>
        <w:jc w:val="center"/>
        <w:rPr>
          <w:rFonts w:hint="eastAsia" w:ascii="仿宋" w:hAnsi="仿宋" w:eastAsia="仿宋" w:cs="仿宋"/>
          <w:b/>
          <w:kern w:val="0"/>
          <w:sz w:val="32"/>
          <w:szCs w:val="32"/>
          <w:highlight w:val="none"/>
        </w:rPr>
      </w:pPr>
    </w:p>
    <w:p w14:paraId="631C559B">
      <w:pPr>
        <w:jc w:val="center"/>
        <w:rPr>
          <w:rFonts w:hint="eastAsia" w:ascii="仿宋" w:hAnsi="仿宋" w:eastAsia="仿宋" w:cs="仿宋"/>
          <w:b/>
          <w:kern w:val="0"/>
          <w:sz w:val="32"/>
          <w:szCs w:val="32"/>
          <w:highlight w:val="none"/>
        </w:rPr>
      </w:pPr>
    </w:p>
    <w:p w14:paraId="39CFB00E">
      <w:pPr>
        <w:rPr>
          <w:rFonts w:hint="eastAsia" w:ascii="仿宋" w:hAnsi="仿宋" w:eastAsia="仿宋" w:cs="仿宋"/>
          <w:highlight w:val="none"/>
        </w:rPr>
      </w:pPr>
    </w:p>
    <w:p w14:paraId="1C43E37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1AB53D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3ED662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194FD63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9DF570A">
      <w:pP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br w:type="page"/>
      </w: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09EE9E95">
      <w:pPr>
        <w:pStyle w:val="19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BC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1E1B9151">
            <w:pPr>
              <w:pStyle w:val="19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393839E8">
            <w:pPr>
              <w:pStyle w:val="196"/>
              <w:adjustRightInd w:val="0"/>
              <w:spacing w:line="360" w:lineRule="auto"/>
              <w:rPr>
                <w:rFonts w:hint="eastAsia" w:ascii="仿宋" w:hAnsi="仿宋" w:eastAsia="仿宋" w:cs="仿宋"/>
                <w:bCs/>
                <w:sz w:val="24"/>
                <w:highlight w:val="none"/>
              </w:rPr>
            </w:pPr>
          </w:p>
        </w:tc>
      </w:tr>
    </w:tbl>
    <w:p w14:paraId="294F75C1">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DB8E7B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投标人为授权代表缴纳的、距投标截止时间3个月内任意时间出具的社保证明材料</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0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4D81000A">
            <w:pPr>
              <w:pStyle w:val="196"/>
              <w:adjustRightInd w:val="0"/>
              <w:spacing w:line="360" w:lineRule="auto"/>
              <w:rPr>
                <w:rFonts w:hint="eastAsia" w:ascii="仿宋" w:hAnsi="仿宋" w:eastAsia="仿宋" w:cs="仿宋"/>
                <w:bCs/>
                <w:sz w:val="24"/>
                <w:highlight w:val="none"/>
              </w:rPr>
            </w:pPr>
          </w:p>
        </w:tc>
      </w:tr>
    </w:tbl>
    <w:p w14:paraId="7161617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1F333BAD">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569CED33">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50721AD">
      <w:pPr>
        <w:jc w:val="center"/>
        <w:rPr>
          <w:rFonts w:hint="eastAsia" w:ascii="仿宋" w:hAnsi="仿宋" w:eastAsia="仿宋" w:cs="仿宋"/>
          <w:b/>
          <w:kern w:val="0"/>
          <w:sz w:val="32"/>
          <w:szCs w:val="32"/>
          <w:highlight w:val="none"/>
        </w:rPr>
      </w:pPr>
    </w:p>
    <w:p w14:paraId="63A8B0F2">
      <w:pPr>
        <w:jc w:val="center"/>
        <w:rPr>
          <w:rFonts w:hint="eastAsia" w:ascii="仿宋" w:hAnsi="仿宋" w:eastAsia="仿宋" w:cs="仿宋"/>
          <w:b/>
          <w:kern w:val="0"/>
          <w:sz w:val="32"/>
          <w:szCs w:val="32"/>
          <w:highlight w:val="none"/>
        </w:rPr>
      </w:pPr>
    </w:p>
    <w:p w14:paraId="42261593">
      <w:pPr>
        <w:jc w:val="center"/>
        <w:rPr>
          <w:rFonts w:hint="eastAsia" w:ascii="仿宋" w:hAnsi="仿宋" w:eastAsia="仿宋" w:cs="仿宋"/>
          <w:b/>
          <w:kern w:val="0"/>
          <w:sz w:val="32"/>
          <w:szCs w:val="32"/>
          <w:highlight w:val="none"/>
        </w:rPr>
      </w:pPr>
    </w:p>
    <w:p w14:paraId="2D5E5D60">
      <w:pPr>
        <w:jc w:val="center"/>
        <w:rPr>
          <w:rFonts w:hint="eastAsia" w:ascii="仿宋" w:hAnsi="仿宋" w:eastAsia="仿宋" w:cs="仿宋"/>
          <w:b/>
          <w:kern w:val="0"/>
          <w:sz w:val="32"/>
          <w:szCs w:val="32"/>
          <w:highlight w:val="none"/>
        </w:rPr>
      </w:pPr>
    </w:p>
    <w:p w14:paraId="262A14E1">
      <w:pPr>
        <w:jc w:val="center"/>
        <w:rPr>
          <w:rFonts w:hint="eastAsia" w:ascii="仿宋" w:hAnsi="仿宋" w:eastAsia="仿宋" w:cs="仿宋"/>
          <w:b/>
          <w:kern w:val="0"/>
          <w:sz w:val="32"/>
          <w:szCs w:val="32"/>
          <w:highlight w:val="none"/>
        </w:rPr>
      </w:pPr>
    </w:p>
    <w:p w14:paraId="6EE2B5F5">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62B31E36">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43DA6263">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49E49B43">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060BC9F1">
      <w:pPr>
        <w:jc w:val="center"/>
        <w:rPr>
          <w:rFonts w:hint="eastAsia" w:ascii="仿宋" w:hAnsi="仿宋" w:eastAsia="仿宋"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F97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229C4C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7A18791E">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0EDA2CD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5E14743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投标文件中的页码位置</w:t>
            </w:r>
          </w:p>
        </w:tc>
      </w:tr>
      <w:tr w14:paraId="743F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27D61">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40F1CD2F">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7CF65A7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672" w:type="dxa"/>
            <w:vAlign w:val="center"/>
          </w:tcPr>
          <w:p w14:paraId="4AE42B35">
            <w:pPr>
              <w:adjustRightInd w:val="0"/>
              <w:snapToGrid w:val="0"/>
              <w:spacing w:line="400" w:lineRule="exact"/>
              <w:rPr>
                <w:rFonts w:hint="eastAsia" w:ascii="仿宋" w:hAnsi="仿宋" w:eastAsia="仿宋" w:cs="仿宋"/>
                <w:sz w:val="24"/>
                <w:highlight w:val="none"/>
              </w:rPr>
            </w:pPr>
          </w:p>
          <w:p w14:paraId="4A1D7C0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3E8C7BE9">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49AF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5D886C">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76477C51">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604FBCE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672" w:type="dxa"/>
            <w:vAlign w:val="center"/>
          </w:tcPr>
          <w:p w14:paraId="0399708D">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3B3DD13F">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5B4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70C64">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416E762E">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19202079">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672" w:type="dxa"/>
            <w:vAlign w:val="center"/>
          </w:tcPr>
          <w:p w14:paraId="0632C55D">
            <w:pPr>
              <w:adjustRightInd w:val="0"/>
              <w:snapToGrid w:val="0"/>
              <w:spacing w:line="400" w:lineRule="exact"/>
              <w:rPr>
                <w:rFonts w:hint="eastAsia" w:ascii="仿宋" w:hAnsi="仿宋" w:eastAsia="仿宋" w:cs="仿宋"/>
                <w:highlight w:val="none"/>
              </w:rPr>
            </w:pPr>
          </w:p>
        </w:tc>
      </w:tr>
      <w:tr w14:paraId="59B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E2329B">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0AB7FACE">
            <w:pPr>
              <w:pStyle w:val="18"/>
              <w:adjustRightInd w:val="0"/>
              <w:snapToGrid w:val="0"/>
              <w:spacing w:line="360" w:lineRule="auto"/>
              <w:ind w:firstLine="480" w:firstLineChars="200"/>
              <w:rPr>
                <w:rFonts w:hint="eastAsia" w:ascii="仿宋" w:hAnsi="仿宋" w:eastAsia="仿宋" w:cs="仿宋"/>
                <w:kern w:val="0"/>
                <w:sz w:val="24"/>
                <w:highlight w:val="none"/>
              </w:rPr>
            </w:pPr>
          </w:p>
        </w:tc>
        <w:tc>
          <w:tcPr>
            <w:tcW w:w="1672" w:type="dxa"/>
            <w:vAlign w:val="center"/>
          </w:tcPr>
          <w:p w14:paraId="0C67196B">
            <w:pPr>
              <w:adjustRightInd w:val="0"/>
              <w:snapToGrid w:val="0"/>
              <w:spacing w:line="400" w:lineRule="exact"/>
              <w:rPr>
                <w:rFonts w:hint="eastAsia" w:ascii="仿宋" w:hAnsi="仿宋" w:eastAsia="仿宋" w:cs="仿宋"/>
                <w:sz w:val="24"/>
                <w:highlight w:val="none"/>
              </w:rPr>
            </w:pPr>
          </w:p>
        </w:tc>
      </w:tr>
      <w:tr w14:paraId="53A9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79C4A">
            <w:pPr>
              <w:adjustRightInd w:val="0"/>
              <w:snapToGrid w:val="0"/>
              <w:spacing w:line="400" w:lineRule="exact"/>
              <w:jc w:val="center"/>
              <w:rPr>
                <w:rFonts w:hint="eastAsia" w:ascii="仿宋" w:hAnsi="仿宋" w:eastAsia="仿宋" w:cs="仿宋"/>
                <w:bCs/>
                <w:sz w:val="24"/>
                <w:highlight w:val="none"/>
              </w:rPr>
            </w:pPr>
          </w:p>
        </w:tc>
        <w:tc>
          <w:tcPr>
            <w:tcW w:w="6796" w:type="dxa"/>
            <w:gridSpan w:val="2"/>
            <w:vAlign w:val="center"/>
          </w:tcPr>
          <w:p w14:paraId="4C285B3D">
            <w:pPr>
              <w:adjustRightInd w:val="0"/>
              <w:snapToGrid w:val="0"/>
              <w:spacing w:line="400" w:lineRule="exact"/>
              <w:rPr>
                <w:rFonts w:hint="eastAsia" w:ascii="仿宋" w:hAnsi="仿宋" w:eastAsia="仿宋" w:cs="仿宋"/>
                <w:snapToGrid w:val="0"/>
                <w:kern w:val="0"/>
                <w:sz w:val="24"/>
                <w:highlight w:val="none"/>
              </w:rPr>
            </w:pPr>
          </w:p>
        </w:tc>
        <w:tc>
          <w:tcPr>
            <w:tcW w:w="1672" w:type="dxa"/>
            <w:vAlign w:val="center"/>
          </w:tcPr>
          <w:p w14:paraId="1413FA1B">
            <w:pPr>
              <w:adjustRightInd w:val="0"/>
              <w:snapToGrid w:val="0"/>
              <w:spacing w:line="400" w:lineRule="exact"/>
              <w:rPr>
                <w:rFonts w:hint="eastAsia" w:ascii="仿宋" w:hAnsi="仿宋" w:eastAsia="仿宋" w:cs="仿宋"/>
                <w:sz w:val="24"/>
                <w:highlight w:val="none"/>
              </w:rPr>
            </w:pPr>
          </w:p>
        </w:tc>
      </w:tr>
    </w:tbl>
    <w:p w14:paraId="0ACA58C0">
      <w:pPr>
        <w:spacing w:line="360" w:lineRule="auto"/>
        <w:ind w:right="420"/>
        <w:rPr>
          <w:rFonts w:hint="eastAsia" w:ascii="仿宋" w:hAnsi="仿宋" w:eastAsia="仿宋" w:cs="仿宋"/>
          <w:sz w:val="24"/>
          <w:highlight w:val="none"/>
        </w:rPr>
      </w:pPr>
    </w:p>
    <w:p w14:paraId="04984AA9">
      <w:pPr>
        <w:jc w:val="center"/>
        <w:rPr>
          <w:rFonts w:hint="eastAsia" w:ascii="仿宋" w:hAnsi="仿宋" w:eastAsia="仿宋" w:cs="仿宋"/>
          <w:b/>
          <w:kern w:val="0"/>
          <w:sz w:val="32"/>
          <w:szCs w:val="32"/>
          <w:highlight w:val="none"/>
        </w:rPr>
      </w:pPr>
    </w:p>
    <w:p w14:paraId="5B449A3C">
      <w:pPr>
        <w:rPr>
          <w:rFonts w:hint="eastAsia" w:ascii="仿宋" w:hAnsi="仿宋" w:eastAsia="仿宋" w:cs="仿宋"/>
          <w:b/>
          <w:kern w:val="0"/>
          <w:sz w:val="32"/>
          <w:szCs w:val="32"/>
          <w:highlight w:val="none"/>
        </w:rPr>
      </w:pPr>
    </w:p>
    <w:p w14:paraId="47103C77">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4ADE3B23">
      <w:pPr>
        <w:snapToGrid w:val="0"/>
        <w:spacing w:line="360" w:lineRule="auto"/>
        <w:jc w:val="left"/>
        <w:rPr>
          <w:rFonts w:hint="eastAsia" w:ascii="仿宋" w:hAnsi="仿宋" w:eastAsia="仿宋" w:cs="仿宋"/>
          <w:b/>
          <w:sz w:val="24"/>
          <w:highlight w:val="none"/>
        </w:rPr>
      </w:pPr>
    </w:p>
    <w:p w14:paraId="5F747A67">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6E226578">
      <w:pPr>
        <w:jc w:val="center"/>
        <w:rPr>
          <w:rFonts w:hint="eastAsia" w:ascii="仿宋" w:hAnsi="仿宋" w:eastAsia="仿宋" w:cs="仿宋"/>
          <w:b/>
          <w:kern w:val="0"/>
          <w:sz w:val="32"/>
          <w:szCs w:val="32"/>
          <w:highlight w:val="none"/>
        </w:rPr>
      </w:pPr>
    </w:p>
    <w:p w14:paraId="7108CBEF">
      <w:pPr>
        <w:jc w:val="center"/>
        <w:rPr>
          <w:rFonts w:hint="eastAsia" w:ascii="仿宋" w:hAnsi="仿宋" w:eastAsia="仿宋" w:cs="仿宋"/>
          <w:b/>
          <w:kern w:val="0"/>
          <w:sz w:val="32"/>
          <w:szCs w:val="32"/>
          <w:highlight w:val="none"/>
        </w:rPr>
      </w:pPr>
    </w:p>
    <w:p w14:paraId="08C21464">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238FF3B">
      <w:pPr>
        <w:pStyle w:val="32"/>
        <w:rPr>
          <w:rFonts w:hint="eastAsia" w:ascii="仿宋" w:hAnsi="仿宋" w:eastAsia="仿宋" w:cs="仿宋"/>
          <w:highlight w:val="none"/>
        </w:rPr>
      </w:pPr>
    </w:p>
    <w:p w14:paraId="1D6DF84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6E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3F1D8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2658E3">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E877D9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C8433F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3F6C16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5ADB0E">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96EA72">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417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1DB4DE">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F3731B">
            <w:pPr>
              <w:adjustRightInd w:val="0"/>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跨境零售进口商品质量安全风险监测服务项目</w:t>
            </w:r>
          </w:p>
        </w:tc>
        <w:tc>
          <w:tcPr>
            <w:tcW w:w="1114" w:type="dxa"/>
            <w:tcBorders>
              <w:top w:val="single" w:color="auto" w:sz="4" w:space="0"/>
              <w:left w:val="single" w:color="auto" w:sz="4" w:space="0"/>
              <w:bottom w:val="single" w:color="auto" w:sz="4" w:space="0"/>
              <w:right w:val="single" w:color="auto" w:sz="4" w:space="0"/>
            </w:tcBorders>
            <w:vAlign w:val="center"/>
          </w:tcPr>
          <w:p w14:paraId="3238C0DA">
            <w:pPr>
              <w:adjustRightInd w:val="0"/>
              <w:snapToGrid w:val="0"/>
              <w:spacing w:line="400" w:lineRule="exact"/>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DBC217">
            <w:pPr>
              <w:adjustRightInd w:val="0"/>
              <w:snapToGrid w:val="0"/>
              <w:spacing w:line="400" w:lineRule="exact"/>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640CA1">
            <w:pPr>
              <w:adjustRightInd w:val="0"/>
              <w:snapToGrid w:val="0"/>
              <w:spacing w:line="400" w:lineRule="exact"/>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B124D4">
            <w:pPr>
              <w:adjustRightInd w:val="0"/>
              <w:snapToGrid w:val="0"/>
              <w:spacing w:line="400" w:lineRule="exact"/>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479E55">
            <w:pPr>
              <w:adjustRightInd w:val="0"/>
              <w:snapToGrid w:val="0"/>
              <w:spacing w:line="400" w:lineRule="exact"/>
              <w:jc w:val="center"/>
              <w:rPr>
                <w:rFonts w:hint="eastAsia" w:ascii="仿宋" w:hAnsi="仿宋" w:eastAsia="仿宋" w:cs="仿宋"/>
                <w:sz w:val="24"/>
                <w:highlight w:val="none"/>
              </w:rPr>
            </w:pPr>
          </w:p>
        </w:tc>
      </w:tr>
    </w:tbl>
    <w:p w14:paraId="04616EDC">
      <w:pPr>
        <w:spacing w:line="360" w:lineRule="auto"/>
        <w:ind w:right="420"/>
        <w:rPr>
          <w:rFonts w:hint="eastAsia" w:ascii="仿宋" w:hAnsi="仿宋" w:eastAsia="仿宋" w:cs="仿宋"/>
          <w:sz w:val="24"/>
          <w:highlight w:val="none"/>
        </w:rPr>
      </w:pPr>
    </w:p>
    <w:p w14:paraId="08E5D6F5">
      <w:pPr>
        <w:rPr>
          <w:rFonts w:hint="eastAsia" w:ascii="仿宋" w:hAnsi="仿宋" w:eastAsia="仿宋" w:cs="仿宋"/>
          <w:highlight w:val="none"/>
          <w:lang w:val="zh-CN"/>
        </w:rPr>
      </w:pPr>
    </w:p>
    <w:p w14:paraId="28214AE1">
      <w:pPr>
        <w:rPr>
          <w:rFonts w:hint="eastAsia" w:ascii="仿宋" w:hAnsi="仿宋" w:eastAsia="仿宋" w:cs="仿宋"/>
          <w:highlight w:val="none"/>
          <w:lang w:val="zh-CN"/>
        </w:rPr>
      </w:pPr>
    </w:p>
    <w:p w14:paraId="26EA8FEF">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七、商务技术偏离表</w:t>
      </w:r>
    </w:p>
    <w:p w14:paraId="504BAB2B">
      <w:pPr>
        <w:jc w:val="center"/>
        <w:rPr>
          <w:rFonts w:hint="eastAsia" w:ascii="仿宋" w:hAnsi="仿宋" w:eastAsia="仿宋"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83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ABE2DE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5F9CC37B">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29DFFA12">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3C9CB145">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DE2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2B04308">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3D250A94">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3E8387CB">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7933A8D">
            <w:pPr>
              <w:adjustRightInd w:val="0"/>
              <w:snapToGrid w:val="0"/>
              <w:spacing w:line="400" w:lineRule="exact"/>
              <w:jc w:val="center"/>
              <w:rPr>
                <w:rFonts w:hint="eastAsia" w:ascii="仿宋" w:hAnsi="仿宋" w:eastAsia="仿宋" w:cs="仿宋"/>
                <w:b/>
                <w:kern w:val="0"/>
                <w:sz w:val="32"/>
                <w:szCs w:val="32"/>
                <w:highlight w:val="none"/>
              </w:rPr>
            </w:pPr>
          </w:p>
        </w:tc>
      </w:tr>
      <w:tr w14:paraId="26BC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346A2EC">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44626E3A">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1DC623EB">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3C74794">
            <w:pPr>
              <w:adjustRightInd w:val="0"/>
              <w:snapToGrid w:val="0"/>
              <w:spacing w:line="400" w:lineRule="exact"/>
              <w:jc w:val="center"/>
              <w:rPr>
                <w:rFonts w:hint="eastAsia" w:ascii="仿宋" w:hAnsi="仿宋" w:eastAsia="仿宋" w:cs="仿宋"/>
                <w:b/>
                <w:kern w:val="0"/>
                <w:sz w:val="32"/>
                <w:szCs w:val="32"/>
                <w:highlight w:val="none"/>
              </w:rPr>
            </w:pPr>
          </w:p>
        </w:tc>
      </w:tr>
      <w:tr w14:paraId="1170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F9AE5D1">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519B3B95">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5671B6A">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55430E47">
            <w:pPr>
              <w:adjustRightInd w:val="0"/>
              <w:snapToGrid w:val="0"/>
              <w:spacing w:line="400" w:lineRule="exact"/>
              <w:jc w:val="center"/>
              <w:rPr>
                <w:rFonts w:hint="eastAsia" w:ascii="仿宋" w:hAnsi="仿宋" w:eastAsia="仿宋" w:cs="仿宋"/>
                <w:b/>
                <w:kern w:val="0"/>
                <w:sz w:val="32"/>
                <w:szCs w:val="32"/>
                <w:highlight w:val="none"/>
              </w:rPr>
            </w:pPr>
          </w:p>
        </w:tc>
      </w:tr>
    </w:tbl>
    <w:p w14:paraId="71CA2999">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6962FA44">
      <w:pPr>
        <w:jc w:val="center"/>
        <w:rPr>
          <w:rFonts w:hint="eastAsia" w:ascii="仿宋" w:hAnsi="仿宋" w:eastAsia="仿宋" w:cs="仿宋"/>
          <w:b/>
          <w:kern w:val="0"/>
          <w:sz w:val="32"/>
          <w:szCs w:val="32"/>
          <w:highlight w:val="none"/>
        </w:rPr>
      </w:pPr>
    </w:p>
    <w:p w14:paraId="17EB3D93">
      <w:pPr>
        <w:spacing w:line="360" w:lineRule="auto"/>
        <w:ind w:right="420"/>
        <w:rPr>
          <w:rFonts w:hint="eastAsia" w:ascii="仿宋" w:hAnsi="仿宋" w:eastAsia="仿宋" w:cs="仿宋"/>
          <w:sz w:val="24"/>
          <w:highlight w:val="none"/>
        </w:rPr>
      </w:pPr>
    </w:p>
    <w:p w14:paraId="2CF20CA8">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098E6DF">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八、政府采购供应商廉洁自律承诺书</w:t>
      </w:r>
    </w:p>
    <w:p w14:paraId="123054A6">
      <w:pPr>
        <w:snapToGrid w:val="0"/>
        <w:spacing w:line="360" w:lineRule="auto"/>
        <w:rPr>
          <w:rFonts w:hint="eastAsia" w:ascii="仿宋" w:hAnsi="仿宋" w:eastAsia="仿宋" w:cs="仿宋"/>
          <w:sz w:val="24"/>
          <w:highlight w:val="none"/>
        </w:rPr>
      </w:pPr>
    </w:p>
    <w:p w14:paraId="41B3A68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62C02A5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4A1FE88C">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43D1176">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05E8BE5A">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69BA6583">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20BBF2D">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787D26D7">
      <w:pPr>
        <w:autoSpaceDE w:val="0"/>
        <w:autoSpaceDN w:val="0"/>
        <w:adjustRightInd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026EA4C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w:t>
      </w:r>
      <w:r>
        <w:rPr>
          <w:rFonts w:hint="eastAsia" w:ascii="仿宋" w:hAnsi="仿宋" w:eastAsia="仿宋" w:cs="仿宋"/>
          <w:kern w:val="0"/>
          <w:sz w:val="24"/>
          <w:highlight w:val="none"/>
        </w:rPr>
        <w:t>监管部门</w:t>
      </w:r>
      <w:r>
        <w:rPr>
          <w:rFonts w:hint="eastAsia" w:ascii="仿宋" w:hAnsi="仿宋" w:eastAsia="仿宋" w:cs="仿宋"/>
          <w:kern w:val="0"/>
          <w:sz w:val="24"/>
          <w:highlight w:val="none"/>
          <w:lang w:val="zh-CN"/>
        </w:rPr>
        <w:t>。由此引起的相应损失均由我单位承担。</w:t>
      </w:r>
    </w:p>
    <w:p w14:paraId="6B5CC9BE">
      <w:pPr>
        <w:autoSpaceDE w:val="0"/>
        <w:autoSpaceDN w:val="0"/>
        <w:spacing w:line="360" w:lineRule="auto"/>
        <w:ind w:left="2"/>
        <w:jc w:val="left"/>
        <w:rPr>
          <w:rFonts w:hint="eastAsia" w:ascii="仿宋" w:hAnsi="仿宋" w:eastAsia="仿宋" w:cs="仿宋"/>
          <w:kern w:val="0"/>
          <w:sz w:val="24"/>
          <w:highlight w:val="none"/>
          <w:lang w:val="zh-CN"/>
        </w:rPr>
      </w:pPr>
    </w:p>
    <w:p w14:paraId="156BC691">
      <w:pPr>
        <w:autoSpaceDE w:val="0"/>
        <w:autoSpaceDN w:val="0"/>
        <w:spacing w:line="360" w:lineRule="auto"/>
        <w:ind w:left="2"/>
        <w:jc w:val="left"/>
        <w:rPr>
          <w:rFonts w:hint="eastAsia" w:ascii="仿宋" w:hAnsi="仿宋" w:eastAsia="仿宋" w:cs="仿宋"/>
          <w:kern w:val="0"/>
          <w:sz w:val="24"/>
          <w:highlight w:val="none"/>
          <w:lang w:val="zh-CN"/>
        </w:rPr>
      </w:pPr>
    </w:p>
    <w:p w14:paraId="52B59EC5">
      <w:pPr>
        <w:autoSpaceDE w:val="0"/>
        <w:autoSpaceDN w:val="0"/>
        <w:spacing w:line="360" w:lineRule="auto"/>
        <w:ind w:left="2"/>
        <w:jc w:val="left"/>
        <w:rPr>
          <w:rFonts w:hint="eastAsia" w:ascii="仿宋" w:hAnsi="仿宋" w:eastAsia="仿宋" w:cs="仿宋"/>
          <w:kern w:val="0"/>
          <w:sz w:val="24"/>
          <w:highlight w:val="none"/>
          <w:lang w:val="zh-CN"/>
        </w:rPr>
      </w:pPr>
    </w:p>
    <w:p w14:paraId="0F86E837">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6FAC6A8D">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25CF3C50">
      <w:pPr>
        <w:spacing w:line="360" w:lineRule="auto"/>
        <w:rPr>
          <w:rFonts w:hint="eastAsia" w:ascii="仿宋" w:hAnsi="仿宋" w:eastAsia="仿宋" w:cs="仿宋"/>
          <w:sz w:val="24"/>
          <w:highlight w:val="none"/>
        </w:rPr>
      </w:pPr>
    </w:p>
    <w:p w14:paraId="71017235">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306A56F">
      <w:pPr>
        <w:spacing w:line="360" w:lineRule="auto"/>
        <w:jc w:val="center"/>
        <w:outlineLvl w:val="1"/>
        <w:rPr>
          <w:rFonts w:hint="eastAsia" w:ascii="仿宋" w:hAnsi="仿宋" w:eastAsia="仿宋" w:cs="仿宋"/>
          <w:b/>
          <w:kern w:val="0"/>
          <w:sz w:val="36"/>
          <w:szCs w:val="36"/>
          <w:highlight w:val="none"/>
        </w:rPr>
      </w:pPr>
      <w:bookmarkStart w:id="144" w:name="_Toc3363"/>
      <w:bookmarkStart w:id="145" w:name="_Toc5590"/>
      <w:bookmarkStart w:id="146" w:name="_Toc3114"/>
      <w:bookmarkStart w:id="147" w:name="_Toc29208"/>
      <w:r>
        <w:rPr>
          <w:rFonts w:hint="eastAsia" w:ascii="仿宋" w:hAnsi="仿宋" w:eastAsia="仿宋" w:cs="仿宋"/>
          <w:b/>
          <w:kern w:val="0"/>
          <w:sz w:val="36"/>
          <w:szCs w:val="36"/>
          <w:highlight w:val="none"/>
        </w:rPr>
        <w:t>报价文件部分</w:t>
      </w:r>
      <w:bookmarkEnd w:id="144"/>
      <w:bookmarkEnd w:id="145"/>
      <w:bookmarkEnd w:id="146"/>
      <w:bookmarkEnd w:id="147"/>
    </w:p>
    <w:p w14:paraId="5FE1DEF3">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0202648">
      <w:pPr>
        <w:spacing w:line="360" w:lineRule="auto"/>
        <w:jc w:val="center"/>
        <w:rPr>
          <w:rFonts w:hint="eastAsia" w:ascii="仿宋" w:hAnsi="仿宋" w:eastAsia="仿宋" w:cs="仿宋"/>
          <w:b/>
          <w:kern w:val="0"/>
          <w:sz w:val="36"/>
          <w:szCs w:val="36"/>
          <w:highlight w:val="none"/>
        </w:rPr>
      </w:pPr>
    </w:p>
    <w:p w14:paraId="4C0054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08893CB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（2）报价明细表……………………………………………………………………（页码）</w:t>
      </w:r>
    </w:p>
    <w:p w14:paraId="418F4706">
      <w:pPr>
        <w:pStyle w:val="2"/>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中小企业声明函（如果有）</w:t>
      </w:r>
      <w:r>
        <w:rPr>
          <w:rFonts w:hint="eastAsia" w:ascii="仿宋" w:hAnsi="仿宋" w:eastAsia="仿宋" w:cs="仿宋"/>
          <w:sz w:val="24"/>
          <w:highlight w:val="none"/>
        </w:rPr>
        <w:t>…………………………………………………（页码）</w:t>
      </w:r>
    </w:p>
    <w:p w14:paraId="16C96BD2">
      <w:pPr>
        <w:snapToGrid w:val="0"/>
        <w:spacing w:line="360" w:lineRule="auto"/>
        <w:ind w:right="480"/>
        <w:jc w:val="center"/>
        <w:rPr>
          <w:rFonts w:hint="eastAsia" w:ascii="仿宋" w:hAnsi="仿宋" w:eastAsia="仿宋" w:cs="仿宋"/>
          <w:b/>
          <w:kern w:val="0"/>
          <w:sz w:val="32"/>
          <w:szCs w:val="32"/>
          <w:highlight w:val="none"/>
        </w:rPr>
      </w:pPr>
    </w:p>
    <w:p w14:paraId="77D70946">
      <w:pPr>
        <w:snapToGrid w:val="0"/>
        <w:spacing w:line="360" w:lineRule="auto"/>
        <w:ind w:right="480"/>
        <w:jc w:val="center"/>
        <w:rPr>
          <w:rFonts w:hint="eastAsia" w:ascii="仿宋" w:hAnsi="仿宋" w:eastAsia="仿宋" w:cs="仿宋"/>
          <w:b/>
          <w:kern w:val="0"/>
          <w:sz w:val="32"/>
          <w:szCs w:val="32"/>
          <w:highlight w:val="none"/>
        </w:rPr>
      </w:pPr>
    </w:p>
    <w:p w14:paraId="109FB4D0">
      <w:pPr>
        <w:snapToGrid w:val="0"/>
        <w:spacing w:line="360" w:lineRule="auto"/>
        <w:ind w:right="480"/>
        <w:jc w:val="center"/>
        <w:rPr>
          <w:rFonts w:hint="eastAsia" w:ascii="仿宋" w:hAnsi="仿宋" w:eastAsia="仿宋" w:cs="仿宋"/>
          <w:b/>
          <w:kern w:val="0"/>
          <w:sz w:val="32"/>
          <w:szCs w:val="32"/>
          <w:highlight w:val="none"/>
        </w:rPr>
      </w:pPr>
    </w:p>
    <w:p w14:paraId="5FC414AC">
      <w:pPr>
        <w:snapToGrid w:val="0"/>
        <w:spacing w:line="360" w:lineRule="auto"/>
        <w:ind w:right="480"/>
        <w:jc w:val="center"/>
        <w:rPr>
          <w:rFonts w:hint="eastAsia" w:ascii="仿宋" w:hAnsi="仿宋" w:eastAsia="仿宋" w:cs="仿宋"/>
          <w:b/>
          <w:kern w:val="0"/>
          <w:sz w:val="32"/>
          <w:szCs w:val="32"/>
          <w:highlight w:val="none"/>
        </w:rPr>
      </w:pPr>
    </w:p>
    <w:p w14:paraId="1C39945E">
      <w:pPr>
        <w:snapToGrid w:val="0"/>
        <w:spacing w:line="360" w:lineRule="auto"/>
        <w:ind w:right="480"/>
        <w:jc w:val="center"/>
        <w:rPr>
          <w:rFonts w:hint="eastAsia" w:ascii="仿宋" w:hAnsi="仿宋" w:eastAsia="仿宋" w:cs="仿宋"/>
          <w:b/>
          <w:kern w:val="0"/>
          <w:sz w:val="32"/>
          <w:szCs w:val="32"/>
          <w:highlight w:val="none"/>
        </w:rPr>
      </w:pPr>
    </w:p>
    <w:p w14:paraId="08B0D9DB">
      <w:pPr>
        <w:snapToGrid w:val="0"/>
        <w:spacing w:line="360" w:lineRule="auto"/>
        <w:ind w:right="480"/>
        <w:jc w:val="center"/>
        <w:rPr>
          <w:rFonts w:hint="eastAsia" w:ascii="仿宋" w:hAnsi="仿宋" w:eastAsia="仿宋" w:cs="仿宋"/>
          <w:b/>
          <w:kern w:val="0"/>
          <w:sz w:val="32"/>
          <w:szCs w:val="32"/>
          <w:highlight w:val="none"/>
        </w:rPr>
      </w:pPr>
    </w:p>
    <w:p w14:paraId="27F3D4DF">
      <w:pPr>
        <w:snapToGrid w:val="0"/>
        <w:spacing w:line="360" w:lineRule="auto"/>
        <w:ind w:right="480"/>
        <w:jc w:val="center"/>
        <w:rPr>
          <w:rFonts w:hint="eastAsia" w:ascii="仿宋" w:hAnsi="仿宋" w:eastAsia="仿宋" w:cs="仿宋"/>
          <w:b/>
          <w:kern w:val="0"/>
          <w:sz w:val="32"/>
          <w:szCs w:val="32"/>
          <w:highlight w:val="none"/>
        </w:rPr>
      </w:pPr>
    </w:p>
    <w:p w14:paraId="58194ADB">
      <w:pPr>
        <w:snapToGrid w:val="0"/>
        <w:spacing w:line="360" w:lineRule="auto"/>
        <w:ind w:right="480"/>
        <w:jc w:val="center"/>
        <w:rPr>
          <w:rFonts w:hint="eastAsia" w:ascii="仿宋" w:hAnsi="仿宋" w:eastAsia="仿宋" w:cs="仿宋"/>
          <w:b/>
          <w:kern w:val="0"/>
          <w:sz w:val="32"/>
          <w:szCs w:val="32"/>
          <w:highlight w:val="none"/>
        </w:rPr>
      </w:pPr>
    </w:p>
    <w:p w14:paraId="2BC8D3E7">
      <w:pPr>
        <w:snapToGrid w:val="0"/>
        <w:spacing w:line="360" w:lineRule="auto"/>
        <w:ind w:right="480"/>
        <w:jc w:val="center"/>
        <w:rPr>
          <w:rFonts w:hint="eastAsia" w:ascii="仿宋" w:hAnsi="仿宋" w:eastAsia="仿宋" w:cs="仿宋"/>
          <w:b/>
          <w:kern w:val="0"/>
          <w:sz w:val="32"/>
          <w:szCs w:val="32"/>
          <w:highlight w:val="none"/>
        </w:rPr>
      </w:pPr>
    </w:p>
    <w:p w14:paraId="67B77658">
      <w:pPr>
        <w:snapToGrid w:val="0"/>
        <w:spacing w:line="360" w:lineRule="auto"/>
        <w:ind w:right="480"/>
        <w:jc w:val="center"/>
        <w:rPr>
          <w:rFonts w:hint="eastAsia" w:ascii="仿宋" w:hAnsi="仿宋" w:eastAsia="仿宋" w:cs="仿宋"/>
          <w:b/>
          <w:kern w:val="0"/>
          <w:sz w:val="32"/>
          <w:szCs w:val="32"/>
          <w:highlight w:val="none"/>
        </w:rPr>
      </w:pPr>
    </w:p>
    <w:p w14:paraId="3BE7D930">
      <w:pPr>
        <w:snapToGrid w:val="0"/>
        <w:spacing w:line="360" w:lineRule="auto"/>
        <w:ind w:right="480"/>
        <w:jc w:val="center"/>
        <w:rPr>
          <w:rFonts w:hint="eastAsia" w:ascii="仿宋" w:hAnsi="仿宋" w:eastAsia="仿宋" w:cs="仿宋"/>
          <w:b/>
          <w:kern w:val="0"/>
          <w:sz w:val="32"/>
          <w:szCs w:val="32"/>
          <w:highlight w:val="none"/>
        </w:rPr>
      </w:pPr>
    </w:p>
    <w:p w14:paraId="71A6EA69">
      <w:pPr>
        <w:snapToGrid w:val="0"/>
        <w:spacing w:line="360" w:lineRule="auto"/>
        <w:ind w:right="480"/>
        <w:jc w:val="center"/>
        <w:rPr>
          <w:rFonts w:hint="eastAsia" w:ascii="仿宋" w:hAnsi="仿宋" w:eastAsia="仿宋" w:cs="仿宋"/>
          <w:b/>
          <w:kern w:val="0"/>
          <w:sz w:val="32"/>
          <w:szCs w:val="32"/>
          <w:highlight w:val="none"/>
        </w:rPr>
      </w:pPr>
    </w:p>
    <w:p w14:paraId="1549ACC9">
      <w:pPr>
        <w:snapToGrid w:val="0"/>
        <w:spacing w:line="360" w:lineRule="auto"/>
        <w:ind w:right="480"/>
        <w:jc w:val="center"/>
        <w:rPr>
          <w:rFonts w:hint="eastAsia" w:ascii="仿宋" w:hAnsi="仿宋" w:eastAsia="仿宋" w:cs="仿宋"/>
          <w:b/>
          <w:kern w:val="0"/>
          <w:sz w:val="32"/>
          <w:szCs w:val="32"/>
          <w:highlight w:val="none"/>
        </w:rPr>
      </w:pPr>
    </w:p>
    <w:p w14:paraId="7C1EE7DE">
      <w:pPr>
        <w:snapToGrid w:val="0"/>
        <w:spacing w:line="360" w:lineRule="auto"/>
        <w:ind w:right="480"/>
        <w:jc w:val="center"/>
        <w:rPr>
          <w:rFonts w:hint="eastAsia" w:ascii="仿宋" w:hAnsi="仿宋" w:eastAsia="仿宋" w:cs="仿宋"/>
          <w:b/>
          <w:kern w:val="0"/>
          <w:sz w:val="32"/>
          <w:szCs w:val="32"/>
          <w:highlight w:val="none"/>
        </w:rPr>
      </w:pPr>
    </w:p>
    <w:p w14:paraId="73C74286">
      <w:pPr>
        <w:snapToGrid w:val="0"/>
        <w:spacing w:line="360" w:lineRule="auto"/>
        <w:ind w:right="480"/>
        <w:jc w:val="center"/>
        <w:rPr>
          <w:rFonts w:hint="eastAsia" w:ascii="仿宋" w:hAnsi="仿宋" w:eastAsia="仿宋" w:cs="仿宋"/>
          <w:b/>
          <w:kern w:val="0"/>
          <w:sz w:val="32"/>
          <w:szCs w:val="32"/>
          <w:highlight w:val="none"/>
        </w:rPr>
      </w:pPr>
    </w:p>
    <w:p w14:paraId="0DCB2435">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A84B151">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148" w:name="_Toc9655"/>
      <w:bookmarkStart w:id="149" w:name="_Toc16414"/>
      <w:bookmarkStart w:id="150" w:name="_Toc11262"/>
      <w:bookmarkStart w:id="151" w:name="_Toc13843"/>
      <w:bookmarkStart w:id="152" w:name="_Toc11024"/>
      <w:bookmarkStart w:id="153" w:name="_Toc25033"/>
      <w:bookmarkStart w:id="154" w:name="_Toc19569"/>
      <w:bookmarkStart w:id="155" w:name="_Toc30323"/>
      <w:bookmarkStart w:id="156" w:name="_Toc5399"/>
      <w:bookmarkStart w:id="157" w:name="_Toc15988"/>
      <w:bookmarkStart w:id="158" w:name="_Toc17498"/>
      <w:bookmarkStart w:id="159" w:name="_Toc21526"/>
      <w:bookmarkStart w:id="160" w:name="_Toc12875"/>
      <w:bookmarkStart w:id="161" w:name="_Toc366"/>
      <w:bookmarkStart w:id="162" w:name="_Toc26125"/>
      <w:bookmarkStart w:id="163" w:name="_Toc8039"/>
      <w:bookmarkStart w:id="164" w:name="_Toc11552"/>
      <w:bookmarkStart w:id="165" w:name="_Toc5294"/>
      <w:bookmarkStart w:id="166" w:name="_Toc21682"/>
      <w:r>
        <w:rPr>
          <w:rFonts w:hint="eastAsia" w:ascii="仿宋" w:hAnsi="仿宋" w:eastAsia="仿宋" w:cs="仿宋"/>
          <w:kern w:val="2"/>
          <w:sz w:val="32"/>
          <w:szCs w:val="32"/>
          <w:highlight w:val="none"/>
        </w:rPr>
        <w:t>一、开标一览表（报价表）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8AC8E1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7FF964C6">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4BDA01CF">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010E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1FB0AEE5">
            <w:pPr>
              <w:adjustRightInd w:val="0"/>
              <w:snapToGrid w:val="0"/>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投标报价</w:t>
            </w:r>
          </w:p>
        </w:tc>
        <w:tc>
          <w:tcPr>
            <w:tcW w:w="6286" w:type="dxa"/>
            <w:noWrap/>
            <w:vAlign w:val="center"/>
          </w:tcPr>
          <w:p w14:paraId="4842443A">
            <w:pPr>
              <w:adjustRightInd w:val="0"/>
              <w:snapToGrid w:val="0"/>
              <w:ind w:left="72"/>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 xml:space="preserve">                           </w:t>
            </w:r>
          </w:p>
        </w:tc>
      </w:tr>
      <w:tr w14:paraId="7DB2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13E31F0F">
            <w:pPr>
              <w:adjustRightInd w:val="0"/>
              <w:snapToGrid w:val="0"/>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备注：（大写金额）</w:t>
            </w:r>
          </w:p>
        </w:tc>
        <w:tc>
          <w:tcPr>
            <w:tcW w:w="6286" w:type="dxa"/>
            <w:noWrap/>
            <w:vAlign w:val="center"/>
          </w:tcPr>
          <w:p w14:paraId="3887B5FA">
            <w:pPr>
              <w:adjustRightInd w:val="0"/>
              <w:snapToGrid w:val="0"/>
              <w:ind w:left="72"/>
              <w:rPr>
                <w:rFonts w:hint="eastAsia" w:ascii="仿宋" w:hAnsi="仿宋" w:eastAsia="仿宋" w:cs="仿宋"/>
                <w:snapToGrid w:val="0"/>
                <w:kern w:val="0"/>
                <w:szCs w:val="21"/>
                <w:highlight w:val="none"/>
                <w:u w:val="single"/>
              </w:rPr>
            </w:pPr>
          </w:p>
        </w:tc>
      </w:tr>
    </w:tbl>
    <w:p w14:paraId="2017284F">
      <w:pPr>
        <w:adjustRightInd w:val="0"/>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72E3432">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31816D81">
      <w:pPr>
        <w:adjustRightInd w:val="0"/>
        <w:snapToGrid w:val="0"/>
        <w:spacing w:line="360" w:lineRule="auto"/>
        <w:ind w:firstLine="480" w:firstLineChars="200"/>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6243E59E">
      <w:pPr>
        <w:keepNext/>
        <w:keepLines/>
        <w:adjustRightInd w:val="0"/>
        <w:spacing w:line="416" w:lineRule="auto"/>
        <w:rPr>
          <w:rFonts w:hint="eastAsia" w:ascii="仿宋" w:hAnsi="仿宋" w:eastAsia="仿宋" w:cs="仿宋"/>
          <w:highlight w:val="none"/>
        </w:rPr>
      </w:pPr>
    </w:p>
    <w:p w14:paraId="64403DCE">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4D88450">
      <w:pPr>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0AD2C7A4">
      <w:pPr>
        <w:spacing w:line="360" w:lineRule="auto"/>
        <w:ind w:firstLine="482" w:firstLineChars="200"/>
        <w:rPr>
          <w:rFonts w:hint="eastAsia" w:ascii="仿宋" w:hAnsi="仿宋" w:eastAsia="仿宋" w:cs="仿宋"/>
          <w:b/>
          <w:kern w:val="0"/>
          <w:sz w:val="24"/>
          <w:highlight w:val="none"/>
        </w:rPr>
      </w:pPr>
    </w:p>
    <w:p w14:paraId="405410AC">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D9DA7E1">
      <w:pPr>
        <w:pStyle w:val="2"/>
        <w:spacing w:line="600" w:lineRule="exact"/>
        <w:ind w:firstLine="0"/>
        <w:jc w:val="center"/>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二、报价明细表</w:t>
      </w:r>
    </w:p>
    <w:p w14:paraId="2E14991E">
      <w:pPr>
        <w:adjustRightInd w:val="0"/>
        <w:spacing w:line="360" w:lineRule="auto"/>
        <w:jc w:val="left"/>
        <w:rPr>
          <w:rFonts w:hint="eastAsia" w:ascii="仿宋" w:hAnsi="仿宋" w:eastAsia="仿宋" w:cs="仿宋"/>
          <w:szCs w:val="21"/>
          <w:highlight w:val="none"/>
        </w:rPr>
      </w:pPr>
    </w:p>
    <w:p w14:paraId="35589033">
      <w:pPr>
        <w:adjustRightInd w:val="0"/>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跨境零售进口商品质量安全风险监测服务项目</w:t>
      </w:r>
    </w:p>
    <w:p w14:paraId="073C73E4">
      <w:pPr>
        <w:pStyle w:val="18"/>
        <w:rPr>
          <w:rFonts w:hint="eastAsia" w:ascii="仿宋" w:hAnsi="仿宋" w:eastAsia="仿宋" w:cs="仿宋"/>
          <w:szCs w:val="21"/>
          <w:highlight w:val="none"/>
          <w:lang w:eastAsia="zh-CN"/>
        </w:rPr>
      </w:pPr>
      <w:r>
        <w:rPr>
          <w:rFonts w:hint="eastAsia" w:ascii="仿宋" w:hAnsi="仿宋" w:eastAsia="仿宋" w:cs="仿宋"/>
          <w:szCs w:val="21"/>
          <w:highlight w:val="none"/>
        </w:rPr>
        <w:t>采购编号：</w:t>
      </w:r>
      <w:r>
        <w:rPr>
          <w:rFonts w:hint="eastAsia" w:ascii="仿宋" w:hAnsi="仿宋" w:eastAsia="仿宋" w:cs="仿宋"/>
          <w:szCs w:val="21"/>
          <w:highlight w:val="none"/>
          <w:lang w:eastAsia="zh-CN"/>
        </w:rPr>
        <w:t>QTCG-GK-2025-109</w:t>
      </w:r>
    </w:p>
    <w:p w14:paraId="762B0359">
      <w:pPr>
        <w:pStyle w:val="32"/>
        <w:rPr>
          <w:rFonts w:hint="eastAsia" w:ascii="仿宋" w:hAnsi="仿宋" w:eastAsia="仿宋" w:cs="仿宋"/>
          <w:szCs w:val="21"/>
          <w:highlight w:val="none"/>
        </w:rPr>
      </w:pPr>
    </w:p>
    <w:p w14:paraId="537DD99A">
      <w:pPr>
        <w:pStyle w:val="32"/>
        <w:rPr>
          <w:rFonts w:hint="eastAsia" w:ascii="仿宋" w:hAnsi="仿宋" w:eastAsia="仿宋" w:cs="仿宋"/>
          <w:szCs w:val="21"/>
          <w:highlight w:val="none"/>
        </w:rPr>
      </w:pPr>
    </w:p>
    <w:tbl>
      <w:tblPr>
        <w:tblStyle w:val="45"/>
        <w:tblW w:w="52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077"/>
        <w:gridCol w:w="1094"/>
        <w:gridCol w:w="2906"/>
        <w:gridCol w:w="6679"/>
        <w:gridCol w:w="807"/>
        <w:gridCol w:w="807"/>
        <w:gridCol w:w="807"/>
      </w:tblGrid>
      <w:tr w14:paraId="3330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0010533">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商品类目（一级）</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FCD7F54">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商品类目（二级）</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F741079">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商品描述</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4051ADFB">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检测项目</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14:paraId="6846013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检验标准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D1E4513">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计划批次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511E26D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该批次综合单价（元/批次）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3E7F3C7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小计（元）</w:t>
            </w:r>
          </w:p>
        </w:tc>
      </w:tr>
      <w:tr w14:paraId="791C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ign w:val="center"/>
          </w:tcPr>
          <w:p w14:paraId="479358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消费品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4000B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婴童食品接触材料</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415CF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奶嘴、奶瓶、水壶、杯子、餐具、勺子等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56FFDD4D">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总迁移量、高锰酸钾消耗量、重金属（以Pb计）、锌迁移量、铅、镉、砷、铬、镍、脱色试验、双酚A（(苯酚、对叔丁基苯酚）、1，3-丁二烯迁移量、丙烯腈迁移量（根据产品材质确定检测项目）</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14:paraId="548025B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4806.1-2016《食品安全国家标准 食品接触材料及制品通用安全要求》</w:t>
            </w:r>
          </w:p>
          <w:p w14:paraId="26BAE8A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4806.2-2015《食品安全国家标准 奶嘴》</w:t>
            </w:r>
          </w:p>
          <w:p w14:paraId="40D12D5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4806.3-2016《食品安全国家标准 搪瓷制品》</w:t>
            </w:r>
          </w:p>
          <w:p w14:paraId="7B9FF9E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4806.4-2016《食品安全国家标准 陶瓷制品》</w:t>
            </w:r>
          </w:p>
          <w:p w14:paraId="51B6348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4806.5-2016《食品安全国家标准 玻璃制品》</w:t>
            </w:r>
          </w:p>
          <w:p w14:paraId="36DF8F5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4806.6-2016《食品安全国家标准 食品接触用塑料树脂》</w:t>
            </w:r>
          </w:p>
          <w:p w14:paraId="6D5B8BA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4806.7-</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食品接触用塑料材料及制品》</w:t>
            </w:r>
          </w:p>
          <w:p w14:paraId="3BDCBD7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4806.8-</w:t>
            </w:r>
            <w:r>
              <w:rPr>
                <w:rFonts w:hint="eastAsia" w:ascii="仿宋" w:hAnsi="仿宋" w:eastAsia="仿宋" w:cs="仿宋"/>
                <w:i w:val="0"/>
                <w:iCs w:val="0"/>
                <w:color w:val="auto"/>
                <w:kern w:val="0"/>
                <w:sz w:val="21"/>
                <w:szCs w:val="21"/>
                <w:highlight w:val="none"/>
                <w:lang w:val="en-US" w:eastAsia="zh-CN" w:bidi="ar"/>
              </w:rPr>
              <w:t>2022</w:t>
            </w:r>
            <w:r>
              <w:rPr>
                <w:rFonts w:hint="eastAsia" w:ascii="仿宋" w:hAnsi="仿宋" w:eastAsia="仿宋" w:cs="仿宋"/>
                <w:i w:val="0"/>
                <w:iCs w:val="0"/>
                <w:color w:val="auto"/>
                <w:kern w:val="0"/>
                <w:sz w:val="21"/>
                <w:szCs w:val="21"/>
                <w:highlight w:val="none"/>
                <w:lang w:bidi="ar"/>
              </w:rPr>
              <w:t>《食品安全国家标准 食品接触用纸和纸板材料及制品》</w:t>
            </w:r>
          </w:p>
          <w:p w14:paraId="18D8577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4806.9-</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食品接触用金属材料及制品》</w:t>
            </w:r>
          </w:p>
          <w:p w14:paraId="226423B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4806.10-2016《食品安全国家标准 食品接触用涂料及涂层》</w:t>
            </w:r>
          </w:p>
          <w:p w14:paraId="6EB383B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4806.11-</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食品接触用橡胶材料及制品》</w:t>
            </w:r>
          </w:p>
          <w:p w14:paraId="496D61D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GB 4806.12-2022 《食品安全国家标准 食品接触用竹木材料及制品》</w:t>
            </w:r>
          </w:p>
          <w:p w14:paraId="25E65A4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日本厚生劳动省告示第 370 号(2008 版) II B-8</w:t>
            </w:r>
          </w:p>
          <w:p w14:paraId="7E96812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KFDA 食品器具、容器、包装标准与规范 KFDA(2020) IV2.2-35</w:t>
            </w:r>
          </w:p>
          <w:p w14:paraId="65C34D8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美国 FDA 法规 21CFR</w:t>
            </w:r>
            <w:r>
              <w:rPr>
                <w:rFonts w:hint="eastAsia" w:ascii="仿宋" w:hAnsi="仿宋" w:eastAsia="仿宋" w:cs="仿宋"/>
                <w:i w:val="0"/>
                <w:iCs w:val="0"/>
                <w:color w:val="auto"/>
                <w:kern w:val="0"/>
                <w:sz w:val="21"/>
                <w:szCs w:val="21"/>
                <w:highlight w:val="none"/>
                <w:lang w:val="en-US" w:eastAsia="zh-CN" w:bidi="ar"/>
              </w:rPr>
              <w:tab/>
            </w:r>
          </w:p>
          <w:p w14:paraId="50B0AED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食品接触塑料及容器(适用于欧盟法规 10/2011）及其修订案（截止到（EU）2020/1245）</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3BCBCF4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7A7062D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E42E71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39B2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6A2ACD7D">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E283D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玩具</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E1179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电玩具、静态塑胶玩具、毛绒布制玩具、金属玩具、电动玩具、儿童自行车、儿童三轮车、儿童推车、婴儿学步车</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6843943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机械与物理性能、易燃性能、特定元素的迁移、增塑剂、电性能、儿童自行车全项目、儿童三轮车全项目、儿童推车全项目、婴儿学步车全项目</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2DA74E0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6675.1-2014《玩具安全 第1部分:基本规范》</w:t>
            </w:r>
          </w:p>
          <w:p w14:paraId="24EB041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6675.2-2014《玩具安全 第2部分:机械与物理性能》</w:t>
            </w:r>
          </w:p>
          <w:p w14:paraId="0EB3237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6675.3-2014《玩具安全 第3部分:易燃性能》</w:t>
            </w:r>
          </w:p>
          <w:p w14:paraId="3FEB4B8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6675.4-2014《玩具安全 第4部分:特定元素的迁移》</w:t>
            </w:r>
          </w:p>
          <w:p w14:paraId="68CC122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19865-2005《电玩具的安全》</w:t>
            </w:r>
          </w:p>
          <w:p w14:paraId="54757DA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14746-2006《儿童自行车安全要求》</w:t>
            </w:r>
          </w:p>
          <w:p w14:paraId="259EF45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14747-2006《儿童三轮车安全要求》</w:t>
            </w:r>
          </w:p>
          <w:p w14:paraId="66D8CC8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14748-2006《儿童推车安全要求》</w:t>
            </w:r>
          </w:p>
          <w:p w14:paraId="691A7F5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14749-2006《婴儿学步车安全要求》</w:t>
            </w:r>
          </w:p>
          <w:p w14:paraId="70C7576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ST</w:t>
            </w:r>
            <w:r>
              <w:rPr>
                <w:rFonts w:hint="eastAsia" w:ascii="仿宋" w:hAnsi="仿宋" w:eastAsia="仿宋" w:cs="仿宋"/>
                <w:i w:val="0"/>
                <w:iCs w:val="0"/>
                <w:color w:val="auto"/>
                <w:kern w:val="0"/>
                <w:sz w:val="21"/>
                <w:szCs w:val="21"/>
                <w:highlight w:val="none"/>
                <w:lang w:val="en-US" w:eastAsia="zh-CN" w:bidi="ar"/>
              </w:rPr>
              <w:t xml:space="preserve"> </w:t>
            </w:r>
            <w:r>
              <w:rPr>
                <w:rFonts w:hint="eastAsia" w:ascii="仿宋" w:hAnsi="仿宋" w:eastAsia="仿宋" w:cs="仿宋"/>
                <w:i w:val="0"/>
                <w:iCs w:val="0"/>
                <w:color w:val="auto"/>
                <w:kern w:val="0"/>
                <w:sz w:val="21"/>
                <w:szCs w:val="21"/>
                <w:highlight w:val="none"/>
                <w:lang w:bidi="ar"/>
              </w:rPr>
              <w:t>2016日本玩具安全标准</w:t>
            </w:r>
          </w:p>
          <w:p w14:paraId="7B78E49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EN71-1:玩具安全-第1部分:物理和机械性能</w:t>
            </w:r>
          </w:p>
          <w:p w14:paraId="2E76970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EN71-2:玩具安全-第2部分:阻燃性能</w:t>
            </w:r>
          </w:p>
          <w:p w14:paraId="3FF4469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EN71-3:玩具安全-第3部分:某些元素的转移</w:t>
            </w:r>
          </w:p>
          <w:p w14:paraId="50BF296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ISO 8124-1玩具安全-第1 部分 机械和物理属性相关安全方面 </w:t>
            </w:r>
          </w:p>
          <w:p w14:paraId="12565AC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8124-2 玩具安全第2 部分 阻燃性能</w:t>
            </w:r>
          </w:p>
          <w:p w14:paraId="12470B4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8124-3玩具安全 第3部分:某些元素的迁移</w:t>
            </w:r>
          </w:p>
          <w:p w14:paraId="415C49D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ASTM F963玩具安全消费者安全规范</w:t>
            </w:r>
          </w:p>
          <w:p w14:paraId="6EAB861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CPSC-CH-E1001-08.3儿童金属产品（包括儿童金属饰品）中总铅测定的标准作业程序 </w:t>
            </w:r>
          </w:p>
          <w:p w14:paraId="2F2798E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CPSCCH-E1002-08.3儿童非金属产品总铅含量测定的标准操作程序 </w:t>
            </w:r>
          </w:p>
          <w:p w14:paraId="4078E3F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CPSC-CH-E1003-09.3测定油漆和其它类似表面涂层中铅(Pb)的标准作业程序</w:t>
            </w:r>
          </w:p>
          <w:p w14:paraId="4B57B66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EN 62115:2005+A12:2015电玩具安全 </w:t>
            </w:r>
          </w:p>
          <w:p w14:paraId="05F9AD8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ISO 8098:2014自行车—儿童自行车安全要求</w:t>
            </w:r>
          </w:p>
          <w:p w14:paraId="680D5F1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ANSI Z315.1-2012三轮车—安全要求</w:t>
            </w:r>
          </w:p>
          <w:p w14:paraId="4461F9D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ASTM F 833:21婴儿卧车和婴儿坐车的消费者安全性能规范</w:t>
            </w:r>
          </w:p>
          <w:p w14:paraId="3EB9CA2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EN1888-1:2018+A1:2022儿童保育产品— 带轮子的儿童运输工具—第一部分：推车和婴儿车</w:t>
            </w:r>
          </w:p>
          <w:p w14:paraId="3369675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EN 1888-2：2018儿童保育用品.轮式儿童交通工具.第2 部分：15 公斤至 22 公斤以下的儿童用婴儿车</w:t>
            </w:r>
          </w:p>
          <w:p w14:paraId="4B1ADE8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ISO 31110-2020轮式儿童乘用车-坐式和卧式推车-要求和测试方法 </w:t>
            </w:r>
          </w:p>
          <w:p w14:paraId="697695D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 xml:space="preserve">ASTM F977-22e1婴儿学步车的消费者安全标准 </w:t>
            </w:r>
          </w:p>
          <w:p w14:paraId="73550B2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CPSC 16 CFR PART 1216婴儿学步车的安全标准</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B182F31">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77D5AD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28046D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52FB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08737804">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BEEC2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卫生用品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601FE6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一次性纸尿裤、湿巾、卫生巾等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54EDC45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所有样品：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细菌菌落总数、大肠菌群、绿脓杆菌、金黄色葡萄球菌、溶血性链球菌、真菌菌落总数</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湿巾：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偏差、含液量/倍、横向抗张强度/N/m、包装密封性能、pH值、去污力、腐蚀性、可迁移性荧光增白剂、尘埃度、内装量、外观质量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婴儿纸尿裤：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重金属、可迁移性荧光物质、丙烯酰胺含量、甲醛含量、邻苯二甲酸酯、可分解有害芳香胺染料、纸尿裤适用腰围最大值、pH值、条质量偏差、渗透性能、面层附着物、杂质、防侧漏性能、外观质量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成人纸尿裤：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可迁移性荧光物质、甲醛含量、pH值、条质量偏差、面层附着物、杂质、吸收倍率、渗透性能、饱和吸收量、外观质量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卫生巾：</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全长偏差、条质量偏差、吸水倍率、吸收速度、背胶剥离强度、pH值、甲醛含量、可迁移荧光物质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女性卫生裤：</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吸收速度、pH值、可迁移性荧光物质、适用臀围、适用腰围最大值</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9AFF3A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15979-2002《一次性使用卫生用品卫生标准》</w:t>
            </w:r>
          </w:p>
          <w:p w14:paraId="079C400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27728-2011《湿巾》</w:t>
            </w:r>
          </w:p>
          <w:p w14:paraId="2FB6632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28004.1-2021《纸尿裤 第1部分：婴儿纸尿裤》</w:t>
            </w:r>
          </w:p>
          <w:p w14:paraId="1D57C48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auto"/>
                <w:kern w:val="0"/>
                <w:sz w:val="21"/>
                <w:szCs w:val="21"/>
                <w:highlight w:val="none"/>
                <w:lang w:bidi="ar"/>
              </w:rPr>
              <w:t>GB/T 28004.</w:t>
            </w:r>
            <w:r>
              <w:rPr>
                <w:rFonts w:hint="eastAsia" w:ascii="仿宋" w:hAnsi="仿宋" w:eastAsia="仿宋" w:cs="仿宋"/>
                <w:i w:val="0"/>
                <w:iCs w:val="0"/>
                <w:color w:val="auto"/>
                <w:kern w:val="0"/>
                <w:sz w:val="21"/>
                <w:szCs w:val="21"/>
                <w:highlight w:val="none"/>
                <w:lang w:val="en-US" w:eastAsia="zh-CN" w:bidi="ar"/>
              </w:rPr>
              <w:t>2</w:t>
            </w:r>
            <w:r>
              <w:rPr>
                <w:rFonts w:hint="eastAsia" w:ascii="仿宋" w:hAnsi="仿宋" w:eastAsia="仿宋" w:cs="仿宋"/>
                <w:i w:val="0"/>
                <w:iCs w:val="0"/>
                <w:color w:val="auto"/>
                <w:kern w:val="0"/>
                <w:sz w:val="21"/>
                <w:szCs w:val="21"/>
                <w:highlight w:val="none"/>
                <w:lang w:bidi="ar"/>
              </w:rPr>
              <w:t>-2021《纸尿裤 第2部分：成人纸尿裤》</w:t>
            </w:r>
          </w:p>
          <w:p w14:paraId="4AE71A50">
            <w:pPr>
              <w:keepNext w:val="0"/>
              <w:keepLines w:val="0"/>
              <w:widowControl/>
              <w:suppressLineNumbers w:val="0"/>
              <w:jc w:val="left"/>
              <w:textAlignment w:val="top"/>
              <w:rPr>
                <w:rFonts w:hint="eastAsia" w:ascii="仿宋" w:hAnsi="仿宋" w:eastAsia="仿宋" w:cs="仿宋"/>
                <w:snapToGrid/>
                <w:color w:val="auto"/>
                <w:kern w:val="0"/>
                <w:sz w:val="21"/>
                <w:szCs w:val="21"/>
                <w:highlight w:val="none"/>
                <w:lang w:eastAsia="zh-CN" w:bidi="ar"/>
              </w:rPr>
            </w:pPr>
            <w:r>
              <w:rPr>
                <w:rFonts w:hint="eastAsia" w:ascii="仿宋" w:hAnsi="仿宋" w:eastAsia="仿宋" w:cs="仿宋"/>
                <w:snapToGrid/>
                <w:color w:val="auto"/>
                <w:kern w:val="0"/>
                <w:sz w:val="21"/>
                <w:szCs w:val="21"/>
                <w:highlight w:val="none"/>
                <w:lang w:bidi="ar"/>
              </w:rPr>
              <w:t>GB/T 8939-2018</w:t>
            </w:r>
            <w:r>
              <w:rPr>
                <w:rFonts w:hint="eastAsia" w:ascii="仿宋" w:hAnsi="仿宋" w:eastAsia="仿宋" w:cs="仿宋"/>
                <w:snapToGrid/>
                <w:color w:val="auto"/>
                <w:kern w:val="0"/>
                <w:sz w:val="21"/>
                <w:szCs w:val="21"/>
                <w:highlight w:val="none"/>
                <w:lang w:eastAsia="zh-CN" w:bidi="ar"/>
              </w:rPr>
              <w:t>《</w:t>
            </w:r>
            <w:r>
              <w:rPr>
                <w:rFonts w:hint="eastAsia" w:ascii="仿宋" w:hAnsi="仿宋" w:eastAsia="仿宋" w:cs="仿宋"/>
                <w:b w:val="0"/>
                <w:bCs w:val="0"/>
                <w:i w:val="0"/>
                <w:iCs w:val="0"/>
                <w:caps w:val="0"/>
                <w:snapToGrid/>
                <w:color w:val="auto"/>
                <w:spacing w:val="0"/>
                <w:kern w:val="0"/>
                <w:sz w:val="21"/>
                <w:szCs w:val="21"/>
                <w:highlight w:val="none"/>
                <w:shd w:val="clear" w:color="auto" w:fill="auto"/>
                <w:lang w:bidi="ar"/>
              </w:rPr>
              <w:t>卫生巾（护垫）</w:t>
            </w:r>
            <w:r>
              <w:rPr>
                <w:rFonts w:hint="eastAsia" w:ascii="仿宋" w:hAnsi="仿宋" w:eastAsia="仿宋" w:cs="仿宋"/>
                <w:snapToGrid/>
                <w:color w:val="auto"/>
                <w:kern w:val="0"/>
                <w:sz w:val="21"/>
                <w:szCs w:val="21"/>
                <w:highlight w:val="none"/>
                <w:lang w:eastAsia="zh-CN" w:bidi="ar"/>
              </w:rPr>
              <w:t>》</w:t>
            </w:r>
          </w:p>
          <w:p w14:paraId="3EFACD08">
            <w:pPr>
              <w:pStyle w:val="2"/>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napToGrid/>
                <w:color w:val="auto"/>
                <w:kern w:val="0"/>
                <w:sz w:val="21"/>
                <w:szCs w:val="21"/>
                <w:highlight w:val="none"/>
                <w:lang w:val="en-US" w:eastAsia="zh-CN" w:bidi="ar"/>
              </w:rPr>
              <w:t>GB/T 39391-2020《女性卫生裤》</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00FD9F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9C4458D">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B16BDE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3AA5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53D745D8">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4C1E0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学生用品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7A174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铅笔、水笔、文具盒、修正液等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0CC22E7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可迁移元素、氯代烃、有害物质含量、甲醛、AZO、白度、笔的上帽安全、边缘尖端（根据产品确定检测项目）</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1648CE6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21027-2020《学生用品的安全通用要求》</w:t>
            </w:r>
          </w:p>
          <w:p w14:paraId="6BC5F94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文具类玩具（彩笔、彩泥等）外标参照玩具标准</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213CF6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88818A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61CA91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2E73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101E2455">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035DC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食品接触材料</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8B0C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碗、杯子、勺子、锅具、饭盒等（PVC、PP、PE、PS、PET、PA、PC、AS、ABS、玻璃陶瓷、橡胶等材质）</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449FD074">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迁移量、高锰酸钾消耗量、重金属（以Pb计）、锌迁移量、铅、镉、砷、铬、镍、脱色试验、双酚A（(苯酚、对叔丁基苯酚）、氯乙烯和氯乙烯迁移量、苯乙烯和乙苯、对苯二甲酸和间苯二甲酸迁移量、乙二胺和己二胺迁移量、己内酰胺迁移量、1，3-丁二烯迁移量、丙烯腈迁移量、甲醛迁移量、三聚氰胺迁移量、荧光性物质、二氧化硫、五氯苯酚及其盐类（以五氯苯酚计）、噻菌灵、邻苯基苯酚、抑霉唑、联苯（根据产品材质确定检测项目）</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26637DF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4806.1-2016《食品安全国家标准 食品接触材料及制品通用安全要求》</w:t>
            </w:r>
          </w:p>
          <w:p w14:paraId="6EDDF66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4806.3-2016《食品安全国家标准 搪瓷制品》</w:t>
            </w:r>
          </w:p>
          <w:p w14:paraId="5BA0779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4806.4-2016《食品安全国家标准 陶瓷制品》</w:t>
            </w:r>
          </w:p>
          <w:p w14:paraId="585E268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4806.5-2016《食品安全国家标准 玻璃制品》</w:t>
            </w:r>
          </w:p>
          <w:p w14:paraId="41334DC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4806.6-2016《食品安全国家标准 食品接触用塑料树脂》</w:t>
            </w:r>
          </w:p>
          <w:p w14:paraId="44ECA87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4806.7-</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食品接触用塑料材料及制品》</w:t>
            </w:r>
          </w:p>
          <w:p w14:paraId="7796F90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4806.8-</w:t>
            </w:r>
            <w:r>
              <w:rPr>
                <w:rFonts w:hint="eastAsia" w:ascii="仿宋" w:hAnsi="仿宋" w:eastAsia="仿宋" w:cs="仿宋"/>
                <w:i w:val="0"/>
                <w:iCs w:val="0"/>
                <w:color w:val="auto"/>
                <w:kern w:val="0"/>
                <w:sz w:val="21"/>
                <w:szCs w:val="21"/>
                <w:highlight w:val="none"/>
                <w:lang w:val="en-US" w:eastAsia="zh-CN" w:bidi="ar"/>
              </w:rPr>
              <w:t>2022</w:t>
            </w:r>
            <w:r>
              <w:rPr>
                <w:rFonts w:hint="eastAsia" w:ascii="仿宋" w:hAnsi="仿宋" w:eastAsia="仿宋" w:cs="仿宋"/>
                <w:i w:val="0"/>
                <w:iCs w:val="0"/>
                <w:color w:val="auto"/>
                <w:kern w:val="0"/>
                <w:sz w:val="21"/>
                <w:szCs w:val="21"/>
                <w:highlight w:val="none"/>
                <w:lang w:bidi="ar"/>
              </w:rPr>
              <w:t>《食品安全国家标准 食品接触用纸和纸板材料及制品》</w:t>
            </w:r>
          </w:p>
          <w:p w14:paraId="0224D8F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4806.9-</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食品接触用金属材料及制品》</w:t>
            </w:r>
          </w:p>
          <w:p w14:paraId="67D6008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4806.10-2016《食品安全国家标准 食品接触用涂料及涂层》</w:t>
            </w:r>
          </w:p>
          <w:p w14:paraId="4AE439E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4806.11-</w:t>
            </w:r>
            <w:r>
              <w:rPr>
                <w:rFonts w:hint="eastAsia" w:ascii="仿宋" w:hAnsi="仿宋" w:eastAsia="仿宋" w:cs="仿宋"/>
                <w:i w:val="0"/>
                <w:iCs w:val="0"/>
                <w:color w:val="auto"/>
                <w:kern w:val="0"/>
                <w:sz w:val="21"/>
                <w:szCs w:val="21"/>
                <w:highlight w:val="none"/>
                <w:lang w:val="en-US" w:eastAsia="zh-CN" w:bidi="ar"/>
              </w:rPr>
              <w:t>2023</w:t>
            </w:r>
            <w:r>
              <w:rPr>
                <w:rFonts w:hint="eastAsia" w:ascii="仿宋" w:hAnsi="仿宋" w:eastAsia="仿宋" w:cs="仿宋"/>
                <w:i w:val="0"/>
                <w:iCs w:val="0"/>
                <w:color w:val="auto"/>
                <w:kern w:val="0"/>
                <w:sz w:val="21"/>
                <w:szCs w:val="21"/>
                <w:highlight w:val="none"/>
                <w:lang w:bidi="ar"/>
              </w:rPr>
              <w:t>《食品安全国家标准 食品接触用橡胶材料及制品》</w:t>
            </w:r>
          </w:p>
          <w:p w14:paraId="386E40C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GB 4806.12-2022 《食品安全国家标准 食品接触用竹木材料及制品》</w:t>
            </w:r>
          </w:p>
          <w:p w14:paraId="1F140EA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日本厚生省告示第370号</w:t>
            </w:r>
          </w:p>
          <w:p w14:paraId="0B826E6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KFDA 食品器具、容器、包装标准与规范</w:t>
            </w:r>
          </w:p>
          <w:p w14:paraId="0B0F79C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美国 FDA 法规 21CFR</w:t>
            </w:r>
            <w:r>
              <w:rPr>
                <w:rFonts w:hint="eastAsia" w:ascii="仿宋" w:hAnsi="仿宋" w:eastAsia="仿宋" w:cs="仿宋"/>
                <w:i w:val="0"/>
                <w:iCs w:val="0"/>
                <w:color w:val="auto"/>
                <w:kern w:val="0"/>
                <w:sz w:val="21"/>
                <w:szCs w:val="21"/>
                <w:highlight w:val="none"/>
                <w:lang w:val="en-US" w:eastAsia="zh-CN" w:bidi="ar"/>
              </w:rPr>
              <w:tab/>
            </w:r>
          </w:p>
          <w:p w14:paraId="4EAA46C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食品接触塑料及容器(适用于欧盟法规 10/2011）及其修订案（截止到（EU）2020/1245）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D7CE11D">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D0FF2C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67CD51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9E9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63E48724">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8E4514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箱包</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7185B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皮包、布包、书包、钱包、票夹、旅行箱包等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0589944E">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背提包：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外观质量、缝合强度、拉链耐用度、游离甲醛、可分解有害芳香胺染料、振荡冲击性能、包锁耐用性能、扣件耐用性能、塑料插扣耐用性能、摩擦色牢度（皮革、皮毛）、五金配件耐腐蚀性、背带耐折性能</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票夹：</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游离甲醛、配件质量、拉链耐用度、外观质量、可分解有害芳香胺染料、五金配件耐腐蚀性、摩擦色牢度</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旅行箱包：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硬箱箱体耐静压性能、塑料硬箱箱面耐落球冲击性能、缝合强度、铝口硬度、箱（包）锁耐用性能、拉杆耐疲劳性能、行走性能、振荡冲击性能、跌落性能、摩擦色牢度、滚筒冲击性能、五金配件耐腐蚀性、甲醛含量、可分解有害芳香胺染料、外观质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手包：</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外观质量、摩擦色牢度、配件质量、拉链耐用度、五金配件耐腐蚀性、游离甲醛、可分解有害芳香胺染料</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06CA061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1333-2018《背提包》</w:t>
            </w:r>
          </w:p>
          <w:p w14:paraId="55E0DB9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1619-2018《票夹》</w:t>
            </w:r>
          </w:p>
          <w:p w14:paraId="68E617B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QB/T 2155-2018《旅行箱包》</w:t>
            </w:r>
          </w:p>
          <w:p w14:paraId="0FADD79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snapToGrid/>
                <w:color w:val="auto"/>
                <w:kern w:val="0"/>
                <w:sz w:val="21"/>
                <w:szCs w:val="21"/>
                <w:highlight w:val="none"/>
                <w:lang w:bidi="ar"/>
              </w:rPr>
              <w:t xml:space="preserve">QB/T </w:t>
            </w:r>
            <w:r>
              <w:rPr>
                <w:rFonts w:hint="eastAsia" w:ascii="仿宋" w:hAnsi="仿宋" w:eastAsia="仿宋" w:cs="仿宋"/>
                <w:i w:val="0"/>
                <w:iCs w:val="0"/>
                <w:snapToGrid/>
                <w:color w:val="auto"/>
                <w:kern w:val="0"/>
                <w:sz w:val="21"/>
                <w:szCs w:val="21"/>
                <w:highlight w:val="none"/>
                <w:lang w:val="en-US" w:eastAsia="zh-CN" w:bidi="ar"/>
              </w:rPr>
              <w:t>5243</w:t>
            </w:r>
            <w:r>
              <w:rPr>
                <w:rFonts w:hint="eastAsia" w:ascii="仿宋" w:hAnsi="仿宋" w:eastAsia="仿宋" w:cs="仿宋"/>
                <w:i w:val="0"/>
                <w:iCs w:val="0"/>
                <w:snapToGrid/>
                <w:color w:val="auto"/>
                <w:kern w:val="0"/>
                <w:sz w:val="21"/>
                <w:szCs w:val="21"/>
                <w:highlight w:val="none"/>
                <w:lang w:bidi="ar"/>
              </w:rPr>
              <w:t>-2018《</w:t>
            </w:r>
            <w:r>
              <w:rPr>
                <w:rFonts w:hint="eastAsia" w:ascii="仿宋" w:hAnsi="仿宋" w:eastAsia="仿宋" w:cs="仿宋"/>
                <w:i w:val="0"/>
                <w:iCs w:val="0"/>
                <w:snapToGrid/>
                <w:color w:val="auto"/>
                <w:kern w:val="0"/>
                <w:sz w:val="21"/>
                <w:szCs w:val="21"/>
                <w:highlight w:val="none"/>
                <w:lang w:val="en-US" w:eastAsia="zh-CN" w:bidi="ar"/>
              </w:rPr>
              <w:t>手包</w:t>
            </w:r>
            <w:r>
              <w:rPr>
                <w:rFonts w:hint="eastAsia" w:ascii="仿宋" w:hAnsi="仿宋" w:eastAsia="仿宋" w:cs="仿宋"/>
                <w:i w:val="0"/>
                <w:iCs w:val="0"/>
                <w:snapToGrid/>
                <w:color w:val="auto"/>
                <w:kern w:val="0"/>
                <w:sz w:val="21"/>
                <w:szCs w:val="21"/>
                <w:highlight w:val="none"/>
                <w:lang w:bidi="ar"/>
              </w:rPr>
              <w:t>》</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5EDD49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3E5E90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5E7CFEB">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43A4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1EE4CA19">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7E486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饰品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CD629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工艺饰品、仿真饰品等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31B82B31">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铅、镉、汞、砷、锑、钡、硒、铬、镍释放量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（仅产品为儿童饰品时考核：锑、钡、硒）</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162D6ED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28480-2012《饰品 有害元素限量的规定》</w:t>
            </w:r>
          </w:p>
          <w:p w14:paraId="79356C27">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BS EN 1811-2023《人体穿孔组件及与皮肤有直接及长期接触的产品之 镍释放量测试》</w:t>
            </w:r>
          </w:p>
          <w:p w14:paraId="750918E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BS EN 12472-2020《具保护层产品经磨损及腐蚀后的镍释放量测试》</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C1504C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9B23BB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A54767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6D81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ign w:val="center"/>
          </w:tcPr>
          <w:p w14:paraId="60F71BE8">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C9F7D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电器产品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432C3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咖啡机、吸尘器、电吹风、电饭煲、卷发器、空气净化器、电动牙刷、榨汁机等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082ADA58">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元件、电源连接线和外部软线、外部导线用接线端子、接地措施、螺钉和连接、电气间隙、爬电距离和固体绝缘、耐热和耐燃</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68D7C2F4">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GB4706系列标准《家用和类似用途电器的安全》</w:t>
            </w:r>
          </w:p>
          <w:p w14:paraId="46CB119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IEC60335系列标准《家用和类似用途电器的安全》</w:t>
            </w:r>
            <w:r>
              <w:rPr>
                <w:rFonts w:hint="eastAsia" w:ascii="仿宋" w:hAnsi="仿宋" w:eastAsia="仿宋" w:cs="仿宋"/>
                <w:i w:val="0"/>
                <w:iCs w:val="0"/>
                <w:color w:val="auto"/>
                <w:kern w:val="0"/>
                <w:sz w:val="21"/>
                <w:szCs w:val="21"/>
                <w:highlight w:val="none"/>
                <w:lang w:val="en-US" w:eastAsia="zh-CN" w:bidi="ar"/>
              </w:rPr>
              <w:t>（国际标准）</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C30DB3C">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6E59F2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3983D5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59D4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14:paraId="47E7C3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普通食品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374CD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饼干、膨化食品、饮料、酒等一般食品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6AAA3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饼干、膨化食品、饮料、酒等一般食品</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79761440">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酸价、过氧化值、苯甲酸及其钠盐、山梨酸及其钾盐、脱氢乙酸及其钠盐、甜蜜素、菌落总数、大肠菌群、沙门氏菌、霉菌、色素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葡萄酒：苯甲酸及其钠盐、山梨酸及其钾盐、脱氢乙酸及其钠盐、甜蜜素、柠檬酸、二氧化碳、干浸出物、还原糖、挥发酸、铁、铜、总二氧化硫、总酸、总糖、色素</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37E6CB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GB 2760 食品安全国家标准 食品添加剂使用标准</w:t>
            </w:r>
          </w:p>
          <w:p w14:paraId="1295215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5009.28 食品安全国家标准 食品中苯甲酸、山梨酸和糖精钠的测定 </w:t>
            </w:r>
          </w:p>
          <w:p w14:paraId="633C0B7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5009.97 食品安全国家标准 食品中环己基氨基磺酸钠的测定 </w:t>
            </w:r>
          </w:p>
          <w:p w14:paraId="32BD7B9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5009.121 食品安全国家标准 食品中脱氢乙酸的测定 </w:t>
            </w:r>
          </w:p>
          <w:p w14:paraId="5766B7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5009.182 食品安全国家标准 食品中铝的测定 </w:t>
            </w:r>
          </w:p>
          <w:p w14:paraId="33A6CBB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5009.227 食品安全国家标准 食品中过氧化值的测定 </w:t>
            </w:r>
          </w:p>
          <w:p w14:paraId="1F79CD5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5009.229 食品安全国家标准 食品中酸价的测定 </w:t>
            </w:r>
          </w:p>
          <w:p w14:paraId="6F8044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产品明示标准和质量要求 </w:t>
            </w:r>
          </w:p>
          <w:p w14:paraId="0A2108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相关的法律法规、部门规章和规定</w:t>
            </w:r>
          </w:p>
          <w:p w14:paraId="635FFA7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
              </w:rPr>
              <w:t>G</w:t>
            </w:r>
            <w:r>
              <w:rPr>
                <w:rFonts w:hint="eastAsia" w:ascii="仿宋" w:hAnsi="仿宋" w:eastAsia="仿宋" w:cs="仿宋"/>
                <w:i w:val="0"/>
                <w:iCs w:val="0"/>
                <w:color w:val="auto"/>
                <w:kern w:val="2"/>
                <w:sz w:val="21"/>
                <w:szCs w:val="21"/>
                <w:highlight w:val="none"/>
                <w:lang w:val="en-US" w:eastAsia="zh-CN" w:bidi="ar-SA"/>
              </w:rPr>
              <w:t>B 5009.35 食品安全国家标准 食品中合成着色剂的测定</w:t>
            </w:r>
          </w:p>
          <w:p w14:paraId="4E2A78E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葡萄酒：</w:t>
            </w:r>
          </w:p>
          <w:p w14:paraId="285AD62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 2760 食品安全国家标准 食品添加剂使用标准</w:t>
            </w:r>
          </w:p>
          <w:p w14:paraId="725921A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5009.28 食品安全国家标准 食品中苯甲酸、山梨酸和糖精钠的测定 </w:t>
            </w:r>
          </w:p>
          <w:p w14:paraId="3E6D83D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5009.97 食品安全国家标准 食品中环己基氨基磺酸钠的测定 </w:t>
            </w:r>
          </w:p>
          <w:p w14:paraId="17DB778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 xml:space="preserve">GB 5009.121 食品安全国家标准 食品中脱氢乙酸的测定 </w:t>
            </w:r>
          </w:p>
          <w:p w14:paraId="4DF815C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 5009.35 食品安全国家标准 食品中合成着色剂的测定</w:t>
            </w:r>
          </w:p>
          <w:p w14:paraId="15E8B4F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GB/T 15038 葡萄酒、果酒通用分析方法</w:t>
            </w:r>
          </w:p>
          <w:p w14:paraId="43A39AE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 xml:space="preserve">产品明示标准和质量要求 </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D10C874">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718CE7B">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C61B90B">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565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004342">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BF827B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婴幼儿配方食品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F226A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婴儿配方食品、较大婴儿配方食品、幼儿配方食品</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1AE55DE3">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婴儿配方食品：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蛋白质、脂肪、碳水化合物、亚油酸、α-亚麻酸、亚油酸与α-亚麻酸比值、芥酸与总脂肪酸比值、反式脂肪酸与总脂肪酸比值、维生素 A、维生素 D、维生素 E、维生素 K1、维生素 B1、维生素 B2、维生素 B6、维生素 B12、烟酸（烟酰胺）、叶酸、泛酸、维生素 C、生物素、钠、钾、铜、镁、铁、锌、锰、钙、磷、钙磷比值、碘、氯、硒、胆碱、肌醇、牛磺酸、左旋肉碱、二十二碳六烯酸、二十碳四烯酸、果聚糖、水分、灰分、杂质度、铅、硝酸盐、亚硝酸盐、黄曲霉毒素 M1或黄曲霉毒素 B1、三聚氰胺、叶黄素、核苷酸、香兰素、乙基香兰素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较大婴儿配方食品：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蛋白质、脂肪、亚油酸、碳水化合物、α-亚麻酸、亚油酸与α-亚麻酸比值、终产品脂肪中月桂酸和肉豆蔻 酸（十四烷酸）总量占总脂肪酸的比值、芥酸与总脂肪酸比值、维生素 A、维生素 D、维生素 E、维生素 K1、维生素 B1、维生素 B2、维生素 B6、维生素 B12、烟酸（烟酰胺）、叶酸、泛酸、维生素 C、生物素、钠、钾、铜、镁、铁、锌、锰、钙、磷、钙磷比值、碘、氯、硒、胆碱、肌醇、牛磺酸、左旋肉碱、二十二碳六烯酸、果聚糖、水分、灰分、杂质度、铅、硝酸盐、亚硝酸盐、黄曲霉毒素 M1或黄曲霉毒素 B1、三聚氰胺、叶黄素、核苷酸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幼儿配方食品：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蛋白质、脂肪、亚油酸、α-亚麻酸、亚油酸与α-亚麻酸比值、乳糖占碳水化合物总量、碳水化合物、维生素 A、维生素 D、维生素 E、维生素 K1、维生素 B1、维生素 B2、维生素 B6、维生素 B12、叶酸、泛酸、维生素 C、生物素、钠、钾、铜、镁、铁、锌、锰、钙、磷、钙磷比值、碘、氯、硒、胆碱、肌醇、牛磺酸、左旋肉碱、二十二碳六烯酸、二十碳四烯酸、反式脂肪酸与总脂肪酸比值、果聚糖、水分、灰分、杂质度、铅、硝酸盐、亚硝酸盐、黄曲霉毒素 M1或黄曲霉毒素 B1、三聚氰胺、叶黄素、核苷酸</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（特殊医学用途配方食品不检测维生素B6、烟酸（烟酰胺）、碘项目）</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79E823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婴儿配方食品：</w:t>
            </w:r>
          </w:p>
          <w:p w14:paraId="5DA2CA2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2760 食品安全国家标准 食品添加剂使用标准 </w:t>
            </w:r>
          </w:p>
          <w:p w14:paraId="5F8B20C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2761 食品安全国家标准 食品中真菌毒素限量 </w:t>
            </w:r>
          </w:p>
          <w:p w14:paraId="5DFA73D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749EE74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 食品安全国家标准 食品中水分的测定 </w:t>
            </w:r>
          </w:p>
          <w:p w14:paraId="63E2B09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5009.4 食品安全国家标准 食品中灰分的测定 </w:t>
            </w:r>
          </w:p>
          <w:p w14:paraId="6848B11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565E71A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6369403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5D174D8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5009.13 食品安全国家标准 食品中铜的测定 </w:t>
            </w:r>
          </w:p>
          <w:p w14:paraId="32FED38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5009.14 食品安全国家标准 食品中锌的测定 </w:t>
            </w:r>
          </w:p>
          <w:p w14:paraId="758ED6F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5009.22 食品安全国家标准 食品中黄曲霉毒素 B 族和 G 族的测定 </w:t>
            </w:r>
          </w:p>
          <w:p w14:paraId="7A24F6E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 食品安全国家标准 食品中黄曲霉毒素 M 族的测定 </w:t>
            </w:r>
          </w:p>
          <w:p w14:paraId="3269573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67C1362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5009.44 食品安全国家标准 食品中氯化物的测定 </w:t>
            </w:r>
          </w:p>
          <w:p w14:paraId="5D09CF5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5009.82 食品安全国家标准 食品中维生素 A、D、E 的测定 </w:t>
            </w:r>
          </w:p>
          <w:p w14:paraId="364155F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5009.84 食品安全国家标准 食品中维生素 B1的测定 </w:t>
            </w:r>
          </w:p>
          <w:p w14:paraId="5019277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5009.85 食品安全国家标准 食品中维生素 B2的测定 </w:t>
            </w:r>
          </w:p>
          <w:p w14:paraId="1D4991F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5009.87 食品安全国家标准 食品中磷的测定 </w:t>
            </w:r>
          </w:p>
          <w:p w14:paraId="0ED2A60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5009.89 食品安全国家标准 食品中烟酸和烟酰胺的测定 </w:t>
            </w:r>
          </w:p>
          <w:p w14:paraId="0D61510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5009.90 食品安全国家标准 食品中铁的测定 </w:t>
            </w:r>
          </w:p>
          <w:p w14:paraId="7D97592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1D5DC6E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5009.92 食品安全国家标准 食品中钙的测定 </w:t>
            </w:r>
          </w:p>
          <w:p w14:paraId="4AA6073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5009.93 食品安全国家标准 食品中硒的测定 </w:t>
            </w:r>
          </w:p>
          <w:p w14:paraId="6B88919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5009.154 食品安全国家标准 食品中维生素 B6的测定 </w:t>
            </w:r>
          </w:p>
          <w:p w14:paraId="1405E64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5009.158 食品安全国家标准 食品中维生素 K1的测定 </w:t>
            </w:r>
          </w:p>
          <w:p w14:paraId="61D1043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5009.168 食品安全国家标准 食品中脂肪酸的测定 </w:t>
            </w:r>
          </w:p>
          <w:p w14:paraId="46D2F5F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5009.169 食品安全国家标准 食品中牛磺酸的测定 </w:t>
            </w:r>
          </w:p>
          <w:p w14:paraId="7BD4335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5009.210 食品安全国家标准 食品中泛酸的测定 </w:t>
            </w:r>
          </w:p>
          <w:p w14:paraId="23BC55B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5009.211 食品安全国家标准 食品中叶酸的测定 </w:t>
            </w:r>
          </w:p>
          <w:p w14:paraId="796B1BE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5009.241 食品安全国家标准 食品中镁的测定 </w:t>
            </w:r>
          </w:p>
          <w:p w14:paraId="434830A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5009.242 食品安全国家标准 食品中锰的测定 </w:t>
            </w:r>
          </w:p>
          <w:p w14:paraId="25CE4DE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5009.248 食品安全国家标准 食品中叶黄素的测定 </w:t>
            </w:r>
          </w:p>
          <w:p w14:paraId="2734189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5009.255 食品安全国家标准 食品中果聚糖的测定 </w:t>
            </w:r>
          </w:p>
          <w:p w14:paraId="72B325A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5009.259 食品安全国家标准 食品中生物素的测定 </w:t>
            </w:r>
          </w:p>
          <w:p w14:paraId="67771B8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5009.267 食品安全国家标准 食品中碘的测定 </w:t>
            </w:r>
          </w:p>
          <w:p w14:paraId="3386818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5009.270 食品安全国家标准 食品中肌醇的测定 </w:t>
            </w:r>
          </w:p>
          <w:p w14:paraId="57DAD16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5009.284-2021 食品安全国家标准 食品中香兰素、甲基香兰素、乙基香兰素和香豆素的测定 </w:t>
            </w:r>
          </w:p>
          <w:p w14:paraId="5EBCCE1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5413.5 食品安全国家标准 婴幼儿食品和乳品中乳糖、蔗糖的测定 </w:t>
            </w:r>
          </w:p>
          <w:p w14:paraId="3EBC0FB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5413.14 食品安全国家标准 婴幼儿食品和乳品中维生素 B12的测定 </w:t>
            </w:r>
          </w:p>
          <w:p w14:paraId="07189D1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5413.18 食品安全国家标准 婴幼儿食品和乳品中维生素 C 的测定 </w:t>
            </w:r>
          </w:p>
          <w:p w14:paraId="178F210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5413.20 食品安全国家标准 婴幼儿食品和乳品中胆碱的测定 </w:t>
            </w:r>
          </w:p>
          <w:p w14:paraId="73A2CCF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5413.30 食品安全国家标准 乳和乳制品杂质度的测定 </w:t>
            </w:r>
          </w:p>
          <w:p w14:paraId="168E70F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5413.31 食品安全国家标准 婴幼儿食品和乳品中脲酶的测定 </w:t>
            </w:r>
          </w:p>
          <w:p w14:paraId="482704C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5413.36 食品安全国家标准 婴幼儿食品和乳品中反式脂肪酸的测定 </w:t>
            </w:r>
          </w:p>
          <w:p w14:paraId="50EDDAB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5413.40 食品安全国家标准 婴幼儿食品和乳品中核苷酸的测定 </w:t>
            </w:r>
          </w:p>
          <w:p w14:paraId="1728FE7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10765-2021 食品安全国家标准 婴儿配方食品 </w:t>
            </w:r>
          </w:p>
          <w:p w14:paraId="44AF085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10766-2021 食品安全国家标准 较大婴儿配方食品 </w:t>
            </w:r>
          </w:p>
          <w:p w14:paraId="58D566E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10767-2021 食品安全国家标准 幼儿配方食品 </w:t>
            </w:r>
          </w:p>
          <w:p w14:paraId="6388938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210994F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GB/T 22388 原料乳与乳制品中三聚氰胺检测方法 </w:t>
            </w:r>
          </w:p>
          <w:p w14:paraId="21CD3A5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29921-2021 食品安全国家标准 预包装食品中致病菌限量 </w:t>
            </w:r>
          </w:p>
          <w:p w14:paraId="6BC1019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29989 食品安全国家标准 婴幼儿食品和乳品中左旋肉碱的测定 </w:t>
            </w:r>
          </w:p>
          <w:p w14:paraId="770B872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BJS 201705 食品中香兰素、甲基香兰素和乙基香兰素的测定 </w:t>
            </w:r>
          </w:p>
          <w:p w14:paraId="7AACF35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卫生部、工业和信息化部、农业部、工商总局、质检总局公告 2011 年第 10 号关于三聚 氰胺在食品中的限量值的公告 </w:t>
            </w:r>
          </w:p>
          <w:p w14:paraId="25D9454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418D849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234406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646EC6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71E7C1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12A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4"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6C25A6">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4F12E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婴幼儿辅食</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6022A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婴幼儿谷类辅助食品、婴幼儿罐装辅助食品</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1E167DF4">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婴幼儿谷类辅助食品：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能量、蛋白质、脂肪、亚油酸、月桂酸占总脂肪的比值、肉豆蔻酸占总脂肪的比值、维生素 A、维生素 D、维生素 B1、钙、铁、锌、钠、维生素 E、维生素 B2、维生素 B6、维生素 B12、烟酸、叶酸、泛酸、维生素 C、生物素、磷、碘、钾、水分、不溶性膳食纤维、脲酶活性定性测定、铅、无机砷、锡、镉、黄曲霉毒素 B1、硝酸盐、亚硝酸盐、二十二碳六烯酸、花生四烯酸、灰分、碳水化合物、维生素K1、苯甲酸、山梨酸、糖精钠</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婴幼儿罐装辅助食品：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蛋白质、脂肪、总钠、铅、无机砷、总汞、锡、硝酸盐、亚硝酸盐、商业无菌（限罐头工艺）、霉菌、能量、蛋白质、水分、灰分、碳水化合物、苯甲酸、山梨酸、糖精钠</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9A4BEE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2761 食品安全国家标准 食品中真菌毒素限量 </w:t>
            </w:r>
          </w:p>
          <w:p w14:paraId="0BC364A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766D7C7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 食品安全国家标准 食品中水分的测定 </w:t>
            </w:r>
          </w:p>
          <w:p w14:paraId="343B370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2A82B1A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61029B0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5009.11 食品安全国家标准 食品中总砷及无机砷的测定 </w:t>
            </w:r>
          </w:p>
          <w:p w14:paraId="5FF4B18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523C556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5009.14 食品安全国家标准 食品中锌的测定 </w:t>
            </w:r>
          </w:p>
          <w:p w14:paraId="216E1EC1">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 食品安全国家标准 食品中镉的测定 </w:t>
            </w:r>
          </w:p>
          <w:p w14:paraId="0476CD4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 食品安全国家标准 食品中锡的测定 </w:t>
            </w:r>
          </w:p>
          <w:p w14:paraId="10A33D6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5009.22 食品安全国家标准 食品中黄曲霉毒素 B 族和 G 族的测定 </w:t>
            </w:r>
          </w:p>
          <w:p w14:paraId="627A4D8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6865E2C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5009.82 食品安全国家标准 食品中维生素 A、D、E 的测定 </w:t>
            </w:r>
          </w:p>
          <w:p w14:paraId="1D16D92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5009.84 食品安全国家标准 食品中维生素 B1的测定 </w:t>
            </w:r>
          </w:p>
          <w:p w14:paraId="1AFFD54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5009.85 食品安全国家标准 食品中维生素 B2的测定 </w:t>
            </w:r>
          </w:p>
          <w:p w14:paraId="60FD256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5009.87 食品安全国家标准 食品中磷的测定 </w:t>
            </w:r>
          </w:p>
          <w:p w14:paraId="6AE47FB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5009.89 食品安全国家标准 食品中烟酸和烟酰胺的测定 </w:t>
            </w:r>
          </w:p>
          <w:p w14:paraId="76D1161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5009.90 食品安全国家标准 食品中铁的测定 </w:t>
            </w:r>
          </w:p>
          <w:p w14:paraId="50284A2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2518411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5009.92 食品安全国家标准 食品中钙的测定 </w:t>
            </w:r>
          </w:p>
          <w:p w14:paraId="7C6E480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5009.154 食品安全国家标准 食品中维生素 B6的测定 </w:t>
            </w:r>
          </w:p>
          <w:p w14:paraId="730C0D7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5009.168 食品安全国家标准 食品中脂肪酸的测定 </w:t>
            </w:r>
          </w:p>
          <w:p w14:paraId="7E1A608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5009.210 食品安全国家标准 食品中泛酸的测定 </w:t>
            </w:r>
          </w:p>
          <w:p w14:paraId="62C8BE1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5009.211 食品安全国家标准 食品中叶酸的测定 </w:t>
            </w:r>
          </w:p>
          <w:p w14:paraId="6897152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5009.259 食品安全国家标准 食品中生物素的测定 </w:t>
            </w:r>
          </w:p>
          <w:p w14:paraId="6C6D9C0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5009.267 食品安全国家标准 食品中碘的测定 </w:t>
            </w:r>
          </w:p>
          <w:p w14:paraId="23D9D6B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5413.6 食品安全国家标准 婴幼儿食品和乳品中不溶性膳食纤维的测定 </w:t>
            </w:r>
          </w:p>
          <w:p w14:paraId="4A4B608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5413.14 食品安全国家标准 婴幼儿食品和乳品中维生素 B12的测定 </w:t>
            </w:r>
          </w:p>
          <w:p w14:paraId="5702CD2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5413.18 食品安全国家标准 婴幼儿食品和乳品中维生素 C 的测定 </w:t>
            </w:r>
          </w:p>
          <w:p w14:paraId="104F570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5413.31 食品安全国家标准 婴幼儿食品和乳品中脲酶的测定 </w:t>
            </w:r>
          </w:p>
          <w:p w14:paraId="7977A4B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10769 食品安全国家标准婴幼儿谷类辅助食品 </w:t>
            </w:r>
          </w:p>
          <w:p w14:paraId="7BD5D13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226A5FE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29921 食品安全国家标准 预包装食品中致病菌限量 </w:t>
            </w:r>
          </w:p>
          <w:p w14:paraId="0DFE9410">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卫健委、市场监管总局公告 2018 年 第 7 号 关于发布婴幼儿谷类辅助食品中镉的临时限量值的公告 </w:t>
            </w:r>
          </w:p>
          <w:p w14:paraId="73B1C4F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7FDB5EF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p w14:paraId="17E260C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婴幼儿罐装辅助食品：</w:t>
            </w:r>
          </w:p>
          <w:p w14:paraId="14195CD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2762 食品安全国家标准 食品中污染物限量  </w:t>
            </w:r>
          </w:p>
          <w:p w14:paraId="4137B82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5009.5 食品安全国家标准 食品中蛋白质的测定 </w:t>
            </w:r>
          </w:p>
          <w:p w14:paraId="0B60D5A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5009.6 食品安全国家标准 食品中脂肪的测定 </w:t>
            </w:r>
          </w:p>
          <w:p w14:paraId="351C5FE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5009.11 食品安全国家标准 食品中总砷及无机砷的测定 </w:t>
            </w:r>
          </w:p>
          <w:p w14:paraId="5912B64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5009.12 食品安全国家标准 食品中铅的测定 </w:t>
            </w:r>
          </w:p>
          <w:p w14:paraId="756D1E0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5009.16 食品安全国家标准 食品中锡的测定 </w:t>
            </w:r>
          </w:p>
          <w:p w14:paraId="367B65DD">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5009.17 食品安全国家标准 食品中总汞及有机汞的测定 </w:t>
            </w:r>
          </w:p>
          <w:p w14:paraId="122FD7E9">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5009.33 食品安全国家标准 食品中亚硝酸盐与硝酸盐的测定 </w:t>
            </w:r>
          </w:p>
          <w:p w14:paraId="1DCB440A">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5009.91 食品安全国家标准 食品中钾、钠的测定 </w:t>
            </w:r>
          </w:p>
          <w:p w14:paraId="4388508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10770 食品安全国家标准 婴幼儿罐装辅助食品 </w:t>
            </w:r>
          </w:p>
          <w:p w14:paraId="6DCEBBD6">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GB 13432 食品安全国家标准 预包装特殊膳食用食品标签 </w:t>
            </w:r>
          </w:p>
          <w:p w14:paraId="7CB753AE">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产品明示标准和质量要求 </w:t>
            </w:r>
          </w:p>
          <w:p w14:paraId="2235A703">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相关的法律法规、部门规章和规定</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84993F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3F95F1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18DEB7D">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1915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3E035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保健食品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83573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保健品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C39C2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减肥降脂类</w:t>
            </w:r>
            <w:r>
              <w:rPr>
                <w:rFonts w:hint="eastAsia" w:ascii="仿宋" w:hAnsi="仿宋" w:eastAsia="仿宋" w:cs="仿宋"/>
                <w:i w:val="0"/>
                <w:iCs w:val="0"/>
                <w:color w:val="000000"/>
                <w:kern w:val="0"/>
                <w:sz w:val="21"/>
                <w:szCs w:val="21"/>
                <w:highlight w:val="none"/>
                <w:u w:val="none"/>
                <w:lang w:val="en-US" w:eastAsia="zh-CN" w:bidi="ar"/>
              </w:rPr>
              <w:t>样品、</w:t>
            </w:r>
            <w:r>
              <w:rPr>
                <w:rFonts w:hint="eastAsia" w:ascii="仿宋" w:hAnsi="仿宋" w:eastAsia="仿宋" w:cs="仿宋"/>
                <w:i w:val="0"/>
                <w:iCs w:val="0"/>
                <w:color w:val="auto"/>
                <w:kern w:val="0"/>
                <w:sz w:val="21"/>
                <w:szCs w:val="21"/>
                <w:highlight w:val="none"/>
                <w:u w:val="none"/>
                <w:lang w:val="en-US" w:eastAsia="zh-CN" w:bidi="ar"/>
              </w:rPr>
              <w:t>降糖降压类</w:t>
            </w:r>
            <w:r>
              <w:rPr>
                <w:rFonts w:hint="eastAsia" w:ascii="仿宋" w:hAnsi="仿宋" w:eastAsia="仿宋" w:cs="仿宋"/>
                <w:i w:val="0"/>
                <w:iCs w:val="0"/>
                <w:color w:val="000000"/>
                <w:kern w:val="0"/>
                <w:sz w:val="21"/>
                <w:szCs w:val="21"/>
                <w:highlight w:val="none"/>
                <w:u w:val="none"/>
                <w:lang w:val="en-US" w:eastAsia="zh-CN" w:bidi="ar"/>
              </w:rPr>
              <w:t>类样品、缓解体力疲劳类/提高免疫力</w:t>
            </w:r>
            <w:r>
              <w:rPr>
                <w:rFonts w:hint="eastAsia" w:ascii="仿宋" w:hAnsi="仿宋" w:eastAsia="仿宋" w:cs="仿宋"/>
                <w:i w:val="0"/>
                <w:iCs w:val="0"/>
                <w:color w:val="auto"/>
                <w:kern w:val="0"/>
                <w:sz w:val="21"/>
                <w:szCs w:val="21"/>
                <w:highlight w:val="none"/>
                <w:u w:val="none"/>
                <w:lang w:val="en-US" w:eastAsia="zh-CN" w:bidi="ar"/>
              </w:rPr>
              <w:t>/安神</w:t>
            </w:r>
            <w:r>
              <w:rPr>
                <w:rFonts w:hint="eastAsia" w:ascii="仿宋" w:hAnsi="仿宋" w:eastAsia="仿宋" w:cs="仿宋"/>
                <w:i w:val="0"/>
                <w:iCs w:val="0"/>
                <w:color w:val="000000"/>
                <w:kern w:val="0"/>
                <w:sz w:val="21"/>
                <w:szCs w:val="21"/>
                <w:highlight w:val="none"/>
                <w:u w:val="none"/>
                <w:lang w:val="en-US" w:eastAsia="zh-CN" w:bidi="ar"/>
              </w:rPr>
              <w:t>类样品</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17D65B54">
            <w:pPr>
              <w:keepNext w:val="0"/>
              <w:keepLines w:val="0"/>
              <w:widowControl/>
              <w:suppressLineNumbers w:val="0"/>
              <w:jc w:val="left"/>
              <w:textAlignment w:val="top"/>
              <w:rPr>
                <w:rStyle w:val="123"/>
                <w:rFonts w:hint="eastAsia" w:ascii="仿宋" w:hAnsi="仿宋" w:eastAsia="仿宋" w:cs="仿宋"/>
                <w:color w:val="auto"/>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所有样品：</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铅、总砷、总汞、</w:t>
            </w:r>
            <w:r>
              <w:rPr>
                <w:rStyle w:val="123"/>
                <w:rFonts w:hint="eastAsia" w:ascii="仿宋" w:hAnsi="仿宋" w:eastAsia="仿宋" w:cs="仿宋"/>
                <w:color w:val="auto"/>
                <w:sz w:val="21"/>
                <w:szCs w:val="21"/>
                <w:highlight w:val="none"/>
                <w:lang w:val="en-US" w:eastAsia="zh-CN" w:bidi="ar"/>
              </w:rPr>
              <w:t>装量/重量</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减肥降脂类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西布曲明、芬氟拉明、麻黄碱、酚酞、N-单去甲基西布曲明、N,N-双去甲基西布曲明</w:t>
            </w:r>
            <w:r>
              <w:rPr>
                <w:rStyle w:val="123"/>
                <w:rFonts w:hint="eastAsia" w:ascii="仿宋" w:hAnsi="仿宋" w:eastAsia="仿宋" w:cs="仿宋"/>
                <w:color w:val="auto"/>
                <w:sz w:val="21"/>
                <w:szCs w:val="21"/>
                <w:highlight w:val="none"/>
                <w:lang w:val="en-US" w:eastAsia="zh-CN" w:bidi="ar"/>
              </w:rPr>
              <w:t>、伪麻黄碱、甲基麻黄碱、苯丙醇胺、氯噻嗪、氢氯噻嗪、普伐他汀、呋塞米、氟西汀、吲达帕胺、比沙可啶、苯扎贝特、布美他尼、洛伐他汀、辛伐他汀、非诺贝特、番泻苷A、番泻苷B</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降糖降压类：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甲苯磺丁脲、格列本脲、格列齐特、格列吡嗪、格列喹酮、格列美脲、罗格列酮、瑞格列奈</w:t>
            </w:r>
            <w:r>
              <w:rPr>
                <w:rStyle w:val="123"/>
                <w:rFonts w:hint="eastAsia" w:ascii="仿宋" w:hAnsi="仿宋" w:eastAsia="仿宋" w:cs="仿宋"/>
                <w:color w:val="auto"/>
                <w:sz w:val="21"/>
                <w:szCs w:val="21"/>
                <w:highlight w:val="none"/>
                <w:lang w:val="en-US" w:eastAsia="zh-CN" w:bidi="ar"/>
              </w:rPr>
              <w:t>、二甲双胍、苯乙双胍、吡格列酮、丁二胍、</w:t>
            </w:r>
            <w:r>
              <w:rPr>
                <w:rFonts w:hint="eastAsia" w:ascii="仿宋" w:hAnsi="仿宋" w:eastAsia="仿宋" w:cs="仿宋"/>
                <w:i w:val="0"/>
                <w:iCs w:val="0"/>
                <w:color w:val="auto"/>
                <w:kern w:val="0"/>
                <w:sz w:val="21"/>
                <w:szCs w:val="21"/>
                <w:highlight w:val="none"/>
                <w:u w:val="none"/>
                <w:lang w:val="en-US" w:eastAsia="zh-CN" w:bidi="ar"/>
              </w:rPr>
              <w:t>格列波脲、氨氯地平、尼群地平、尼莫地平、非洛地平、</w:t>
            </w:r>
            <w:r>
              <w:rPr>
                <w:rStyle w:val="123"/>
                <w:rFonts w:hint="eastAsia" w:ascii="仿宋" w:hAnsi="仿宋" w:eastAsia="仿宋" w:cs="仿宋"/>
                <w:color w:val="auto"/>
                <w:sz w:val="21"/>
                <w:szCs w:val="21"/>
                <w:highlight w:val="none"/>
                <w:lang w:val="en-US" w:eastAsia="zh-CN" w:bidi="ar"/>
              </w:rPr>
              <w:t>尼索地平、</w:t>
            </w:r>
            <w:r>
              <w:rPr>
                <w:rFonts w:hint="eastAsia" w:ascii="仿宋" w:hAnsi="仿宋" w:eastAsia="仿宋" w:cs="仿宋"/>
                <w:i w:val="0"/>
                <w:iCs w:val="0"/>
                <w:color w:val="auto"/>
                <w:kern w:val="0"/>
                <w:sz w:val="21"/>
                <w:szCs w:val="21"/>
                <w:highlight w:val="none"/>
                <w:u w:val="none"/>
                <w:lang w:val="en-US" w:eastAsia="zh-CN" w:bidi="ar"/>
              </w:rPr>
              <w:t>硝苯地平</w:t>
            </w:r>
            <w:r>
              <w:rPr>
                <w:rStyle w:val="123"/>
                <w:rFonts w:hint="eastAsia" w:ascii="仿宋" w:hAnsi="仿宋" w:eastAsia="仿宋" w:cs="仿宋"/>
                <w:color w:val="auto"/>
                <w:sz w:val="21"/>
                <w:szCs w:val="21"/>
                <w:highlight w:val="none"/>
                <w:lang w:val="en-US" w:eastAsia="zh-CN" w:bidi="ar"/>
              </w:rPr>
              <w:t>、卡托普利</w:t>
            </w:r>
            <w:r>
              <w:rPr>
                <w:rFonts w:hint="eastAsia" w:ascii="仿宋" w:hAnsi="仿宋" w:eastAsia="仿宋" w:cs="仿宋"/>
                <w:i w:val="0"/>
                <w:iCs w:val="0"/>
                <w:color w:val="auto"/>
                <w:kern w:val="0"/>
                <w:sz w:val="21"/>
                <w:szCs w:val="21"/>
                <w:highlight w:val="none"/>
                <w:u w:val="none"/>
                <w:lang w:val="en-US" w:eastAsia="zh-CN" w:bidi="ar"/>
              </w:rPr>
              <w:t>、利血平、阿替洛尔、盐酸可乐定、哌唑嗪</w:t>
            </w:r>
            <w:r>
              <w:rPr>
                <w:rStyle w:val="123"/>
                <w:rFonts w:hint="eastAsia" w:ascii="仿宋" w:hAnsi="仿宋" w:eastAsia="仿宋" w:cs="仿宋"/>
                <w:color w:val="auto"/>
                <w:sz w:val="21"/>
                <w:szCs w:val="21"/>
                <w:highlight w:val="none"/>
                <w:lang w:val="en-US" w:eastAsia="zh-CN" w:bidi="ar"/>
              </w:rPr>
              <w:t>、氢氯噻嗪</w:t>
            </w:r>
          </w:p>
          <w:p w14:paraId="643C7E86">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缓解体力疲劳/提高免疫力/安神类：</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西地那非、豪莫西地那非、羟基豪莫西地那非</w:t>
            </w:r>
            <w:r>
              <w:rPr>
                <w:rStyle w:val="123"/>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那莫西地那非、硫代艾地那非、红地那非、那红地那非、伪伐地那非、他达那非</w:t>
            </w:r>
            <w:r>
              <w:rPr>
                <w:rStyle w:val="123"/>
                <w:rFonts w:hint="eastAsia" w:ascii="仿宋" w:hAnsi="仿宋" w:eastAsia="仿宋" w:cs="仿宋"/>
                <w:color w:val="auto"/>
                <w:sz w:val="21"/>
                <w:szCs w:val="21"/>
                <w:highlight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氨基他达拉非、伐地那非、</w:t>
            </w:r>
            <w:r>
              <w:rPr>
                <w:rStyle w:val="123"/>
                <w:rFonts w:hint="eastAsia" w:ascii="仿宋" w:hAnsi="仿宋" w:eastAsia="仿宋" w:cs="仿宋"/>
                <w:color w:val="auto"/>
                <w:sz w:val="21"/>
                <w:szCs w:val="21"/>
                <w:highlight w:val="none"/>
                <w:lang w:val="en-US" w:eastAsia="zh-CN" w:bidi="ar"/>
              </w:rPr>
              <w:t>去甲基他达拉非、二硫代去甲基卡巴地那非、去甲基卡巴地那非、那非乙酰酸、三唑仑、马来酸咪达唑仑、劳拉西泮、氯硝西泮、阿普唑仑、艾司唑仑、奥沙西泮、地西泮、硝西泮、司可巴比妥、苯巴比妥、异戊巴比妥、巴比妥、氯氮卓</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14:paraId="6A368F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所有样品：</w:t>
            </w:r>
          </w:p>
          <w:p w14:paraId="6221F25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5009.11 食品安全国家标准 食品中总砷及无机砷的测定 </w:t>
            </w:r>
          </w:p>
          <w:p w14:paraId="1AA66C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5009.12 食品安全国家标准 食品中铅的测定 </w:t>
            </w:r>
          </w:p>
          <w:p w14:paraId="1C555F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kern w:val="0"/>
                <w:sz w:val="21"/>
                <w:szCs w:val="21"/>
                <w:highlight w:val="none"/>
                <w:lang w:val="en-US" w:eastAsia="zh-CN" w:bidi="ar"/>
              </w:rPr>
              <w:t xml:space="preserve">GB 5009.17 食品安全国家标准 食品中总汞及有机汞的测定 </w:t>
            </w:r>
          </w:p>
          <w:p w14:paraId="7883D69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GB 16740 食品安全国家标准 保健食品</w:t>
            </w:r>
          </w:p>
          <w:p w14:paraId="19A87E7C">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减肥降脂类：</w:t>
            </w:r>
          </w:p>
          <w:p w14:paraId="78033CAE">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201701食品中西布曲明等化合物的测定</w:t>
            </w:r>
          </w:p>
          <w:p w14:paraId="341C5B7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201917 食品中番泻苷A、番泻苷B 和大黄素甲醚的测定</w:t>
            </w:r>
          </w:p>
          <w:p w14:paraId="38314300">
            <w:pPr>
              <w:pStyle w:val="11"/>
              <w:ind w:left="0" w:leftChars="0" w:firstLine="0" w:firstLineChars="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降糖降压类：</w:t>
            </w:r>
          </w:p>
          <w:p w14:paraId="185AC6C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201901食品中二甲双胍等非食品用化学物质的测定</w:t>
            </w:r>
          </w:p>
          <w:p w14:paraId="17D3A339">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药品检验补充检验方法和检验项目批准件编号2014008(二)</w:t>
            </w:r>
          </w:p>
          <w:p w14:paraId="685A9E4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药品检验补充检验方法和检验项目批准件编号2009032(三)</w:t>
            </w:r>
          </w:p>
          <w:p w14:paraId="4FCE4152">
            <w:pPr>
              <w:pStyle w:val="11"/>
              <w:ind w:left="0" w:leftChars="0" w:firstLine="0" w:firstLineChars="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缓解体力疲劳/提高免疫力/安神类：</w:t>
            </w:r>
          </w:p>
          <w:p w14:paraId="30E4CC9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BJS 202405 食品中西地那非、他达拉非等化合物的测定</w:t>
            </w:r>
          </w:p>
          <w:p w14:paraId="2B13BFC0">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药品检验补充检验方法和检验项目批准件编号2009024(三)</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164031E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60</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5BF4C33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2F8DA9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33DB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5"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14:paraId="68FF0E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化妆品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BC8CF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面膜</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FB195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片状面膜、膏状面膜等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532C8001">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糖皮质激素（地塞米松、可的松、泼尼松、曲安西龙、泼尼松龙、氢化可的松、甲基泼尼松龙、倍他米松、氟米松、倍氯米松、曲安奈德、氟氢缩松、曲安西龙双醋酸酯、泼尼松龙醋酸酯、氟米龙、氢化可的松醋酸酯、地夫可特、氟氢可的松醋酸酯、泼尼松醋酸酯、可的松醋酸酯、甲基泼尼松龙醋酸酯、倍他米松醋酸酯、布地奈德、氢化可的松丁酸酯、地塞米松醋酸酯、氟米龙醋酸酯、氢化可的松戊酸酯、曲安奈德醋酸酯、氟轻松醋酸酯、二氟拉松双醋酸酯、倍他米松戊酸酯、泼尼卡酯、哈西奈德、阿氯米松双丙酸酯、安西奈德、氯倍他索丙酸酯、氟替卡松丙酸酯、莫米他松糠酸酯、倍他米松双丙酸酯、倍氯米松双丙酸酯、氯倍他松丁酸酯）、苯酚、氢醌、甲醇、防腐剂（甲基氯异噻唑啉酮、2-溴-2-硝基丙烷-1,3-二醇、甲基异噻唑啉酮、苯甲醇、苯氧乙醇、4-羟基苯甲酸甲酯、苯甲酸、4-羟基苯甲酸乙酯、4-羟基苯甲酸异丙酯、4-羟基苯甲酸丙酯、4-羟基苯甲酸异丁酯、4-羟基苯甲酸丁酯）、汞、铅、砷、镉、菌落总数、霉菌和酵母菌总数、耐热大肠菌群、金黄色葡萄球菌、铜绿假单胞菌、二甲硝咪唑、氯甲硝咪唑、苯硝咪唑、异丙硝唑、甲硝唑、羟基甲硝唑、洛硝哒唑、奥硝唑、萘啶酸、替硝唑、磺胺吡啶、磺胺甲噁唑、磺胺噻唑、二甲氧苄啶、苄哒唑、磺胺甲嘧啶（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3B73B5E7">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《化妆品安全技术规范》2015年版</w:t>
            </w:r>
          </w:p>
          <w:p w14:paraId="79553DB7">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2"/>
                <w:sz w:val="21"/>
                <w:szCs w:val="21"/>
                <w:highlight w:val="none"/>
                <w:lang w:val="en-US" w:eastAsia="zh-CN" w:bidi="ar-SA"/>
              </w:rPr>
              <w:t>GB/T 24800.2-2009《化妆品中四十一种糖皮质激素的测定 液相色谱串联质谱法和薄层层析法》</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3A4BE8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40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9C5977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D7FF05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7972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F86347">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262CA7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彩妆</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F6C102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指甲油、口红、眉笔、唇彩、睫毛膏、眼线等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423F1A2B">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化剂、邻苯二甲酸二丁酯（DBP）、邻苯二甲酸二（2-甲氧乙基）酯（DMEP）、邻苯二甲酸二异戊酯（DIPP）、邻苯二甲酸戊基异戊酯（DnIPP）、邻苯二甲酸二正戊酯（DnPP）、邻苯二甲酸丁苄酯（BBP）、邻苯二甲酸二（2-乙基己基）酯（DEHP）、1,2-苯基二羧酸支链和直链二戊基酯）、酸性黄36、颜料红53:1、颜料橙5、苏丹红II、苏丹红IV、汞、铅、砷、镉、VOC（二氯甲烷、1,1-二氯乙烷、1,2-二氯乙烯、三氯甲烷、1,2-二氯乙烷、苯、三氯乙烯、四氯乙烯）、比马前列素等5项（比马前列素、他氟乙酰胺、拉坦前列素、曲伏前列素、他氟前列素，仅限眼部产品）（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1A0861D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0B45A53">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DDA1366">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FD15267">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4B86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7F6AD">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5ECE67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防晒用品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73F87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防晒霜、防晒乳等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15955F33">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晒剂（3-亚苄基樟脑、4-甲基苄亚基樟脑、二苯酮-3、二苯酮-4或二苯酮-5、亚苄基樟脑磺酸、双-乙基己氧苯酚甲氧苯基三嗪、丁基甲氧基二苯甲酰基甲烷、樟脑苯扎铵甲基硫酸盐、二乙氨羟苯甲酰基苯甲酸己酯、二乙基己基丁酰胺基三嗪酮、甲酚曲唑三硅氧烷、二甲基PABA乙基己酯、甲氧基肉桂酸乙基己酯、水杨酸乙基己酯、乙基己基三嗪酮、胡莫柳酯、对甲氧基肉桂酸异戊酯、亚甲基双-苯并三唑基四甲基丁基酚、奥克立林、苯基苯并咪唑磺酸、对苯二亚甲基二樟脑磺酸、苯基二苯并咪唑四磺酸酯二钠）、汞、铅、砷、镉、菌落总数、霉菌和酵母菌总数、耐热大肠菌群、金黄色葡萄球菌、铜绿假单胞菌、防腐剂（甲基氯异噻唑啉酮、2-溴-2-硝基丙烷-1,3-二醇、甲基异噻唑啉酮、苯甲醇、苯氧乙醇、4-羟基苯甲酸甲酯、苯甲酸、4-羟基苯甲酸乙酯、4-羟基苯甲酸异丙酯、4-羟基苯甲酸丙酯、4-羟基苯甲酸异丁酯、4-羟基苯甲酸丁酯、氯苯甘醚）（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05B44F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97DCC76">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2CF80A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15800A6">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4AA7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228B31">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64F81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水乳液、霜等</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BF076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保湿霜、卸妆水、日晚霜、BB霜、精华液、祛痘膏等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7E864D83">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防腐剂（甲基氯异噻唑啉酮、2-溴-2-硝基丙烷-1,3-二醇、甲基异噻唑啉酮、苯甲醇、苯氧乙醇、4-羟基苯甲酸甲酯、苯甲酸、4-羟基苯甲酸乙酯、4-羟基苯甲酸异丙酯、4-羟基苯甲酸丙酯、4-羟基苯甲酸异丁酯、4-羟基苯甲酸丁酯、氯苯甘醚）、汞、铅、砷、镉、菌落总数、霉菌和酵母菌总数、耐热大肠菌群、金黄色葡萄球菌、铜绿假单胞菌、糖皮质激素（地塞米松、可的松、泼尼松、曲安西龙、泼尼松龙、氢化可的松、甲基泼尼松龙、倍他米松、氟米松、倍氯米松、曲安奈德、氟氢缩松、曲安西龙双醋酸酯、泼尼松龙醋酸酯、氟米龙、氢化可的松醋酸酯、地夫可特、氟氢可的松醋酸酯、泼尼松醋酸酯、可的松醋酸酯、甲基泼尼松龙醋酸酯、倍他米松醋酸酯、布地奈德、氢化可的松丁酸酯、地塞米松醋酸酯、氟米龙醋酸酯、氢化可的松戊酸酯、曲安奈德醋酸酯、氟轻松醋酸酯、二氟拉松双醋酸酯、倍他米松戊酸酯、泼尼卡酯、哈西奈德、阿氯米松双丙酸酯、安西奈德、氯倍他索丙酸酯、氟替卡松丙酸酯、莫米他松糠酸酯、倍他米松双丙酸酯、倍氯米松双丙酸酯、氯倍他松丁酸酯）（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520B2A28">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化妆品安全技术规范》2015年版</w:t>
            </w:r>
          </w:p>
          <w:p w14:paraId="0D20E1E5">
            <w:pPr>
              <w:pStyle w:val="2"/>
              <w:keepNext w:val="0"/>
              <w:keepLines w:val="0"/>
              <w:pageBreakBefore w:val="0"/>
              <w:kinsoku/>
              <w:wordWrap/>
              <w:overflowPunct/>
              <w:topLinePunct w:val="0"/>
              <w:autoSpaceDE/>
              <w:autoSpaceDN/>
              <w:bidi w:val="0"/>
              <w:adjustRightInd w:val="0"/>
              <w:snapToGrid w:val="0"/>
              <w:spacing w:line="240" w:lineRule="auto"/>
              <w:ind w:firstLine="0" w:firstLineChars="0"/>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kern w:val="2"/>
                <w:sz w:val="21"/>
                <w:szCs w:val="21"/>
                <w:highlight w:val="none"/>
                <w:lang w:val="en-US" w:eastAsia="zh-CN" w:bidi="ar-SA"/>
              </w:rPr>
              <w:t>GB/T 24800.2-2009《化妆品中四十一种糖皮质激素的测定 液相色谱串联质谱法和薄层层析法》</w:t>
            </w:r>
          </w:p>
          <w:p w14:paraId="729CA16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7B7EFF2">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E9F481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CEBAD0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753B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D5291">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B5574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染发用品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A31D7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染发膏、染发剂等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05FD6A8D">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间苯二胺、对苯二胺、对氨基苯酚、甲苯-2,5-二胺硫酸盐、间氨基苯酚、邻苯二胺、2-氯对苯二胺硫酸盐、邻氨基苯酚、间苯二酚、2-硝基对苯二胺、甲苯-3,4-二胺、4-氨基-2-羟基甲苯、2-甲基间苯二酚、6-氨基间甲酚、苯基甲基吡唑啉酮、N,N-二乙基甲苯-2,5-二胺盐酸盐、4-氨基-3-硝基苯酚、2,4-二氨基苯氧基乙醇盐酸盐、氢醌、4-氨基间甲酚、2-氨基-3-羟基吡啶、N,N-双(2-羟乙基)对苯二胺硫酸盐、对甲基氨基苯酚硫酸盐、4-硝基邻苯二胺、2,6-二氨基吡啶、N,N-二乙基对苯二胺硫酸盐、6-羟基吲哚、4-氯间苯二酚、2,7-萘二酚、N-苯基对苯二胺、1,5-萘二酚、1-萘酚、汞、铅、砷、镉（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7990D4B8">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EE446BE">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198AA76">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9168A9F">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7BD8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EE7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日化用品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0D6465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洗浴类产品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FF83C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沐浴露、洗发水、护发素、等</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563A30AB">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甲醇、防腐剂（甲基氯异噻唑啉酮、2-溴-2-硝基丙烷-1,3-二醇、甲基异噻唑啉酮、苯甲醇、苯氧乙醇、4-羟基苯甲酸甲酯、苯甲酸、4-羟基苯甲酸乙酯、4-羟基苯甲酸异丙酯、4-羟基苯甲酸丙酯、4-羟基苯甲酸异丁酯、4-羟基苯甲酸丁酯）、4-羟基苯甲酸、氯苯甘醚、脱氢乙酸、5-溴-5-硝基-1,3-二噁烷、4-羟基苯甲酸苯酯、4-羟基苯甲酸苄酯、苯甲酸乙酯、4-羟基苯甲酸戊酯、苯甲酸异丙酯、苯甲酸丙酯、苯甲酸苯基酯、五氯苯酚、六氯酚、汞、铅、砷、镉、菌落总数、霉菌和酵母菌总数、耐热大肠菌群、金黄色葡萄球菌、铜绿假单胞菌、二噁烷、三氯卡班、三氯生、苯酚、氢醌（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53685315">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《化妆品安全技术规范》2015年版</w:t>
            </w:r>
          </w:p>
          <w:p w14:paraId="3A84B3C8">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GB/T 30929《化妆品中禁用物质2,4,6-三氯苯酚、五氯苯酚和硫氯酚的测定 高效液相色谱法》</w:t>
            </w:r>
          </w:p>
          <w:p w14:paraId="6740727E">
            <w:pPr>
              <w:keepNext w:val="0"/>
              <w:keepLines w:val="0"/>
              <w:widowControl/>
              <w:suppressLineNumbers w:val="0"/>
              <w:jc w:val="left"/>
              <w:textAlignment w:val="top"/>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GB/T 29673《化妆品中六氯酚的测定 高效液相色谱法》</w:t>
            </w:r>
          </w:p>
          <w:p w14:paraId="04FB4B9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rPr>
              <w:t>SN/T 1786《进出口化妆品中三氯生和三氯卡班的测定 液相色谱法》</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2A49C6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6A925A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E49589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EF9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AFFC0A">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000C1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牙膏</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EFE0D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成人、儿童牙膏</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7DCE77AC">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铅、砷、菌落总数、霉菌和酵母菌总数、耐热大肠菌群、金黄色葡萄球菌、铜绿假单胞菌、pH值、游离氟、总氟、汞、镉、二噁烷（仅标准适用产品）</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1FFCBB8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8372-2017《牙膏》</w:t>
            </w:r>
          </w:p>
          <w:p w14:paraId="44C43F5B">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《化妆品安全技术规范》2015年版</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D3FF69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86B0B9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EE9649C">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BB4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14:paraId="6463D58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动植物产品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6A0C2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蜂蜜</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9B993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蜂蜜、麦卢卡蜂蜜</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301BBFD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蜂蜜(Honey)δ13CH、碳-4植物糖含量、蛋白质(Protein) δ13CP、果糖和葡萄糖、蔗糖、氯霉素、呋喃他酮代谢物、呋喃妥因代谢物、呋喃西林代谢物、呋喃唑酮代谢物、洛硝哒唑、甲硝唑、地美硝唑、山梨酸及其钾盐(以山梨酸计)、嗜渗酵母菌计数,霉菌计数,菌落总数</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26B60A4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2760 食品安全国家标准 食品添加剂使用标准</w:t>
            </w:r>
          </w:p>
          <w:p w14:paraId="4A3C437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5009.8 食品安全国家标准 食品中果糖、葡萄糖、蔗糖、麦芽糖、乳糖的测定</w:t>
            </w:r>
          </w:p>
          <w:p w14:paraId="3A8C463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5009.28 食品安全国家标准 食品中苯甲酸、山梨酸和糖精钠的测定</w:t>
            </w:r>
          </w:p>
          <w:p w14:paraId="7DE9AD9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14963 食品安全国家标准 蜂蜜</w:t>
            </w:r>
          </w:p>
          <w:p w14:paraId="0336B4B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18932.19 蜂蜜中氯霉素残留量的测定方法 液相色谱-串联质谱法</w:t>
            </w:r>
          </w:p>
          <w:p w14:paraId="56DD3F5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18932.24 蜂蜜中呋喃它酮、呋喃西林、呋喃妥因和呋喃唑酮代谢物残留量的测定</w:t>
            </w:r>
          </w:p>
          <w:p w14:paraId="0F1BA80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方法 液相色谱-串联质谱法</w:t>
            </w:r>
          </w:p>
          <w:p w14:paraId="67E8857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23410 蜂蜜中硝基咪唑类药物及其代谢物残留量的测定 液相色谱-质谱/质谱法</w:t>
            </w:r>
          </w:p>
          <w:p w14:paraId="4E5F17F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31650 食品安全国家标准 食品中兽药最大残留限量</w:t>
            </w:r>
          </w:p>
          <w:p w14:paraId="4209847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农业农村部公告 第 250 号 食品动物中禁止使用的药品及其他化合物清单</w:t>
            </w:r>
          </w:p>
          <w:p w14:paraId="4260A44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农业部公告 第 235 号 动物性食品中兽药最高残留限量</w:t>
            </w:r>
          </w:p>
          <w:p w14:paraId="0EC758D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产品明示标准和质量要求</w:t>
            </w:r>
          </w:p>
          <w:p w14:paraId="1777E1A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bidi="ar"/>
              </w:rPr>
              <w:t>相关的法律法规、部门规章和规定</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55AC2F3">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B1CDBE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529E81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3241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99CD4">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A0B867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燕窝及其制品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18FA8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即食燕窝、燕盏</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410DE69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总砷、铅、总汞、亚硝酸盐、二氧化硫、蛋白质、唾液酸、DNA成分</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8AB353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5009.5</w:t>
            </w:r>
            <w:r>
              <w:rPr>
                <w:rFonts w:hint="eastAsia" w:ascii="仿宋" w:hAnsi="仿宋" w:eastAsia="仿宋" w:cs="仿宋"/>
                <w:i w:val="0"/>
                <w:iCs w:val="0"/>
                <w:color w:val="auto"/>
                <w:sz w:val="21"/>
                <w:szCs w:val="21"/>
                <w:highlight w:val="none"/>
                <w:lang w:val="en-US" w:eastAsia="zh-CN"/>
              </w:rPr>
              <w:t>食品安全国家标准 食品中蛋白质的测定</w:t>
            </w:r>
          </w:p>
          <w:p w14:paraId="3521B18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5009.11</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食品中总砷及无机砷的测定</w:t>
            </w:r>
          </w:p>
          <w:p w14:paraId="0D72E6D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5009.12</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食品中铅的测定</w:t>
            </w:r>
          </w:p>
          <w:p w14:paraId="13954B55">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5009.17</w:t>
            </w:r>
            <w:r>
              <w:rPr>
                <w:rFonts w:hint="eastAsia" w:ascii="仿宋" w:hAnsi="仿宋" w:eastAsia="仿宋" w:cs="仿宋"/>
                <w:i w:val="0"/>
                <w:iCs w:val="0"/>
                <w:color w:val="auto"/>
                <w:sz w:val="21"/>
                <w:szCs w:val="21"/>
                <w:highlight w:val="none"/>
                <w:lang w:val="en-US" w:eastAsia="zh-CN"/>
              </w:rPr>
              <w:t xml:space="preserve"> 食品安全国家标准 食品中总汞及有机汞的测定</w:t>
            </w:r>
          </w:p>
          <w:p w14:paraId="033698F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5009.33</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食品中亚硝酸盐与硝酸盐的测定</w:t>
            </w:r>
          </w:p>
          <w:p w14:paraId="4785753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GB 5009.34</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食品中二氧化硫的测定</w:t>
            </w:r>
          </w:p>
          <w:p w14:paraId="3D49CBC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GB/T 30636</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燕窝及其制品中唾液酸的测定 液相色谱法</w:t>
            </w:r>
          </w:p>
          <w:p w14:paraId="348173F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rPr>
              <w:t>GB 28050</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食品安全国家标准 预包装食品营养标签通则</w:t>
            </w:r>
          </w:p>
          <w:p w14:paraId="73B5334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SN/T 3033</w:t>
            </w:r>
            <w:r>
              <w:rPr>
                <w:rFonts w:hint="eastAsia" w:ascii="仿宋" w:hAnsi="仿宋" w:eastAsia="仿宋" w:cs="仿宋"/>
                <w:i w:val="0"/>
                <w:iCs w:val="0"/>
                <w:color w:val="auto"/>
                <w:sz w:val="21"/>
                <w:szCs w:val="21"/>
                <w:highlight w:val="none"/>
                <w:lang w:val="en-US" w:eastAsia="zh-CN"/>
              </w:rPr>
              <w:t xml:space="preserve"> </w:t>
            </w:r>
            <w:r>
              <w:rPr>
                <w:rFonts w:hint="eastAsia" w:ascii="仿宋" w:hAnsi="仿宋" w:eastAsia="仿宋" w:cs="仿宋"/>
                <w:i w:val="0"/>
                <w:iCs w:val="0"/>
                <w:color w:val="auto"/>
                <w:sz w:val="21"/>
                <w:szCs w:val="21"/>
                <w:highlight w:val="none"/>
              </w:rPr>
              <w:t>出口燕窝的分子生物学真伪鉴别方法 实时荧光PCR法和双向电泳法</w:t>
            </w:r>
          </w:p>
          <w:p w14:paraId="1A66DCA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i w:val="0"/>
                <w:iCs w:val="0"/>
                <w:color w:val="auto"/>
                <w:sz w:val="21"/>
                <w:szCs w:val="21"/>
                <w:highlight w:val="none"/>
              </w:rPr>
            </w:pPr>
            <w:r>
              <w:rPr>
                <w:rFonts w:hint="eastAsia" w:ascii="仿宋" w:hAnsi="仿宋" w:eastAsia="仿宋" w:cs="仿宋"/>
                <w:i w:val="0"/>
                <w:iCs w:val="0"/>
                <w:color w:val="auto"/>
                <w:sz w:val="21"/>
                <w:szCs w:val="21"/>
                <w:highlight w:val="none"/>
              </w:rPr>
              <w:t>产品明示标准和质量要求</w:t>
            </w:r>
          </w:p>
          <w:p w14:paraId="120E6A24">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rPr>
              <w:t>相关的法律法规、部门规章和</w:t>
            </w:r>
            <w:r>
              <w:rPr>
                <w:rFonts w:hint="eastAsia" w:ascii="仿宋" w:hAnsi="仿宋" w:eastAsia="仿宋" w:cs="仿宋"/>
                <w:i w:val="0"/>
                <w:iCs w:val="0"/>
                <w:color w:val="auto"/>
                <w:sz w:val="21"/>
                <w:szCs w:val="21"/>
                <w:highlight w:val="none"/>
                <w:lang w:eastAsia="zh-CN"/>
              </w:rPr>
              <w:t>规定</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9667A10">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D9BE754">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5F74E2A">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539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20E70">
            <w:pPr>
              <w:jc w:val="center"/>
              <w:rPr>
                <w:rFonts w:hint="eastAsia" w:ascii="仿宋" w:hAnsi="仿宋" w:eastAsia="仿宋" w:cs="仿宋"/>
                <w:i w:val="0"/>
                <w:iCs w:val="0"/>
                <w:color w:val="000000"/>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1B7691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宠物饲料</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2E0DF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猫粮狗粮</w:t>
            </w:r>
          </w:p>
        </w:tc>
        <w:tc>
          <w:tcPr>
            <w:tcW w:w="959" w:type="pct"/>
            <w:tcBorders>
              <w:top w:val="single" w:color="000000" w:sz="4" w:space="0"/>
              <w:left w:val="single" w:color="000000" w:sz="4" w:space="0"/>
              <w:bottom w:val="single" w:color="000000" w:sz="4" w:space="0"/>
              <w:right w:val="single" w:color="000000" w:sz="4" w:space="0"/>
            </w:tcBorders>
            <w:noWrap w:val="0"/>
            <w:vAlign w:val="center"/>
          </w:tcPr>
          <w:p w14:paraId="6262494B">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黄曲霉毒素 B1、赭曲霉素 A、玉米赤霉烯酮、脱氧雪腐镰刀菌烯醇（呕吐毒素）、T-2毒素、沙门氏菌、肠杆菌科、H5亚型禽流感病毒、H7亚型禽流感病毒、H9亚型禽流感病毒、非洲猪瘟病毒、猪圆环病毒2型、口蹄疫病毒、猪瘟病毒、小反刍兽疫病毒、转基因成分、动物源性成分</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63B1EB5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17480-2008 饲料中黄曲霉毒素B1的测定酶联免疫吸附法</w:t>
            </w:r>
          </w:p>
          <w:p w14:paraId="60C61ED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19539-2004 饲料中赭曲霉毒素A的测定</w:t>
            </w:r>
          </w:p>
          <w:p w14:paraId="14DC809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19540-2004 饲料中玉米赤霉烯酮的测定</w:t>
            </w:r>
          </w:p>
          <w:p w14:paraId="4F52F1B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5009.111-2016 食品中脱氧雪腐镰刀菌烯醇及其乙酰化衍生物的测定</w:t>
            </w:r>
          </w:p>
          <w:p w14:paraId="06AAC85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5026-2017饲料中T-2毒素的测定</w:t>
            </w:r>
          </w:p>
          <w:p w14:paraId="35587FD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13091-2018饲料中沙门氏菌的测定</w:t>
            </w:r>
          </w:p>
          <w:p w14:paraId="7BE897C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 4789.41-2016 食品安全国家标准 食品微生物学检验 肠杆菌科检验</w:t>
            </w:r>
          </w:p>
          <w:p w14:paraId="6934C9C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19438.2-2004 H5亚型禽流感病毒荧光RT-PCR 检测方法</w:t>
            </w:r>
          </w:p>
          <w:p w14:paraId="7ACD04F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19438.3-2004 H7亚型禽流感病毒荧光RT-PCR 检测方法</w:t>
            </w:r>
          </w:p>
          <w:p w14:paraId="194BB9A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19438.4-2004 H9亚型禽流感病毒荧光RT-PCR检测方法</w:t>
            </w:r>
          </w:p>
          <w:p w14:paraId="246AE18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1559-2010 非洲猪瘟检疫技术规范</w:t>
            </w:r>
          </w:p>
          <w:p w14:paraId="1FA6A10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SN/T 2708-2010 猪圆环病毒病检疫技术规范</w:t>
            </w:r>
          </w:p>
          <w:p w14:paraId="47E23E3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22915-2008 口蹄疫病毒荧光RT-PCR检测方法</w:t>
            </w:r>
          </w:p>
          <w:p w14:paraId="48FC954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27540-2011 猪瘟病毒实时荧光RT-PCR检测方法</w:t>
            </w:r>
          </w:p>
          <w:p w14:paraId="49655B0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GB/T 27982-2011 小反刍兽疫诊断技术</w:t>
            </w:r>
          </w:p>
          <w:p w14:paraId="28A4B76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kern w:val="0"/>
                <w:sz w:val="21"/>
                <w:szCs w:val="21"/>
                <w:highlight w:val="none"/>
                <w:lang w:bidi="ar"/>
              </w:rPr>
              <w:t>SN/T 1201-2014</w:t>
            </w:r>
            <w:r>
              <w:rPr>
                <w:rFonts w:hint="eastAsia" w:ascii="仿宋" w:hAnsi="仿宋" w:eastAsia="仿宋" w:cs="仿宋"/>
                <w:i w:val="0"/>
                <w:iCs w:val="0"/>
                <w:color w:val="auto"/>
                <w:kern w:val="0"/>
                <w:sz w:val="21"/>
                <w:szCs w:val="21"/>
                <w:highlight w:val="none"/>
                <w:lang w:val="en-US" w:eastAsia="zh-CN" w:bidi="ar"/>
              </w:rPr>
              <w:t xml:space="preserve"> 饲料中转基因植物成份PCR检测方法</w:t>
            </w:r>
          </w:p>
          <w:p w14:paraId="015177B5">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lang w:bidi="ar"/>
              </w:rPr>
            </w:pPr>
            <w:r>
              <w:rPr>
                <w:rFonts w:hint="eastAsia" w:ascii="仿宋" w:hAnsi="仿宋" w:eastAsia="仿宋" w:cs="仿宋"/>
                <w:i w:val="0"/>
                <w:iCs w:val="0"/>
                <w:color w:val="auto"/>
                <w:kern w:val="0"/>
                <w:sz w:val="21"/>
                <w:szCs w:val="21"/>
                <w:highlight w:val="none"/>
                <w:lang w:bidi="ar"/>
              </w:rPr>
              <w:t xml:space="preserve">SN/T 3496-2013动物源性饲料中转基因成分实时荧光PCR检测方法 </w:t>
            </w:r>
          </w:p>
          <w:p w14:paraId="2A5D3E1A">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2051-2008食品、化妆品和饲料中牛羊猪源性成分检测方法 实时PCR法（牛、羊、猪）</w:t>
            </w:r>
          </w:p>
          <w:p w14:paraId="1A3493E3">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2727-2010 饲料中禽源性成分检测方法 实时荧光PCR方法（鸡、鸭、鹅、鹌鹑）</w:t>
            </w:r>
          </w:p>
          <w:p w14:paraId="099BE779">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3731.4-2013食品及饲料中常见禽类品种的鉴定方法 第4部分:火鸡成分检测 实时荧光PCR法</w:t>
            </w:r>
          </w:p>
          <w:p w14:paraId="442F8673">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3730.5-2013食品及饲料中常见畜类品种的鉴定方法 第5部分:马成分检测 实时荧光PCR法</w:t>
            </w:r>
          </w:p>
          <w:p w14:paraId="090331AF">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SN/T 3730.4-2013食品及饲料中常见畜类品种的鉴定方法 第4部分:驴成分检测 实时荧光PCR法 </w:t>
            </w:r>
          </w:p>
          <w:p w14:paraId="3CDB9F79">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SN/T 4397-2015出口食品中牦牛源性成分的检测方法 实时荧光PCR法 </w:t>
            </w:r>
          </w:p>
          <w:p w14:paraId="5B375164">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3730.7-2013食品及饲料中常见畜类品种的鉴定方法 第7部分:水牛成分检测 实时荧光PCR法</w:t>
            </w:r>
          </w:p>
          <w:p w14:paraId="631CCFED">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1961.14-2013出口食品过敏原成分检测 第14部分：实时荧光PCR方法检测鱼成分</w:t>
            </w:r>
          </w:p>
          <w:p w14:paraId="428BF4B9">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3589.3-2013出口食品中常见鱼类及其制品的鉴伪方法 第3部分：鲑鱼成分检测 实时荧光PCR法</w:t>
            </w:r>
          </w:p>
          <w:p w14:paraId="022A51E6">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3589.7-2013出口食品中常见鱼类及其制品的鉴伪方法 第7部分：鳕鱼成分检测 实时荧光PCR法</w:t>
            </w:r>
          </w:p>
          <w:p w14:paraId="723E7BE2">
            <w:pPr>
              <w:widowControl/>
              <w:snapToGrid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SN/T 3589.6-2013出口食品中常见鱼类及其制品的鉴伪方法 第6部分：金枪鱼成分检测 实时荧光PCR法</w:t>
            </w:r>
          </w:p>
          <w:p w14:paraId="7F71095B">
            <w:pPr>
              <w:pStyle w:val="11"/>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lang w:bidi="ar"/>
              </w:rPr>
              <w:t>GB/T 38164-2019常见畜禽动物源性成分检测方法实时荧光PCR法（黄牛、牦牛、水牛、骆驼、梅花鹿、马鹿、驯鹿、山羊、绵羊、猪、狗、鸽子、火鸡、狐狸、貉、鸡、鼠、鸭、鹅、鹌鹑、兔、水貂、猫）</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4FCA23F">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20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76C3E3F">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85F526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24F5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0257C8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退货再销售商品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7F7B88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根据实际退货产品确定类别</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B3137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食品、化妆品等产品</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103F732">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377BF9CF">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根据产品实际类别参照附表1检验标准进行检测</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440362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50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F9A121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C1D25B0">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350F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46E80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闲置商品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6D7DAE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闲置商品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B2AFA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箱包、服饰、鞋类、珠宝首饰</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1296A1A">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箱包、服饰、鞋类、珠宝首饰等鉴定</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1B83932">
            <w:pPr>
              <w:keepNext w:val="0"/>
              <w:keepLines w:val="0"/>
              <w:widowControl/>
              <w:suppressLineNumbers w:val="0"/>
              <w:jc w:val="left"/>
              <w:textAlignment w:val="top"/>
              <w:rPr>
                <w:rFonts w:hint="eastAsia" w:ascii="仿宋" w:hAnsi="仿宋" w:eastAsia="仿宋" w:cs="仿宋"/>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C80055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1202F5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6039BD9">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00F7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FA9E43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生物医药特殊物品</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14:paraId="49E3A8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生物医药特殊物品</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45050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血液等</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3400D35">
            <w:pPr>
              <w:keepNext w:val="0"/>
              <w:keepLines w:val="0"/>
              <w:widowControl/>
              <w:suppressLineNumbers w:val="0"/>
              <w:jc w:val="left"/>
              <w:textAlignment w:val="top"/>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48996F0A">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全国艾滋病检测技术规范 2020版，第二章,4.2.1筛查试验</w:t>
            </w:r>
          </w:p>
          <w:p w14:paraId="2F2B0512">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lang w:val="en-US" w:eastAsia="zh-CN" w:bidi="ar"/>
              </w:rPr>
              <w:t>《全国临床检验操作规程》第四版（2015年）</w:t>
            </w:r>
          </w:p>
          <w:p w14:paraId="03ED65FB">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lang w:val="en-US" w:eastAsia="zh-CN" w:bidi="ar"/>
              </w:rPr>
              <w:t>《新冠肺炎实验室检测技术指南》</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39C57A7">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656190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562CA6A">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2A09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 w:type="pct"/>
            <w:tcBorders>
              <w:top w:val="single" w:color="000000" w:sz="4" w:space="0"/>
              <w:left w:val="single" w:color="000000" w:sz="4" w:space="0"/>
              <w:bottom w:val="single" w:color="000000" w:sz="4" w:space="0"/>
              <w:right w:val="single" w:color="000000" w:sz="4" w:space="0"/>
            </w:tcBorders>
            <w:noWrap/>
            <w:vAlign w:val="center"/>
          </w:tcPr>
          <w:p w14:paraId="4A6700F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合计使用经费情况</w:t>
            </w: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0156E069">
            <w:pPr>
              <w:jc w:val="center"/>
              <w:rPr>
                <w:rFonts w:hint="eastAsia" w:ascii="仿宋" w:hAnsi="仿宋" w:eastAsia="仿宋" w:cs="仿宋"/>
                <w:i w:val="0"/>
                <w:iCs w:val="0"/>
                <w:color w:val="000000"/>
                <w:sz w:val="21"/>
                <w:szCs w:val="21"/>
                <w:highlight w:val="none"/>
                <w:u w:val="none"/>
              </w:rPr>
            </w:pP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281E595">
            <w:pPr>
              <w:jc w:val="center"/>
              <w:rPr>
                <w:rFonts w:hint="eastAsia" w:ascii="仿宋" w:hAnsi="仿宋" w:eastAsia="仿宋" w:cs="仿宋"/>
                <w:i w:val="0"/>
                <w:iCs w:val="0"/>
                <w:color w:val="000000"/>
                <w:sz w:val="21"/>
                <w:szCs w:val="21"/>
                <w:highlight w:val="none"/>
                <w:u w:val="none"/>
              </w:rPr>
            </w:pP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86EAA66">
            <w:pPr>
              <w:jc w:val="left"/>
              <w:rPr>
                <w:rFonts w:hint="eastAsia" w:ascii="仿宋" w:hAnsi="仿宋" w:eastAsia="仿宋" w:cs="仿宋"/>
                <w:b/>
                <w:bCs/>
                <w:i w:val="0"/>
                <w:iCs w:val="0"/>
                <w:color w:val="000000"/>
                <w:sz w:val="21"/>
                <w:szCs w:val="21"/>
                <w:highlight w:val="none"/>
                <w:u w:val="none"/>
              </w:rPr>
            </w:pPr>
          </w:p>
        </w:tc>
        <w:tc>
          <w:tcPr>
            <w:tcW w:w="2205" w:type="pct"/>
            <w:tcBorders>
              <w:top w:val="single" w:color="000000" w:sz="4" w:space="0"/>
              <w:left w:val="single" w:color="000000" w:sz="4" w:space="0"/>
              <w:bottom w:val="single" w:color="000000" w:sz="4" w:space="0"/>
              <w:right w:val="single" w:color="000000" w:sz="4" w:space="0"/>
            </w:tcBorders>
            <w:noWrap/>
            <w:vAlign w:val="center"/>
          </w:tcPr>
          <w:p w14:paraId="1429BA22">
            <w:pPr>
              <w:jc w:val="left"/>
              <w:rPr>
                <w:rFonts w:hint="eastAsia" w:ascii="仿宋" w:hAnsi="仿宋" w:eastAsia="仿宋" w:cs="仿宋"/>
                <w:b/>
                <w:bCs/>
                <w:i w:val="0"/>
                <w:iCs w:val="0"/>
                <w:color w:val="000000"/>
                <w:sz w:val="21"/>
                <w:szCs w:val="21"/>
                <w:highlight w:val="none"/>
                <w:u w:val="none"/>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429BBE8">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410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7F1218E">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8D0FAAA">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r w14:paraId="40E5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4733" w:type="pct"/>
            <w:gridSpan w:val="7"/>
            <w:tcBorders>
              <w:top w:val="single" w:color="000000" w:sz="4" w:space="0"/>
              <w:left w:val="single" w:color="000000" w:sz="4" w:space="0"/>
              <w:bottom w:val="single" w:color="000000" w:sz="4" w:space="0"/>
              <w:right w:val="single" w:color="000000" w:sz="4" w:space="0"/>
            </w:tcBorders>
            <w:noWrap/>
            <w:vAlign w:val="center"/>
          </w:tcPr>
          <w:p w14:paraId="16A9E38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合计</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9B7D098">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p>
        </w:tc>
      </w:tr>
    </w:tbl>
    <w:p w14:paraId="00FB766B">
      <w:pPr>
        <w:rPr>
          <w:rFonts w:hint="eastAsia" w:ascii="仿宋" w:hAnsi="仿宋" w:eastAsia="仿宋" w:cs="仿宋"/>
          <w:highlight w:val="none"/>
        </w:rPr>
      </w:pPr>
    </w:p>
    <w:p w14:paraId="00023FA0">
      <w:pPr>
        <w:spacing w:line="360" w:lineRule="auto"/>
        <w:rPr>
          <w:rFonts w:hint="eastAsia" w:ascii="仿宋" w:hAnsi="仿宋" w:eastAsia="仿宋" w:cs="仿宋"/>
          <w:highlight w:val="none"/>
        </w:rPr>
      </w:pPr>
      <w:r>
        <w:rPr>
          <w:rFonts w:hint="eastAsia" w:ascii="仿宋" w:hAnsi="仿宋" w:eastAsia="仿宋" w:cs="仿宋"/>
          <w:highlight w:val="none"/>
        </w:rPr>
        <w:t>注：1. 投标人根据实际情况可在表中报价明细的基础上进行扩展。形式不限，内容自拟。</w:t>
      </w:r>
    </w:p>
    <w:p w14:paraId="07A8B8F4">
      <w:pPr>
        <w:spacing w:line="360" w:lineRule="auto"/>
        <w:rPr>
          <w:rFonts w:hint="eastAsia" w:ascii="仿宋" w:hAnsi="仿宋" w:eastAsia="仿宋" w:cs="仿宋"/>
          <w:highlight w:val="none"/>
        </w:rPr>
      </w:pPr>
      <w:r>
        <w:rPr>
          <w:rFonts w:hint="eastAsia" w:ascii="仿宋" w:hAnsi="仿宋" w:eastAsia="仿宋" w:cs="仿宋"/>
          <w:highlight w:val="none"/>
        </w:rPr>
        <w:t>2、上表所述“</w:t>
      </w:r>
      <w:r>
        <w:rPr>
          <w:rFonts w:hint="eastAsia" w:ascii="仿宋" w:hAnsi="仿宋" w:eastAsia="仿宋" w:cs="仿宋"/>
          <w:highlight w:val="none"/>
          <w:lang w:val="en-US" w:eastAsia="zh-CN"/>
        </w:rPr>
        <w:t>合计</w:t>
      </w:r>
      <w:r>
        <w:rPr>
          <w:rFonts w:hint="eastAsia" w:ascii="仿宋" w:hAnsi="仿宋" w:eastAsia="仿宋" w:cs="仿宋"/>
          <w:highlight w:val="none"/>
        </w:rPr>
        <w:t>”</w:t>
      </w:r>
      <w:r>
        <w:rPr>
          <w:rFonts w:hint="eastAsia" w:ascii="仿宋" w:hAnsi="仿宋" w:eastAsia="仿宋" w:cs="仿宋"/>
          <w:highlight w:val="none"/>
          <w:lang w:val="en-US" w:eastAsia="zh-CN"/>
        </w:rPr>
        <w:t>价格</w:t>
      </w:r>
      <w:r>
        <w:rPr>
          <w:rFonts w:hint="eastAsia" w:ascii="仿宋" w:hAnsi="仿宋" w:eastAsia="仿宋" w:cs="仿宋"/>
          <w:highlight w:val="none"/>
        </w:rPr>
        <w:t>应与“开标一览表”中的报价一致，如有矛盾，以“开标一览表”中的为准。</w:t>
      </w:r>
    </w:p>
    <w:p w14:paraId="4C84C910">
      <w:pPr>
        <w:spacing w:line="360" w:lineRule="auto"/>
        <w:rPr>
          <w:rFonts w:hint="eastAsia" w:ascii="仿宋" w:hAnsi="仿宋" w:eastAsia="仿宋" w:cs="仿宋"/>
          <w:highlight w:val="none"/>
        </w:rPr>
      </w:pPr>
      <w:r>
        <w:rPr>
          <w:rFonts w:hint="eastAsia" w:ascii="仿宋" w:hAnsi="仿宋" w:eastAsia="仿宋" w:cs="仿宋"/>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4520486C">
      <w:pPr>
        <w:adjustRightInd w:val="0"/>
        <w:spacing w:line="360" w:lineRule="auto"/>
        <w:ind w:firstLine="4515" w:firstLineChars="2150"/>
        <w:rPr>
          <w:rFonts w:hint="eastAsia" w:ascii="仿宋" w:hAnsi="仿宋" w:eastAsia="仿宋" w:cs="仿宋"/>
          <w:szCs w:val="21"/>
          <w:highlight w:val="none"/>
        </w:rPr>
      </w:pPr>
    </w:p>
    <w:p w14:paraId="0C9A0C20">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26E43985">
      <w:pPr>
        <w:snapToGrid w:val="0"/>
        <w:spacing w:line="360" w:lineRule="auto"/>
        <w:ind w:firstLine="576"/>
        <w:jc w:val="left"/>
        <w:rPr>
          <w:rFonts w:hint="eastAsia" w:ascii="仿宋" w:hAnsi="仿宋" w:eastAsia="仿宋" w:cs="仿宋"/>
          <w:kern w:val="0"/>
          <w:sz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highlight w:val="none"/>
          <w:lang w:val="zh-CN"/>
        </w:rPr>
        <w:t>日期：    年   月   日</w:t>
      </w:r>
    </w:p>
    <w:p w14:paraId="0B557BB7">
      <w:pP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如为中小企业的，可填写中小企业声明函。</w:t>
      </w:r>
      <w:r>
        <w:rPr>
          <w:rFonts w:hint="eastAsia" w:ascii="仿宋" w:hAnsi="仿宋" w:eastAsia="仿宋" w:cs="仿宋"/>
          <w:kern w:val="0"/>
          <w:sz w:val="24"/>
          <w:highlight w:val="none"/>
        </w:rPr>
        <w:t>中小企业声明函示范格式如下：</w:t>
      </w:r>
    </w:p>
    <w:p w14:paraId="4D844EAB">
      <w:pPr>
        <w:adjustRightInd w:val="0"/>
        <w:snapToGrid w:val="0"/>
        <w:spacing w:line="360" w:lineRule="auto"/>
        <w:jc w:val="center"/>
        <w:rPr>
          <w:rFonts w:hint="eastAsia" w:ascii="仿宋" w:hAnsi="仿宋" w:eastAsia="仿宋" w:cs="仿宋"/>
          <w:b/>
          <w:sz w:val="32"/>
          <w:szCs w:val="32"/>
          <w:highlight w:val="none"/>
        </w:rPr>
      </w:pPr>
    </w:p>
    <w:p w14:paraId="0220922E">
      <w:pPr>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23A81D6D">
      <w:pPr>
        <w:adjustRightInd w:val="0"/>
        <w:snapToGrid w:val="0"/>
        <w:spacing w:line="360" w:lineRule="auto"/>
        <w:rPr>
          <w:rFonts w:hint="eastAsia" w:ascii="仿宋" w:hAnsi="仿宋" w:eastAsia="仿宋" w:cs="仿宋"/>
          <w:highlight w:val="none"/>
        </w:rPr>
      </w:pPr>
    </w:p>
    <w:p w14:paraId="0CD67BE0">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w:t>
      </w:r>
      <w:r>
        <w:rPr>
          <w:rFonts w:hint="eastAsia" w:ascii="仿宋" w:hAnsi="仿宋" w:eastAsia="仿宋" w:cs="仿宋"/>
          <w:sz w:val="24"/>
          <w:highlight w:val="none"/>
        </w:rPr>
        <w:t>﹝</w:t>
      </w:r>
      <w:r>
        <w:rPr>
          <w:rFonts w:hint="eastAsia" w:ascii="仿宋" w:hAnsi="仿宋" w:eastAsia="仿宋" w:cs="仿宋"/>
          <w:sz w:val="24"/>
          <w:highlight w:val="none"/>
        </w:rPr>
        <w:t>2020</w:t>
      </w:r>
      <w:r>
        <w:rPr>
          <w:rFonts w:hint="eastAsia" w:ascii="仿宋" w:hAnsi="仿宋" w:eastAsia="仿宋" w:cs="仿宋"/>
          <w:sz w:val="24"/>
          <w:highlight w:val="none"/>
        </w:rPr>
        <w:t>﹞</w:t>
      </w:r>
      <w:r>
        <w:rPr>
          <w:rFonts w:hint="eastAsia" w:ascii="仿宋" w:hAnsi="仿宋" w:eastAsia="仿宋" w:cs="仿宋"/>
          <w:sz w:val="24"/>
          <w:highlight w:val="none"/>
        </w:rPr>
        <w:t>46 号）的规定，本公司（联合体）参加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杭州综合保税区管理办公室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跨境零售进口商品质量安全风险监测服务项目</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7ABD2CDA">
      <w:pPr>
        <w:numPr>
          <w:ilvl w:val="0"/>
          <w:numId w:val="11"/>
        </w:num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跨境零售进口商品质量安全风险监测服务项目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其他未列明行业 </w:t>
      </w:r>
      <w:r>
        <w:rPr>
          <w:rFonts w:hint="eastAsia" w:ascii="仿宋" w:hAnsi="仿宋" w:eastAsia="仿宋" w:cs="仿宋"/>
          <w:sz w:val="24"/>
          <w:highlight w:val="none"/>
        </w:rPr>
        <w:t>；承接企业为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（填写中型企业或小型企业或微型企业的一种） </w:t>
      </w:r>
    </w:p>
    <w:p w14:paraId="2A6BE3CA">
      <w:pPr>
        <w:adjustRightInd w:val="0"/>
        <w:snapToGrid w:val="0"/>
        <w:spacing w:line="360" w:lineRule="auto"/>
        <w:ind w:firstLine="480" w:firstLineChars="200"/>
        <w:jc w:val="left"/>
        <w:rPr>
          <w:rFonts w:hint="eastAsia" w:ascii="仿宋" w:hAnsi="仿宋" w:eastAsia="仿宋" w:cs="仿宋"/>
          <w:sz w:val="24"/>
          <w:highlight w:val="none"/>
        </w:rPr>
      </w:pPr>
    </w:p>
    <w:p w14:paraId="2829F4A6">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35DE9A8A">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1DEFAF8">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78A74AC3">
      <w:pPr>
        <w:adjustRightInd w:val="0"/>
        <w:snapToGrid w:val="0"/>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3249DBF4">
      <w:pPr>
        <w:keepNext/>
        <w:keepLines/>
        <w:adjustRightInd w:val="0"/>
        <w:snapToGrid w:val="0"/>
        <w:spacing w:line="360" w:lineRule="auto"/>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日 期：</w:t>
      </w:r>
    </w:p>
    <w:p w14:paraId="01C8F659">
      <w:pPr>
        <w:keepNext/>
        <w:keepLines/>
        <w:adjustRightInd w:val="0"/>
        <w:spacing w:line="416" w:lineRule="auto"/>
        <w:rPr>
          <w:rFonts w:hint="eastAsia" w:ascii="仿宋" w:hAnsi="仿宋" w:eastAsia="仿宋" w:cs="仿宋"/>
          <w:highlight w:val="none"/>
          <w:lang w:val="zh-CN"/>
        </w:rPr>
      </w:pPr>
    </w:p>
    <w:p w14:paraId="50C15EAE">
      <w:pPr>
        <w:keepNext/>
        <w:keepLines/>
        <w:adjustRightInd w:val="0"/>
        <w:spacing w:line="416" w:lineRule="auto"/>
        <w:rPr>
          <w:rFonts w:hint="eastAsia" w:ascii="仿宋" w:hAnsi="仿宋" w:eastAsia="仿宋" w:cs="仿宋"/>
          <w:b/>
          <w:bCs/>
          <w:color w:val="FF0000"/>
          <w:szCs w:val="21"/>
          <w:highlight w:val="none"/>
        </w:rPr>
      </w:pPr>
    </w:p>
    <w:p w14:paraId="7282712D">
      <w:pPr>
        <w:adjustRightInd w:val="0"/>
        <w:ind w:firstLine="630" w:firstLineChars="300"/>
        <w:rPr>
          <w:rFonts w:hint="eastAsia" w:ascii="仿宋" w:hAnsi="仿宋" w:eastAsia="仿宋" w:cs="仿宋"/>
          <w:szCs w:val="21"/>
          <w:highlight w:val="none"/>
        </w:rPr>
      </w:pPr>
      <w:r>
        <w:rPr>
          <w:rFonts w:hint="eastAsia" w:ascii="仿宋" w:hAnsi="仿宋" w:eastAsia="仿宋" w:cs="仿宋"/>
          <w:color w:val="000000" w:themeColor="text1"/>
          <w:szCs w:val="21"/>
          <w:highlight w:val="none"/>
          <w:lang w:val="zh-CN"/>
          <w14:textFill>
            <w14:solidFill>
              <w14:schemeClr w14:val="tx1"/>
            </w14:solidFill>
          </w14:textFill>
        </w:rPr>
        <w:t>注</w:t>
      </w:r>
      <w:r>
        <w:rPr>
          <w:rFonts w:hint="eastAsia" w:ascii="仿宋" w:hAnsi="仿宋" w:eastAsia="仿宋" w:cs="仿宋"/>
          <w:color w:val="000000" w:themeColor="text1"/>
          <w:szCs w:val="21"/>
          <w:highlight w:val="none"/>
          <w:lang w:val="zh-CN" w:eastAsia="zh-CN"/>
          <w14:textFill>
            <w14:solidFill>
              <w14:schemeClr w14:val="tx1"/>
            </w14:solidFill>
          </w14:textFill>
        </w:rPr>
        <w:t>：①</w:t>
      </w:r>
      <w:r>
        <w:rPr>
          <w:rFonts w:hint="eastAsia" w:ascii="仿宋" w:hAnsi="仿宋" w:eastAsia="仿宋"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highlight w:val="none"/>
          <w:lang w:val="zh-CN" w:eastAsia="zh-CN"/>
          <w14:textFill>
            <w14:solidFill>
              <w14:schemeClr w14:val="tx1"/>
            </w14:solidFill>
          </w14:textFill>
        </w:rPr>
        <w:t>。②</w:t>
      </w:r>
      <w:r>
        <w:rPr>
          <w:rFonts w:hint="eastAsia" w:ascii="仿宋" w:hAnsi="仿宋" w:eastAsia="仿宋"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6017CD23">
      <w:pPr>
        <w:pStyle w:val="176"/>
        <w:keepNext w:val="0"/>
        <w:pageBreakBefore w:val="0"/>
        <w:tabs>
          <w:tab w:val="clear" w:pos="720"/>
        </w:tabs>
        <w:snapToGrid w:val="0"/>
        <w:spacing w:before="120" w:after="120"/>
        <w:ind w:firstLine="643"/>
        <w:outlineLvl w:val="9"/>
        <w:rPr>
          <w:rFonts w:hint="eastAsia" w:ascii="仿宋" w:hAnsi="仿宋" w:eastAsia="仿宋" w:cs="仿宋"/>
          <w:highlight w:val="none"/>
        </w:rPr>
        <w:sectPr>
          <w:pgSz w:w="11906" w:h="16838"/>
          <w:pgMar w:top="1247" w:right="1418" w:bottom="1276" w:left="1418" w:header="851" w:footer="992" w:gutter="0"/>
          <w:cols w:space="720" w:num="1"/>
          <w:titlePg/>
          <w:docGrid w:linePitch="312" w:charSpace="0"/>
        </w:sectPr>
      </w:pPr>
    </w:p>
    <w:p w14:paraId="3AE356DF">
      <w:pPr>
        <w:rPr>
          <w:rFonts w:hint="eastAsia" w:ascii="仿宋" w:hAnsi="仿宋" w:eastAsia="仿宋" w:cs="仿宋"/>
          <w:highlight w:val="none"/>
        </w:rPr>
      </w:pPr>
    </w:p>
    <w:p w14:paraId="324B37AE">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54B924CC">
      <w:pPr>
        <w:spacing w:line="360" w:lineRule="auto"/>
        <w:jc w:val="center"/>
        <w:rPr>
          <w:rFonts w:hint="eastAsia" w:ascii="仿宋" w:hAnsi="仿宋" w:eastAsia="仿宋" w:cs="仿宋"/>
          <w:b/>
          <w:spacing w:val="6"/>
          <w:sz w:val="32"/>
          <w:szCs w:val="32"/>
          <w:highlight w:val="none"/>
        </w:rPr>
      </w:pPr>
      <w:bookmarkStart w:id="167" w:name="OLE_LINK13"/>
      <w:bookmarkStart w:id="168" w:name="OLE_LINK14"/>
      <w:r>
        <w:rPr>
          <w:rFonts w:hint="eastAsia" w:ascii="仿宋" w:hAnsi="仿宋" w:eastAsia="仿宋" w:cs="仿宋"/>
          <w:b/>
          <w:spacing w:val="6"/>
          <w:sz w:val="32"/>
          <w:szCs w:val="32"/>
          <w:highlight w:val="none"/>
        </w:rPr>
        <w:t>残疾人福利性单位声明函</w:t>
      </w:r>
    </w:p>
    <w:bookmarkEnd w:id="167"/>
    <w:bookmarkEnd w:id="168"/>
    <w:p w14:paraId="4C74E1DE">
      <w:pPr>
        <w:spacing w:line="360" w:lineRule="auto"/>
        <w:rPr>
          <w:rFonts w:hint="eastAsia" w:ascii="仿宋" w:hAnsi="仿宋" w:eastAsia="仿宋" w:cs="仿宋"/>
          <w:b/>
          <w:spacing w:val="6"/>
          <w:sz w:val="30"/>
          <w:szCs w:val="30"/>
          <w:highlight w:val="none"/>
        </w:rPr>
      </w:pPr>
    </w:p>
    <w:p w14:paraId="4FE387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CA55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6DA490B4">
      <w:pPr>
        <w:spacing w:line="360" w:lineRule="auto"/>
        <w:ind w:firstLine="480" w:firstLineChars="200"/>
        <w:rPr>
          <w:rFonts w:hint="eastAsia" w:ascii="仿宋" w:hAnsi="仿宋" w:eastAsia="仿宋" w:cs="仿宋"/>
          <w:sz w:val="24"/>
          <w:highlight w:val="none"/>
        </w:rPr>
      </w:pPr>
    </w:p>
    <w:p w14:paraId="597D9CA8">
      <w:pPr>
        <w:spacing w:line="360" w:lineRule="auto"/>
        <w:ind w:firstLine="480" w:firstLineChars="200"/>
        <w:rPr>
          <w:rFonts w:hint="eastAsia" w:ascii="仿宋" w:hAnsi="仿宋" w:eastAsia="仿宋" w:cs="仿宋"/>
          <w:sz w:val="24"/>
          <w:highlight w:val="none"/>
        </w:rPr>
      </w:pPr>
    </w:p>
    <w:p w14:paraId="2611C20D">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697C8B3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DC5A8FD">
      <w:pPr>
        <w:spacing w:line="360" w:lineRule="auto"/>
        <w:ind w:firstLine="480" w:firstLineChars="200"/>
        <w:rPr>
          <w:rFonts w:hint="eastAsia" w:ascii="仿宋" w:hAnsi="仿宋" w:eastAsia="仿宋" w:cs="仿宋"/>
          <w:sz w:val="24"/>
          <w:highlight w:val="none"/>
        </w:rPr>
      </w:pPr>
    </w:p>
    <w:p w14:paraId="584F8820">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7D8453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12F5C7E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B3ADF01">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4EF4523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039C0D1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7BF1DA0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0105636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45B7946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4CAA475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14:paraId="4764CBAD">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39D4A4B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0A23C6D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51D5916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3B60819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1131A210">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1C7AE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20FBD31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43F9982C">
      <w:pPr>
        <w:snapToGrid w:val="0"/>
        <w:spacing w:line="360" w:lineRule="auto"/>
        <w:rPr>
          <w:rFonts w:hint="eastAsia" w:ascii="仿宋" w:hAnsi="仿宋" w:eastAsia="仿宋" w:cs="仿宋"/>
          <w:sz w:val="24"/>
          <w:highlight w:val="none"/>
        </w:rPr>
      </w:pPr>
    </w:p>
    <w:p w14:paraId="1EE26C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4AA09DFC">
      <w:pPr>
        <w:snapToGrid w:val="0"/>
        <w:spacing w:line="360" w:lineRule="auto"/>
        <w:rPr>
          <w:rFonts w:hint="eastAsia" w:ascii="仿宋" w:hAnsi="仿宋" w:eastAsia="仿宋" w:cs="仿宋"/>
          <w:sz w:val="24"/>
          <w:highlight w:val="none"/>
          <w:u w:val="dotted"/>
        </w:rPr>
      </w:pPr>
    </w:p>
    <w:p w14:paraId="57B7FB5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A7339A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7979F8F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CC39B5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52E46870">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DF50E3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05A12864">
      <w:pPr>
        <w:spacing w:line="360" w:lineRule="auto"/>
        <w:jc w:val="center"/>
        <w:rPr>
          <w:rFonts w:hint="eastAsia" w:ascii="仿宋" w:hAnsi="仿宋" w:eastAsia="仿宋" w:cs="仿宋"/>
          <w:b/>
          <w:bCs/>
          <w:sz w:val="24"/>
          <w:highlight w:val="none"/>
        </w:rPr>
      </w:pPr>
    </w:p>
    <w:p w14:paraId="5B46628B">
      <w:pPr>
        <w:spacing w:line="360" w:lineRule="auto"/>
        <w:rPr>
          <w:rFonts w:hint="eastAsia" w:ascii="仿宋" w:hAnsi="仿宋" w:eastAsia="仿宋" w:cs="仿宋"/>
          <w:b/>
          <w:sz w:val="24"/>
          <w:highlight w:val="none"/>
        </w:rPr>
      </w:pPr>
    </w:p>
    <w:p w14:paraId="3F187EF7">
      <w:pPr>
        <w:spacing w:line="360" w:lineRule="auto"/>
        <w:rPr>
          <w:rFonts w:hint="eastAsia" w:ascii="仿宋" w:hAnsi="仿宋" w:eastAsia="仿宋" w:cs="仿宋"/>
          <w:b/>
          <w:sz w:val="24"/>
          <w:highlight w:val="none"/>
        </w:rPr>
      </w:pPr>
    </w:p>
    <w:p w14:paraId="5E14B512">
      <w:pPr>
        <w:spacing w:line="360" w:lineRule="auto"/>
        <w:rPr>
          <w:rFonts w:hint="eastAsia" w:ascii="仿宋" w:hAnsi="仿宋" w:eastAsia="仿宋" w:cs="仿宋"/>
          <w:b/>
          <w:sz w:val="24"/>
          <w:highlight w:val="none"/>
        </w:rPr>
      </w:pPr>
    </w:p>
    <w:p w14:paraId="670A124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0BE784C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AE17A5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F6B2E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016A1BA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7CE0048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4D94A9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29D9BF45">
      <w:pPr>
        <w:widowControl/>
        <w:spacing w:line="360" w:lineRule="auto"/>
        <w:ind w:firstLine="600" w:firstLineChars="200"/>
        <w:jc w:val="left"/>
        <w:rPr>
          <w:rFonts w:hint="eastAsia" w:ascii="仿宋" w:hAnsi="仿宋" w:eastAsia="仿宋" w:cs="仿宋"/>
          <w:sz w:val="30"/>
          <w:szCs w:val="30"/>
          <w:highlight w:val="none"/>
        </w:rPr>
      </w:pPr>
    </w:p>
    <w:p w14:paraId="6CF1EF5D">
      <w:pPr>
        <w:spacing w:line="360" w:lineRule="auto"/>
        <w:jc w:val="center"/>
        <w:rPr>
          <w:rFonts w:hint="eastAsia" w:ascii="仿宋" w:hAnsi="仿宋" w:eastAsia="仿宋" w:cs="仿宋"/>
          <w:b/>
          <w:spacing w:val="6"/>
          <w:sz w:val="32"/>
          <w:szCs w:val="32"/>
          <w:highlight w:val="none"/>
        </w:rPr>
      </w:pPr>
    </w:p>
    <w:p w14:paraId="42F3DCC0">
      <w:pPr>
        <w:spacing w:line="360" w:lineRule="auto"/>
        <w:jc w:val="center"/>
        <w:rPr>
          <w:rFonts w:hint="eastAsia" w:ascii="仿宋" w:hAnsi="仿宋" w:eastAsia="仿宋" w:cs="仿宋"/>
          <w:b/>
          <w:spacing w:val="6"/>
          <w:sz w:val="32"/>
          <w:szCs w:val="32"/>
          <w:highlight w:val="none"/>
        </w:rPr>
      </w:pPr>
    </w:p>
    <w:p w14:paraId="6AF60977">
      <w:pPr>
        <w:spacing w:line="360" w:lineRule="auto"/>
        <w:jc w:val="center"/>
        <w:rPr>
          <w:rFonts w:hint="eastAsia" w:ascii="仿宋" w:hAnsi="仿宋" w:eastAsia="仿宋" w:cs="仿宋"/>
          <w:b/>
          <w:spacing w:val="6"/>
          <w:sz w:val="32"/>
          <w:szCs w:val="32"/>
          <w:highlight w:val="none"/>
        </w:rPr>
      </w:pPr>
    </w:p>
    <w:p w14:paraId="1CECD4E9">
      <w:pPr>
        <w:spacing w:line="360" w:lineRule="auto"/>
        <w:jc w:val="center"/>
        <w:rPr>
          <w:rFonts w:hint="eastAsia" w:ascii="仿宋" w:hAnsi="仿宋" w:eastAsia="仿宋" w:cs="仿宋"/>
          <w:b/>
          <w:spacing w:val="6"/>
          <w:sz w:val="32"/>
          <w:szCs w:val="32"/>
          <w:highlight w:val="none"/>
        </w:rPr>
      </w:pPr>
    </w:p>
    <w:p w14:paraId="15CB9886">
      <w:pPr>
        <w:spacing w:line="360" w:lineRule="auto"/>
        <w:jc w:val="center"/>
        <w:rPr>
          <w:rFonts w:hint="eastAsia" w:ascii="仿宋" w:hAnsi="仿宋" w:eastAsia="仿宋" w:cs="仿宋"/>
          <w:b/>
          <w:spacing w:val="6"/>
          <w:sz w:val="32"/>
          <w:szCs w:val="32"/>
          <w:highlight w:val="none"/>
        </w:rPr>
      </w:pPr>
    </w:p>
    <w:p w14:paraId="45DEA636">
      <w:pPr>
        <w:spacing w:line="360" w:lineRule="auto"/>
        <w:jc w:val="center"/>
        <w:rPr>
          <w:rFonts w:hint="eastAsia" w:ascii="仿宋" w:hAnsi="仿宋" w:eastAsia="仿宋" w:cs="仿宋"/>
          <w:b/>
          <w:spacing w:val="6"/>
          <w:sz w:val="32"/>
          <w:szCs w:val="32"/>
          <w:highlight w:val="none"/>
        </w:rPr>
      </w:pPr>
    </w:p>
    <w:p w14:paraId="44ACECC0">
      <w:pPr>
        <w:spacing w:line="360" w:lineRule="auto"/>
        <w:jc w:val="center"/>
        <w:rPr>
          <w:rFonts w:hint="eastAsia" w:ascii="仿宋" w:hAnsi="仿宋" w:eastAsia="仿宋" w:cs="仿宋"/>
          <w:b/>
          <w:spacing w:val="6"/>
          <w:sz w:val="32"/>
          <w:szCs w:val="32"/>
          <w:highlight w:val="none"/>
        </w:rPr>
      </w:pPr>
    </w:p>
    <w:p w14:paraId="53FC687A">
      <w:pPr>
        <w:spacing w:line="360" w:lineRule="auto"/>
        <w:jc w:val="center"/>
        <w:rPr>
          <w:rFonts w:hint="eastAsia" w:ascii="仿宋" w:hAnsi="仿宋" w:eastAsia="仿宋" w:cs="仿宋"/>
          <w:b/>
          <w:spacing w:val="6"/>
          <w:sz w:val="32"/>
          <w:szCs w:val="32"/>
          <w:highlight w:val="none"/>
        </w:rPr>
      </w:pPr>
    </w:p>
    <w:p w14:paraId="4EF52464">
      <w:pPr>
        <w:spacing w:line="360" w:lineRule="auto"/>
        <w:jc w:val="center"/>
        <w:rPr>
          <w:rFonts w:hint="eastAsia" w:ascii="仿宋" w:hAnsi="仿宋" w:eastAsia="仿宋" w:cs="仿宋"/>
          <w:b/>
          <w:spacing w:val="6"/>
          <w:sz w:val="32"/>
          <w:szCs w:val="32"/>
          <w:highlight w:val="none"/>
        </w:rPr>
      </w:pPr>
    </w:p>
    <w:p w14:paraId="471D160B">
      <w:pPr>
        <w:spacing w:line="360" w:lineRule="auto"/>
        <w:jc w:val="center"/>
        <w:rPr>
          <w:rFonts w:hint="eastAsia" w:ascii="仿宋" w:hAnsi="仿宋" w:eastAsia="仿宋" w:cs="仿宋"/>
          <w:b/>
          <w:spacing w:val="6"/>
          <w:sz w:val="32"/>
          <w:szCs w:val="32"/>
          <w:highlight w:val="none"/>
        </w:rPr>
      </w:pPr>
    </w:p>
    <w:p w14:paraId="26F6C88E">
      <w:pPr>
        <w:spacing w:line="360" w:lineRule="auto"/>
        <w:jc w:val="center"/>
        <w:rPr>
          <w:rFonts w:hint="eastAsia" w:ascii="仿宋" w:hAnsi="仿宋" w:eastAsia="仿宋" w:cs="仿宋"/>
          <w:b/>
          <w:spacing w:val="6"/>
          <w:sz w:val="32"/>
          <w:szCs w:val="32"/>
          <w:highlight w:val="none"/>
        </w:rPr>
      </w:pPr>
    </w:p>
    <w:p w14:paraId="4100E586">
      <w:pPr>
        <w:spacing w:line="360" w:lineRule="auto"/>
        <w:jc w:val="center"/>
        <w:rPr>
          <w:rFonts w:hint="eastAsia" w:ascii="仿宋" w:hAnsi="仿宋" w:eastAsia="仿宋" w:cs="仿宋"/>
          <w:b/>
          <w:spacing w:val="6"/>
          <w:sz w:val="32"/>
          <w:szCs w:val="32"/>
          <w:highlight w:val="none"/>
        </w:rPr>
      </w:pPr>
    </w:p>
    <w:p w14:paraId="71943438">
      <w:pPr>
        <w:spacing w:line="360" w:lineRule="auto"/>
        <w:jc w:val="left"/>
        <w:rPr>
          <w:rFonts w:hint="eastAsia" w:ascii="仿宋" w:hAnsi="仿宋" w:eastAsia="仿宋" w:cs="仿宋"/>
          <w:b/>
          <w:spacing w:val="6"/>
          <w:sz w:val="32"/>
          <w:szCs w:val="32"/>
          <w:highlight w:val="none"/>
        </w:rPr>
      </w:pPr>
    </w:p>
    <w:p w14:paraId="0D30E679">
      <w:pPr>
        <w:spacing w:line="360" w:lineRule="auto"/>
        <w:jc w:val="left"/>
        <w:rPr>
          <w:rFonts w:hint="eastAsia" w:ascii="仿宋" w:hAnsi="仿宋" w:eastAsia="仿宋" w:cs="仿宋"/>
          <w:b/>
          <w:spacing w:val="6"/>
          <w:sz w:val="32"/>
          <w:szCs w:val="32"/>
          <w:highlight w:val="none"/>
        </w:rPr>
      </w:pPr>
    </w:p>
    <w:p w14:paraId="5D6413DA">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1A4EBF59">
      <w:pPr>
        <w:spacing w:line="360" w:lineRule="auto"/>
        <w:jc w:val="center"/>
        <w:rPr>
          <w:rFonts w:hint="eastAsia" w:ascii="仿宋" w:hAnsi="仿宋" w:eastAsia="仿宋" w:cs="仿宋"/>
          <w:b/>
          <w:sz w:val="24"/>
          <w:highlight w:val="none"/>
        </w:rPr>
      </w:pPr>
    </w:p>
    <w:p w14:paraId="07A2BB0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7F0010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C8A860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5C9269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28425CFD">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1558B994">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12DACC5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184E086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14:paraId="7012394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502BA39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30C22D8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3C8EC0E7">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78BDAFD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2ABEAD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479A4CA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50DF0A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63B1A49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466E2F0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6B43592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6FF044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66022B2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3E190D1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0F1C62B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8195A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5034889">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提出质疑，质疑事项为：</w:t>
      </w:r>
    </w:p>
    <w:p w14:paraId="60C32A4C">
      <w:pPr>
        <w:spacing w:line="360" w:lineRule="auto"/>
        <w:rPr>
          <w:rFonts w:hint="eastAsia" w:ascii="仿宋" w:hAnsi="仿宋" w:eastAsia="仿宋" w:cs="仿宋"/>
          <w:sz w:val="24"/>
          <w:highlight w:val="none"/>
          <w:u w:val="dotted"/>
        </w:rPr>
      </w:pPr>
    </w:p>
    <w:p w14:paraId="52171DE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128337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310CE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3743A3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378A96D5">
      <w:pPr>
        <w:spacing w:line="360" w:lineRule="auto"/>
        <w:rPr>
          <w:rFonts w:hint="eastAsia" w:ascii="仿宋" w:hAnsi="仿宋" w:eastAsia="仿宋" w:cs="仿宋"/>
          <w:sz w:val="24"/>
          <w:highlight w:val="none"/>
          <w:u w:val="dotted"/>
        </w:rPr>
      </w:pPr>
    </w:p>
    <w:p w14:paraId="12D1FBE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6546B630">
      <w:pPr>
        <w:spacing w:line="360" w:lineRule="auto"/>
        <w:rPr>
          <w:rFonts w:hint="eastAsia" w:ascii="仿宋" w:hAnsi="仿宋" w:eastAsia="仿宋" w:cs="仿宋"/>
          <w:sz w:val="24"/>
          <w:highlight w:val="none"/>
          <w:u w:val="dotted"/>
        </w:rPr>
      </w:pPr>
    </w:p>
    <w:p w14:paraId="311268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699111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68B6D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606201E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63776869">
      <w:pPr>
        <w:spacing w:line="360" w:lineRule="auto"/>
        <w:rPr>
          <w:rFonts w:hint="eastAsia" w:ascii="仿宋" w:hAnsi="仿宋" w:eastAsia="仿宋" w:cs="仿宋"/>
          <w:sz w:val="24"/>
          <w:highlight w:val="none"/>
          <w:u w:val="single"/>
        </w:rPr>
      </w:pPr>
    </w:p>
    <w:p w14:paraId="15F6303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1DDDB9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AA500E8">
      <w:pPr>
        <w:spacing w:line="360" w:lineRule="auto"/>
        <w:rPr>
          <w:rFonts w:hint="eastAsia" w:ascii="仿宋" w:hAnsi="仿宋" w:eastAsia="仿宋" w:cs="仿宋"/>
          <w:b/>
          <w:sz w:val="24"/>
          <w:highlight w:val="none"/>
        </w:rPr>
      </w:pPr>
    </w:p>
    <w:p w14:paraId="0FA3E79E">
      <w:pPr>
        <w:spacing w:line="360" w:lineRule="auto"/>
        <w:rPr>
          <w:rFonts w:hint="eastAsia" w:ascii="仿宋" w:hAnsi="仿宋" w:eastAsia="仿宋" w:cs="仿宋"/>
          <w:b/>
          <w:sz w:val="24"/>
          <w:highlight w:val="none"/>
        </w:rPr>
      </w:pPr>
    </w:p>
    <w:p w14:paraId="07173C6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CA9F60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2F5BB77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32CABE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C5E362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4A66590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76738AF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322DD7B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FBFAD54">
      <w:pPr>
        <w:spacing w:line="360" w:lineRule="auto"/>
        <w:rPr>
          <w:rFonts w:hint="eastAsia" w:ascii="仿宋" w:hAnsi="仿宋" w:eastAsia="仿宋" w:cs="仿宋"/>
          <w:b/>
          <w:sz w:val="24"/>
          <w:highlight w:val="none"/>
        </w:rPr>
      </w:pPr>
    </w:p>
    <w:p w14:paraId="69E6F411">
      <w:pPr>
        <w:autoSpaceDE w:val="0"/>
        <w:autoSpaceDN w:val="0"/>
        <w:jc w:val="center"/>
        <w:rPr>
          <w:rFonts w:hint="eastAsia" w:ascii="仿宋" w:hAnsi="仿宋" w:eastAsia="仿宋" w:cs="仿宋"/>
          <w:b/>
          <w:spacing w:val="6"/>
          <w:sz w:val="32"/>
          <w:szCs w:val="32"/>
          <w:highlight w:val="none"/>
        </w:rPr>
      </w:pPr>
    </w:p>
    <w:p w14:paraId="0D85B287">
      <w:pPr>
        <w:autoSpaceDE w:val="0"/>
        <w:autoSpaceDN w:val="0"/>
        <w:jc w:val="center"/>
        <w:rPr>
          <w:rFonts w:hint="eastAsia" w:ascii="仿宋" w:hAnsi="仿宋" w:eastAsia="仿宋" w:cs="仿宋"/>
          <w:b/>
          <w:spacing w:val="6"/>
          <w:sz w:val="32"/>
          <w:szCs w:val="32"/>
          <w:highlight w:val="none"/>
        </w:rPr>
      </w:pPr>
    </w:p>
    <w:p w14:paraId="26758928">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5794C046">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1B8BEB6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4C11D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7E51996D">
      <w:pPr>
        <w:spacing w:line="360" w:lineRule="auto"/>
        <w:ind w:firstLine="494"/>
        <w:rPr>
          <w:rFonts w:hint="eastAsia" w:ascii="仿宋" w:hAnsi="仿宋" w:eastAsia="仿宋" w:cs="仿宋"/>
          <w:sz w:val="24"/>
          <w:highlight w:val="none"/>
        </w:rPr>
      </w:pPr>
    </w:p>
    <w:p w14:paraId="7B7B87B5">
      <w:pPr>
        <w:spacing w:line="360" w:lineRule="auto"/>
        <w:ind w:firstLine="494"/>
        <w:rPr>
          <w:rFonts w:hint="eastAsia" w:ascii="仿宋" w:hAnsi="仿宋" w:eastAsia="仿宋" w:cs="仿宋"/>
          <w:sz w:val="24"/>
          <w:highlight w:val="none"/>
        </w:rPr>
      </w:pPr>
    </w:p>
    <w:p w14:paraId="6615D03A">
      <w:pPr>
        <w:spacing w:line="360" w:lineRule="auto"/>
        <w:ind w:firstLine="494"/>
        <w:rPr>
          <w:rFonts w:hint="eastAsia" w:ascii="仿宋" w:hAnsi="仿宋" w:eastAsia="仿宋" w:cs="仿宋"/>
          <w:sz w:val="24"/>
          <w:highlight w:val="none"/>
        </w:rPr>
      </w:pPr>
    </w:p>
    <w:p w14:paraId="49196C55">
      <w:pPr>
        <w:spacing w:line="360" w:lineRule="auto"/>
        <w:ind w:firstLine="494"/>
        <w:rPr>
          <w:rFonts w:hint="eastAsia" w:ascii="仿宋" w:hAnsi="仿宋" w:eastAsia="仿宋" w:cs="仿宋"/>
          <w:sz w:val="24"/>
          <w:highlight w:val="none"/>
        </w:rPr>
      </w:pPr>
    </w:p>
    <w:p w14:paraId="6F0CF831">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7572FFBD">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08FEC63">
      <w:pPr>
        <w:rPr>
          <w:rFonts w:hint="eastAsia" w:ascii="仿宋" w:hAnsi="仿宋" w:eastAsia="仿宋" w:cs="仿宋"/>
          <w:sz w:val="24"/>
          <w:highlight w:val="none"/>
        </w:rPr>
      </w:pPr>
      <w:r>
        <w:rPr>
          <w:rFonts w:hint="eastAsia" w:ascii="仿宋" w:hAnsi="仿宋" w:eastAsia="仿宋" w:cs="仿宋"/>
          <w:b/>
          <w:bCs/>
          <w:sz w:val="24"/>
          <w:highlight w:val="none"/>
        </w:rPr>
        <w:t>附：</w:t>
      </w:r>
    </w:p>
    <w:p w14:paraId="0735788C">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11257C62">
      <w:pPr>
        <w:autoSpaceDE w:val="0"/>
        <w:autoSpaceDN w:val="0"/>
        <w:jc w:val="center"/>
        <w:rPr>
          <w:rFonts w:hint="eastAsia" w:ascii="仿宋" w:hAnsi="仿宋" w:eastAsia="仿宋" w:cs="仿宋"/>
          <w:b/>
          <w:spacing w:val="6"/>
          <w:sz w:val="32"/>
          <w:szCs w:val="32"/>
          <w:highlight w:val="none"/>
        </w:rPr>
      </w:pPr>
    </w:p>
    <w:p w14:paraId="5778975A">
      <w:pPr>
        <w:autoSpaceDE w:val="0"/>
        <w:autoSpaceDN w:val="0"/>
        <w:jc w:val="center"/>
        <w:rPr>
          <w:rFonts w:hint="eastAsia" w:ascii="仿宋" w:hAnsi="仿宋" w:eastAsia="仿宋" w:cs="仿宋"/>
          <w:b/>
          <w:spacing w:val="6"/>
          <w:sz w:val="32"/>
          <w:szCs w:val="32"/>
          <w:highlight w:val="none"/>
        </w:rPr>
      </w:pPr>
    </w:p>
    <w:p w14:paraId="235FB88F">
      <w:pPr>
        <w:autoSpaceDE w:val="0"/>
        <w:autoSpaceDN w:val="0"/>
        <w:jc w:val="center"/>
        <w:rPr>
          <w:rFonts w:hint="eastAsia" w:ascii="仿宋" w:hAnsi="仿宋" w:eastAsia="仿宋" w:cs="仿宋"/>
          <w:b/>
          <w:spacing w:val="6"/>
          <w:sz w:val="32"/>
          <w:szCs w:val="32"/>
          <w:highlight w:val="none"/>
        </w:rPr>
      </w:pPr>
    </w:p>
    <w:p w14:paraId="02AA49FC">
      <w:pPr>
        <w:autoSpaceDE w:val="0"/>
        <w:autoSpaceDN w:val="0"/>
        <w:jc w:val="center"/>
        <w:rPr>
          <w:rFonts w:hint="eastAsia" w:ascii="仿宋" w:hAnsi="仿宋" w:eastAsia="仿宋" w:cs="仿宋"/>
          <w:b/>
          <w:spacing w:val="6"/>
          <w:sz w:val="32"/>
          <w:szCs w:val="32"/>
          <w:highlight w:val="none"/>
        </w:rPr>
      </w:pPr>
    </w:p>
    <w:p w14:paraId="3EFC332B">
      <w:pPr>
        <w:autoSpaceDE w:val="0"/>
        <w:autoSpaceDN w:val="0"/>
        <w:jc w:val="center"/>
        <w:rPr>
          <w:rFonts w:hint="eastAsia" w:ascii="仿宋" w:hAnsi="仿宋" w:eastAsia="仿宋" w:cs="仿宋"/>
          <w:b/>
          <w:spacing w:val="6"/>
          <w:sz w:val="32"/>
          <w:szCs w:val="32"/>
          <w:highlight w:val="none"/>
        </w:rPr>
      </w:pPr>
    </w:p>
    <w:p w14:paraId="0739AAA4">
      <w:pPr>
        <w:autoSpaceDE w:val="0"/>
        <w:autoSpaceDN w:val="0"/>
        <w:jc w:val="center"/>
        <w:rPr>
          <w:rFonts w:hint="eastAsia" w:ascii="仿宋" w:hAnsi="仿宋" w:eastAsia="仿宋" w:cs="仿宋"/>
          <w:b/>
          <w:spacing w:val="6"/>
          <w:sz w:val="32"/>
          <w:szCs w:val="32"/>
          <w:highlight w:val="none"/>
        </w:rPr>
      </w:pPr>
    </w:p>
    <w:p w14:paraId="624AE996">
      <w:pPr>
        <w:autoSpaceDE w:val="0"/>
        <w:autoSpaceDN w:val="0"/>
        <w:jc w:val="center"/>
        <w:rPr>
          <w:rFonts w:hint="eastAsia" w:ascii="仿宋" w:hAnsi="仿宋" w:eastAsia="仿宋" w:cs="仿宋"/>
          <w:b/>
          <w:spacing w:val="6"/>
          <w:sz w:val="32"/>
          <w:szCs w:val="32"/>
          <w:highlight w:val="none"/>
        </w:rPr>
      </w:pPr>
    </w:p>
    <w:p w14:paraId="49734A9B">
      <w:pPr>
        <w:autoSpaceDE w:val="0"/>
        <w:autoSpaceDN w:val="0"/>
        <w:jc w:val="center"/>
        <w:rPr>
          <w:rFonts w:hint="eastAsia" w:ascii="仿宋" w:hAnsi="仿宋" w:eastAsia="仿宋" w:cs="仿宋"/>
          <w:b/>
          <w:spacing w:val="6"/>
          <w:sz w:val="32"/>
          <w:szCs w:val="32"/>
          <w:highlight w:val="none"/>
        </w:rPr>
      </w:pPr>
    </w:p>
    <w:p w14:paraId="21FA8C5D">
      <w:pPr>
        <w:autoSpaceDE w:val="0"/>
        <w:autoSpaceDN w:val="0"/>
        <w:jc w:val="center"/>
        <w:rPr>
          <w:rFonts w:hint="eastAsia" w:ascii="仿宋" w:hAnsi="仿宋" w:eastAsia="仿宋" w:cs="仿宋"/>
          <w:b/>
          <w:spacing w:val="6"/>
          <w:sz w:val="32"/>
          <w:szCs w:val="32"/>
          <w:highlight w:val="none"/>
        </w:rPr>
      </w:pPr>
    </w:p>
    <w:p w14:paraId="1D089324">
      <w:pPr>
        <w:autoSpaceDE w:val="0"/>
        <w:autoSpaceDN w:val="0"/>
        <w:jc w:val="center"/>
        <w:rPr>
          <w:rFonts w:hint="eastAsia" w:ascii="仿宋" w:hAnsi="仿宋" w:eastAsia="仿宋" w:cs="仿宋"/>
          <w:b/>
          <w:spacing w:val="6"/>
          <w:sz w:val="32"/>
          <w:szCs w:val="32"/>
          <w:highlight w:val="none"/>
        </w:rPr>
      </w:pPr>
    </w:p>
    <w:p w14:paraId="1C7A4F0D">
      <w:pPr>
        <w:autoSpaceDE w:val="0"/>
        <w:autoSpaceDN w:val="0"/>
        <w:jc w:val="center"/>
        <w:rPr>
          <w:rFonts w:hint="eastAsia" w:ascii="仿宋" w:hAnsi="仿宋" w:eastAsia="仿宋" w:cs="仿宋"/>
          <w:b/>
          <w:spacing w:val="6"/>
          <w:sz w:val="32"/>
          <w:szCs w:val="32"/>
          <w:highlight w:val="none"/>
        </w:rPr>
      </w:pPr>
    </w:p>
    <w:p w14:paraId="7BC40FFC">
      <w:pPr>
        <w:autoSpaceDE w:val="0"/>
        <w:autoSpaceDN w:val="0"/>
        <w:jc w:val="center"/>
        <w:rPr>
          <w:rFonts w:hint="eastAsia" w:ascii="仿宋" w:hAnsi="仿宋" w:eastAsia="仿宋" w:cs="仿宋"/>
          <w:b/>
          <w:spacing w:val="6"/>
          <w:sz w:val="32"/>
          <w:szCs w:val="32"/>
          <w:highlight w:val="none"/>
        </w:rPr>
      </w:pPr>
    </w:p>
    <w:p w14:paraId="53C55046">
      <w:pPr>
        <w:autoSpaceDE w:val="0"/>
        <w:autoSpaceDN w:val="0"/>
        <w:jc w:val="center"/>
        <w:rPr>
          <w:rFonts w:hint="eastAsia" w:ascii="仿宋" w:hAnsi="仿宋" w:eastAsia="仿宋" w:cs="仿宋"/>
          <w:b/>
          <w:spacing w:val="6"/>
          <w:sz w:val="32"/>
          <w:szCs w:val="32"/>
          <w:highlight w:val="none"/>
        </w:rPr>
      </w:pPr>
    </w:p>
    <w:p w14:paraId="4694F50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5ED552D">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bCs/>
          <w:sz w:val="32"/>
          <w:szCs w:val="32"/>
          <w:highlight w:val="none"/>
        </w:rPr>
        <w:t>附件5：</w:t>
      </w:r>
      <w:r>
        <w:rPr>
          <w:rFonts w:hint="eastAsia" w:ascii="仿宋" w:hAnsi="仿宋" w:eastAsia="仿宋" w:cs="仿宋"/>
          <w:b/>
          <w:bCs/>
          <w:sz w:val="32"/>
          <w:szCs w:val="32"/>
          <w:highlight w:val="none"/>
          <w:lang w:val="zh-CN"/>
        </w:rPr>
        <w:t>联合协议</w:t>
      </w:r>
    </w:p>
    <w:p w14:paraId="554464B7">
      <w:pPr>
        <w:widowControl/>
        <w:spacing w:line="360" w:lineRule="auto"/>
        <w:ind w:firstLine="482" w:firstLineChars="200"/>
        <w:jc w:val="left"/>
        <w:rPr>
          <w:rFonts w:hint="eastAsia" w:ascii="仿宋" w:hAnsi="仿宋" w:eastAsia="仿宋" w:cs="仿宋"/>
          <w:b/>
          <w:sz w:val="24"/>
          <w:highlight w:val="none"/>
        </w:rPr>
      </w:pPr>
    </w:p>
    <w:p w14:paraId="7BF90B33">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710E48D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66F16E7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2F713D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授权代表根据招标文件规定及投标内容而对采购人、采购代理机构所作的任何合法承诺，包括书面澄清及响应等均对联合投标各方产生约束力。</w:t>
      </w:r>
    </w:p>
    <w:p w14:paraId="1D7478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56E04B6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70F21AD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77596F1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7E31DF7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7F5E1C45">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169" w:name="_Hlk101131882"/>
      <w:r>
        <w:rPr>
          <w:rFonts w:hint="eastAsia" w:ascii="仿宋" w:hAnsi="仿宋" w:eastAsia="仿宋" w:cs="仿宋"/>
          <w:kern w:val="0"/>
          <w:sz w:val="24"/>
          <w:highlight w:val="none"/>
          <w:u w:val="single"/>
        </w:rPr>
        <w:t>联合体成员X,……</w:t>
      </w:r>
      <w:bookmarkEnd w:id="169"/>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170"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170"/>
      <w:r>
        <w:rPr>
          <w:rFonts w:hint="eastAsia" w:ascii="仿宋" w:hAnsi="仿宋" w:eastAsia="仿宋" w:cs="仿宋"/>
          <w:b/>
          <w:kern w:val="0"/>
          <w:sz w:val="24"/>
          <w:highlight w:val="none"/>
          <w:lang w:val="zh-CN"/>
        </w:rPr>
        <w:t>）</w:t>
      </w:r>
    </w:p>
    <w:p w14:paraId="010ABDBC">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171"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171"/>
    </w:p>
    <w:p w14:paraId="3D993F6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7135516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F9EF20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2E4DC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57A4E8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183B84F">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52455DC">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941AA9E">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297E0E6A">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828AC2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15C813C5">
      <w:pPr>
        <w:autoSpaceDE w:val="0"/>
        <w:autoSpaceDN w:val="0"/>
        <w:jc w:val="center"/>
        <w:rPr>
          <w:rFonts w:hint="eastAsia" w:ascii="仿宋" w:hAnsi="仿宋" w:eastAsia="仿宋" w:cs="仿宋"/>
          <w:b/>
          <w:spacing w:val="6"/>
          <w:sz w:val="32"/>
          <w:szCs w:val="32"/>
          <w:highlight w:val="none"/>
        </w:rPr>
      </w:pPr>
    </w:p>
    <w:p w14:paraId="230A3486">
      <w:pPr>
        <w:autoSpaceDE w:val="0"/>
        <w:autoSpaceDN w:val="0"/>
        <w:jc w:val="center"/>
        <w:rPr>
          <w:rFonts w:hint="eastAsia" w:ascii="仿宋" w:hAnsi="仿宋" w:eastAsia="仿宋" w:cs="仿宋"/>
          <w:b/>
          <w:spacing w:val="6"/>
          <w:sz w:val="32"/>
          <w:szCs w:val="32"/>
          <w:highlight w:val="none"/>
        </w:rPr>
      </w:pPr>
    </w:p>
    <w:p w14:paraId="23CDC2B3">
      <w:pPr>
        <w:widowControl/>
        <w:jc w:val="left"/>
        <w:rPr>
          <w:rFonts w:hint="eastAsia" w:ascii="仿宋" w:hAnsi="仿宋" w:eastAsia="仿宋" w:cs="仿宋"/>
          <w:b/>
          <w:spacing w:val="6"/>
          <w:sz w:val="32"/>
          <w:szCs w:val="32"/>
          <w:highlight w:val="none"/>
        </w:rPr>
      </w:pPr>
    </w:p>
    <w:p w14:paraId="3161903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C2C2E20">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6C117A2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1749C576">
      <w:pPr>
        <w:tabs>
          <w:tab w:val="left" w:pos="432"/>
        </w:tabs>
        <w:rPr>
          <w:rFonts w:hint="eastAsia" w:ascii="仿宋" w:hAnsi="仿宋" w:eastAsia="仿宋" w:cs="仿宋"/>
          <w:highlight w:val="none"/>
        </w:rPr>
      </w:pPr>
    </w:p>
    <w:p w14:paraId="53E3044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20D30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4E4FC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3DA479A">
      <w:pPr>
        <w:tabs>
          <w:tab w:val="left" w:pos="432"/>
        </w:tabs>
        <w:ind w:left="664" w:leftChars="316" w:firstLine="228" w:firstLineChars="95"/>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4F512352">
      <w:pPr>
        <w:rPr>
          <w:rFonts w:hint="eastAsia" w:ascii="仿宋" w:hAnsi="仿宋" w:eastAsia="仿宋" w:cs="仿宋"/>
          <w:highlight w:val="none"/>
        </w:rPr>
      </w:pPr>
      <w:r>
        <w:rPr>
          <w:rFonts w:hint="eastAsia" w:ascii="仿宋" w:hAnsi="仿宋" w:eastAsia="仿宋" w:cs="仿宋"/>
          <w:highlight w:val="none"/>
          <w:lang w:val="zh-CN"/>
        </w:rPr>
        <w:t xml:space="preserve"> </w:t>
      </w:r>
    </w:p>
    <w:p w14:paraId="6A16B1D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35D3F8DF">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3CFA011A">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24525E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18FA53E4">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38294DB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5176B99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53449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3BE1F704">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C67CD8D">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0E75F1D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83F6F4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7A7EF1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FB484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7014BCA2">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66D1026F">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31166F51">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B27A5AE">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13F2AE1">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5856226">
      <w:pPr>
        <w:rPr>
          <w:rFonts w:hint="eastAsia" w:ascii="仿宋" w:hAnsi="仿宋" w:eastAsia="仿宋" w:cs="仿宋"/>
          <w:b/>
          <w:spacing w:val="6"/>
          <w:sz w:val="32"/>
          <w:szCs w:val="32"/>
          <w:highlight w:val="none"/>
        </w:rPr>
      </w:pPr>
    </w:p>
    <w:p w14:paraId="1C9B77CC">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9D8C2CE">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59949D96">
      <w:pPr>
        <w:spacing w:line="360" w:lineRule="auto"/>
        <w:jc w:val="center"/>
        <w:rPr>
          <w:rFonts w:hint="eastAsia" w:ascii="仿宋" w:hAnsi="仿宋" w:eastAsia="仿宋" w:cs="仿宋"/>
          <w:sz w:val="24"/>
          <w:highlight w:val="none"/>
          <w:u w:val="single"/>
        </w:rPr>
      </w:pPr>
    </w:p>
    <w:p w14:paraId="739C7654">
      <w:pPr>
        <w:rPr>
          <w:rFonts w:hint="eastAsia" w:ascii="仿宋" w:hAnsi="仿宋" w:eastAsia="仿宋" w:cs="仿宋"/>
          <w:bCs/>
          <w:sz w:val="24"/>
          <w:highlight w:val="none"/>
        </w:rPr>
      </w:pPr>
      <w:r>
        <w:rPr>
          <w:rFonts w:hint="eastAsia" w:ascii="仿宋" w:hAnsi="仿宋" w:eastAsia="仿宋" w:cs="仿宋"/>
          <w:bCs/>
          <w:sz w:val="24"/>
          <w:highlight w:val="none"/>
        </w:rPr>
        <w:t>（资格文件部分有示范格式）</w:t>
      </w:r>
    </w:p>
    <w:p w14:paraId="5005D916">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3773E541">
      <w:pPr>
        <w:spacing w:line="360" w:lineRule="auto"/>
        <w:rPr>
          <w:rFonts w:hint="eastAsia" w:ascii="仿宋" w:hAnsi="仿宋" w:eastAsia="仿宋" w:cs="仿宋"/>
          <w:highlight w:val="none"/>
        </w:rPr>
      </w:pPr>
    </w:p>
    <w:p w14:paraId="6C3A29D4">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w:t>
      </w:r>
      <w:r>
        <w:rPr>
          <w:rFonts w:hint="eastAsia" w:ascii="仿宋" w:hAnsi="仿宋" w:eastAsia="仿宋" w:cs="仿宋"/>
          <w:sz w:val="24"/>
          <w:highlight w:val="none"/>
        </w:rPr>
        <w:t>﹝</w:t>
      </w:r>
      <w:r>
        <w:rPr>
          <w:rFonts w:hint="eastAsia" w:ascii="仿宋" w:hAnsi="仿宋" w:eastAsia="仿宋" w:cs="仿宋"/>
          <w:sz w:val="24"/>
          <w:highlight w:val="none"/>
        </w:rPr>
        <w:t>2020</w:t>
      </w:r>
      <w:r>
        <w:rPr>
          <w:rFonts w:hint="eastAsia" w:ascii="仿宋" w:hAnsi="仿宋" w:eastAsia="仿宋" w:cs="仿宋"/>
          <w:sz w:val="24"/>
          <w:highlight w:val="none"/>
        </w:rPr>
        <w:t>﹞</w:t>
      </w:r>
      <w:r>
        <w:rPr>
          <w:rFonts w:hint="eastAsia" w:ascii="仿宋" w:hAnsi="仿宋" w:eastAsia="仿宋" w:cs="仿宋"/>
          <w:sz w:val="24"/>
          <w:highlight w:val="none"/>
        </w:rPr>
        <w:t xml:space="preserve">46 号）的规定，本公司（联合体）参加 </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31BF7B20">
      <w:pPr>
        <w:numPr>
          <w:ilvl w:val="0"/>
          <w:numId w:val="12"/>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61E9AC1E">
      <w:pPr>
        <w:numPr>
          <w:ilvl w:val="0"/>
          <w:numId w:val="12"/>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1A6466F4">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01E94CDE">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E92988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2724C83">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2B3FA854">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7E02695">
      <w:pPr>
        <w:spacing w:line="360" w:lineRule="auto"/>
        <w:ind w:firstLine="310" w:firstLineChars="147"/>
        <w:jc w:val="left"/>
        <w:rPr>
          <w:rFonts w:hint="eastAsia" w:ascii="仿宋" w:hAnsi="仿宋" w:eastAsia="仿宋" w:cs="仿宋"/>
          <w:b/>
          <w:szCs w:val="21"/>
          <w:highlight w:val="none"/>
        </w:rPr>
      </w:pPr>
    </w:p>
    <w:p w14:paraId="5280355B">
      <w:pPr>
        <w:spacing w:line="360" w:lineRule="auto"/>
        <w:ind w:right="420"/>
        <w:rPr>
          <w:rFonts w:hint="eastAsia" w:ascii="仿宋" w:hAnsi="仿宋" w:eastAsia="仿宋" w:cs="仿宋"/>
          <w:sz w:val="24"/>
          <w:highlight w:val="none"/>
        </w:rPr>
      </w:pPr>
    </w:p>
    <w:p w14:paraId="1A2DC85E">
      <w:pPr>
        <w:spacing w:line="360" w:lineRule="auto"/>
        <w:ind w:right="420"/>
        <w:rPr>
          <w:rFonts w:hint="eastAsia" w:ascii="仿宋" w:hAnsi="仿宋" w:eastAsia="仿宋" w:cs="仿宋"/>
          <w:highlight w:val="none"/>
        </w:rPr>
      </w:pPr>
      <w:r>
        <w:rPr>
          <w:rFonts w:hint="eastAsia" w:ascii="仿宋" w:hAnsi="仿宋" w:eastAsia="仿宋" w:cs="仿宋"/>
          <w:sz w:val="24"/>
          <w:highlight w:val="none"/>
        </w:rPr>
        <w:t xml:space="preserve">   </w:t>
      </w:r>
      <w:r>
        <w:rPr>
          <w:rFonts w:hint="eastAsia" w:ascii="仿宋" w:hAnsi="仿宋" w:eastAsia="仿宋" w:cs="仿宋"/>
          <w:color w:val="000000" w:themeColor="text1"/>
          <w:szCs w:val="21"/>
          <w:highlight w:val="none"/>
          <w:lang w:val="zh-CN"/>
          <w14:textFill>
            <w14:solidFill>
              <w14:schemeClr w14:val="tx1"/>
            </w14:solidFill>
          </w14:textFill>
        </w:rPr>
        <w:t>注</w:t>
      </w:r>
      <w:r>
        <w:rPr>
          <w:rFonts w:hint="eastAsia" w:ascii="仿宋" w:hAnsi="仿宋" w:eastAsia="仿宋" w:cs="仿宋"/>
          <w:color w:val="000000" w:themeColor="text1"/>
          <w:szCs w:val="21"/>
          <w:highlight w:val="none"/>
          <w:lang w:val="zh-CN" w:eastAsia="zh-CN"/>
          <w14:textFill>
            <w14:solidFill>
              <w14:schemeClr w14:val="tx1"/>
            </w14:solidFill>
          </w14:textFill>
        </w:rPr>
        <w:t>：①</w:t>
      </w:r>
      <w:r>
        <w:rPr>
          <w:rFonts w:hint="eastAsia" w:ascii="仿宋" w:hAnsi="仿宋" w:eastAsia="仿宋" w:cs="仿宋"/>
          <w:color w:val="000000" w:themeColor="text1"/>
          <w:szCs w:val="21"/>
          <w:highlight w:val="none"/>
          <w:lang w:val="zh-CN"/>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Cs w:val="21"/>
          <w:highlight w:val="none"/>
          <w:lang w:val="zh-CN" w:eastAsia="zh-CN"/>
          <w14:textFill>
            <w14:solidFill>
              <w14:schemeClr w14:val="tx1"/>
            </w14:solidFill>
          </w14:textFill>
        </w:rPr>
        <w:t>。②</w:t>
      </w:r>
      <w:r>
        <w:rPr>
          <w:rFonts w:hint="eastAsia" w:ascii="仿宋" w:hAnsi="仿宋" w:eastAsia="仿宋" w:cs="仿宋"/>
          <w:color w:val="000000" w:themeColor="text1"/>
          <w:szCs w:val="21"/>
          <w:highlight w:val="none"/>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1D77F34B">
      <w:pPr>
        <w:spacing w:line="360" w:lineRule="auto"/>
        <w:ind w:right="420"/>
        <w:rPr>
          <w:rFonts w:hint="eastAsia" w:ascii="仿宋" w:hAnsi="仿宋" w:eastAsia="仿宋" w:cs="仿宋"/>
          <w:highlight w:val="none"/>
        </w:rPr>
      </w:pPr>
    </w:p>
    <w:p w14:paraId="125AA260">
      <w:pPr>
        <w:pStyle w:val="186"/>
        <w:widowControl w:val="0"/>
        <w:adjustRightInd w:val="0"/>
        <w:snapToGrid w:val="0"/>
        <w:spacing w:line="360" w:lineRule="auto"/>
        <w:jc w:val="both"/>
        <w:rPr>
          <w:rFonts w:hint="eastAsia" w:ascii="仿宋" w:hAnsi="仿宋" w:eastAsia="仿宋" w:cs="仿宋"/>
          <w:b/>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5A152DFC">
      <w:pPr>
        <w:autoSpaceDE w:val="0"/>
        <w:autoSpaceDN w:val="0"/>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其他</w:t>
      </w:r>
    </w:p>
    <w:p w14:paraId="0644B8F6">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关于钱塘区政府采购支持中小企业信用融资相关事项通知</w:t>
      </w:r>
    </w:p>
    <w:p w14:paraId="2245E9DF">
      <w:pPr>
        <w:spacing w:line="360" w:lineRule="auto"/>
        <w:jc w:val="center"/>
        <w:rPr>
          <w:rFonts w:hint="eastAsia" w:ascii="仿宋" w:hAnsi="仿宋" w:eastAsia="仿宋" w:cs="仿宋"/>
          <w:b/>
          <w:sz w:val="10"/>
          <w:szCs w:val="10"/>
          <w:highlight w:val="none"/>
        </w:rPr>
      </w:pPr>
    </w:p>
    <w:p w14:paraId="4930858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14:paraId="43CAA624">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一、适用对象</w:t>
      </w:r>
    </w:p>
    <w:p w14:paraId="0BA9E5B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在浙江“政采云”平台注册入库，并取得钱塘区政府采购合同的中小企业供应商。</w:t>
      </w:r>
    </w:p>
    <w:p w14:paraId="519560FA">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二、相关信息获取方式</w:t>
      </w:r>
    </w:p>
    <w:p w14:paraId="705374D0">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请登陆杭州钱塘区管理委员会官网（http://qt.hangzhou.gov.cn） “公告公示”专栏，查看信用融资政策文件及各相关银行服务方案。</w:t>
      </w:r>
    </w:p>
    <w:p w14:paraId="5B77FDA2">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三、申请方式和步骤</w:t>
      </w:r>
    </w:p>
    <w:p w14:paraId="638D8814">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1、供应商若有融资意向，需先与钱塘区财政金融局合作的银行对接，办理相关融资前期手续；</w:t>
      </w:r>
    </w:p>
    <w:p w14:paraId="743B266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2、中标后，供应商应与采购单位或者采购代理机构及时联系，告知融资需求；</w:t>
      </w:r>
    </w:p>
    <w:p w14:paraId="5F59E40C">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3、相关合作银行联系并审核供应商及相关中标信息，办理相关融资事宜；</w:t>
      </w:r>
    </w:p>
    <w:p w14:paraId="4CDFF706">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4、采购单位或者采购代理机构在政府采购信息系统录入中标合同信息时，须标注合同为信用融资合同，并选择相应的信用融资合作银行，录入账号信息；</w:t>
      </w:r>
    </w:p>
    <w:p w14:paraId="5C16385D">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5、采购人应及时将信用融资合同提交财政金融局备案。</w:t>
      </w:r>
    </w:p>
    <w:p w14:paraId="30FFFF25">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四、注意事项</w:t>
      </w:r>
    </w:p>
    <w:p w14:paraId="5618C611">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请各采购单位和采购代理机构积极支持和配合政府采购信用融资工作，在合同备案环节务必请仔细核对收款银行、账号信息等内容，一旦录入将无法修改。</w:t>
      </w:r>
    </w:p>
    <w:p w14:paraId="25562C69">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14:paraId="40A8EC3C">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D686F4">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15C0781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6CAB230">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1BC734B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电话</w:t>
            </w:r>
          </w:p>
        </w:tc>
      </w:tr>
      <w:tr w14:paraId="1A2A924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C4554B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w:t>
            </w:r>
          </w:p>
        </w:tc>
        <w:tc>
          <w:tcPr>
            <w:tcW w:w="3020" w:type="dxa"/>
            <w:tcBorders>
              <w:top w:val="nil"/>
              <w:left w:val="nil"/>
              <w:bottom w:val="single" w:color="auto" w:sz="4" w:space="0"/>
              <w:right w:val="single" w:color="auto" w:sz="4" w:space="0"/>
            </w:tcBorders>
            <w:noWrap/>
            <w:vAlign w:val="center"/>
          </w:tcPr>
          <w:p w14:paraId="534C6BA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14:paraId="6F4E0363">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14:paraId="49A63ED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86910319，13588718187</w:t>
            </w:r>
          </w:p>
        </w:tc>
      </w:tr>
      <w:tr w14:paraId="340F46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6C003E7">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2</w:t>
            </w:r>
          </w:p>
        </w:tc>
        <w:tc>
          <w:tcPr>
            <w:tcW w:w="3020" w:type="dxa"/>
            <w:tcBorders>
              <w:top w:val="nil"/>
              <w:left w:val="nil"/>
              <w:bottom w:val="single" w:color="auto" w:sz="4" w:space="0"/>
              <w:right w:val="single" w:color="auto" w:sz="4" w:space="0"/>
            </w:tcBorders>
            <w:noWrap/>
            <w:vAlign w:val="center"/>
          </w:tcPr>
          <w:p w14:paraId="08AED52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14FB368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左</w:t>
            </w:r>
            <w:r>
              <w:rPr>
                <w:rFonts w:hint="eastAsia" w:ascii="仿宋" w:hAnsi="仿宋" w:eastAsia="仿宋" w:cs="仿宋"/>
                <w:kern w:val="0"/>
                <w:szCs w:val="21"/>
                <w:highlight w:val="none"/>
              </w:rPr>
              <w:t>劼</w:t>
            </w:r>
          </w:p>
        </w:tc>
        <w:tc>
          <w:tcPr>
            <w:tcW w:w="3220" w:type="dxa"/>
            <w:tcBorders>
              <w:top w:val="nil"/>
              <w:left w:val="nil"/>
              <w:bottom w:val="single" w:color="auto" w:sz="4" w:space="0"/>
              <w:right w:val="single" w:color="auto" w:sz="4" w:space="0"/>
            </w:tcBorders>
            <w:noWrap/>
            <w:vAlign w:val="center"/>
          </w:tcPr>
          <w:p w14:paraId="7B282D4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13777889798</w:t>
            </w:r>
          </w:p>
        </w:tc>
      </w:tr>
      <w:tr w14:paraId="19E5EBE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88535C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3</w:t>
            </w:r>
          </w:p>
        </w:tc>
        <w:tc>
          <w:tcPr>
            <w:tcW w:w="3020" w:type="dxa"/>
            <w:tcBorders>
              <w:top w:val="nil"/>
              <w:left w:val="nil"/>
              <w:bottom w:val="single" w:color="auto" w:sz="4" w:space="0"/>
              <w:right w:val="single" w:color="auto" w:sz="4" w:space="0"/>
            </w:tcBorders>
            <w:noWrap/>
            <w:vAlign w:val="center"/>
          </w:tcPr>
          <w:p w14:paraId="1130E56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191080D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46D839E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13906811832</w:t>
            </w:r>
          </w:p>
        </w:tc>
      </w:tr>
      <w:tr w14:paraId="14161E7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9215BFF">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4</w:t>
            </w:r>
          </w:p>
        </w:tc>
        <w:tc>
          <w:tcPr>
            <w:tcW w:w="3020" w:type="dxa"/>
            <w:tcBorders>
              <w:top w:val="nil"/>
              <w:left w:val="nil"/>
              <w:bottom w:val="single" w:color="auto" w:sz="4" w:space="0"/>
              <w:right w:val="single" w:color="auto" w:sz="4" w:space="0"/>
            </w:tcBorders>
            <w:noWrap/>
            <w:vAlign w:val="center"/>
          </w:tcPr>
          <w:p w14:paraId="19699E9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14:paraId="2A12D49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费莎</w:t>
            </w:r>
          </w:p>
        </w:tc>
        <w:tc>
          <w:tcPr>
            <w:tcW w:w="3220" w:type="dxa"/>
            <w:tcBorders>
              <w:top w:val="nil"/>
              <w:left w:val="nil"/>
              <w:bottom w:val="single" w:color="auto" w:sz="4" w:space="0"/>
              <w:right w:val="single" w:color="auto" w:sz="4" w:space="0"/>
            </w:tcBorders>
            <w:noWrap/>
            <w:vAlign w:val="center"/>
          </w:tcPr>
          <w:p w14:paraId="4A86C9A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13388617781</w:t>
            </w:r>
          </w:p>
        </w:tc>
      </w:tr>
      <w:tr w14:paraId="02E7647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7402AC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5</w:t>
            </w:r>
          </w:p>
        </w:tc>
        <w:tc>
          <w:tcPr>
            <w:tcW w:w="3020" w:type="dxa"/>
            <w:tcBorders>
              <w:top w:val="nil"/>
              <w:left w:val="nil"/>
              <w:bottom w:val="single" w:color="auto" w:sz="4" w:space="0"/>
              <w:right w:val="single" w:color="auto" w:sz="4" w:space="0"/>
            </w:tcBorders>
            <w:noWrap/>
            <w:vAlign w:val="center"/>
          </w:tcPr>
          <w:p w14:paraId="1435C88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3C9A102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1D3589D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13777421564</w:t>
            </w:r>
          </w:p>
        </w:tc>
      </w:tr>
      <w:tr w14:paraId="207B725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0DE6D63">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6</w:t>
            </w:r>
          </w:p>
        </w:tc>
        <w:tc>
          <w:tcPr>
            <w:tcW w:w="3020" w:type="dxa"/>
            <w:tcBorders>
              <w:top w:val="nil"/>
              <w:left w:val="nil"/>
              <w:bottom w:val="single" w:color="auto" w:sz="4" w:space="0"/>
              <w:right w:val="single" w:color="auto" w:sz="4" w:space="0"/>
            </w:tcBorders>
            <w:noWrap/>
            <w:vAlign w:val="center"/>
          </w:tcPr>
          <w:p w14:paraId="623061C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1EDF90E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高飞</w:t>
            </w:r>
          </w:p>
        </w:tc>
        <w:tc>
          <w:tcPr>
            <w:tcW w:w="3220" w:type="dxa"/>
            <w:tcBorders>
              <w:top w:val="nil"/>
              <w:left w:val="nil"/>
              <w:bottom w:val="single" w:color="auto" w:sz="4" w:space="0"/>
              <w:right w:val="single" w:color="auto" w:sz="4" w:space="0"/>
            </w:tcBorders>
            <w:noWrap/>
            <w:vAlign w:val="center"/>
          </w:tcPr>
          <w:p w14:paraId="17EC854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86722499</w:t>
            </w:r>
          </w:p>
        </w:tc>
      </w:tr>
      <w:tr w14:paraId="1610188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19B1EEA">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7</w:t>
            </w:r>
          </w:p>
        </w:tc>
        <w:tc>
          <w:tcPr>
            <w:tcW w:w="3020" w:type="dxa"/>
            <w:tcBorders>
              <w:top w:val="nil"/>
              <w:left w:val="nil"/>
              <w:bottom w:val="single" w:color="auto" w:sz="4" w:space="0"/>
              <w:right w:val="single" w:color="auto" w:sz="4" w:space="0"/>
            </w:tcBorders>
            <w:noWrap/>
            <w:vAlign w:val="center"/>
          </w:tcPr>
          <w:p w14:paraId="57E4D02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14:paraId="20DC68E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吴建恩</w:t>
            </w:r>
          </w:p>
        </w:tc>
        <w:tc>
          <w:tcPr>
            <w:tcW w:w="3220" w:type="dxa"/>
            <w:tcBorders>
              <w:top w:val="nil"/>
              <w:left w:val="nil"/>
              <w:bottom w:val="single" w:color="auto" w:sz="4" w:space="0"/>
              <w:right w:val="single" w:color="auto" w:sz="4" w:space="0"/>
            </w:tcBorders>
            <w:noWrap/>
            <w:vAlign w:val="center"/>
          </w:tcPr>
          <w:p w14:paraId="55A05D4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13646861493</w:t>
            </w:r>
          </w:p>
        </w:tc>
      </w:tr>
      <w:tr w14:paraId="7F284C66">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15F38B7B">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8</w:t>
            </w:r>
          </w:p>
        </w:tc>
        <w:tc>
          <w:tcPr>
            <w:tcW w:w="3020" w:type="dxa"/>
            <w:tcBorders>
              <w:top w:val="nil"/>
              <w:left w:val="nil"/>
              <w:bottom w:val="single" w:color="auto" w:sz="4" w:space="0"/>
              <w:right w:val="single" w:color="auto" w:sz="4" w:space="0"/>
            </w:tcBorders>
            <w:noWrap/>
            <w:vAlign w:val="center"/>
          </w:tcPr>
          <w:p w14:paraId="0FFF792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10E6ED4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490766C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13575745232</w:t>
            </w:r>
          </w:p>
        </w:tc>
      </w:tr>
      <w:tr w14:paraId="5B2135A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1ABFF162">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9</w:t>
            </w:r>
          </w:p>
        </w:tc>
        <w:tc>
          <w:tcPr>
            <w:tcW w:w="3020" w:type="dxa"/>
            <w:tcBorders>
              <w:top w:val="nil"/>
              <w:left w:val="nil"/>
              <w:bottom w:val="single" w:color="auto" w:sz="4" w:space="0"/>
              <w:right w:val="single" w:color="auto" w:sz="4" w:space="0"/>
            </w:tcBorders>
            <w:noWrap/>
            <w:vAlign w:val="center"/>
          </w:tcPr>
          <w:p w14:paraId="2AEE54F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2E689A3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46AF463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18906520030</w:t>
            </w:r>
          </w:p>
        </w:tc>
      </w:tr>
      <w:tr w14:paraId="770A3CB2">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66C61ABD">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10</w:t>
            </w:r>
          </w:p>
        </w:tc>
        <w:tc>
          <w:tcPr>
            <w:tcW w:w="3020" w:type="dxa"/>
            <w:tcBorders>
              <w:top w:val="nil"/>
              <w:left w:val="nil"/>
              <w:bottom w:val="single" w:color="auto" w:sz="4" w:space="0"/>
              <w:right w:val="single" w:color="auto" w:sz="4" w:space="0"/>
            </w:tcBorders>
            <w:noWrap/>
            <w:vAlign w:val="center"/>
          </w:tcPr>
          <w:p w14:paraId="40ECB46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14:paraId="663B3C2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施伟东</w:t>
            </w:r>
          </w:p>
        </w:tc>
        <w:tc>
          <w:tcPr>
            <w:tcW w:w="3220" w:type="dxa"/>
            <w:tcBorders>
              <w:top w:val="nil"/>
              <w:left w:val="nil"/>
              <w:bottom w:val="single" w:color="auto" w:sz="4" w:space="0"/>
              <w:right w:val="single" w:color="auto" w:sz="4" w:space="0"/>
            </w:tcBorders>
            <w:noWrap/>
            <w:vAlign w:val="center"/>
          </w:tcPr>
          <w:p w14:paraId="7E5260C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86912948,15988106601</w:t>
            </w:r>
          </w:p>
        </w:tc>
      </w:tr>
      <w:tr w14:paraId="3EC73828">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38F00237">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11</w:t>
            </w:r>
          </w:p>
        </w:tc>
        <w:tc>
          <w:tcPr>
            <w:tcW w:w="3020" w:type="dxa"/>
            <w:tcBorders>
              <w:top w:val="nil"/>
              <w:left w:val="nil"/>
              <w:bottom w:val="single" w:color="auto" w:sz="4" w:space="0"/>
              <w:right w:val="single" w:color="auto" w:sz="4" w:space="0"/>
            </w:tcBorders>
            <w:noWrap/>
            <w:vAlign w:val="center"/>
          </w:tcPr>
          <w:p w14:paraId="7B674C0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14:paraId="528E50E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朱丽丹</w:t>
            </w:r>
          </w:p>
        </w:tc>
        <w:tc>
          <w:tcPr>
            <w:tcW w:w="3220" w:type="dxa"/>
            <w:tcBorders>
              <w:top w:val="nil"/>
              <w:left w:val="nil"/>
              <w:bottom w:val="single" w:color="auto" w:sz="4" w:space="0"/>
              <w:right w:val="single" w:color="auto" w:sz="4" w:space="0"/>
            </w:tcBorders>
            <w:noWrap/>
            <w:vAlign w:val="center"/>
          </w:tcPr>
          <w:p w14:paraId="36EED39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13732249271</w:t>
            </w:r>
          </w:p>
        </w:tc>
      </w:tr>
      <w:tr w14:paraId="2BCD239E">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14:paraId="2B9A9078">
            <w:pPr>
              <w:widowControl/>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12</w:t>
            </w:r>
          </w:p>
        </w:tc>
        <w:tc>
          <w:tcPr>
            <w:tcW w:w="3020" w:type="dxa"/>
            <w:tcBorders>
              <w:top w:val="nil"/>
              <w:left w:val="nil"/>
              <w:bottom w:val="single" w:color="auto" w:sz="4" w:space="0"/>
              <w:right w:val="single" w:color="auto" w:sz="4" w:space="0"/>
            </w:tcBorders>
            <w:noWrap/>
            <w:vAlign w:val="center"/>
          </w:tcPr>
          <w:p w14:paraId="6EE7727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14:paraId="74ABE1C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张学民</w:t>
            </w:r>
          </w:p>
        </w:tc>
        <w:tc>
          <w:tcPr>
            <w:tcW w:w="3220" w:type="dxa"/>
            <w:tcBorders>
              <w:top w:val="nil"/>
              <w:left w:val="nil"/>
              <w:bottom w:val="single" w:color="auto" w:sz="4" w:space="0"/>
              <w:right w:val="single" w:color="auto" w:sz="4" w:space="0"/>
            </w:tcBorders>
            <w:noWrap/>
            <w:vAlign w:val="center"/>
          </w:tcPr>
          <w:p w14:paraId="2C3D1438">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82198699，13867197838</w:t>
            </w:r>
          </w:p>
        </w:tc>
      </w:tr>
    </w:tbl>
    <w:p w14:paraId="0D9843E3">
      <w:pPr>
        <w:pStyle w:val="186"/>
        <w:widowControl w:val="0"/>
        <w:adjustRightInd w:val="0"/>
        <w:snapToGrid w:val="0"/>
        <w:spacing w:line="360" w:lineRule="auto"/>
        <w:jc w:val="both"/>
        <w:rPr>
          <w:rFonts w:hint="eastAsia" w:ascii="仿宋" w:hAnsi="仿宋" w:eastAsia="仿宋" w:cs="仿宋"/>
          <w:b/>
          <w:sz w:val="30"/>
          <w:szCs w:val="30"/>
          <w:highlight w:val="none"/>
        </w:rPr>
        <w:sectPr>
          <w:pgSz w:w="11906" w:h="16838"/>
          <w:pgMar w:top="1247" w:right="1588" w:bottom="1089" w:left="1588" w:header="851" w:footer="992" w:gutter="0"/>
          <w:cols w:space="720" w:num="1"/>
          <w:docGrid w:linePitch="312" w:charSpace="0"/>
        </w:sectPr>
      </w:pPr>
    </w:p>
    <w:p w14:paraId="30DE14F0">
      <w:pPr>
        <w:pStyle w:val="186"/>
        <w:widowControl w:val="0"/>
        <w:snapToGrid w:val="0"/>
        <w:spacing w:line="500" w:lineRule="exact"/>
        <w:ind w:left="0" w:leftChars="0" w:firstLine="0" w:firstLineChars="0"/>
        <w:rPr>
          <w:rFonts w:hint="eastAsia" w:ascii="仿宋" w:hAnsi="仿宋" w:eastAsia="仿宋" w:cs="仿宋"/>
          <w:b/>
          <w:i w:val="0"/>
          <w:iCs w:val="0"/>
          <w:sz w:val="28"/>
          <w:szCs w:val="28"/>
          <w:highlight w:val="none"/>
        </w:rPr>
      </w:pPr>
      <w:r>
        <w:rPr>
          <w:rFonts w:hint="eastAsia" w:ascii="仿宋" w:hAnsi="仿宋" w:eastAsia="仿宋"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C51BF5E">
      <w:pPr>
        <w:pStyle w:val="186"/>
        <w:widowControl w:val="0"/>
        <w:snapToGrid w:val="0"/>
        <w:spacing w:line="500" w:lineRule="exact"/>
        <w:jc w:val="center"/>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中小企业划型标准规定</w:t>
      </w:r>
    </w:p>
    <w:p w14:paraId="5B2BF34C">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p>
    <w:p w14:paraId="13BB5C3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一、根据《中华人民共和国中小企业促进法》和《</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国务院关于进一步促进中小企业发展的若干意见</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"https://www.shui5.cn/article/47/26142.html"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国发〔2009〕36号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)，制定本规定。</w:t>
      </w:r>
    </w:p>
    <w:p w14:paraId="326260B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二、中小企业划分为中型、小型、微型三种类型，具体标准根据企业从业人员、营业收入、资产总额等指标，结合行业特点制定。</w:t>
      </w:r>
    </w:p>
    <w:p w14:paraId="41D16BAE">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6DCE88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四、各行业划型标准为：</w:t>
      </w:r>
    </w:p>
    <w:p w14:paraId="3667D2A4">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D43B76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AA6409">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B0BD7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6EF149">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3B6401">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3F6D5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EB625F">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7633636">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018872">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05D097">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E24C35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553266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40941C">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9AE8ED">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5DE49B">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7F7B51A">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五、企业类型的划分以统计部门的统计数据为依据。</w:t>
      </w:r>
    </w:p>
    <w:p w14:paraId="5CE07CF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74078B05">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1D72262">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八、本规定由工业和信息化部、国家统计局会同有关部门根据《国民经济行业分类》修订情况和企业发展变化情况适时修订。</w:t>
      </w:r>
    </w:p>
    <w:p w14:paraId="50EEE43E">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九、本规定由工业和信息化部、国家统计局会同有关部门负责解释。</w:t>
      </w:r>
    </w:p>
    <w:p w14:paraId="0A134B50">
      <w:pPr>
        <w:pStyle w:val="186"/>
        <w:keepNext w:val="0"/>
        <w:keepLines w:val="0"/>
        <w:pageBreakBefore w:val="0"/>
        <w:widowControl w:val="0"/>
        <w:kinsoku/>
        <w:wordWrap/>
        <w:overflowPunct/>
        <w:topLinePunct w:val="0"/>
        <w:autoSpaceDE/>
        <w:autoSpaceDN/>
        <w:bidi w:val="0"/>
        <w:adjustRightInd w:val="0"/>
        <w:snapToGrid w:val="0"/>
        <w:spacing w:line="360" w:lineRule="auto"/>
        <w:ind w:left="0" w:leftChars="0" w:firstLine="444" w:firstLineChars="200"/>
        <w:jc w:val="both"/>
        <w:textAlignment w:val="auto"/>
        <w:rPr>
          <w:rFonts w:hint="eastAsia" w:ascii="仿宋" w:hAnsi="仿宋" w:eastAsia="仿宋" w:cs="仿宋"/>
          <w:i w:val="0"/>
          <w:iCs w:val="0"/>
          <w:highlight w:val="none"/>
        </w:rPr>
      </w:pPr>
      <w:r>
        <w:rPr>
          <w:rFonts w:hint="eastAsia" w:ascii="仿宋" w:hAnsi="仿宋" w:eastAsia="仿宋" w:cs="仿宋"/>
          <w:i w:val="0"/>
          <w:iCs w:val="0"/>
          <w:spacing w:val="6"/>
          <w:szCs w:val="21"/>
          <w:highlight w:val="none"/>
        </w:rPr>
        <w:t>十、本规定自发布之日起执行，原国家经贸委、原国家计委、财政部和国家统计局2003年颁布的《</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中小企业标准暂行规定</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i w:val="0"/>
          <w:iCs w:val="0"/>
          <w:highlight w:val="none"/>
        </w:rPr>
        <w:fldChar w:fldCharType="begin"/>
      </w:r>
      <w:r>
        <w:rPr>
          <w:rFonts w:hint="eastAsia" w:ascii="仿宋" w:hAnsi="仿宋" w:eastAsia="仿宋" w:cs="仿宋"/>
          <w:i w:val="0"/>
          <w:iCs w:val="0"/>
          <w:highlight w:val="none"/>
        </w:rPr>
        <w:instrText xml:space="preserve"> HYPERLINK "https://www.shui5.cn/article/df/24263.html" </w:instrText>
      </w:r>
      <w:r>
        <w:rPr>
          <w:rFonts w:hint="eastAsia" w:ascii="仿宋" w:hAnsi="仿宋" w:eastAsia="仿宋" w:cs="仿宋"/>
          <w:i w:val="0"/>
          <w:iCs w:val="0"/>
          <w:highlight w:val="none"/>
        </w:rPr>
        <w:fldChar w:fldCharType="separate"/>
      </w:r>
      <w:r>
        <w:rPr>
          <w:rFonts w:hint="eastAsia" w:ascii="仿宋" w:hAnsi="仿宋" w:eastAsia="仿宋" w:cs="仿宋"/>
          <w:i w:val="0"/>
          <w:iCs w:val="0"/>
          <w:spacing w:val="6"/>
          <w:szCs w:val="21"/>
          <w:highlight w:val="none"/>
        </w:rPr>
        <w:t>国经贸中小企〔2003〕143号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同时废止。</w:t>
      </w:r>
    </w:p>
    <w:sectPr>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MicrosoftYaHei">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6A9A">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4C9C52">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7F4C9C52">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7C99">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7B9E37">
                          <w:pPr>
                            <w:pStyle w:val="29"/>
                            <w:rPr>
                              <w:rFonts w:eastAsia="宋体"/>
                            </w:rPr>
                          </w:pPr>
                          <w:r>
                            <w:fldChar w:fldCharType="begin"/>
                          </w:r>
                          <w:r>
                            <w:instrText xml:space="preserve"> PAGE  \* MERGEFORMAT </w:instrText>
                          </w:r>
                          <w:r>
                            <w:fldChar w:fldCharType="separate"/>
                          </w:r>
                          <w:r>
                            <w:t>38</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5C7B9E37">
                    <w:pPr>
                      <w:pStyle w:val="29"/>
                      <w:rPr>
                        <w:rFonts w:eastAsia="宋体"/>
                      </w:rP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BBB5">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8FC7B13">
                          <w:pPr>
                            <w:pStyle w:val="29"/>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38FC7B13">
                    <w:pPr>
                      <w:pStyle w:val="29"/>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330B8B1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40AD">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F562261">
                          <w:pPr>
                            <w:pStyle w:val="29"/>
                            <w:rPr>
                              <w:rFonts w:eastAsia="宋体"/>
                            </w:rPr>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1F562261">
                    <w:pPr>
                      <w:pStyle w:val="29"/>
                      <w:rPr>
                        <w:rFonts w:eastAsia="宋体"/>
                      </w:rPr>
                    </w:pPr>
                    <w:r>
                      <w:fldChar w:fldCharType="begin"/>
                    </w:r>
                    <w:r>
                      <w:instrText xml:space="preserve"> PAGE  \* MERGEFORMAT </w:instrText>
                    </w:r>
                    <w:r>
                      <w:fldChar w:fldCharType="separate"/>
                    </w:r>
                    <w:r>
                      <w:t>70</w:t>
                    </w:r>
                    <w:r>
                      <w:fldChar w:fldCharType="end"/>
                    </w:r>
                  </w:p>
                </w:txbxContent>
              </v:textbox>
            </v:shape>
          </w:pict>
        </mc:Fallback>
      </mc:AlternateContent>
    </w:r>
  </w:p>
  <w:p w14:paraId="47A465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42AB">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596D35">
                          <w:pPr>
                            <w:pStyle w:val="29"/>
                            <w:rPr>
                              <w:rFonts w:eastAsia="宋体"/>
                            </w:rPr>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2A596D35">
                    <w:pPr>
                      <w:pStyle w:val="29"/>
                      <w:rPr>
                        <w:rFonts w:eastAsia="宋体"/>
                      </w:rPr>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783A">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F99E">
    <w:pPr>
      <w:pStyle w:val="31"/>
      <w:pBdr>
        <w:bottom w:val="none" w:color="auto" w:sz="0" w:space="1"/>
      </w:pBdr>
    </w:pPr>
  </w:p>
  <w:p w14:paraId="5ABD6B9C">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9751">
    <w:pPr>
      <w:pStyle w:val="31"/>
      <w:pBdr>
        <w:bottom w:val="none" w:color="auto" w:sz="0" w:space="1"/>
      </w:pBdr>
      <w:jc w:val="right"/>
      <w:rPr>
        <w:rFonts w:ascii="仿宋_GB2312" w:eastAsia="仿宋_GB2312"/>
        <w:b/>
        <w:i/>
        <w:u w:val="single"/>
      </w:rPr>
    </w:pPr>
  </w:p>
  <w:p w14:paraId="5E23167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922A">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E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D6315F5"/>
    <w:multiLevelType w:val="singleLevel"/>
    <w:tmpl w:val="0D6315F5"/>
    <w:lvl w:ilvl="0" w:tentative="0">
      <w:start w:val="1"/>
      <w:numFmt w:val="decimal"/>
      <w:suff w:val="space"/>
      <w:lvlText w:val="%1."/>
      <w:lvlJc w:val="left"/>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BCB5E2A"/>
    <w:multiLevelType w:val="singleLevel"/>
    <w:tmpl w:val="6BCB5E2A"/>
    <w:lvl w:ilvl="0" w:tentative="0">
      <w:start w:val="1"/>
      <w:numFmt w:val="decimal"/>
      <w:suff w:val="space"/>
      <w:lvlText w:val="%1."/>
      <w:lvlJc w:val="left"/>
    </w:lvl>
  </w:abstractNum>
  <w:abstractNum w:abstractNumId="11">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7"/>
  </w:num>
  <w:num w:numId="4">
    <w:abstractNumId w:val="11"/>
  </w:num>
  <w:num w:numId="5">
    <w:abstractNumId w:val="0"/>
  </w:num>
  <w:num w:numId="6">
    <w:abstractNumId w:val="6"/>
  </w:num>
  <w:num w:numId="7">
    <w:abstractNumId w:val="9"/>
  </w:num>
  <w:num w:numId="8">
    <w:abstractNumId w:val="3"/>
  </w:num>
  <w:num w:numId="9">
    <w:abstractNumId w:val="4"/>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4E2"/>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2AA"/>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1128"/>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3BFE"/>
    <w:rsid w:val="00205FDC"/>
    <w:rsid w:val="00207AE5"/>
    <w:rsid w:val="00212A5F"/>
    <w:rsid w:val="00213954"/>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1B20"/>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43BC"/>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1289"/>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017A"/>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4A58"/>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4564"/>
    <w:rsid w:val="0052516E"/>
    <w:rsid w:val="00527334"/>
    <w:rsid w:val="00527F3E"/>
    <w:rsid w:val="00542801"/>
    <w:rsid w:val="0054542F"/>
    <w:rsid w:val="005465D1"/>
    <w:rsid w:val="00550C9D"/>
    <w:rsid w:val="0055186A"/>
    <w:rsid w:val="00553E42"/>
    <w:rsid w:val="00554D43"/>
    <w:rsid w:val="00556628"/>
    <w:rsid w:val="00565B42"/>
    <w:rsid w:val="00566AEF"/>
    <w:rsid w:val="005671D0"/>
    <w:rsid w:val="00572057"/>
    <w:rsid w:val="005730A2"/>
    <w:rsid w:val="00575415"/>
    <w:rsid w:val="005777CB"/>
    <w:rsid w:val="00577D97"/>
    <w:rsid w:val="00585068"/>
    <w:rsid w:val="005873D7"/>
    <w:rsid w:val="005923FB"/>
    <w:rsid w:val="00593A0C"/>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1685"/>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0BF9"/>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3D1"/>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0C17"/>
    <w:rsid w:val="00991B32"/>
    <w:rsid w:val="009937E4"/>
    <w:rsid w:val="0099473A"/>
    <w:rsid w:val="00997B4B"/>
    <w:rsid w:val="009A0651"/>
    <w:rsid w:val="009A2BF5"/>
    <w:rsid w:val="009A5E7E"/>
    <w:rsid w:val="009A5F06"/>
    <w:rsid w:val="009B2A91"/>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DA7"/>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6EA"/>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3A8D"/>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0E5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A7011"/>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397"/>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2187"/>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1D7D"/>
    <w:rsid w:val="00F6312D"/>
    <w:rsid w:val="00F64AA5"/>
    <w:rsid w:val="00F6671F"/>
    <w:rsid w:val="00F67079"/>
    <w:rsid w:val="00F723A9"/>
    <w:rsid w:val="00F7301D"/>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0B2A81"/>
    <w:rsid w:val="02205968"/>
    <w:rsid w:val="022E0EC5"/>
    <w:rsid w:val="023C6877"/>
    <w:rsid w:val="023D593B"/>
    <w:rsid w:val="023F1E59"/>
    <w:rsid w:val="024A4B3B"/>
    <w:rsid w:val="02546DDA"/>
    <w:rsid w:val="025E069A"/>
    <w:rsid w:val="02647ECA"/>
    <w:rsid w:val="02676E1B"/>
    <w:rsid w:val="02731095"/>
    <w:rsid w:val="02772BD8"/>
    <w:rsid w:val="027F4191"/>
    <w:rsid w:val="028539D0"/>
    <w:rsid w:val="02952E03"/>
    <w:rsid w:val="029F7028"/>
    <w:rsid w:val="02A77100"/>
    <w:rsid w:val="02C00B3F"/>
    <w:rsid w:val="02EF0CFB"/>
    <w:rsid w:val="02EF19D6"/>
    <w:rsid w:val="02F77757"/>
    <w:rsid w:val="02FA23A8"/>
    <w:rsid w:val="031F446C"/>
    <w:rsid w:val="032062CB"/>
    <w:rsid w:val="032F0848"/>
    <w:rsid w:val="03310592"/>
    <w:rsid w:val="033A0E9D"/>
    <w:rsid w:val="033F29FA"/>
    <w:rsid w:val="034641C3"/>
    <w:rsid w:val="03485A0F"/>
    <w:rsid w:val="0351799C"/>
    <w:rsid w:val="035B47DA"/>
    <w:rsid w:val="036D3BCF"/>
    <w:rsid w:val="036D5065"/>
    <w:rsid w:val="037557A7"/>
    <w:rsid w:val="03756445"/>
    <w:rsid w:val="0379245F"/>
    <w:rsid w:val="037E4B04"/>
    <w:rsid w:val="03851606"/>
    <w:rsid w:val="038652C6"/>
    <w:rsid w:val="03936BB9"/>
    <w:rsid w:val="03A9328A"/>
    <w:rsid w:val="03B234AE"/>
    <w:rsid w:val="03C17E5B"/>
    <w:rsid w:val="03DB2543"/>
    <w:rsid w:val="03E5647E"/>
    <w:rsid w:val="03FC0994"/>
    <w:rsid w:val="042451DA"/>
    <w:rsid w:val="04266BBA"/>
    <w:rsid w:val="04281C40"/>
    <w:rsid w:val="042E4DD9"/>
    <w:rsid w:val="04325931"/>
    <w:rsid w:val="044302E9"/>
    <w:rsid w:val="04513859"/>
    <w:rsid w:val="045F036E"/>
    <w:rsid w:val="046532AA"/>
    <w:rsid w:val="04735F53"/>
    <w:rsid w:val="04757F77"/>
    <w:rsid w:val="04813F74"/>
    <w:rsid w:val="0486555E"/>
    <w:rsid w:val="04950609"/>
    <w:rsid w:val="049B4ADB"/>
    <w:rsid w:val="04A21EFD"/>
    <w:rsid w:val="04A76479"/>
    <w:rsid w:val="04B63BFF"/>
    <w:rsid w:val="04BB391E"/>
    <w:rsid w:val="04CE1F73"/>
    <w:rsid w:val="04D32E79"/>
    <w:rsid w:val="04D57147"/>
    <w:rsid w:val="04EA35AB"/>
    <w:rsid w:val="04F11AB8"/>
    <w:rsid w:val="04F82F7C"/>
    <w:rsid w:val="04FA4853"/>
    <w:rsid w:val="04FC5702"/>
    <w:rsid w:val="04FE5BD1"/>
    <w:rsid w:val="050A784F"/>
    <w:rsid w:val="050B0CD7"/>
    <w:rsid w:val="050E113B"/>
    <w:rsid w:val="052203F1"/>
    <w:rsid w:val="052841DE"/>
    <w:rsid w:val="053179BA"/>
    <w:rsid w:val="053921E2"/>
    <w:rsid w:val="053E62FD"/>
    <w:rsid w:val="05407769"/>
    <w:rsid w:val="0549386E"/>
    <w:rsid w:val="054E5ED7"/>
    <w:rsid w:val="056151C5"/>
    <w:rsid w:val="056B4BA9"/>
    <w:rsid w:val="05757C7C"/>
    <w:rsid w:val="059557B1"/>
    <w:rsid w:val="059F0331"/>
    <w:rsid w:val="05A0616A"/>
    <w:rsid w:val="05A133AA"/>
    <w:rsid w:val="05C45420"/>
    <w:rsid w:val="05D62E8D"/>
    <w:rsid w:val="05EB7976"/>
    <w:rsid w:val="05F077D4"/>
    <w:rsid w:val="06091935"/>
    <w:rsid w:val="060D4D85"/>
    <w:rsid w:val="060F45F1"/>
    <w:rsid w:val="06136FCC"/>
    <w:rsid w:val="061834A6"/>
    <w:rsid w:val="063F1073"/>
    <w:rsid w:val="06456839"/>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736C4"/>
    <w:rsid w:val="070B300A"/>
    <w:rsid w:val="0717197A"/>
    <w:rsid w:val="07272FEF"/>
    <w:rsid w:val="072A05F0"/>
    <w:rsid w:val="07387D99"/>
    <w:rsid w:val="074618E0"/>
    <w:rsid w:val="0756170A"/>
    <w:rsid w:val="075848D7"/>
    <w:rsid w:val="07611FC2"/>
    <w:rsid w:val="07701844"/>
    <w:rsid w:val="07810992"/>
    <w:rsid w:val="078656CD"/>
    <w:rsid w:val="07881B83"/>
    <w:rsid w:val="079F1279"/>
    <w:rsid w:val="07A267CB"/>
    <w:rsid w:val="07A85F84"/>
    <w:rsid w:val="07B572E3"/>
    <w:rsid w:val="07C766EF"/>
    <w:rsid w:val="07CE3CE7"/>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8D5E8C"/>
    <w:rsid w:val="08904B46"/>
    <w:rsid w:val="089153C7"/>
    <w:rsid w:val="08936E11"/>
    <w:rsid w:val="08A344C0"/>
    <w:rsid w:val="08AD7D17"/>
    <w:rsid w:val="08B7057E"/>
    <w:rsid w:val="08BD56F0"/>
    <w:rsid w:val="08BF66FF"/>
    <w:rsid w:val="08D351BE"/>
    <w:rsid w:val="08D86664"/>
    <w:rsid w:val="08DD1D65"/>
    <w:rsid w:val="08DD2846"/>
    <w:rsid w:val="08E13796"/>
    <w:rsid w:val="08E21174"/>
    <w:rsid w:val="08E32E74"/>
    <w:rsid w:val="08F740E9"/>
    <w:rsid w:val="08F84BFB"/>
    <w:rsid w:val="09000221"/>
    <w:rsid w:val="09023E0B"/>
    <w:rsid w:val="090E5904"/>
    <w:rsid w:val="091A29D4"/>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55B4E"/>
    <w:rsid w:val="09EF6144"/>
    <w:rsid w:val="09FB16A7"/>
    <w:rsid w:val="09FD39CA"/>
    <w:rsid w:val="0A030A5B"/>
    <w:rsid w:val="0A110ED0"/>
    <w:rsid w:val="0A2A682C"/>
    <w:rsid w:val="0A2C7D49"/>
    <w:rsid w:val="0A4707FD"/>
    <w:rsid w:val="0A4D6348"/>
    <w:rsid w:val="0A690634"/>
    <w:rsid w:val="0A6E1C10"/>
    <w:rsid w:val="0A7609B0"/>
    <w:rsid w:val="0AA350C7"/>
    <w:rsid w:val="0AA867C8"/>
    <w:rsid w:val="0AB16EAD"/>
    <w:rsid w:val="0AB77E64"/>
    <w:rsid w:val="0AC92E5A"/>
    <w:rsid w:val="0AE67C59"/>
    <w:rsid w:val="0AEB64A8"/>
    <w:rsid w:val="0AED3445"/>
    <w:rsid w:val="0AEF60E1"/>
    <w:rsid w:val="0AF315E8"/>
    <w:rsid w:val="0AF344E1"/>
    <w:rsid w:val="0AFE6184"/>
    <w:rsid w:val="0B1449F6"/>
    <w:rsid w:val="0B1A1E43"/>
    <w:rsid w:val="0B2912D0"/>
    <w:rsid w:val="0B361B49"/>
    <w:rsid w:val="0B476BBC"/>
    <w:rsid w:val="0B48684A"/>
    <w:rsid w:val="0B4D48A4"/>
    <w:rsid w:val="0B507925"/>
    <w:rsid w:val="0B533B29"/>
    <w:rsid w:val="0B631A54"/>
    <w:rsid w:val="0B7E7850"/>
    <w:rsid w:val="0B823FD1"/>
    <w:rsid w:val="0B871E95"/>
    <w:rsid w:val="0B9630C2"/>
    <w:rsid w:val="0B975356"/>
    <w:rsid w:val="0B9B7B36"/>
    <w:rsid w:val="0BA7004E"/>
    <w:rsid w:val="0BA8144D"/>
    <w:rsid w:val="0BAD7ADF"/>
    <w:rsid w:val="0BB4611C"/>
    <w:rsid w:val="0BBD4675"/>
    <w:rsid w:val="0BDC640E"/>
    <w:rsid w:val="0BE0144B"/>
    <w:rsid w:val="0BE10566"/>
    <w:rsid w:val="0BEB5940"/>
    <w:rsid w:val="0BF34F39"/>
    <w:rsid w:val="0C013897"/>
    <w:rsid w:val="0C176CBC"/>
    <w:rsid w:val="0C3236E7"/>
    <w:rsid w:val="0C352A19"/>
    <w:rsid w:val="0C372ED1"/>
    <w:rsid w:val="0C494A35"/>
    <w:rsid w:val="0C49575D"/>
    <w:rsid w:val="0C545B8D"/>
    <w:rsid w:val="0C6A2581"/>
    <w:rsid w:val="0C6D71DA"/>
    <w:rsid w:val="0C6F619B"/>
    <w:rsid w:val="0C756558"/>
    <w:rsid w:val="0C7905D8"/>
    <w:rsid w:val="0C952C04"/>
    <w:rsid w:val="0C95435A"/>
    <w:rsid w:val="0C9D3858"/>
    <w:rsid w:val="0C9F748A"/>
    <w:rsid w:val="0CA87625"/>
    <w:rsid w:val="0CAD6CD5"/>
    <w:rsid w:val="0CAF4411"/>
    <w:rsid w:val="0CB02F58"/>
    <w:rsid w:val="0CB71182"/>
    <w:rsid w:val="0CC7607D"/>
    <w:rsid w:val="0CD31EEE"/>
    <w:rsid w:val="0D14741D"/>
    <w:rsid w:val="0D181D78"/>
    <w:rsid w:val="0D2546FA"/>
    <w:rsid w:val="0D2B6157"/>
    <w:rsid w:val="0D3244DD"/>
    <w:rsid w:val="0D5864B2"/>
    <w:rsid w:val="0D6A1AC0"/>
    <w:rsid w:val="0D6B0852"/>
    <w:rsid w:val="0D6D3302"/>
    <w:rsid w:val="0D7F3975"/>
    <w:rsid w:val="0D8C26CD"/>
    <w:rsid w:val="0D9A0057"/>
    <w:rsid w:val="0DA27718"/>
    <w:rsid w:val="0DB1010B"/>
    <w:rsid w:val="0DBB55AD"/>
    <w:rsid w:val="0DCF7FD6"/>
    <w:rsid w:val="0DE57D7F"/>
    <w:rsid w:val="0E096E39"/>
    <w:rsid w:val="0E1C1EC9"/>
    <w:rsid w:val="0E206931"/>
    <w:rsid w:val="0E442EAE"/>
    <w:rsid w:val="0E4C3071"/>
    <w:rsid w:val="0E60507D"/>
    <w:rsid w:val="0E971A66"/>
    <w:rsid w:val="0EA72BA6"/>
    <w:rsid w:val="0EAA475B"/>
    <w:rsid w:val="0EAC11AD"/>
    <w:rsid w:val="0EC74501"/>
    <w:rsid w:val="0EC915D0"/>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6C18F7"/>
    <w:rsid w:val="0F757FCC"/>
    <w:rsid w:val="0F7B6A00"/>
    <w:rsid w:val="0F814668"/>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4C1B16"/>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64A1C"/>
    <w:rsid w:val="122E4B3D"/>
    <w:rsid w:val="12361FE3"/>
    <w:rsid w:val="1238092A"/>
    <w:rsid w:val="12392542"/>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3828A6"/>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E95D91"/>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0F09"/>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9D25F5"/>
    <w:rsid w:val="16A1133A"/>
    <w:rsid w:val="16B001AD"/>
    <w:rsid w:val="16CD690B"/>
    <w:rsid w:val="16F5338F"/>
    <w:rsid w:val="16F83846"/>
    <w:rsid w:val="16FF7F43"/>
    <w:rsid w:val="1700661C"/>
    <w:rsid w:val="17136D2B"/>
    <w:rsid w:val="17193A6D"/>
    <w:rsid w:val="171D2783"/>
    <w:rsid w:val="171F52F1"/>
    <w:rsid w:val="172C3D13"/>
    <w:rsid w:val="175207E1"/>
    <w:rsid w:val="175A32D2"/>
    <w:rsid w:val="176424DC"/>
    <w:rsid w:val="1767731A"/>
    <w:rsid w:val="176C179B"/>
    <w:rsid w:val="176F6360"/>
    <w:rsid w:val="17790994"/>
    <w:rsid w:val="1783643C"/>
    <w:rsid w:val="178B7F80"/>
    <w:rsid w:val="178C1D45"/>
    <w:rsid w:val="17A54A43"/>
    <w:rsid w:val="17E57F7D"/>
    <w:rsid w:val="17E97420"/>
    <w:rsid w:val="17E979B2"/>
    <w:rsid w:val="17F36885"/>
    <w:rsid w:val="17F36B48"/>
    <w:rsid w:val="18004438"/>
    <w:rsid w:val="1809236A"/>
    <w:rsid w:val="180E3449"/>
    <w:rsid w:val="18105287"/>
    <w:rsid w:val="18110CF1"/>
    <w:rsid w:val="181D0DEF"/>
    <w:rsid w:val="182527C9"/>
    <w:rsid w:val="182C2AE2"/>
    <w:rsid w:val="183E5722"/>
    <w:rsid w:val="18423C4B"/>
    <w:rsid w:val="18670C19"/>
    <w:rsid w:val="187637AB"/>
    <w:rsid w:val="187D6A8B"/>
    <w:rsid w:val="18866D16"/>
    <w:rsid w:val="188B0AC6"/>
    <w:rsid w:val="18902376"/>
    <w:rsid w:val="18AB3B04"/>
    <w:rsid w:val="18AB7E54"/>
    <w:rsid w:val="18E17C22"/>
    <w:rsid w:val="18ED7DF7"/>
    <w:rsid w:val="18FC0A05"/>
    <w:rsid w:val="190A3949"/>
    <w:rsid w:val="190D3E7D"/>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74E14"/>
    <w:rsid w:val="19AB7B63"/>
    <w:rsid w:val="19AC7816"/>
    <w:rsid w:val="19C31A2B"/>
    <w:rsid w:val="19D27DA3"/>
    <w:rsid w:val="19D34CDE"/>
    <w:rsid w:val="19D4436D"/>
    <w:rsid w:val="19DC7A10"/>
    <w:rsid w:val="19E26DAC"/>
    <w:rsid w:val="19ED3CEA"/>
    <w:rsid w:val="19F02457"/>
    <w:rsid w:val="19F93831"/>
    <w:rsid w:val="1A052686"/>
    <w:rsid w:val="1A0770C2"/>
    <w:rsid w:val="1A2A5F83"/>
    <w:rsid w:val="1A343559"/>
    <w:rsid w:val="1A3437B8"/>
    <w:rsid w:val="1A3641C6"/>
    <w:rsid w:val="1A4F04C3"/>
    <w:rsid w:val="1A4F1C7C"/>
    <w:rsid w:val="1A5176FD"/>
    <w:rsid w:val="1A617DCC"/>
    <w:rsid w:val="1A6C2697"/>
    <w:rsid w:val="1A6D1B43"/>
    <w:rsid w:val="1A7E3CBC"/>
    <w:rsid w:val="1A831294"/>
    <w:rsid w:val="1A8D1997"/>
    <w:rsid w:val="1A8D3F8F"/>
    <w:rsid w:val="1A9100C3"/>
    <w:rsid w:val="1A941D72"/>
    <w:rsid w:val="1A9D75F4"/>
    <w:rsid w:val="1ABB3DE0"/>
    <w:rsid w:val="1AC62341"/>
    <w:rsid w:val="1AC6675E"/>
    <w:rsid w:val="1AD556E9"/>
    <w:rsid w:val="1AEA7E63"/>
    <w:rsid w:val="1AEE0B2F"/>
    <w:rsid w:val="1AEE1B94"/>
    <w:rsid w:val="1AFD065A"/>
    <w:rsid w:val="1B03409D"/>
    <w:rsid w:val="1B111517"/>
    <w:rsid w:val="1B152B4D"/>
    <w:rsid w:val="1B2A45D6"/>
    <w:rsid w:val="1B372915"/>
    <w:rsid w:val="1B516834"/>
    <w:rsid w:val="1B55025B"/>
    <w:rsid w:val="1B5A2E9D"/>
    <w:rsid w:val="1B980AFF"/>
    <w:rsid w:val="1B9A3B85"/>
    <w:rsid w:val="1B9E46F5"/>
    <w:rsid w:val="1BA12479"/>
    <w:rsid w:val="1BA454FB"/>
    <w:rsid w:val="1BAF5235"/>
    <w:rsid w:val="1BB3174C"/>
    <w:rsid w:val="1BBF6440"/>
    <w:rsid w:val="1BC06EA2"/>
    <w:rsid w:val="1BC21757"/>
    <w:rsid w:val="1BC34195"/>
    <w:rsid w:val="1BC34FCD"/>
    <w:rsid w:val="1BC50628"/>
    <w:rsid w:val="1BC50972"/>
    <w:rsid w:val="1BC55301"/>
    <w:rsid w:val="1BC57B47"/>
    <w:rsid w:val="1BC82618"/>
    <w:rsid w:val="1BD74EFE"/>
    <w:rsid w:val="1BDE3B4C"/>
    <w:rsid w:val="1BFC0AEA"/>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6D3780"/>
    <w:rsid w:val="1C723F66"/>
    <w:rsid w:val="1C746750"/>
    <w:rsid w:val="1C8054A9"/>
    <w:rsid w:val="1C825C78"/>
    <w:rsid w:val="1C8E121B"/>
    <w:rsid w:val="1C8F233B"/>
    <w:rsid w:val="1CA86307"/>
    <w:rsid w:val="1CBA6E7B"/>
    <w:rsid w:val="1CBE2B3D"/>
    <w:rsid w:val="1CD90366"/>
    <w:rsid w:val="1CDE1582"/>
    <w:rsid w:val="1CEE2D5A"/>
    <w:rsid w:val="1D03191B"/>
    <w:rsid w:val="1D0B7C6D"/>
    <w:rsid w:val="1D0D5C23"/>
    <w:rsid w:val="1D0F7823"/>
    <w:rsid w:val="1D1207F7"/>
    <w:rsid w:val="1D1252E8"/>
    <w:rsid w:val="1D185B98"/>
    <w:rsid w:val="1D1F3740"/>
    <w:rsid w:val="1D28001A"/>
    <w:rsid w:val="1D2E4533"/>
    <w:rsid w:val="1D361885"/>
    <w:rsid w:val="1D45790F"/>
    <w:rsid w:val="1D542175"/>
    <w:rsid w:val="1D556879"/>
    <w:rsid w:val="1D625BC2"/>
    <w:rsid w:val="1D763161"/>
    <w:rsid w:val="1D767C76"/>
    <w:rsid w:val="1D7F6A99"/>
    <w:rsid w:val="1D8E03FA"/>
    <w:rsid w:val="1D8F2F1D"/>
    <w:rsid w:val="1D944D0C"/>
    <w:rsid w:val="1D982ACF"/>
    <w:rsid w:val="1DB14064"/>
    <w:rsid w:val="1DC23D0F"/>
    <w:rsid w:val="1DD261D8"/>
    <w:rsid w:val="1DD71650"/>
    <w:rsid w:val="1DE43A17"/>
    <w:rsid w:val="1DEE1EFA"/>
    <w:rsid w:val="1E12611C"/>
    <w:rsid w:val="1E157A3A"/>
    <w:rsid w:val="1E171E3D"/>
    <w:rsid w:val="1E240A4E"/>
    <w:rsid w:val="1E3078D5"/>
    <w:rsid w:val="1E4644CC"/>
    <w:rsid w:val="1E61167C"/>
    <w:rsid w:val="1E7077F5"/>
    <w:rsid w:val="1E873F99"/>
    <w:rsid w:val="1E8B73A7"/>
    <w:rsid w:val="1E970166"/>
    <w:rsid w:val="1E9811D0"/>
    <w:rsid w:val="1EAA335B"/>
    <w:rsid w:val="1EAE6ECC"/>
    <w:rsid w:val="1EBB2DC6"/>
    <w:rsid w:val="1EBE7E01"/>
    <w:rsid w:val="1ED0548E"/>
    <w:rsid w:val="1EE77E9F"/>
    <w:rsid w:val="1F0625DD"/>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C86FB2"/>
    <w:rsid w:val="1FE039FF"/>
    <w:rsid w:val="1FEA5730"/>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F1461"/>
    <w:rsid w:val="211E07C8"/>
    <w:rsid w:val="211E47B1"/>
    <w:rsid w:val="213B0E23"/>
    <w:rsid w:val="21410A8D"/>
    <w:rsid w:val="214915A6"/>
    <w:rsid w:val="214F3C0C"/>
    <w:rsid w:val="21535276"/>
    <w:rsid w:val="21812056"/>
    <w:rsid w:val="21902632"/>
    <w:rsid w:val="219C4CA5"/>
    <w:rsid w:val="21A56EDA"/>
    <w:rsid w:val="21AF01FD"/>
    <w:rsid w:val="21B002AA"/>
    <w:rsid w:val="21B5199E"/>
    <w:rsid w:val="21BF6859"/>
    <w:rsid w:val="21C32279"/>
    <w:rsid w:val="21D867B6"/>
    <w:rsid w:val="21DB0BBB"/>
    <w:rsid w:val="21DF79B5"/>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A6657"/>
    <w:rsid w:val="231F64C9"/>
    <w:rsid w:val="23295C0A"/>
    <w:rsid w:val="232E7024"/>
    <w:rsid w:val="233A4131"/>
    <w:rsid w:val="233A4278"/>
    <w:rsid w:val="233E4A36"/>
    <w:rsid w:val="23607F20"/>
    <w:rsid w:val="23664E71"/>
    <w:rsid w:val="23846FD7"/>
    <w:rsid w:val="2386717E"/>
    <w:rsid w:val="23B25529"/>
    <w:rsid w:val="23B420F8"/>
    <w:rsid w:val="23BC0851"/>
    <w:rsid w:val="23C1595F"/>
    <w:rsid w:val="23CD6B0E"/>
    <w:rsid w:val="23ED1676"/>
    <w:rsid w:val="23FE2357"/>
    <w:rsid w:val="24624308"/>
    <w:rsid w:val="2466664F"/>
    <w:rsid w:val="246F5780"/>
    <w:rsid w:val="247C28FF"/>
    <w:rsid w:val="2499166B"/>
    <w:rsid w:val="24A905E3"/>
    <w:rsid w:val="24AA7332"/>
    <w:rsid w:val="24AC37E9"/>
    <w:rsid w:val="24AF4AB0"/>
    <w:rsid w:val="24B81E16"/>
    <w:rsid w:val="24C63A20"/>
    <w:rsid w:val="24D562C0"/>
    <w:rsid w:val="24DE0E5E"/>
    <w:rsid w:val="24FB111E"/>
    <w:rsid w:val="251878D7"/>
    <w:rsid w:val="251F3280"/>
    <w:rsid w:val="25203277"/>
    <w:rsid w:val="252C2FED"/>
    <w:rsid w:val="253E3EBC"/>
    <w:rsid w:val="25401C79"/>
    <w:rsid w:val="25404CD9"/>
    <w:rsid w:val="25416241"/>
    <w:rsid w:val="254B1650"/>
    <w:rsid w:val="2553463D"/>
    <w:rsid w:val="255B0BA0"/>
    <w:rsid w:val="2575341F"/>
    <w:rsid w:val="25763B01"/>
    <w:rsid w:val="257858B7"/>
    <w:rsid w:val="257D1B5A"/>
    <w:rsid w:val="25853324"/>
    <w:rsid w:val="25931026"/>
    <w:rsid w:val="25BC5CB5"/>
    <w:rsid w:val="25BE7846"/>
    <w:rsid w:val="25C757F6"/>
    <w:rsid w:val="25CA0C55"/>
    <w:rsid w:val="25D0543A"/>
    <w:rsid w:val="25DB00D2"/>
    <w:rsid w:val="25E70335"/>
    <w:rsid w:val="25EB0B51"/>
    <w:rsid w:val="25ED2BD0"/>
    <w:rsid w:val="25EE39A1"/>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0658E"/>
    <w:rsid w:val="2675674A"/>
    <w:rsid w:val="26843375"/>
    <w:rsid w:val="26846979"/>
    <w:rsid w:val="26851904"/>
    <w:rsid w:val="268B606C"/>
    <w:rsid w:val="269359D8"/>
    <w:rsid w:val="269F54AF"/>
    <w:rsid w:val="26A4798B"/>
    <w:rsid w:val="26B20DF7"/>
    <w:rsid w:val="26B2210E"/>
    <w:rsid w:val="26D1232B"/>
    <w:rsid w:val="26EE0FB2"/>
    <w:rsid w:val="27000709"/>
    <w:rsid w:val="273A03D9"/>
    <w:rsid w:val="27512D73"/>
    <w:rsid w:val="27515A3B"/>
    <w:rsid w:val="27540081"/>
    <w:rsid w:val="275A1503"/>
    <w:rsid w:val="275C2488"/>
    <w:rsid w:val="27707D9F"/>
    <w:rsid w:val="27710808"/>
    <w:rsid w:val="277736B5"/>
    <w:rsid w:val="2777522A"/>
    <w:rsid w:val="27A256BD"/>
    <w:rsid w:val="27A9643E"/>
    <w:rsid w:val="27AE05E7"/>
    <w:rsid w:val="27B0758A"/>
    <w:rsid w:val="27BA2806"/>
    <w:rsid w:val="27BC244A"/>
    <w:rsid w:val="27C93226"/>
    <w:rsid w:val="27E04F87"/>
    <w:rsid w:val="27E3520A"/>
    <w:rsid w:val="27F14AEF"/>
    <w:rsid w:val="27F76560"/>
    <w:rsid w:val="280C2F29"/>
    <w:rsid w:val="280E3E73"/>
    <w:rsid w:val="281A5069"/>
    <w:rsid w:val="2838132E"/>
    <w:rsid w:val="283C47A1"/>
    <w:rsid w:val="28447CD2"/>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700D8"/>
    <w:rsid w:val="28B81A59"/>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B2E83"/>
    <w:rsid w:val="293E708B"/>
    <w:rsid w:val="294D292D"/>
    <w:rsid w:val="29594737"/>
    <w:rsid w:val="295E4802"/>
    <w:rsid w:val="2967522D"/>
    <w:rsid w:val="296E63D4"/>
    <w:rsid w:val="29764B01"/>
    <w:rsid w:val="297D2E22"/>
    <w:rsid w:val="29931A80"/>
    <w:rsid w:val="299E45D3"/>
    <w:rsid w:val="299F2675"/>
    <w:rsid w:val="29A12A77"/>
    <w:rsid w:val="29A671D2"/>
    <w:rsid w:val="29AC6EB1"/>
    <w:rsid w:val="29AD6F45"/>
    <w:rsid w:val="29B444FC"/>
    <w:rsid w:val="29BD120F"/>
    <w:rsid w:val="29C769C8"/>
    <w:rsid w:val="29D74EB6"/>
    <w:rsid w:val="29E2264F"/>
    <w:rsid w:val="29E4464B"/>
    <w:rsid w:val="29F36D30"/>
    <w:rsid w:val="29F714A0"/>
    <w:rsid w:val="29F84CE2"/>
    <w:rsid w:val="2A0343F7"/>
    <w:rsid w:val="2A277F19"/>
    <w:rsid w:val="2A297DD4"/>
    <w:rsid w:val="2A4B31B4"/>
    <w:rsid w:val="2A516722"/>
    <w:rsid w:val="2A676A61"/>
    <w:rsid w:val="2A77544F"/>
    <w:rsid w:val="2A7C4B41"/>
    <w:rsid w:val="2A8C5942"/>
    <w:rsid w:val="2AA059B0"/>
    <w:rsid w:val="2AA2170A"/>
    <w:rsid w:val="2AAC3BC6"/>
    <w:rsid w:val="2AC15811"/>
    <w:rsid w:val="2ACE3624"/>
    <w:rsid w:val="2ACF5A8C"/>
    <w:rsid w:val="2AD40EF4"/>
    <w:rsid w:val="2ADF4AAE"/>
    <w:rsid w:val="2AED28A3"/>
    <w:rsid w:val="2AF51552"/>
    <w:rsid w:val="2AFE28F4"/>
    <w:rsid w:val="2B0C00B5"/>
    <w:rsid w:val="2B0F60E3"/>
    <w:rsid w:val="2B1534EE"/>
    <w:rsid w:val="2B171B79"/>
    <w:rsid w:val="2B2621F1"/>
    <w:rsid w:val="2B2E661F"/>
    <w:rsid w:val="2B3561CA"/>
    <w:rsid w:val="2B3E61BC"/>
    <w:rsid w:val="2B4A673E"/>
    <w:rsid w:val="2B646A04"/>
    <w:rsid w:val="2B833DCF"/>
    <w:rsid w:val="2B9C72A6"/>
    <w:rsid w:val="2BA867E1"/>
    <w:rsid w:val="2BAA72ED"/>
    <w:rsid w:val="2BAD5346"/>
    <w:rsid w:val="2BB03333"/>
    <w:rsid w:val="2BB32876"/>
    <w:rsid w:val="2BC10759"/>
    <w:rsid w:val="2BC67E03"/>
    <w:rsid w:val="2BCC0AF7"/>
    <w:rsid w:val="2BDA19F5"/>
    <w:rsid w:val="2BDC54EB"/>
    <w:rsid w:val="2BE9306B"/>
    <w:rsid w:val="2BF93228"/>
    <w:rsid w:val="2BFC41C0"/>
    <w:rsid w:val="2BFF6824"/>
    <w:rsid w:val="2C002162"/>
    <w:rsid w:val="2C0E1ED5"/>
    <w:rsid w:val="2C225F8B"/>
    <w:rsid w:val="2C37329E"/>
    <w:rsid w:val="2C3A254F"/>
    <w:rsid w:val="2C4D331F"/>
    <w:rsid w:val="2C710E04"/>
    <w:rsid w:val="2C7E0919"/>
    <w:rsid w:val="2C8F010A"/>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34381"/>
    <w:rsid w:val="2D7979A9"/>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D7CA4"/>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45EB9"/>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4864B8"/>
    <w:rsid w:val="30527FC5"/>
    <w:rsid w:val="3053398E"/>
    <w:rsid w:val="30542F6B"/>
    <w:rsid w:val="305B2034"/>
    <w:rsid w:val="30652C14"/>
    <w:rsid w:val="306D31AB"/>
    <w:rsid w:val="307427C9"/>
    <w:rsid w:val="309950F4"/>
    <w:rsid w:val="30AE7BC9"/>
    <w:rsid w:val="30B14C74"/>
    <w:rsid w:val="30B73992"/>
    <w:rsid w:val="30B94808"/>
    <w:rsid w:val="30BD6ACE"/>
    <w:rsid w:val="30BF415F"/>
    <w:rsid w:val="30C72B81"/>
    <w:rsid w:val="30C82D31"/>
    <w:rsid w:val="30CB5389"/>
    <w:rsid w:val="30E62F57"/>
    <w:rsid w:val="30ED06E7"/>
    <w:rsid w:val="3106371A"/>
    <w:rsid w:val="310900FE"/>
    <w:rsid w:val="310D28FD"/>
    <w:rsid w:val="310F3B05"/>
    <w:rsid w:val="31132938"/>
    <w:rsid w:val="312406A1"/>
    <w:rsid w:val="312622CD"/>
    <w:rsid w:val="31282B8E"/>
    <w:rsid w:val="312C75A1"/>
    <w:rsid w:val="313A3CC4"/>
    <w:rsid w:val="313A706C"/>
    <w:rsid w:val="31411253"/>
    <w:rsid w:val="3156310C"/>
    <w:rsid w:val="315A1862"/>
    <w:rsid w:val="316049FB"/>
    <w:rsid w:val="31680A34"/>
    <w:rsid w:val="3172154C"/>
    <w:rsid w:val="317A2589"/>
    <w:rsid w:val="3188610E"/>
    <w:rsid w:val="318A4E74"/>
    <w:rsid w:val="318D5CFE"/>
    <w:rsid w:val="319627F6"/>
    <w:rsid w:val="319F3C19"/>
    <w:rsid w:val="31C132B8"/>
    <w:rsid w:val="31C632CA"/>
    <w:rsid w:val="31D16BBF"/>
    <w:rsid w:val="31EC526E"/>
    <w:rsid w:val="31F65A58"/>
    <w:rsid w:val="320B1A06"/>
    <w:rsid w:val="3210733A"/>
    <w:rsid w:val="32263C46"/>
    <w:rsid w:val="32267886"/>
    <w:rsid w:val="322B2A37"/>
    <w:rsid w:val="322B6746"/>
    <w:rsid w:val="3237213F"/>
    <w:rsid w:val="323A36BC"/>
    <w:rsid w:val="323B186D"/>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320F8"/>
    <w:rsid w:val="330E5872"/>
    <w:rsid w:val="330E7FD6"/>
    <w:rsid w:val="33161561"/>
    <w:rsid w:val="331E7F08"/>
    <w:rsid w:val="331F6A4D"/>
    <w:rsid w:val="334603F1"/>
    <w:rsid w:val="3353338A"/>
    <w:rsid w:val="33701A05"/>
    <w:rsid w:val="33702795"/>
    <w:rsid w:val="337C00DB"/>
    <w:rsid w:val="338A5133"/>
    <w:rsid w:val="33C62D00"/>
    <w:rsid w:val="33CE4A55"/>
    <w:rsid w:val="33D90570"/>
    <w:rsid w:val="33DE50CB"/>
    <w:rsid w:val="33E123CD"/>
    <w:rsid w:val="33E23E40"/>
    <w:rsid w:val="33EC1514"/>
    <w:rsid w:val="33F71155"/>
    <w:rsid w:val="33FF0C21"/>
    <w:rsid w:val="34104BC5"/>
    <w:rsid w:val="341A06B8"/>
    <w:rsid w:val="342C7F98"/>
    <w:rsid w:val="342D0BB1"/>
    <w:rsid w:val="343A3672"/>
    <w:rsid w:val="34416C0A"/>
    <w:rsid w:val="34460B76"/>
    <w:rsid w:val="344D5388"/>
    <w:rsid w:val="346E46B7"/>
    <w:rsid w:val="3471177D"/>
    <w:rsid w:val="34726277"/>
    <w:rsid w:val="34795411"/>
    <w:rsid w:val="347B23B3"/>
    <w:rsid w:val="34821BE3"/>
    <w:rsid w:val="34832720"/>
    <w:rsid w:val="34871985"/>
    <w:rsid w:val="34915EA2"/>
    <w:rsid w:val="34940253"/>
    <w:rsid w:val="34983684"/>
    <w:rsid w:val="34A04BD9"/>
    <w:rsid w:val="34A57D6A"/>
    <w:rsid w:val="34A913BC"/>
    <w:rsid w:val="34BC2226"/>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3B51"/>
    <w:rsid w:val="35522C36"/>
    <w:rsid w:val="355B4C65"/>
    <w:rsid w:val="355D0FE5"/>
    <w:rsid w:val="356C52F9"/>
    <w:rsid w:val="35852EE6"/>
    <w:rsid w:val="35936C62"/>
    <w:rsid w:val="35945057"/>
    <w:rsid w:val="359B56A3"/>
    <w:rsid w:val="35A270E4"/>
    <w:rsid w:val="35C8653B"/>
    <w:rsid w:val="35D30C65"/>
    <w:rsid w:val="35D61456"/>
    <w:rsid w:val="35D65B34"/>
    <w:rsid w:val="35DA5022"/>
    <w:rsid w:val="35DF52F8"/>
    <w:rsid w:val="35E644CB"/>
    <w:rsid w:val="35E81A7F"/>
    <w:rsid w:val="35F24C09"/>
    <w:rsid w:val="35F3004D"/>
    <w:rsid w:val="360139B8"/>
    <w:rsid w:val="360311CD"/>
    <w:rsid w:val="36070CBD"/>
    <w:rsid w:val="36127207"/>
    <w:rsid w:val="36200754"/>
    <w:rsid w:val="36256DC5"/>
    <w:rsid w:val="36290C2F"/>
    <w:rsid w:val="36301CAE"/>
    <w:rsid w:val="3630569C"/>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14314"/>
    <w:rsid w:val="376B44C4"/>
    <w:rsid w:val="376D0E2E"/>
    <w:rsid w:val="37802D3A"/>
    <w:rsid w:val="37850091"/>
    <w:rsid w:val="379116A8"/>
    <w:rsid w:val="379E11AD"/>
    <w:rsid w:val="37A60983"/>
    <w:rsid w:val="37A93BCE"/>
    <w:rsid w:val="37B704C1"/>
    <w:rsid w:val="37B71B23"/>
    <w:rsid w:val="37BB194B"/>
    <w:rsid w:val="37BF843D"/>
    <w:rsid w:val="37CF5451"/>
    <w:rsid w:val="37DA2CF5"/>
    <w:rsid w:val="37DF0D06"/>
    <w:rsid w:val="37E64902"/>
    <w:rsid w:val="37EF25FC"/>
    <w:rsid w:val="37F7120E"/>
    <w:rsid w:val="37FE5FF1"/>
    <w:rsid w:val="38035DBC"/>
    <w:rsid w:val="38082ACA"/>
    <w:rsid w:val="380D2520"/>
    <w:rsid w:val="380F56A1"/>
    <w:rsid w:val="38134DDD"/>
    <w:rsid w:val="381B6DB3"/>
    <w:rsid w:val="38305B7D"/>
    <w:rsid w:val="383B13D4"/>
    <w:rsid w:val="384A501C"/>
    <w:rsid w:val="38546D78"/>
    <w:rsid w:val="385566B6"/>
    <w:rsid w:val="386144A9"/>
    <w:rsid w:val="386D3BA5"/>
    <w:rsid w:val="38785F5F"/>
    <w:rsid w:val="387F1C72"/>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D5052"/>
    <w:rsid w:val="39AD78D2"/>
    <w:rsid w:val="39AE5A5B"/>
    <w:rsid w:val="39B72078"/>
    <w:rsid w:val="39B96310"/>
    <w:rsid w:val="39BB0FB8"/>
    <w:rsid w:val="39C830C2"/>
    <w:rsid w:val="39EC7D3C"/>
    <w:rsid w:val="39ED1A22"/>
    <w:rsid w:val="3A10410D"/>
    <w:rsid w:val="3A2053A6"/>
    <w:rsid w:val="3A26050E"/>
    <w:rsid w:val="3A265CF7"/>
    <w:rsid w:val="3A271F33"/>
    <w:rsid w:val="3A446E54"/>
    <w:rsid w:val="3A465B2C"/>
    <w:rsid w:val="3A5244D1"/>
    <w:rsid w:val="3A602052"/>
    <w:rsid w:val="3A6B361F"/>
    <w:rsid w:val="3A714511"/>
    <w:rsid w:val="3A7FA0D8"/>
    <w:rsid w:val="3A894E1A"/>
    <w:rsid w:val="3A985B80"/>
    <w:rsid w:val="3AA51A0D"/>
    <w:rsid w:val="3ABD00AF"/>
    <w:rsid w:val="3AC76E36"/>
    <w:rsid w:val="3ACB56B9"/>
    <w:rsid w:val="3AD8035A"/>
    <w:rsid w:val="3ADF037E"/>
    <w:rsid w:val="3AE22C48"/>
    <w:rsid w:val="3AEF41B2"/>
    <w:rsid w:val="3AF07D51"/>
    <w:rsid w:val="3AFD60FD"/>
    <w:rsid w:val="3B040FE4"/>
    <w:rsid w:val="3B0D0484"/>
    <w:rsid w:val="3B111703"/>
    <w:rsid w:val="3B1744D9"/>
    <w:rsid w:val="3B195861"/>
    <w:rsid w:val="3B2B14C0"/>
    <w:rsid w:val="3B3D0765"/>
    <w:rsid w:val="3B510961"/>
    <w:rsid w:val="3B641997"/>
    <w:rsid w:val="3B6762C9"/>
    <w:rsid w:val="3B723AD4"/>
    <w:rsid w:val="3B7B4897"/>
    <w:rsid w:val="3B7B4EF3"/>
    <w:rsid w:val="3B802375"/>
    <w:rsid w:val="3B8D4FDE"/>
    <w:rsid w:val="3B90605D"/>
    <w:rsid w:val="3B9C425A"/>
    <w:rsid w:val="3BA53444"/>
    <w:rsid w:val="3BA81601"/>
    <w:rsid w:val="3BAC507F"/>
    <w:rsid w:val="3BB13E90"/>
    <w:rsid w:val="3BC05C20"/>
    <w:rsid w:val="3BC242CB"/>
    <w:rsid w:val="3BC255BB"/>
    <w:rsid w:val="3BCA6B4D"/>
    <w:rsid w:val="3BD70D98"/>
    <w:rsid w:val="3BDD43F0"/>
    <w:rsid w:val="3BE922D2"/>
    <w:rsid w:val="3BEA2018"/>
    <w:rsid w:val="3C1C68FB"/>
    <w:rsid w:val="3C266052"/>
    <w:rsid w:val="3C28373B"/>
    <w:rsid w:val="3C322630"/>
    <w:rsid w:val="3C390C19"/>
    <w:rsid w:val="3C3B092C"/>
    <w:rsid w:val="3C4131D2"/>
    <w:rsid w:val="3C544530"/>
    <w:rsid w:val="3C5D3905"/>
    <w:rsid w:val="3C5E7B6B"/>
    <w:rsid w:val="3C720A34"/>
    <w:rsid w:val="3C731522"/>
    <w:rsid w:val="3C7438DB"/>
    <w:rsid w:val="3C7B26C4"/>
    <w:rsid w:val="3C8D6778"/>
    <w:rsid w:val="3C935899"/>
    <w:rsid w:val="3C9E74DC"/>
    <w:rsid w:val="3CA40291"/>
    <w:rsid w:val="3CAE3FCB"/>
    <w:rsid w:val="3CB35C1A"/>
    <w:rsid w:val="3CB46D18"/>
    <w:rsid w:val="3CCA127C"/>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9D0729"/>
    <w:rsid w:val="3DA9101D"/>
    <w:rsid w:val="3DA917B8"/>
    <w:rsid w:val="3DAC39CF"/>
    <w:rsid w:val="3DAE434A"/>
    <w:rsid w:val="3DB377D0"/>
    <w:rsid w:val="3DC44B1D"/>
    <w:rsid w:val="3DCB1B13"/>
    <w:rsid w:val="3DCD4D10"/>
    <w:rsid w:val="3DD223B2"/>
    <w:rsid w:val="3DEA0E7D"/>
    <w:rsid w:val="3DEA4188"/>
    <w:rsid w:val="3DFD3C46"/>
    <w:rsid w:val="3E047890"/>
    <w:rsid w:val="3E0D2BA2"/>
    <w:rsid w:val="3E234D34"/>
    <w:rsid w:val="3E28157C"/>
    <w:rsid w:val="3E313576"/>
    <w:rsid w:val="3E36697B"/>
    <w:rsid w:val="3E493FE3"/>
    <w:rsid w:val="3E4B6981"/>
    <w:rsid w:val="3E672EB4"/>
    <w:rsid w:val="3E695273"/>
    <w:rsid w:val="3E6D11EF"/>
    <w:rsid w:val="3E777477"/>
    <w:rsid w:val="3E89310E"/>
    <w:rsid w:val="3E8D5C11"/>
    <w:rsid w:val="3EA22D08"/>
    <w:rsid w:val="3EA610B6"/>
    <w:rsid w:val="3EA6508A"/>
    <w:rsid w:val="3EB04CAF"/>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79D0"/>
    <w:rsid w:val="3F265678"/>
    <w:rsid w:val="3F28434E"/>
    <w:rsid w:val="3F326DBB"/>
    <w:rsid w:val="3F360EA4"/>
    <w:rsid w:val="3F3A7F44"/>
    <w:rsid w:val="3F3E3276"/>
    <w:rsid w:val="3F4D6969"/>
    <w:rsid w:val="3F4E4B32"/>
    <w:rsid w:val="3F59010B"/>
    <w:rsid w:val="3F5E56C6"/>
    <w:rsid w:val="3F6C4251"/>
    <w:rsid w:val="3F9135C0"/>
    <w:rsid w:val="3F955FB9"/>
    <w:rsid w:val="3F9A3294"/>
    <w:rsid w:val="3FA834DC"/>
    <w:rsid w:val="3FAE7BFF"/>
    <w:rsid w:val="3FAEC77E"/>
    <w:rsid w:val="3FB079D9"/>
    <w:rsid w:val="3FB44390"/>
    <w:rsid w:val="3FBE48F8"/>
    <w:rsid w:val="3FD010CB"/>
    <w:rsid w:val="3FD049EC"/>
    <w:rsid w:val="3FDA1D33"/>
    <w:rsid w:val="3FE261F2"/>
    <w:rsid w:val="3FE815EE"/>
    <w:rsid w:val="3FEA6BFC"/>
    <w:rsid w:val="3FF76861"/>
    <w:rsid w:val="40023C70"/>
    <w:rsid w:val="40086A92"/>
    <w:rsid w:val="402158C5"/>
    <w:rsid w:val="402F7539"/>
    <w:rsid w:val="40400646"/>
    <w:rsid w:val="404264F9"/>
    <w:rsid w:val="405F542D"/>
    <w:rsid w:val="406518C8"/>
    <w:rsid w:val="40736AAC"/>
    <w:rsid w:val="40774C91"/>
    <w:rsid w:val="40872663"/>
    <w:rsid w:val="408847A8"/>
    <w:rsid w:val="40A36975"/>
    <w:rsid w:val="40A92D7E"/>
    <w:rsid w:val="40B26929"/>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1EB00BA"/>
    <w:rsid w:val="42007BC3"/>
    <w:rsid w:val="420C1A57"/>
    <w:rsid w:val="42187677"/>
    <w:rsid w:val="421D399E"/>
    <w:rsid w:val="422657F0"/>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324EF"/>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A92E36"/>
    <w:rsid w:val="44C25CAA"/>
    <w:rsid w:val="44C9538F"/>
    <w:rsid w:val="44D85483"/>
    <w:rsid w:val="44DF52E6"/>
    <w:rsid w:val="44F17CAA"/>
    <w:rsid w:val="44FB3D04"/>
    <w:rsid w:val="44FE4D41"/>
    <w:rsid w:val="450A1954"/>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378EF"/>
    <w:rsid w:val="45C412DE"/>
    <w:rsid w:val="45C42B72"/>
    <w:rsid w:val="45C65B0E"/>
    <w:rsid w:val="45C70A4F"/>
    <w:rsid w:val="45C94C5D"/>
    <w:rsid w:val="45D16D59"/>
    <w:rsid w:val="45E10B02"/>
    <w:rsid w:val="45E56CA3"/>
    <w:rsid w:val="45EB06EF"/>
    <w:rsid w:val="45F17488"/>
    <w:rsid w:val="45FD6F20"/>
    <w:rsid w:val="460F492E"/>
    <w:rsid w:val="46186197"/>
    <w:rsid w:val="461934A2"/>
    <w:rsid w:val="461A4C1A"/>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D64DD7"/>
    <w:rsid w:val="46D7495C"/>
    <w:rsid w:val="46DA02D9"/>
    <w:rsid w:val="46F25071"/>
    <w:rsid w:val="46F427C7"/>
    <w:rsid w:val="46F438F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345BE"/>
    <w:rsid w:val="47A74A6E"/>
    <w:rsid w:val="47B2140D"/>
    <w:rsid w:val="47B279FC"/>
    <w:rsid w:val="47B70B10"/>
    <w:rsid w:val="47C76806"/>
    <w:rsid w:val="47E328E4"/>
    <w:rsid w:val="47E76DB5"/>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874608"/>
    <w:rsid w:val="489E2F22"/>
    <w:rsid w:val="48A279E5"/>
    <w:rsid w:val="48AE07FB"/>
    <w:rsid w:val="48CA5BDD"/>
    <w:rsid w:val="48D70F23"/>
    <w:rsid w:val="48D7347B"/>
    <w:rsid w:val="48D91E9A"/>
    <w:rsid w:val="48D95C14"/>
    <w:rsid w:val="48E1229C"/>
    <w:rsid w:val="48FD3F53"/>
    <w:rsid w:val="48FE483B"/>
    <w:rsid w:val="490A31EA"/>
    <w:rsid w:val="49204394"/>
    <w:rsid w:val="49273E0A"/>
    <w:rsid w:val="492809FC"/>
    <w:rsid w:val="49295B00"/>
    <w:rsid w:val="493605C1"/>
    <w:rsid w:val="49371193"/>
    <w:rsid w:val="49383978"/>
    <w:rsid w:val="49422109"/>
    <w:rsid w:val="4944592C"/>
    <w:rsid w:val="494758DD"/>
    <w:rsid w:val="494F77BB"/>
    <w:rsid w:val="495163FD"/>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10C16"/>
    <w:rsid w:val="4A247656"/>
    <w:rsid w:val="4A27484B"/>
    <w:rsid w:val="4A295BD9"/>
    <w:rsid w:val="4A2E3588"/>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268F4"/>
    <w:rsid w:val="4B23088F"/>
    <w:rsid w:val="4B257BC2"/>
    <w:rsid w:val="4B336442"/>
    <w:rsid w:val="4B3B31C8"/>
    <w:rsid w:val="4B3D4D2C"/>
    <w:rsid w:val="4B432B93"/>
    <w:rsid w:val="4B4817B5"/>
    <w:rsid w:val="4B660844"/>
    <w:rsid w:val="4B6B3337"/>
    <w:rsid w:val="4B7C3D8C"/>
    <w:rsid w:val="4B975535"/>
    <w:rsid w:val="4BA14F47"/>
    <w:rsid w:val="4BA44B18"/>
    <w:rsid w:val="4BB12A34"/>
    <w:rsid w:val="4BB15C21"/>
    <w:rsid w:val="4BCD4D56"/>
    <w:rsid w:val="4BCD5AFB"/>
    <w:rsid w:val="4BDB6776"/>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5A70"/>
    <w:rsid w:val="4CAA3342"/>
    <w:rsid w:val="4CAA7011"/>
    <w:rsid w:val="4CB656F2"/>
    <w:rsid w:val="4CC3103C"/>
    <w:rsid w:val="4CCB42C5"/>
    <w:rsid w:val="4CCF0711"/>
    <w:rsid w:val="4CCF17BD"/>
    <w:rsid w:val="4CD55BEB"/>
    <w:rsid w:val="4CE81FC6"/>
    <w:rsid w:val="4CF520EB"/>
    <w:rsid w:val="4D020122"/>
    <w:rsid w:val="4D026969"/>
    <w:rsid w:val="4D0C2C77"/>
    <w:rsid w:val="4D137130"/>
    <w:rsid w:val="4D1A1400"/>
    <w:rsid w:val="4D1E4578"/>
    <w:rsid w:val="4D335236"/>
    <w:rsid w:val="4D447064"/>
    <w:rsid w:val="4D4F3090"/>
    <w:rsid w:val="4D6B1C74"/>
    <w:rsid w:val="4D722A68"/>
    <w:rsid w:val="4D7C0D00"/>
    <w:rsid w:val="4D87352F"/>
    <w:rsid w:val="4D931243"/>
    <w:rsid w:val="4DB51809"/>
    <w:rsid w:val="4DBC6539"/>
    <w:rsid w:val="4DC50EEF"/>
    <w:rsid w:val="4DD475D1"/>
    <w:rsid w:val="4DD776AB"/>
    <w:rsid w:val="4DDB5EB1"/>
    <w:rsid w:val="4DF831B6"/>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C39D0"/>
    <w:rsid w:val="4F5E4B10"/>
    <w:rsid w:val="4F701229"/>
    <w:rsid w:val="4F7864E2"/>
    <w:rsid w:val="4F972442"/>
    <w:rsid w:val="4FA25A31"/>
    <w:rsid w:val="4FB91209"/>
    <w:rsid w:val="4FBD1A1F"/>
    <w:rsid w:val="4FBE1DF5"/>
    <w:rsid w:val="4FBF6F62"/>
    <w:rsid w:val="4FC24E8A"/>
    <w:rsid w:val="4FF10B69"/>
    <w:rsid w:val="4FF721D3"/>
    <w:rsid w:val="4FFD57A5"/>
    <w:rsid w:val="500D5DB3"/>
    <w:rsid w:val="5010374D"/>
    <w:rsid w:val="501613EA"/>
    <w:rsid w:val="5033292A"/>
    <w:rsid w:val="503E0ED2"/>
    <w:rsid w:val="504A4CDB"/>
    <w:rsid w:val="505356F4"/>
    <w:rsid w:val="5067527D"/>
    <w:rsid w:val="506816E0"/>
    <w:rsid w:val="50744D60"/>
    <w:rsid w:val="50803083"/>
    <w:rsid w:val="50886413"/>
    <w:rsid w:val="508865A2"/>
    <w:rsid w:val="50937803"/>
    <w:rsid w:val="50A34C80"/>
    <w:rsid w:val="50AD68A1"/>
    <w:rsid w:val="50B22361"/>
    <w:rsid w:val="50B65562"/>
    <w:rsid w:val="50C3153F"/>
    <w:rsid w:val="50C833CB"/>
    <w:rsid w:val="50D51337"/>
    <w:rsid w:val="50EC10D6"/>
    <w:rsid w:val="50EE3A87"/>
    <w:rsid w:val="510224A3"/>
    <w:rsid w:val="51096FBC"/>
    <w:rsid w:val="510C0E2E"/>
    <w:rsid w:val="511023D2"/>
    <w:rsid w:val="513833F4"/>
    <w:rsid w:val="513B4C0C"/>
    <w:rsid w:val="51431745"/>
    <w:rsid w:val="5150081D"/>
    <w:rsid w:val="516171A0"/>
    <w:rsid w:val="5162232C"/>
    <w:rsid w:val="51636DAE"/>
    <w:rsid w:val="5167665C"/>
    <w:rsid w:val="51722F47"/>
    <w:rsid w:val="51767FF0"/>
    <w:rsid w:val="517B6EE9"/>
    <w:rsid w:val="51955D74"/>
    <w:rsid w:val="51A551DA"/>
    <w:rsid w:val="51AE6FCB"/>
    <w:rsid w:val="51B63DF6"/>
    <w:rsid w:val="51E23F34"/>
    <w:rsid w:val="51E473ED"/>
    <w:rsid w:val="51ED0FAB"/>
    <w:rsid w:val="51EF59C5"/>
    <w:rsid w:val="51F9411A"/>
    <w:rsid w:val="51FD1A5C"/>
    <w:rsid w:val="52211C80"/>
    <w:rsid w:val="5226155A"/>
    <w:rsid w:val="522639F0"/>
    <w:rsid w:val="522919DD"/>
    <w:rsid w:val="522B3864"/>
    <w:rsid w:val="523C2CD5"/>
    <w:rsid w:val="5241072B"/>
    <w:rsid w:val="524C3FFD"/>
    <w:rsid w:val="52523205"/>
    <w:rsid w:val="5254050B"/>
    <w:rsid w:val="52634BD2"/>
    <w:rsid w:val="52682C3F"/>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32F1F"/>
    <w:rsid w:val="531C6B04"/>
    <w:rsid w:val="53346DCF"/>
    <w:rsid w:val="53365130"/>
    <w:rsid w:val="533EC6B1"/>
    <w:rsid w:val="534E3116"/>
    <w:rsid w:val="535F4C6A"/>
    <w:rsid w:val="53615D77"/>
    <w:rsid w:val="536754D3"/>
    <w:rsid w:val="537428F6"/>
    <w:rsid w:val="537A110E"/>
    <w:rsid w:val="538A3FFC"/>
    <w:rsid w:val="539908EE"/>
    <w:rsid w:val="53B625F4"/>
    <w:rsid w:val="53BA3A2B"/>
    <w:rsid w:val="53BF452D"/>
    <w:rsid w:val="53C3637A"/>
    <w:rsid w:val="53C7425F"/>
    <w:rsid w:val="53F47C07"/>
    <w:rsid w:val="53FA7012"/>
    <w:rsid w:val="54017C77"/>
    <w:rsid w:val="5405643C"/>
    <w:rsid w:val="54071C4E"/>
    <w:rsid w:val="54154D59"/>
    <w:rsid w:val="54282813"/>
    <w:rsid w:val="543D474F"/>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01"/>
    <w:rsid w:val="54E04D60"/>
    <w:rsid w:val="54E36374"/>
    <w:rsid w:val="54E535D3"/>
    <w:rsid w:val="54EF288B"/>
    <w:rsid w:val="54F070DE"/>
    <w:rsid w:val="550B5058"/>
    <w:rsid w:val="550E21DD"/>
    <w:rsid w:val="55105FF9"/>
    <w:rsid w:val="5515023E"/>
    <w:rsid w:val="551D5901"/>
    <w:rsid w:val="552176E2"/>
    <w:rsid w:val="5535086A"/>
    <w:rsid w:val="553B15EC"/>
    <w:rsid w:val="554076AF"/>
    <w:rsid w:val="554100C8"/>
    <w:rsid w:val="555D3FFE"/>
    <w:rsid w:val="55647267"/>
    <w:rsid w:val="55692886"/>
    <w:rsid w:val="55781630"/>
    <w:rsid w:val="55787787"/>
    <w:rsid w:val="5588360C"/>
    <w:rsid w:val="558C23AE"/>
    <w:rsid w:val="558C4235"/>
    <w:rsid w:val="55A61ABE"/>
    <w:rsid w:val="55B70915"/>
    <w:rsid w:val="55BF392A"/>
    <w:rsid w:val="55C33186"/>
    <w:rsid w:val="55C335FF"/>
    <w:rsid w:val="55D24AB8"/>
    <w:rsid w:val="55D70A42"/>
    <w:rsid w:val="55D903ED"/>
    <w:rsid w:val="55FF46FF"/>
    <w:rsid w:val="56102E1E"/>
    <w:rsid w:val="56124F67"/>
    <w:rsid w:val="56253E24"/>
    <w:rsid w:val="562770B6"/>
    <w:rsid w:val="562F0650"/>
    <w:rsid w:val="56325048"/>
    <w:rsid w:val="564D1EEA"/>
    <w:rsid w:val="564E5475"/>
    <w:rsid w:val="565270C9"/>
    <w:rsid w:val="56556039"/>
    <w:rsid w:val="565D713B"/>
    <w:rsid w:val="566E43CB"/>
    <w:rsid w:val="567134D1"/>
    <w:rsid w:val="567601AC"/>
    <w:rsid w:val="56817115"/>
    <w:rsid w:val="568D1ECF"/>
    <w:rsid w:val="56A032C5"/>
    <w:rsid w:val="56A81C1A"/>
    <w:rsid w:val="56B778AE"/>
    <w:rsid w:val="56C4326C"/>
    <w:rsid w:val="56CB1868"/>
    <w:rsid w:val="56CC25C8"/>
    <w:rsid w:val="56CC4CE7"/>
    <w:rsid w:val="56E056D4"/>
    <w:rsid w:val="56EC3B91"/>
    <w:rsid w:val="56EE30C2"/>
    <w:rsid w:val="56F42740"/>
    <w:rsid w:val="56F813A0"/>
    <w:rsid w:val="57003F7A"/>
    <w:rsid w:val="5701658C"/>
    <w:rsid w:val="57032046"/>
    <w:rsid w:val="57096108"/>
    <w:rsid w:val="571662CD"/>
    <w:rsid w:val="57455942"/>
    <w:rsid w:val="574B0213"/>
    <w:rsid w:val="574F2990"/>
    <w:rsid w:val="575647A8"/>
    <w:rsid w:val="575D4053"/>
    <w:rsid w:val="57672B61"/>
    <w:rsid w:val="57810778"/>
    <w:rsid w:val="578515EA"/>
    <w:rsid w:val="57A83EF8"/>
    <w:rsid w:val="57B45537"/>
    <w:rsid w:val="57CA30B6"/>
    <w:rsid w:val="57D17F4B"/>
    <w:rsid w:val="57F934C0"/>
    <w:rsid w:val="57F93FED"/>
    <w:rsid w:val="58013D55"/>
    <w:rsid w:val="58233E6B"/>
    <w:rsid w:val="583F6838"/>
    <w:rsid w:val="58404354"/>
    <w:rsid w:val="58422934"/>
    <w:rsid w:val="585B5805"/>
    <w:rsid w:val="58634DD0"/>
    <w:rsid w:val="586844B6"/>
    <w:rsid w:val="587578B0"/>
    <w:rsid w:val="58786C58"/>
    <w:rsid w:val="58951C97"/>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84546"/>
    <w:rsid w:val="591E45BB"/>
    <w:rsid w:val="59201ECA"/>
    <w:rsid w:val="592F1BA0"/>
    <w:rsid w:val="593E64CA"/>
    <w:rsid w:val="594556FD"/>
    <w:rsid w:val="59534CCC"/>
    <w:rsid w:val="595A2183"/>
    <w:rsid w:val="596379A9"/>
    <w:rsid w:val="597115A7"/>
    <w:rsid w:val="59772EB0"/>
    <w:rsid w:val="59787FEA"/>
    <w:rsid w:val="597D0736"/>
    <w:rsid w:val="59834524"/>
    <w:rsid w:val="598B6C60"/>
    <w:rsid w:val="5991071A"/>
    <w:rsid w:val="59934B4F"/>
    <w:rsid w:val="599B2EE3"/>
    <w:rsid w:val="599D1E62"/>
    <w:rsid w:val="59AA1CA3"/>
    <w:rsid w:val="59AC3E0E"/>
    <w:rsid w:val="59B30318"/>
    <w:rsid w:val="59C02604"/>
    <w:rsid w:val="59C5588A"/>
    <w:rsid w:val="59CF1ADD"/>
    <w:rsid w:val="59D17D75"/>
    <w:rsid w:val="59D471D7"/>
    <w:rsid w:val="59E37B16"/>
    <w:rsid w:val="59E61693"/>
    <w:rsid w:val="5A030835"/>
    <w:rsid w:val="5A1317F0"/>
    <w:rsid w:val="5A2646DB"/>
    <w:rsid w:val="5A2B57AE"/>
    <w:rsid w:val="5A321BEA"/>
    <w:rsid w:val="5A366F84"/>
    <w:rsid w:val="5A3F0176"/>
    <w:rsid w:val="5A442FFB"/>
    <w:rsid w:val="5A6D2DB1"/>
    <w:rsid w:val="5A6E407A"/>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37E3"/>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A1507"/>
    <w:rsid w:val="5CBC5D91"/>
    <w:rsid w:val="5CC20563"/>
    <w:rsid w:val="5CCA12C8"/>
    <w:rsid w:val="5CD374BB"/>
    <w:rsid w:val="5CF1327E"/>
    <w:rsid w:val="5CFB164F"/>
    <w:rsid w:val="5D160E63"/>
    <w:rsid w:val="5D170048"/>
    <w:rsid w:val="5D17051D"/>
    <w:rsid w:val="5D2E727E"/>
    <w:rsid w:val="5D40035D"/>
    <w:rsid w:val="5D49706D"/>
    <w:rsid w:val="5D5F77DD"/>
    <w:rsid w:val="5D717B18"/>
    <w:rsid w:val="5D7E5B54"/>
    <w:rsid w:val="5D840C43"/>
    <w:rsid w:val="5D91140D"/>
    <w:rsid w:val="5D9B10BC"/>
    <w:rsid w:val="5DAA3645"/>
    <w:rsid w:val="5DAE77A4"/>
    <w:rsid w:val="5DAF73C1"/>
    <w:rsid w:val="5DB57EF0"/>
    <w:rsid w:val="5DB6074F"/>
    <w:rsid w:val="5DD45079"/>
    <w:rsid w:val="5DE8676B"/>
    <w:rsid w:val="5DE96D9A"/>
    <w:rsid w:val="5DF47894"/>
    <w:rsid w:val="5E0C65C1"/>
    <w:rsid w:val="5E1044A2"/>
    <w:rsid w:val="5E162F9C"/>
    <w:rsid w:val="5E192361"/>
    <w:rsid w:val="5E1F592C"/>
    <w:rsid w:val="5E2B3F08"/>
    <w:rsid w:val="5E366F27"/>
    <w:rsid w:val="5E386453"/>
    <w:rsid w:val="5E3A712D"/>
    <w:rsid w:val="5E415746"/>
    <w:rsid w:val="5E67210D"/>
    <w:rsid w:val="5E7D126D"/>
    <w:rsid w:val="5E8001BD"/>
    <w:rsid w:val="5E8A7599"/>
    <w:rsid w:val="5E915FF6"/>
    <w:rsid w:val="5E9206AE"/>
    <w:rsid w:val="5EB455C5"/>
    <w:rsid w:val="5EBE29B5"/>
    <w:rsid w:val="5ED351EB"/>
    <w:rsid w:val="5EE335F7"/>
    <w:rsid w:val="5EFC45A8"/>
    <w:rsid w:val="5EFD4006"/>
    <w:rsid w:val="5EFF0ED2"/>
    <w:rsid w:val="5F126D05"/>
    <w:rsid w:val="5F204F1D"/>
    <w:rsid w:val="5F2832B2"/>
    <w:rsid w:val="5F2B1DCB"/>
    <w:rsid w:val="5F401BE4"/>
    <w:rsid w:val="5F4A1EBB"/>
    <w:rsid w:val="5F4B5E88"/>
    <w:rsid w:val="5F5305C9"/>
    <w:rsid w:val="5F533C7C"/>
    <w:rsid w:val="5F595662"/>
    <w:rsid w:val="5F597B7C"/>
    <w:rsid w:val="5F5B7782"/>
    <w:rsid w:val="5F5E1936"/>
    <w:rsid w:val="5F675B22"/>
    <w:rsid w:val="5F6C4C79"/>
    <w:rsid w:val="5F732EBB"/>
    <w:rsid w:val="5F7D448F"/>
    <w:rsid w:val="5F8250FF"/>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765321"/>
    <w:rsid w:val="60896264"/>
    <w:rsid w:val="608F1BD3"/>
    <w:rsid w:val="60A13248"/>
    <w:rsid w:val="60C5330A"/>
    <w:rsid w:val="60D11BBA"/>
    <w:rsid w:val="60D43683"/>
    <w:rsid w:val="60EB7AA8"/>
    <w:rsid w:val="60EF15B2"/>
    <w:rsid w:val="61001229"/>
    <w:rsid w:val="6121322E"/>
    <w:rsid w:val="61243429"/>
    <w:rsid w:val="61296ACD"/>
    <w:rsid w:val="612C2A9A"/>
    <w:rsid w:val="613D24A2"/>
    <w:rsid w:val="613D3287"/>
    <w:rsid w:val="614149F3"/>
    <w:rsid w:val="61476428"/>
    <w:rsid w:val="616638A2"/>
    <w:rsid w:val="616E30DB"/>
    <w:rsid w:val="6180258F"/>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33F4"/>
    <w:rsid w:val="62AB4430"/>
    <w:rsid w:val="62C671FE"/>
    <w:rsid w:val="62CC09DC"/>
    <w:rsid w:val="62CD11E8"/>
    <w:rsid w:val="62DF39AC"/>
    <w:rsid w:val="62F7131A"/>
    <w:rsid w:val="63111189"/>
    <w:rsid w:val="63252E32"/>
    <w:rsid w:val="63277B43"/>
    <w:rsid w:val="6337309B"/>
    <w:rsid w:val="633A09A7"/>
    <w:rsid w:val="633C776F"/>
    <w:rsid w:val="63471651"/>
    <w:rsid w:val="636176F3"/>
    <w:rsid w:val="636F572B"/>
    <w:rsid w:val="6374316D"/>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7F7413"/>
    <w:rsid w:val="648D414A"/>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36687"/>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4D3C1B"/>
    <w:rsid w:val="66517729"/>
    <w:rsid w:val="666F5074"/>
    <w:rsid w:val="667558EB"/>
    <w:rsid w:val="66866840"/>
    <w:rsid w:val="66950E06"/>
    <w:rsid w:val="66A12504"/>
    <w:rsid w:val="66A46015"/>
    <w:rsid w:val="66BB34F8"/>
    <w:rsid w:val="66BE2423"/>
    <w:rsid w:val="66CF4C55"/>
    <w:rsid w:val="66D11DEE"/>
    <w:rsid w:val="66D63CEA"/>
    <w:rsid w:val="66DD70A5"/>
    <w:rsid w:val="66E40448"/>
    <w:rsid w:val="66F47B37"/>
    <w:rsid w:val="6703542F"/>
    <w:rsid w:val="670871A8"/>
    <w:rsid w:val="672D3127"/>
    <w:rsid w:val="67420658"/>
    <w:rsid w:val="67451124"/>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4457A"/>
    <w:rsid w:val="67D60266"/>
    <w:rsid w:val="67DE4EEE"/>
    <w:rsid w:val="67E46554"/>
    <w:rsid w:val="67ED5955"/>
    <w:rsid w:val="68022E63"/>
    <w:rsid w:val="68052F36"/>
    <w:rsid w:val="6808141A"/>
    <w:rsid w:val="68150768"/>
    <w:rsid w:val="681A272F"/>
    <w:rsid w:val="68366331"/>
    <w:rsid w:val="68400AB2"/>
    <w:rsid w:val="6841737C"/>
    <w:rsid w:val="68455B1A"/>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20AA9"/>
    <w:rsid w:val="6902255E"/>
    <w:rsid w:val="69081F0D"/>
    <w:rsid w:val="69120C40"/>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FB5FAE"/>
    <w:rsid w:val="69FD50EC"/>
    <w:rsid w:val="6A0D33A8"/>
    <w:rsid w:val="6A1C386D"/>
    <w:rsid w:val="6A276531"/>
    <w:rsid w:val="6A2E5337"/>
    <w:rsid w:val="6A345BC3"/>
    <w:rsid w:val="6A3B1068"/>
    <w:rsid w:val="6A4E57F6"/>
    <w:rsid w:val="6A4F412A"/>
    <w:rsid w:val="6A5F7EB4"/>
    <w:rsid w:val="6A7202D9"/>
    <w:rsid w:val="6A8479E7"/>
    <w:rsid w:val="6A856090"/>
    <w:rsid w:val="6A8E7D3F"/>
    <w:rsid w:val="6A9B7BF1"/>
    <w:rsid w:val="6A9F3D8E"/>
    <w:rsid w:val="6AA04EB0"/>
    <w:rsid w:val="6ABD3F83"/>
    <w:rsid w:val="6AC86960"/>
    <w:rsid w:val="6ACB1AF0"/>
    <w:rsid w:val="6ACD4F83"/>
    <w:rsid w:val="6ADB2C10"/>
    <w:rsid w:val="6ADFB8F3"/>
    <w:rsid w:val="6AF14EA4"/>
    <w:rsid w:val="6B004DE3"/>
    <w:rsid w:val="6B0933D8"/>
    <w:rsid w:val="6B1E06AB"/>
    <w:rsid w:val="6B2347F8"/>
    <w:rsid w:val="6B2D2415"/>
    <w:rsid w:val="6B316BBE"/>
    <w:rsid w:val="6B353BDC"/>
    <w:rsid w:val="6B4B429B"/>
    <w:rsid w:val="6B554422"/>
    <w:rsid w:val="6B57260F"/>
    <w:rsid w:val="6B810BED"/>
    <w:rsid w:val="6B8428B4"/>
    <w:rsid w:val="6B851189"/>
    <w:rsid w:val="6B91457B"/>
    <w:rsid w:val="6B930274"/>
    <w:rsid w:val="6BA47A68"/>
    <w:rsid w:val="6BBFA03B"/>
    <w:rsid w:val="6BCF2AB2"/>
    <w:rsid w:val="6BDB04B7"/>
    <w:rsid w:val="6BF61AFE"/>
    <w:rsid w:val="6C005156"/>
    <w:rsid w:val="6C0D7E8A"/>
    <w:rsid w:val="6C1D7BEB"/>
    <w:rsid w:val="6C261FA5"/>
    <w:rsid w:val="6C267CEF"/>
    <w:rsid w:val="6C271424"/>
    <w:rsid w:val="6C4F3C53"/>
    <w:rsid w:val="6C4F4761"/>
    <w:rsid w:val="6C5B7F78"/>
    <w:rsid w:val="6C63308B"/>
    <w:rsid w:val="6C736123"/>
    <w:rsid w:val="6C7A1C7C"/>
    <w:rsid w:val="6C915824"/>
    <w:rsid w:val="6C98717A"/>
    <w:rsid w:val="6C9A696F"/>
    <w:rsid w:val="6C9E3F84"/>
    <w:rsid w:val="6C9F2ED4"/>
    <w:rsid w:val="6CA45DFE"/>
    <w:rsid w:val="6CB26586"/>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5D40D0"/>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196277"/>
    <w:rsid w:val="6E35541C"/>
    <w:rsid w:val="6E451788"/>
    <w:rsid w:val="6E4C1361"/>
    <w:rsid w:val="6E541B46"/>
    <w:rsid w:val="6E641F84"/>
    <w:rsid w:val="6E6C3A9A"/>
    <w:rsid w:val="6E726FC5"/>
    <w:rsid w:val="6E7D66A2"/>
    <w:rsid w:val="6E7F6649"/>
    <w:rsid w:val="6E8C7D79"/>
    <w:rsid w:val="6E957A3F"/>
    <w:rsid w:val="6EA77046"/>
    <w:rsid w:val="6EB83E57"/>
    <w:rsid w:val="6EC553D5"/>
    <w:rsid w:val="6EE7018C"/>
    <w:rsid w:val="6EF5C34B"/>
    <w:rsid w:val="6EF76DEC"/>
    <w:rsid w:val="6F074349"/>
    <w:rsid w:val="6F0B05C6"/>
    <w:rsid w:val="6F130C23"/>
    <w:rsid w:val="6F150B51"/>
    <w:rsid w:val="6F155D42"/>
    <w:rsid w:val="6F193BD1"/>
    <w:rsid w:val="6F270A73"/>
    <w:rsid w:val="6F364C63"/>
    <w:rsid w:val="6F572727"/>
    <w:rsid w:val="6F5C26F0"/>
    <w:rsid w:val="6F68212E"/>
    <w:rsid w:val="6F757176"/>
    <w:rsid w:val="6F792725"/>
    <w:rsid w:val="6F88611E"/>
    <w:rsid w:val="6F8D2902"/>
    <w:rsid w:val="6F9E3156"/>
    <w:rsid w:val="6FA303AB"/>
    <w:rsid w:val="6FA6D380"/>
    <w:rsid w:val="6FAA58A9"/>
    <w:rsid w:val="6FB6420C"/>
    <w:rsid w:val="6FB81081"/>
    <w:rsid w:val="6FBC0361"/>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D743B"/>
    <w:rsid w:val="704F480E"/>
    <w:rsid w:val="70531176"/>
    <w:rsid w:val="70553DF8"/>
    <w:rsid w:val="705B1D46"/>
    <w:rsid w:val="706C295C"/>
    <w:rsid w:val="7073427E"/>
    <w:rsid w:val="70753CEA"/>
    <w:rsid w:val="70CB1949"/>
    <w:rsid w:val="70CE3CD6"/>
    <w:rsid w:val="70D5200B"/>
    <w:rsid w:val="70D77435"/>
    <w:rsid w:val="70D86A93"/>
    <w:rsid w:val="70E72C7C"/>
    <w:rsid w:val="70F30CAD"/>
    <w:rsid w:val="70F33611"/>
    <w:rsid w:val="70FC164A"/>
    <w:rsid w:val="70FE3E55"/>
    <w:rsid w:val="71105C72"/>
    <w:rsid w:val="711F5147"/>
    <w:rsid w:val="71333A0D"/>
    <w:rsid w:val="713664A7"/>
    <w:rsid w:val="713E00F5"/>
    <w:rsid w:val="713F2452"/>
    <w:rsid w:val="714F7DC5"/>
    <w:rsid w:val="71606F55"/>
    <w:rsid w:val="7164280C"/>
    <w:rsid w:val="716763F1"/>
    <w:rsid w:val="716B28F4"/>
    <w:rsid w:val="717568BB"/>
    <w:rsid w:val="7176061E"/>
    <w:rsid w:val="719368F2"/>
    <w:rsid w:val="719426FE"/>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6B261E"/>
    <w:rsid w:val="72787113"/>
    <w:rsid w:val="728D3332"/>
    <w:rsid w:val="729B26AC"/>
    <w:rsid w:val="72B56CCB"/>
    <w:rsid w:val="72D1040D"/>
    <w:rsid w:val="72DE24DB"/>
    <w:rsid w:val="72EA0498"/>
    <w:rsid w:val="72EA3482"/>
    <w:rsid w:val="72F40F30"/>
    <w:rsid w:val="72F56855"/>
    <w:rsid w:val="72FC651D"/>
    <w:rsid w:val="7304299B"/>
    <w:rsid w:val="730A2B08"/>
    <w:rsid w:val="730A558D"/>
    <w:rsid w:val="730E1865"/>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87119"/>
    <w:rsid w:val="74591A28"/>
    <w:rsid w:val="74633D61"/>
    <w:rsid w:val="74682B38"/>
    <w:rsid w:val="74897BA8"/>
    <w:rsid w:val="74921949"/>
    <w:rsid w:val="74981804"/>
    <w:rsid w:val="74A62A32"/>
    <w:rsid w:val="74AF7E07"/>
    <w:rsid w:val="74C11A94"/>
    <w:rsid w:val="74C303AA"/>
    <w:rsid w:val="74D53759"/>
    <w:rsid w:val="74DA01CE"/>
    <w:rsid w:val="74E11CE7"/>
    <w:rsid w:val="74EA0887"/>
    <w:rsid w:val="74F2528E"/>
    <w:rsid w:val="74F54377"/>
    <w:rsid w:val="75070B5E"/>
    <w:rsid w:val="751B69AC"/>
    <w:rsid w:val="75227415"/>
    <w:rsid w:val="75285984"/>
    <w:rsid w:val="752B18E8"/>
    <w:rsid w:val="752B58CD"/>
    <w:rsid w:val="75550DBA"/>
    <w:rsid w:val="75562889"/>
    <w:rsid w:val="756225D4"/>
    <w:rsid w:val="75646065"/>
    <w:rsid w:val="756677F3"/>
    <w:rsid w:val="7571709E"/>
    <w:rsid w:val="757172FE"/>
    <w:rsid w:val="757A24EA"/>
    <w:rsid w:val="758868F7"/>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342A16"/>
    <w:rsid w:val="76521AC3"/>
    <w:rsid w:val="76674DB7"/>
    <w:rsid w:val="7673773D"/>
    <w:rsid w:val="7679161C"/>
    <w:rsid w:val="76873085"/>
    <w:rsid w:val="76944D75"/>
    <w:rsid w:val="76976535"/>
    <w:rsid w:val="769774FD"/>
    <w:rsid w:val="769B0408"/>
    <w:rsid w:val="76A7418D"/>
    <w:rsid w:val="76B157DF"/>
    <w:rsid w:val="76B51266"/>
    <w:rsid w:val="76BA1A53"/>
    <w:rsid w:val="76BB6653"/>
    <w:rsid w:val="76C54672"/>
    <w:rsid w:val="76CC193D"/>
    <w:rsid w:val="76D65D10"/>
    <w:rsid w:val="76F26294"/>
    <w:rsid w:val="76F62C91"/>
    <w:rsid w:val="77052BDB"/>
    <w:rsid w:val="770E458F"/>
    <w:rsid w:val="772623E4"/>
    <w:rsid w:val="773A2AD5"/>
    <w:rsid w:val="77517517"/>
    <w:rsid w:val="775D7B56"/>
    <w:rsid w:val="77645A0B"/>
    <w:rsid w:val="777B41E0"/>
    <w:rsid w:val="77816B5E"/>
    <w:rsid w:val="778234EF"/>
    <w:rsid w:val="778612B4"/>
    <w:rsid w:val="77861DAE"/>
    <w:rsid w:val="779A3B25"/>
    <w:rsid w:val="77A16F59"/>
    <w:rsid w:val="77A61A19"/>
    <w:rsid w:val="77A8713B"/>
    <w:rsid w:val="77B024F4"/>
    <w:rsid w:val="77B21CAE"/>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A665F"/>
    <w:rsid w:val="7884180F"/>
    <w:rsid w:val="78915BE9"/>
    <w:rsid w:val="78957992"/>
    <w:rsid w:val="78B3587F"/>
    <w:rsid w:val="78B37D44"/>
    <w:rsid w:val="78B86EC2"/>
    <w:rsid w:val="78C141FE"/>
    <w:rsid w:val="78C20890"/>
    <w:rsid w:val="78D665EA"/>
    <w:rsid w:val="78D66912"/>
    <w:rsid w:val="78D8401B"/>
    <w:rsid w:val="78D92CE3"/>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E93CD4"/>
    <w:rsid w:val="79EA3EAF"/>
    <w:rsid w:val="79F15391"/>
    <w:rsid w:val="7A122883"/>
    <w:rsid w:val="7A1F19C3"/>
    <w:rsid w:val="7A2B4030"/>
    <w:rsid w:val="7A37269B"/>
    <w:rsid w:val="7A3F46A8"/>
    <w:rsid w:val="7A3F6A69"/>
    <w:rsid w:val="7A4260F2"/>
    <w:rsid w:val="7A492248"/>
    <w:rsid w:val="7A511CEA"/>
    <w:rsid w:val="7A514314"/>
    <w:rsid w:val="7A5B6BF1"/>
    <w:rsid w:val="7A745689"/>
    <w:rsid w:val="7A74617C"/>
    <w:rsid w:val="7A882AAB"/>
    <w:rsid w:val="7A8935AA"/>
    <w:rsid w:val="7A8C5A62"/>
    <w:rsid w:val="7A9B02A0"/>
    <w:rsid w:val="7AA7242D"/>
    <w:rsid w:val="7AAC493D"/>
    <w:rsid w:val="7AB051EB"/>
    <w:rsid w:val="7AB70A93"/>
    <w:rsid w:val="7AC7367E"/>
    <w:rsid w:val="7AC77AD7"/>
    <w:rsid w:val="7AE4433A"/>
    <w:rsid w:val="7AE56790"/>
    <w:rsid w:val="7AFF5BCE"/>
    <w:rsid w:val="7B10013E"/>
    <w:rsid w:val="7B326C07"/>
    <w:rsid w:val="7B3330E5"/>
    <w:rsid w:val="7B362E62"/>
    <w:rsid w:val="7B4208F5"/>
    <w:rsid w:val="7B556837"/>
    <w:rsid w:val="7B676012"/>
    <w:rsid w:val="7B6A7511"/>
    <w:rsid w:val="7B711CC9"/>
    <w:rsid w:val="7B7A78B6"/>
    <w:rsid w:val="7B890DF9"/>
    <w:rsid w:val="7B9C2817"/>
    <w:rsid w:val="7BA311A3"/>
    <w:rsid w:val="7BA46460"/>
    <w:rsid w:val="7BAF7F22"/>
    <w:rsid w:val="7BB045D8"/>
    <w:rsid w:val="7BBA247E"/>
    <w:rsid w:val="7BBA2AA5"/>
    <w:rsid w:val="7BBB6AF8"/>
    <w:rsid w:val="7BBF2239"/>
    <w:rsid w:val="7BC81986"/>
    <w:rsid w:val="7BD84BDB"/>
    <w:rsid w:val="7BE72A58"/>
    <w:rsid w:val="7BEA1821"/>
    <w:rsid w:val="7BEF2D8B"/>
    <w:rsid w:val="7C1773FB"/>
    <w:rsid w:val="7C1E7985"/>
    <w:rsid w:val="7C277F03"/>
    <w:rsid w:val="7C2F634D"/>
    <w:rsid w:val="7C304464"/>
    <w:rsid w:val="7C357268"/>
    <w:rsid w:val="7C394685"/>
    <w:rsid w:val="7C3946D8"/>
    <w:rsid w:val="7C3B7202"/>
    <w:rsid w:val="7C3C1819"/>
    <w:rsid w:val="7C41114A"/>
    <w:rsid w:val="7C470595"/>
    <w:rsid w:val="7C4E19B5"/>
    <w:rsid w:val="7C5442D6"/>
    <w:rsid w:val="7C5A528B"/>
    <w:rsid w:val="7C620617"/>
    <w:rsid w:val="7C7878E3"/>
    <w:rsid w:val="7C8047D0"/>
    <w:rsid w:val="7C826ECF"/>
    <w:rsid w:val="7C8C0A8D"/>
    <w:rsid w:val="7C8E3BC1"/>
    <w:rsid w:val="7C927AF3"/>
    <w:rsid w:val="7C97014B"/>
    <w:rsid w:val="7CA273D9"/>
    <w:rsid w:val="7CA874EC"/>
    <w:rsid w:val="7CB114CF"/>
    <w:rsid w:val="7CB14A8A"/>
    <w:rsid w:val="7CBC0EDA"/>
    <w:rsid w:val="7CBE6E05"/>
    <w:rsid w:val="7CC01527"/>
    <w:rsid w:val="7CC318EA"/>
    <w:rsid w:val="7CCE5944"/>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47D7"/>
    <w:rsid w:val="7E3201EE"/>
    <w:rsid w:val="7E3A3239"/>
    <w:rsid w:val="7E3B60E6"/>
    <w:rsid w:val="7E3F0664"/>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B63DB"/>
    <w:rsid w:val="7F2F0A58"/>
    <w:rsid w:val="7F396F3C"/>
    <w:rsid w:val="7F434859"/>
    <w:rsid w:val="7F4514DB"/>
    <w:rsid w:val="7F505FC9"/>
    <w:rsid w:val="7F556937"/>
    <w:rsid w:val="7F6A4DD4"/>
    <w:rsid w:val="7F77465A"/>
    <w:rsid w:val="7F7B9674"/>
    <w:rsid w:val="7F8830F2"/>
    <w:rsid w:val="7F8D64E6"/>
    <w:rsid w:val="7F930B43"/>
    <w:rsid w:val="7F942DB0"/>
    <w:rsid w:val="7F9BDCC8"/>
    <w:rsid w:val="7F9C24B0"/>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8"/>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0"/>
    <w:qFormat/>
    <w:uiPriority w:val="0"/>
    <w:pPr>
      <w:adjustRightInd w:val="0"/>
      <w:spacing w:line="360" w:lineRule="auto"/>
      <w:ind w:firstLine="490"/>
      <w:jc w:val="left"/>
    </w:pPr>
    <w:rPr>
      <w:rFonts w:ascii="Century Gothic" w:hAnsi="Century Gothic" w:eastAsia="Century Gothic"/>
      <w:sz w:val="24"/>
      <w:szCs w:val="20"/>
    </w:rPr>
  </w:style>
  <w:style w:type="paragraph" w:styleId="11">
    <w:name w:val="Normal Indent"/>
    <w:basedOn w:val="1"/>
    <w:next w:val="1"/>
    <w:link w:val="69"/>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next w:val="19"/>
    <w:qFormat/>
    <w:uiPriority w:val="0"/>
  </w:style>
  <w:style w:type="paragraph" w:styleId="19">
    <w:name w:val="Body Text First Indent"/>
    <w:basedOn w:val="18"/>
    <w:next w:val="1"/>
    <w:qFormat/>
    <w:uiPriority w:val="0"/>
    <w:pPr>
      <w:ind w:firstLine="420"/>
    </w:p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71"/>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2"/>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7"/>
    <w:next w:val="17"/>
    <w:semiHidden/>
    <w:qFormat/>
    <w:uiPriority w:val="0"/>
    <w:rPr>
      <w:b/>
      <w:bCs/>
    </w:rPr>
  </w:style>
  <w:style w:type="paragraph" w:styleId="44">
    <w:name w:val="Body Text First Indent 2"/>
    <w:basedOn w:val="2"/>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semiHidden/>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paragraph" w:customStyle="1" w:styleId="59">
    <w:name w:val="正文缩进1"/>
    <w:basedOn w:val="60"/>
    <w:next w:val="2"/>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0">
    <w:name w:val="正文1"/>
    <w:basedOn w:val="23"/>
    <w:next w:val="1"/>
    <w:qFormat/>
    <w:uiPriority w:val="0"/>
    <w:pPr>
      <w:jc w:val="both"/>
    </w:pPr>
    <w:rPr>
      <w:rFonts w:hint="eastAsia" w:ascii="Times New Roman" w:hAnsi="Times New Roman"/>
      <w:sz w:val="21"/>
    </w:rPr>
  </w:style>
  <w:style w:type="paragraph" w:customStyle="1" w:styleId="61">
    <w:name w:val="[Normal]"/>
    <w:qFormat/>
    <w:uiPriority w:val="0"/>
    <w:rPr>
      <w:rFonts w:ascii="宋体" w:hAnsi="宋体" w:eastAsia="宋体" w:cs="Arial"/>
      <w:sz w:val="24"/>
      <w:szCs w:val="22"/>
      <w:lang w:val="zh-CN" w:eastAsia="zh-CN" w:bidi="ar-SA"/>
    </w:rPr>
  </w:style>
  <w:style w:type="paragraph" w:customStyle="1" w:styleId="6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文本首行缩进 21"/>
    <w:basedOn w:val="59"/>
    <w:qFormat/>
    <w:uiPriority w:val="99"/>
    <w:pPr>
      <w:tabs>
        <w:tab w:val="right" w:leader="dot" w:pos="8268"/>
      </w:tabs>
      <w:spacing w:line="200" w:lineRule="atLeast"/>
      <w:ind w:firstLine="420"/>
    </w:pPr>
    <w:rPr>
      <w:spacing w:val="-4"/>
      <w:sz w:val="18"/>
    </w:rPr>
  </w:style>
  <w:style w:type="paragraph" w:styleId="64">
    <w:name w:val="List Paragraph"/>
    <w:basedOn w:val="1"/>
    <w:link w:val="98"/>
    <w:qFormat/>
    <w:uiPriority w:val="34"/>
    <w:pPr>
      <w:ind w:firstLine="420" w:firstLineChars="200"/>
    </w:pPr>
    <w:rPr>
      <w:rFonts w:ascii="Times New Roman" w:hAnsi="Times New Roman"/>
    </w:rPr>
  </w:style>
  <w:style w:type="paragraph" w:customStyle="1" w:styleId="65">
    <w:name w:val="正文文字"/>
    <w:basedOn w:val="1"/>
    <w:qFormat/>
    <w:uiPriority w:val="0"/>
    <w:pPr>
      <w:widowControl/>
      <w:spacing w:line="952" w:lineRule="atLeast"/>
      <w:ind w:firstLine="419"/>
    </w:pPr>
    <w:rPr>
      <w:b/>
      <w:color w:val="000000"/>
      <w:sz w:val="44"/>
      <w:szCs w:val="20"/>
    </w:rPr>
  </w:style>
  <w:style w:type="paragraph" w:customStyle="1" w:styleId="66">
    <w:name w:val="_Style 2"/>
    <w:basedOn w:val="1"/>
    <w:qFormat/>
    <w:uiPriority w:val="0"/>
    <w:pPr>
      <w:ind w:firstLine="200" w:firstLineChars="200"/>
    </w:pPr>
    <w:rPr>
      <w:sz w:val="28"/>
      <w:szCs w:val="22"/>
    </w:rPr>
  </w:style>
  <w:style w:type="paragraph" w:customStyle="1" w:styleId="67">
    <w:name w:val="_Style 1"/>
    <w:qFormat/>
    <w:uiPriority w:val="0"/>
    <w:rPr>
      <w:rFonts w:ascii="Calibri" w:hAnsi="Calibri" w:eastAsia="宋体" w:cs="Times New Roman"/>
      <w:kern w:val="2"/>
      <w:sz w:val="28"/>
      <w:szCs w:val="22"/>
      <w:lang w:val="en-US" w:eastAsia="zh-CN" w:bidi="ar-SA"/>
    </w:rPr>
  </w:style>
  <w:style w:type="character" w:customStyle="1" w:styleId="68">
    <w:name w:val="标题 1 Char"/>
    <w:link w:val="3"/>
    <w:qFormat/>
    <w:uiPriority w:val="0"/>
    <w:rPr>
      <w:rFonts w:eastAsia="Century Gothic"/>
      <w:b/>
      <w:bCs/>
      <w:kern w:val="44"/>
      <w:sz w:val="44"/>
      <w:szCs w:val="44"/>
      <w:lang w:val="en-US" w:eastAsia="zh-CN" w:bidi="ar-SA"/>
    </w:rPr>
  </w:style>
  <w:style w:type="character" w:customStyle="1" w:styleId="69">
    <w:name w:val="正文缩进 Char"/>
    <w:link w:val="11"/>
    <w:qFormat/>
    <w:uiPriority w:val="0"/>
    <w:rPr>
      <w:rFonts w:ascii="Arial" w:hAnsi="Arial" w:eastAsia="宋体" w:cs="Arial"/>
      <w:lang w:val="en-US" w:eastAsia="zh-CN" w:bidi="ar-SA"/>
    </w:rPr>
  </w:style>
  <w:style w:type="character" w:customStyle="1" w:styleId="70">
    <w:name w:val="正文文本缩进 Char"/>
    <w:link w:val="2"/>
    <w:semiHidden/>
    <w:qFormat/>
    <w:uiPriority w:val="0"/>
    <w:rPr>
      <w:rFonts w:ascii="Century Gothic" w:hAnsi="Century Gothic" w:eastAsia="Century Gothic"/>
      <w:kern w:val="2"/>
      <w:sz w:val="24"/>
      <w:lang w:val="en-US" w:eastAsia="zh-CN" w:bidi="ar-SA"/>
    </w:rPr>
  </w:style>
  <w:style w:type="character" w:customStyle="1" w:styleId="71">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72">
    <w:name w:val="页脚 Char"/>
    <w:link w:val="29"/>
    <w:qFormat/>
    <w:uiPriority w:val="0"/>
    <w:rPr>
      <w:rFonts w:eastAsia="Century Gothic"/>
      <w:kern w:val="2"/>
      <w:sz w:val="18"/>
      <w:lang w:val="en-US" w:eastAsia="zh-CN" w:bidi="ar-SA"/>
    </w:rPr>
  </w:style>
  <w:style w:type="character" w:customStyle="1" w:styleId="73">
    <w:name w:val="zbggmain style9"/>
    <w:qFormat/>
    <w:uiPriority w:val="0"/>
    <w:rPr>
      <w:rFonts w:ascii="Courier New" w:eastAsia="Courier New"/>
      <w:b/>
      <w:kern w:val="2"/>
      <w:sz w:val="32"/>
      <w:szCs w:val="32"/>
      <w:lang w:val="en-US" w:eastAsia="zh-CN" w:bidi="ar-SA"/>
    </w:rPr>
  </w:style>
  <w:style w:type="character" w:customStyle="1" w:styleId="74">
    <w:name w:val="temp1"/>
    <w:qFormat/>
    <w:uiPriority w:val="0"/>
  </w:style>
  <w:style w:type="character" w:customStyle="1" w:styleId="75">
    <w:name w:val="Char Char21"/>
    <w:qFormat/>
    <w:uiPriority w:val="0"/>
    <w:rPr>
      <w:rFonts w:eastAsia="Century Gothic"/>
      <w:b/>
      <w:bCs/>
      <w:kern w:val="44"/>
      <w:sz w:val="32"/>
      <w:szCs w:val="44"/>
      <w:lang w:val="en-US" w:eastAsia="zh-CN" w:bidi="ar-SA"/>
    </w:rPr>
  </w:style>
  <w:style w:type="character" w:customStyle="1" w:styleId="76">
    <w:name w:val="Char Char12"/>
    <w:qFormat/>
    <w:uiPriority w:val="0"/>
    <w:rPr>
      <w:rFonts w:ascii="Century Gothic" w:hAnsi="楷体_GB2312" w:eastAsia="Century Gothic" w:cs="楷体_GB2312"/>
      <w:kern w:val="2"/>
      <w:sz w:val="21"/>
      <w:szCs w:val="21"/>
      <w:lang w:val="en-US" w:eastAsia="zh-CN" w:bidi="ar-SA"/>
    </w:rPr>
  </w:style>
  <w:style w:type="character" w:customStyle="1" w:styleId="77">
    <w:name w:val="first-child7"/>
    <w:qFormat/>
    <w:uiPriority w:val="0"/>
  </w:style>
  <w:style w:type="character" w:customStyle="1" w:styleId="78">
    <w:name w:val="ant-select-tree-checkbox"/>
    <w:qFormat/>
    <w:uiPriority w:val="0"/>
  </w:style>
  <w:style w:type="character" w:customStyle="1" w:styleId="79">
    <w:name w:val="tag-type"/>
    <w:qFormat/>
    <w:uiPriority w:val="0"/>
    <w:rPr>
      <w:color w:val="FFFFFF"/>
      <w:sz w:val="18"/>
      <w:szCs w:val="18"/>
      <w:shd w:val="clear" w:color="auto" w:fill="317FFD"/>
    </w:rPr>
  </w:style>
  <w:style w:type="character" w:customStyle="1" w:styleId="80">
    <w:name w:val="ant-select-tree-switcher"/>
    <w:qFormat/>
    <w:uiPriority w:val="0"/>
  </w:style>
  <w:style w:type="character" w:customStyle="1" w:styleId="81">
    <w:name w:val="Default Char"/>
    <w:link w:val="82"/>
    <w:qFormat/>
    <w:uiPriority w:val="0"/>
    <w:rPr>
      <w:rFonts w:ascii="楷体" w:eastAsia="楷体"/>
      <w:color w:val="000000"/>
      <w:sz w:val="24"/>
      <w:szCs w:val="24"/>
      <w:lang w:val="en-US" w:eastAsia="zh-CN" w:bidi="ar-SA"/>
    </w:rPr>
  </w:style>
  <w:style w:type="paragraph" w:customStyle="1" w:styleId="82">
    <w:name w:val="Default"/>
    <w:next w:val="83"/>
    <w:link w:val="81"/>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6">
    <w:name w:val="font71"/>
    <w:qFormat/>
    <w:uiPriority w:val="0"/>
    <w:rPr>
      <w:rFonts w:hint="eastAsia" w:ascii="宋体" w:hAnsi="宋体" w:eastAsia="宋体" w:cs="宋体"/>
      <w:color w:val="000000"/>
      <w:sz w:val="20"/>
      <w:szCs w:val="20"/>
      <w:u w:val="none"/>
    </w:rPr>
  </w:style>
  <w:style w:type="character" w:customStyle="1" w:styleId="87">
    <w:name w:val="current"/>
    <w:qFormat/>
    <w:uiPriority w:val="0"/>
    <w:rPr>
      <w:color w:val="00C1DE"/>
    </w:rPr>
  </w:style>
  <w:style w:type="character" w:customStyle="1" w:styleId="88">
    <w:name w:val="last-of-type"/>
    <w:qFormat/>
    <w:uiPriority w:val="0"/>
    <w:rPr>
      <w:color w:val="FF4A44"/>
      <w:sz w:val="27"/>
      <w:szCs w:val="27"/>
    </w:rPr>
  </w:style>
  <w:style w:type="character" w:customStyle="1" w:styleId="89">
    <w:name w:val="font121"/>
    <w:basedOn w:val="47"/>
    <w:qFormat/>
    <w:uiPriority w:val="0"/>
    <w:rPr>
      <w:rFonts w:hint="eastAsia" w:ascii="宋体" w:hAnsi="宋体" w:eastAsia="宋体" w:cs="宋体"/>
      <w:b/>
      <w:color w:val="000000"/>
      <w:sz w:val="20"/>
      <w:szCs w:val="20"/>
      <w:u w:val="none"/>
    </w:rPr>
  </w:style>
  <w:style w:type="character" w:customStyle="1" w:styleId="90">
    <w:name w:val="font01"/>
    <w:basedOn w:val="47"/>
    <w:qFormat/>
    <w:uiPriority w:val="0"/>
    <w:rPr>
      <w:rFonts w:hint="eastAsia" w:ascii="宋体" w:hAnsi="宋体" w:eastAsia="宋体" w:cs="宋体"/>
      <w:color w:val="000000"/>
      <w:sz w:val="20"/>
      <w:szCs w:val="20"/>
      <w:u w:val="none"/>
      <w:vertAlign w:val="superscript"/>
    </w:rPr>
  </w:style>
  <w:style w:type="character" w:customStyle="1" w:styleId="91">
    <w:name w:val="first-child"/>
    <w:qFormat/>
    <w:uiPriority w:val="0"/>
  </w:style>
  <w:style w:type="character" w:customStyle="1" w:styleId="92">
    <w:name w:val="current1"/>
    <w:qFormat/>
    <w:uiPriority w:val="0"/>
    <w:rPr>
      <w:color w:val="00C1DE"/>
    </w:rPr>
  </w:style>
  <w:style w:type="character" w:customStyle="1" w:styleId="93">
    <w:name w:val="zbggtop11 style5"/>
    <w:qFormat/>
    <w:uiPriority w:val="0"/>
  </w:style>
  <w:style w:type="character" w:customStyle="1" w:styleId="94">
    <w:name w:val="style1"/>
    <w:qFormat/>
    <w:uiPriority w:val="0"/>
  </w:style>
  <w:style w:type="character" w:customStyle="1" w:styleId="95">
    <w:name w:val="ant-tree-iconele"/>
    <w:qFormat/>
    <w:uiPriority w:val="0"/>
  </w:style>
  <w:style w:type="character" w:customStyle="1" w:styleId="96">
    <w:name w:val="content"/>
    <w:qFormat/>
    <w:uiPriority w:val="0"/>
  </w:style>
  <w:style w:type="character" w:customStyle="1" w:styleId="97">
    <w:name w:val="font51"/>
    <w:qFormat/>
    <w:uiPriority w:val="0"/>
    <w:rPr>
      <w:rFonts w:hint="eastAsia" w:ascii="宋体" w:hAnsi="宋体" w:eastAsia="宋体" w:cs="宋体"/>
      <w:color w:val="000000"/>
      <w:sz w:val="20"/>
      <w:szCs w:val="20"/>
      <w:u w:val="none"/>
    </w:rPr>
  </w:style>
  <w:style w:type="character" w:customStyle="1" w:styleId="98">
    <w:name w:val="列出段落 Char"/>
    <w:link w:val="64"/>
    <w:qFormat/>
    <w:uiPriority w:val="34"/>
    <w:rPr>
      <w:kern w:val="2"/>
      <w:sz w:val="21"/>
      <w:szCs w:val="24"/>
    </w:rPr>
  </w:style>
  <w:style w:type="character" w:customStyle="1" w:styleId="99">
    <w:name w:val="ant-select-tree-iconele"/>
    <w:qFormat/>
    <w:uiPriority w:val="0"/>
  </w:style>
  <w:style w:type="character" w:customStyle="1" w:styleId="100">
    <w:name w:val="bookmark-item uuid-1588129097073 code-23007 addword single-line-text-input-box-cls readonly"/>
    <w:qFormat/>
    <w:uiPriority w:val="0"/>
  </w:style>
  <w:style w:type="character" w:customStyle="1" w:styleId="101">
    <w:name w:val="ant-badge-status-dot2"/>
    <w:qFormat/>
    <w:uiPriority w:val="0"/>
    <w:rPr>
      <w:shd w:val="clear" w:color="auto" w:fill="FFFFFF"/>
    </w:rPr>
  </w:style>
  <w:style w:type="character" w:customStyle="1" w:styleId="102">
    <w:name w:val="change-camera-place"/>
    <w:qFormat/>
    <w:uiPriority w:val="0"/>
    <w:rPr>
      <w:color w:val="3177FD"/>
    </w:rPr>
  </w:style>
  <w:style w:type="character" w:customStyle="1" w:styleId="103">
    <w:name w:val="last-child1"/>
    <w:qFormat/>
    <w:uiPriority w:val="0"/>
  </w:style>
  <w:style w:type="character" w:customStyle="1" w:styleId="104">
    <w:name w:val="first-child9"/>
    <w:qFormat/>
    <w:uiPriority w:val="0"/>
  </w:style>
  <w:style w:type="character" w:customStyle="1" w:styleId="105">
    <w:name w:val="all-fit-info2"/>
    <w:qFormat/>
    <w:uiPriority w:val="0"/>
    <w:rPr>
      <w:color w:val="939393"/>
    </w:rPr>
  </w:style>
  <w:style w:type="character" w:customStyle="1" w:styleId="106">
    <w:name w:val="ant-tree-switcher"/>
    <w:qFormat/>
    <w:uiPriority w:val="0"/>
  </w:style>
  <w:style w:type="character" w:customStyle="1" w:styleId="107">
    <w:name w:val="temp2"/>
    <w:qFormat/>
    <w:uiPriority w:val="0"/>
  </w:style>
  <w:style w:type="character" w:customStyle="1" w:styleId="108">
    <w:name w:val="tpc_content1"/>
    <w:qFormat/>
    <w:uiPriority w:val="0"/>
    <w:rPr>
      <w:sz w:val="20"/>
      <w:szCs w:val="20"/>
    </w:rPr>
  </w:style>
  <w:style w:type="character" w:customStyle="1" w:styleId="109">
    <w:name w:val="font81"/>
    <w:basedOn w:val="47"/>
    <w:qFormat/>
    <w:uiPriority w:val="0"/>
    <w:rPr>
      <w:rFonts w:hint="eastAsia" w:ascii="宋体" w:hAnsi="宋体" w:eastAsia="宋体" w:cs="宋体"/>
      <w:color w:val="FF0000"/>
      <w:sz w:val="24"/>
      <w:szCs w:val="24"/>
      <w:u w:val="none"/>
    </w:rPr>
  </w:style>
  <w:style w:type="character" w:customStyle="1" w:styleId="110">
    <w:name w:val="tag-type1"/>
    <w:qFormat/>
    <w:uiPriority w:val="0"/>
    <w:rPr>
      <w:color w:val="FFFFFF"/>
      <w:sz w:val="18"/>
      <w:szCs w:val="18"/>
      <w:shd w:val="clear" w:color="auto" w:fill="317FFD"/>
    </w:rPr>
  </w:style>
  <w:style w:type="character" w:customStyle="1" w:styleId="111">
    <w:name w:val="font21"/>
    <w:basedOn w:val="47"/>
    <w:qFormat/>
    <w:uiPriority w:val="0"/>
    <w:rPr>
      <w:rFonts w:hint="default" w:ascii="Arial" w:hAnsi="Arial" w:cs="Arial"/>
      <w:color w:val="000000"/>
      <w:sz w:val="21"/>
      <w:szCs w:val="21"/>
      <w:u w:val="none"/>
    </w:rPr>
  </w:style>
  <w:style w:type="character" w:customStyle="1" w:styleId="112">
    <w:name w:val="last-child2"/>
    <w:qFormat/>
    <w:uiPriority w:val="0"/>
  </w:style>
  <w:style w:type="character" w:customStyle="1" w:styleId="113">
    <w:name w:val="info-content"/>
    <w:qFormat/>
    <w:uiPriority w:val="0"/>
    <w:rPr>
      <w:color w:val="808080"/>
    </w:rPr>
  </w:style>
  <w:style w:type="character" w:customStyle="1" w:styleId="114">
    <w:name w:val="Char Char"/>
    <w:qFormat/>
    <w:uiPriority w:val="0"/>
    <w:rPr>
      <w:rFonts w:ascii="Courier New" w:eastAsia="Courier New"/>
      <w:color w:val="FF0000"/>
      <w:kern w:val="2"/>
      <w:sz w:val="24"/>
      <w:szCs w:val="24"/>
      <w:u w:val="single"/>
      <w:lang w:val="en-US" w:eastAsia="zh-CN" w:bidi="ar-SA"/>
    </w:rPr>
  </w:style>
  <w:style w:type="character" w:customStyle="1" w:styleId="115">
    <w:name w:val="ant-tree-checkbox2"/>
    <w:qFormat/>
    <w:uiPriority w:val="0"/>
  </w:style>
  <w:style w:type="character" w:customStyle="1" w:styleId="116">
    <w:name w:val="label2"/>
    <w:qFormat/>
    <w:uiPriority w:val="0"/>
  </w:style>
  <w:style w:type="character" w:customStyle="1" w:styleId="117">
    <w:name w:val="标准文本 Char"/>
    <w:link w:val="118"/>
    <w:qFormat/>
    <w:uiPriority w:val="0"/>
    <w:rPr>
      <w:rFonts w:eastAsia="宋体" w:cs="宋体"/>
      <w:kern w:val="2"/>
      <w:sz w:val="24"/>
      <w:lang w:val="en-US" w:eastAsia="zh-CN" w:bidi="ar-SA"/>
    </w:rPr>
  </w:style>
  <w:style w:type="paragraph" w:customStyle="1" w:styleId="118">
    <w:name w:val="标准文本"/>
    <w:basedOn w:val="1"/>
    <w:link w:val="117"/>
    <w:qFormat/>
    <w:uiPriority w:val="0"/>
    <w:pPr>
      <w:spacing w:line="360" w:lineRule="auto"/>
      <w:ind w:firstLine="480" w:firstLineChars="200"/>
    </w:pPr>
    <w:rPr>
      <w:rFonts w:ascii="Times New Roman" w:hAnsi="Times New Roman" w:cs="宋体"/>
      <w:sz w:val="24"/>
      <w:szCs w:val="20"/>
    </w:rPr>
  </w:style>
  <w:style w:type="character" w:customStyle="1" w:styleId="119">
    <w:name w:val="正文2 Char"/>
    <w:link w:val="120"/>
    <w:qFormat/>
    <w:uiPriority w:val="0"/>
    <w:rPr>
      <w:rFonts w:eastAsia="宋体"/>
      <w:kern w:val="2"/>
      <w:sz w:val="24"/>
      <w:lang w:val="en-US" w:eastAsia="zh-CN" w:bidi="ar-SA"/>
    </w:rPr>
  </w:style>
  <w:style w:type="paragraph" w:customStyle="1" w:styleId="120">
    <w:name w:val="正文2"/>
    <w:basedOn w:val="1"/>
    <w:link w:val="119"/>
    <w:qFormat/>
    <w:uiPriority w:val="0"/>
    <w:pPr>
      <w:spacing w:line="360" w:lineRule="auto"/>
      <w:ind w:firstLine="510" w:firstLineChars="200"/>
    </w:pPr>
    <w:rPr>
      <w:rFonts w:ascii="Times New Roman" w:hAnsi="Times New Roman"/>
      <w:sz w:val="24"/>
      <w:szCs w:val="20"/>
    </w:rPr>
  </w:style>
  <w:style w:type="character" w:customStyle="1" w:styleId="121">
    <w:name w:val="bulletintext1"/>
    <w:qFormat/>
    <w:uiPriority w:val="0"/>
    <w:rPr>
      <w:color w:val="000000"/>
      <w:sz w:val="18"/>
    </w:rPr>
  </w:style>
  <w:style w:type="character" w:customStyle="1" w:styleId="122">
    <w:name w:val="last-child"/>
    <w:qFormat/>
    <w:uiPriority w:val="0"/>
  </w:style>
  <w:style w:type="character" w:customStyle="1" w:styleId="123">
    <w:name w:val="font101"/>
    <w:basedOn w:val="47"/>
    <w:qFormat/>
    <w:uiPriority w:val="0"/>
    <w:rPr>
      <w:rFonts w:ascii="Calibri" w:hAnsi="Calibri" w:cs="Calibri"/>
      <w:color w:val="000000"/>
      <w:sz w:val="20"/>
      <w:szCs w:val="20"/>
      <w:u w:val="none"/>
    </w:rPr>
  </w:style>
  <w:style w:type="character" w:customStyle="1" w:styleId="124">
    <w:name w:val="font61"/>
    <w:basedOn w:val="47"/>
    <w:qFormat/>
    <w:uiPriority w:val="0"/>
    <w:rPr>
      <w:rFonts w:hint="eastAsia" w:ascii="宋体" w:hAnsi="宋体" w:eastAsia="宋体" w:cs="宋体"/>
      <w:color w:val="161616"/>
      <w:sz w:val="20"/>
      <w:szCs w:val="20"/>
      <w:u w:val="none"/>
    </w:rPr>
  </w:style>
  <w:style w:type="character" w:customStyle="1" w:styleId="125">
    <w:name w:val="all-fit-info"/>
    <w:qFormat/>
    <w:uiPriority w:val="0"/>
    <w:rPr>
      <w:color w:val="939393"/>
    </w:rPr>
  </w:style>
  <w:style w:type="character" w:customStyle="1" w:styleId="126">
    <w:name w:val="ant-tree-checkbox"/>
    <w:qFormat/>
    <w:uiPriority w:val="0"/>
  </w:style>
  <w:style w:type="character" w:customStyle="1" w:styleId="127">
    <w:name w:val="ant-badge-status-dot"/>
    <w:qFormat/>
    <w:uiPriority w:val="0"/>
    <w:rPr>
      <w:shd w:val="clear" w:color="auto" w:fill="FFFFFF"/>
    </w:rPr>
  </w:style>
  <w:style w:type="character" w:customStyle="1" w:styleId="128">
    <w:name w:val="bookmark-item uuid-1591619842642 code-23011 addword date-time-selection-cls"/>
    <w:qFormat/>
    <w:uiPriority w:val="0"/>
  </w:style>
  <w:style w:type="character" w:customStyle="1" w:styleId="129">
    <w:name w:val="content8"/>
    <w:qFormat/>
    <w:uiPriority w:val="0"/>
  </w:style>
  <w:style w:type="character" w:customStyle="1" w:styleId="130">
    <w:name w:val="info-label"/>
    <w:qFormat/>
    <w:uiPriority w:val="0"/>
    <w:rPr>
      <w:b/>
    </w:rPr>
  </w:style>
  <w:style w:type="character" w:customStyle="1" w:styleId="131">
    <w:name w:val="ant-select-tree-checkbox2"/>
    <w:qFormat/>
    <w:uiPriority w:val="0"/>
  </w:style>
  <w:style w:type="character" w:customStyle="1" w:styleId="132">
    <w:name w:val="temp"/>
    <w:qFormat/>
    <w:uiPriority w:val="0"/>
  </w:style>
  <w:style w:type="character" w:customStyle="1" w:styleId="133">
    <w:name w:val="label"/>
    <w:qFormat/>
    <w:uiPriority w:val="0"/>
  </w:style>
  <w:style w:type="character" w:customStyle="1" w:styleId="134">
    <w:name w:val="ant-tree-icon_loading"/>
    <w:qFormat/>
    <w:uiPriority w:val="0"/>
    <w:rPr>
      <w:shd w:val="clear" w:color="auto" w:fill="FFFFFF"/>
    </w:rPr>
  </w:style>
  <w:style w:type="character" w:customStyle="1" w:styleId="135">
    <w:name w:val="last-child3"/>
    <w:qFormat/>
    <w:uiPriority w:val="0"/>
  </w:style>
  <w:style w:type="character" w:customStyle="1" w:styleId="136">
    <w:name w:val="font11"/>
    <w:basedOn w:val="47"/>
    <w:qFormat/>
    <w:uiPriority w:val="0"/>
    <w:rPr>
      <w:rFonts w:hint="eastAsia" w:ascii="宋体" w:hAnsi="宋体" w:eastAsia="宋体" w:cs="宋体"/>
      <w:color w:val="000000"/>
      <w:sz w:val="21"/>
      <w:szCs w:val="21"/>
      <w:u w:val="none"/>
    </w:rPr>
  </w:style>
  <w:style w:type="character" w:customStyle="1" w:styleId="137">
    <w:name w:val="all-fit-info1"/>
    <w:qFormat/>
    <w:uiPriority w:val="0"/>
    <w:rPr>
      <w:color w:val="939393"/>
    </w:rPr>
  </w:style>
  <w:style w:type="paragraph" w:customStyle="1" w:styleId="138">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9">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4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1">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2">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3">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4">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font6"/>
    <w:basedOn w:val="1"/>
    <w:qFormat/>
    <w:uiPriority w:val="0"/>
    <w:pPr>
      <w:widowControl/>
      <w:spacing w:beforeAutospacing="1" w:afterAutospacing="1"/>
      <w:jc w:val="left"/>
    </w:pPr>
    <w:rPr>
      <w:kern w:val="0"/>
      <w:sz w:val="18"/>
      <w:szCs w:val="18"/>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9">
    <w:name w:val="列出段落1"/>
    <w:basedOn w:val="1"/>
    <w:qFormat/>
    <w:uiPriority w:val="0"/>
    <w:pPr>
      <w:ind w:firstLine="420" w:firstLineChars="200"/>
    </w:pPr>
    <w:rPr>
      <w:rFonts w:ascii="等线" w:hAnsi="等线"/>
      <w:szCs w:val="21"/>
    </w:rPr>
  </w:style>
  <w:style w:type="paragraph" w:customStyle="1" w:styleId="150">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1">
    <w:name w:val="BodyText1I"/>
    <w:basedOn w:val="152"/>
    <w:qFormat/>
    <w:uiPriority w:val="0"/>
    <w:pPr>
      <w:spacing w:after="120"/>
      <w:ind w:firstLine="420" w:firstLineChars="100"/>
    </w:pPr>
  </w:style>
  <w:style w:type="paragraph" w:customStyle="1" w:styleId="152">
    <w:name w:val="BodyText"/>
    <w:basedOn w:val="1"/>
    <w:next w:val="151"/>
    <w:qFormat/>
    <w:uiPriority w:val="0"/>
    <w:rPr>
      <w:sz w:val="20"/>
    </w:rPr>
  </w:style>
  <w:style w:type="paragraph" w:customStyle="1" w:styleId="153">
    <w:name w:val="索引 11"/>
    <w:basedOn w:val="1"/>
    <w:next w:val="1"/>
    <w:qFormat/>
    <w:uiPriority w:val="99"/>
    <w:pPr>
      <w:spacing w:line="360" w:lineRule="auto"/>
    </w:pPr>
    <w:rPr>
      <w:rFonts w:ascii="仿宋_GB2312" w:eastAsia="仿宋_GB2312"/>
      <w:sz w:val="24"/>
      <w:szCs w:val="20"/>
    </w:rPr>
  </w:style>
  <w:style w:type="paragraph" w:customStyle="1" w:styleId="154">
    <w:name w:val="Char Char Char Char Char"/>
    <w:basedOn w:val="1"/>
    <w:qFormat/>
    <w:uiPriority w:val="0"/>
    <w:pPr>
      <w:widowControl/>
      <w:spacing w:line="240" w:lineRule="exact"/>
      <w:jc w:val="left"/>
    </w:pPr>
    <w:rPr>
      <w:rFonts w:ascii="Verdana" w:hAnsi="Verdana" w:eastAsia="华文细黑"/>
    </w:rPr>
  </w:style>
  <w:style w:type="paragraph" w:customStyle="1" w:styleId="155">
    <w:name w:val="无间距1"/>
    <w:qFormat/>
    <w:uiPriority w:val="0"/>
    <w:rPr>
      <w:rFonts w:ascii="Times New Roman" w:hAnsi="Times New Roman" w:eastAsia="??" w:cs="宋体"/>
      <w:sz w:val="22"/>
      <w:szCs w:val="22"/>
      <w:lang w:val="en-US" w:eastAsia="en-US" w:bidi="ar-SA"/>
    </w:rPr>
  </w:style>
  <w:style w:type="paragraph" w:customStyle="1" w:styleId="156">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7">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8">
    <w:name w:val="方案三级标题"/>
    <w:basedOn w:val="4"/>
    <w:qFormat/>
    <w:uiPriority w:val="0"/>
    <w:pPr>
      <w:spacing w:before="120" w:after="120" w:line="300" w:lineRule="auto"/>
    </w:pPr>
    <w:rPr>
      <w:rFonts w:ascii="宋体" w:hAnsi="宋体" w:eastAsia="宋体"/>
      <w:sz w:val="30"/>
    </w:rPr>
  </w:style>
  <w:style w:type="paragraph" w:customStyle="1" w:styleId="159">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0"/>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3"/>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6"/>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18"/>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color="auto"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color="auto"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6">
    <w:name w:val="fontstyle01"/>
    <w:basedOn w:val="47"/>
    <w:qFormat/>
    <w:uiPriority w:val="0"/>
    <w:rPr>
      <w:rFonts w:ascii="MicrosoftYaHei" w:hAnsi="MicrosoftYaHei" w:eastAsia="MicrosoftYaHei" w:cs="MicrosoftYaHei"/>
      <w:color w:val="000000"/>
      <w:sz w:val="48"/>
      <w:szCs w:val="48"/>
    </w:rPr>
  </w:style>
  <w:style w:type="paragraph" w:customStyle="1" w:styleId="2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28">
    <w:name w:val="font112"/>
    <w:basedOn w:val="47"/>
    <w:qFormat/>
    <w:uiPriority w:val="0"/>
    <w:rPr>
      <w:rFonts w:hint="eastAsia" w:ascii="宋体" w:hAnsi="宋体" w:eastAsia="宋体" w:cs="宋体"/>
      <w:strike/>
      <w:color w:val="4874CB"/>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126</Pages>
  <Words>2459</Words>
  <Characters>2686</Characters>
  <Lines>360</Lines>
  <Paragraphs>101</Paragraphs>
  <TotalTime>123</TotalTime>
  <ScaleCrop>false</ScaleCrop>
  <LinksUpToDate>false</LinksUpToDate>
  <CharactersWithSpaces>2819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唐稳</cp:lastModifiedBy>
  <cp:lastPrinted>2025-01-02T07:02:00Z</cp:lastPrinted>
  <dcterms:modified xsi:type="dcterms:W3CDTF">2025-07-01T09:50:45Z</dcterms:modified>
  <dc:title>杭州下沙服务外包人才培训基地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C8AC91DC6FD44967A09091261545D8F5_13</vt:lpwstr>
  </property>
  <property fmtid="{D5CDD505-2E9C-101B-9397-08002B2CF9AE}" pid="4" name="KSOTemplateDocerSaveRecord">
    <vt:lpwstr>eyJoZGlkIjoiNTQzMGExYzQ5NDk2OTJiODgzOWVmMWVlZmFhNWQ2ODciLCJ1c2VySWQiOiI1ODI1MDg5NzUifQ==</vt:lpwstr>
  </property>
</Properties>
</file>