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9018C">
      <w:pPr>
        <w:adjustRightInd w:val="0"/>
        <w:snapToGrid w:val="0"/>
        <w:spacing w:line="360" w:lineRule="auto"/>
        <w:rPr>
          <w:rFonts w:hint="eastAsia" w:ascii="仿宋" w:hAnsi="仿宋" w:eastAsia="仿宋" w:cs="仿宋"/>
          <w:w w:val="80"/>
          <w:sz w:val="52"/>
          <w:szCs w:val="52"/>
          <w:highlight w:val="none"/>
          <w:lang w:bidi="th-TH"/>
        </w:rPr>
      </w:pPr>
    </w:p>
    <w:p w14:paraId="06A442E4">
      <w:pPr>
        <w:pStyle w:val="2"/>
        <w:adjustRightInd w:val="0"/>
        <w:snapToGrid w:val="0"/>
        <w:spacing w:line="360" w:lineRule="auto"/>
        <w:ind w:firstLine="0"/>
        <w:rPr>
          <w:rFonts w:hint="eastAsia" w:ascii="仿宋" w:hAnsi="仿宋" w:eastAsia="仿宋" w:cs="仿宋"/>
          <w:highlight w:val="none"/>
        </w:rPr>
      </w:pPr>
    </w:p>
    <w:p w14:paraId="31549605">
      <w:pPr>
        <w:rPr>
          <w:rFonts w:hint="eastAsia" w:ascii="仿宋" w:hAnsi="仿宋" w:eastAsia="仿宋" w:cs="仿宋"/>
          <w:highlight w:val="none"/>
        </w:rPr>
      </w:pPr>
    </w:p>
    <w:p w14:paraId="2B2EFC24">
      <w:pPr>
        <w:pStyle w:val="2"/>
        <w:adjustRightInd w:val="0"/>
        <w:snapToGrid w:val="0"/>
        <w:spacing w:line="360" w:lineRule="auto"/>
        <w:ind w:firstLine="0"/>
        <w:rPr>
          <w:rFonts w:hint="eastAsia" w:ascii="仿宋" w:hAnsi="仿宋" w:eastAsia="仿宋" w:cs="仿宋"/>
          <w:highlight w:val="none"/>
        </w:rPr>
      </w:pPr>
    </w:p>
    <w:p w14:paraId="74F35778">
      <w:pPr>
        <w:pStyle w:val="65"/>
        <w:widowControl w:val="0"/>
        <w:adjustRightInd w:val="0"/>
        <w:snapToGrid w:val="0"/>
        <w:spacing w:line="360" w:lineRule="auto"/>
        <w:ind w:firstLine="0"/>
        <w:jc w:val="center"/>
        <w:rPr>
          <w:rFonts w:hint="eastAsia" w:ascii="仿宋" w:hAnsi="仿宋" w:eastAsia="仿宋" w:cs="仿宋"/>
          <w:color w:val="000000" w:themeColor="text1"/>
          <w:sz w:val="48"/>
          <w:szCs w:val="48"/>
          <w:highlight w:val="none"/>
          <w:lang w:eastAsia="zh-CN"/>
          <w14:textFill>
            <w14:solidFill>
              <w14:schemeClr w14:val="tx1"/>
            </w14:solidFill>
          </w14:textFill>
        </w:rPr>
      </w:pPr>
      <w:r>
        <w:rPr>
          <w:rFonts w:hint="eastAsia" w:ascii="仿宋" w:hAnsi="仿宋" w:eastAsia="仿宋" w:cs="仿宋"/>
          <w:color w:val="000000" w:themeColor="text1"/>
          <w:sz w:val="48"/>
          <w:szCs w:val="48"/>
          <w:highlight w:val="none"/>
          <w:lang w:eastAsia="zh-CN"/>
          <w14:textFill>
            <w14:solidFill>
              <w14:schemeClr w14:val="tx1"/>
            </w14:solidFill>
          </w14:textFill>
        </w:rPr>
        <w:t>钱塘区图书馆</w:t>
      </w:r>
    </w:p>
    <w:p w14:paraId="7498EFE3">
      <w:pPr>
        <w:pStyle w:val="65"/>
        <w:widowControl w:val="0"/>
        <w:adjustRightInd w:val="0"/>
        <w:snapToGrid w:val="0"/>
        <w:spacing w:line="360" w:lineRule="auto"/>
        <w:ind w:firstLine="0"/>
        <w:jc w:val="center"/>
        <w:rPr>
          <w:rFonts w:hint="eastAsia" w:ascii="仿宋" w:hAnsi="仿宋" w:eastAsia="仿宋" w:cs="仿宋"/>
          <w:color w:val="000000" w:themeColor="text1"/>
          <w:szCs w:val="44"/>
          <w:highlight w:val="none"/>
          <w:lang w:eastAsia="zh-CN"/>
          <w14:textFill>
            <w14:solidFill>
              <w14:schemeClr w14:val="tx1"/>
            </w14:solidFill>
          </w14:textFill>
        </w:rPr>
      </w:pPr>
      <w:r>
        <w:rPr>
          <w:rFonts w:hint="eastAsia" w:ascii="仿宋" w:hAnsi="仿宋" w:eastAsia="仿宋" w:cs="仿宋"/>
          <w:color w:val="000000" w:themeColor="text1"/>
          <w:sz w:val="48"/>
          <w:szCs w:val="48"/>
          <w:highlight w:val="none"/>
          <w:lang w:eastAsia="zh-CN"/>
          <w14:textFill>
            <w14:solidFill>
              <w14:schemeClr w14:val="tx1"/>
            </w14:solidFill>
          </w14:textFill>
        </w:rPr>
        <w:t>2025年纸质流通图书采购</w:t>
      </w:r>
    </w:p>
    <w:p w14:paraId="06563320">
      <w:pPr>
        <w:adjustRightInd w:val="0"/>
        <w:snapToGrid w:val="0"/>
        <w:spacing w:line="360" w:lineRule="auto"/>
        <w:jc w:val="center"/>
        <w:rPr>
          <w:rFonts w:hint="eastAsia" w:ascii="仿宋" w:hAnsi="仿宋" w:eastAsia="仿宋" w:cs="仿宋"/>
          <w:b/>
          <w:szCs w:val="84"/>
          <w:highlight w:val="none"/>
        </w:rPr>
      </w:pPr>
    </w:p>
    <w:p w14:paraId="40EED1E5">
      <w:pPr>
        <w:adjustRightInd w:val="0"/>
        <w:snapToGrid w:val="0"/>
        <w:spacing w:line="360" w:lineRule="auto"/>
        <w:jc w:val="center"/>
        <w:rPr>
          <w:rFonts w:hint="eastAsia" w:ascii="仿宋" w:hAnsi="仿宋" w:eastAsia="仿宋" w:cs="仿宋"/>
          <w:b/>
          <w:szCs w:val="84"/>
          <w:highlight w:val="none"/>
        </w:rPr>
      </w:pPr>
      <w:r>
        <w:rPr>
          <w:rFonts w:hint="eastAsia" w:ascii="仿宋" w:hAnsi="仿宋" w:eastAsia="仿宋" w:cs="仿宋"/>
          <w:b/>
          <w:szCs w:val="84"/>
          <w:highlight w:val="none"/>
        </w:rPr>
        <w:t>（电子招投标）</w:t>
      </w:r>
    </w:p>
    <w:p w14:paraId="0AC1B603">
      <w:pPr>
        <w:pStyle w:val="3"/>
        <w:rPr>
          <w:rFonts w:hint="eastAsia" w:ascii="仿宋" w:hAnsi="仿宋" w:eastAsia="仿宋" w:cs="仿宋"/>
          <w:highlight w:val="none"/>
        </w:rPr>
      </w:pPr>
    </w:p>
    <w:p w14:paraId="58E1C043">
      <w:pPr>
        <w:jc w:val="center"/>
        <w:rPr>
          <w:rFonts w:hint="eastAsia" w:ascii="仿宋" w:hAnsi="仿宋" w:eastAsia="仿宋" w:cs="仿宋"/>
          <w:b/>
          <w:szCs w:val="84"/>
          <w:highlight w:val="none"/>
        </w:rPr>
      </w:pPr>
    </w:p>
    <w:p w14:paraId="489F6B3A">
      <w:pPr>
        <w:jc w:val="center"/>
        <w:rPr>
          <w:rFonts w:hint="eastAsia" w:ascii="仿宋" w:hAnsi="仿宋" w:eastAsia="仿宋" w:cs="仿宋"/>
          <w:b/>
          <w:szCs w:val="84"/>
          <w:highlight w:val="none"/>
        </w:rPr>
      </w:pPr>
    </w:p>
    <w:p w14:paraId="3CFB3965">
      <w:pPr>
        <w:spacing w:line="360" w:lineRule="auto"/>
        <w:jc w:val="center"/>
        <w:rPr>
          <w:rFonts w:hint="eastAsia" w:ascii="仿宋" w:hAnsi="仿宋" w:eastAsia="仿宋" w:cs="仿宋"/>
          <w:b/>
          <w:sz w:val="84"/>
          <w:szCs w:val="84"/>
          <w:highlight w:val="none"/>
        </w:rPr>
      </w:pPr>
      <w:r>
        <w:rPr>
          <w:rFonts w:hint="eastAsia" w:ascii="仿宋" w:hAnsi="仿宋" w:eastAsia="仿宋" w:cs="仿宋"/>
          <w:b/>
          <w:spacing w:val="40"/>
          <w:w w:val="80"/>
          <w:sz w:val="96"/>
          <w:szCs w:val="96"/>
          <w:highlight w:val="none"/>
          <w:lang w:bidi="th-TH"/>
        </w:rPr>
        <w:t>采 购 文 件</w:t>
      </w:r>
    </w:p>
    <w:p w14:paraId="6B3247F0">
      <w:pPr>
        <w:jc w:val="center"/>
        <w:rPr>
          <w:rFonts w:hint="eastAsia" w:ascii="仿宋" w:hAnsi="仿宋" w:eastAsia="仿宋" w:cs="仿宋"/>
          <w:b/>
          <w:szCs w:val="84"/>
          <w:highlight w:val="none"/>
        </w:rPr>
      </w:pPr>
    </w:p>
    <w:p w14:paraId="77A02D16">
      <w:pPr>
        <w:jc w:val="center"/>
        <w:rPr>
          <w:rFonts w:hint="eastAsia" w:ascii="仿宋" w:hAnsi="仿宋" w:eastAsia="仿宋" w:cs="仿宋"/>
          <w:b/>
          <w:szCs w:val="84"/>
          <w:highlight w:val="none"/>
        </w:rPr>
      </w:pPr>
    </w:p>
    <w:p w14:paraId="65FD9DCA">
      <w:pPr>
        <w:spacing w:line="360" w:lineRule="auto"/>
        <w:jc w:val="center"/>
        <w:rPr>
          <w:rFonts w:hint="eastAsia" w:ascii="仿宋" w:hAnsi="仿宋" w:eastAsia="仿宋" w:cs="仿宋"/>
          <w:b/>
          <w:w w:val="80"/>
          <w:sz w:val="36"/>
          <w:szCs w:val="36"/>
          <w:highlight w:val="none"/>
          <w:lang w:eastAsia="zh-CN" w:bidi="th-TH"/>
        </w:rPr>
      </w:pPr>
      <w:r>
        <w:rPr>
          <w:rFonts w:hint="eastAsia" w:ascii="仿宋" w:hAnsi="仿宋" w:eastAsia="仿宋" w:cs="仿宋"/>
          <w:b/>
          <w:w w:val="80"/>
          <w:sz w:val="36"/>
          <w:szCs w:val="36"/>
          <w:highlight w:val="none"/>
          <w:lang w:bidi="th-TH"/>
        </w:rPr>
        <w:t>项目编号：</w:t>
      </w:r>
      <w:r>
        <w:rPr>
          <w:rFonts w:hint="eastAsia" w:ascii="仿宋" w:hAnsi="仿宋" w:eastAsia="仿宋" w:cs="仿宋"/>
          <w:b/>
          <w:w w:val="80"/>
          <w:sz w:val="36"/>
          <w:szCs w:val="36"/>
          <w:highlight w:val="none"/>
          <w:lang w:eastAsia="zh-CN" w:bidi="th-TH"/>
        </w:rPr>
        <w:t>QTCG-GK-2025-110</w:t>
      </w:r>
    </w:p>
    <w:p w14:paraId="4A8044C7">
      <w:pPr>
        <w:pStyle w:val="26"/>
        <w:ind w:left="5250"/>
        <w:rPr>
          <w:rFonts w:hint="eastAsia" w:ascii="仿宋" w:hAnsi="仿宋" w:eastAsia="仿宋" w:cs="仿宋"/>
          <w:b/>
          <w:szCs w:val="28"/>
          <w:highlight w:val="none"/>
        </w:rPr>
      </w:pPr>
    </w:p>
    <w:p w14:paraId="7258A186">
      <w:pPr>
        <w:rPr>
          <w:rFonts w:hint="eastAsia" w:ascii="仿宋" w:hAnsi="仿宋" w:eastAsia="仿宋" w:cs="仿宋"/>
          <w:b/>
          <w:highlight w:val="none"/>
        </w:rPr>
      </w:pPr>
    </w:p>
    <w:p w14:paraId="199AF2BD">
      <w:pPr>
        <w:rPr>
          <w:rFonts w:hint="eastAsia" w:ascii="仿宋" w:hAnsi="仿宋" w:eastAsia="仿宋" w:cs="仿宋"/>
          <w:b/>
          <w:highlight w:val="none"/>
        </w:rPr>
      </w:pPr>
    </w:p>
    <w:p w14:paraId="15A49B4B">
      <w:pPr>
        <w:rPr>
          <w:rFonts w:hint="eastAsia" w:ascii="仿宋" w:hAnsi="仿宋" w:eastAsia="仿宋" w:cs="仿宋"/>
          <w:b/>
          <w:highlight w:val="none"/>
        </w:rPr>
      </w:pPr>
    </w:p>
    <w:p w14:paraId="6C7CC556">
      <w:pPr>
        <w:rPr>
          <w:rFonts w:hint="eastAsia" w:ascii="仿宋" w:hAnsi="仿宋" w:eastAsia="仿宋" w:cs="仿宋"/>
          <w:b/>
          <w:highlight w:val="none"/>
        </w:rPr>
      </w:pPr>
    </w:p>
    <w:p w14:paraId="53F434F7">
      <w:pPr>
        <w:rPr>
          <w:rFonts w:hint="eastAsia" w:ascii="仿宋" w:hAnsi="仿宋" w:eastAsia="仿宋" w:cs="仿宋"/>
          <w:b/>
          <w:highlight w:val="none"/>
        </w:rPr>
      </w:pPr>
    </w:p>
    <w:p w14:paraId="5A53AD22">
      <w:pPr>
        <w:rPr>
          <w:rFonts w:hint="eastAsia" w:ascii="仿宋" w:hAnsi="仿宋" w:eastAsia="仿宋" w:cs="仿宋"/>
          <w:b/>
          <w:highlight w:val="none"/>
        </w:rPr>
      </w:pPr>
    </w:p>
    <w:tbl>
      <w:tblPr>
        <w:tblStyle w:val="45"/>
        <w:tblW w:w="6303" w:type="dxa"/>
        <w:jc w:val="center"/>
        <w:tblLayout w:type="fixed"/>
        <w:tblCellMar>
          <w:top w:w="0" w:type="dxa"/>
          <w:left w:w="108" w:type="dxa"/>
          <w:bottom w:w="0" w:type="dxa"/>
          <w:right w:w="108" w:type="dxa"/>
        </w:tblCellMar>
      </w:tblPr>
      <w:tblGrid>
        <w:gridCol w:w="2160"/>
        <w:gridCol w:w="260"/>
        <w:gridCol w:w="3883"/>
      </w:tblGrid>
      <w:tr w14:paraId="6B6AC2C2">
        <w:tblPrEx>
          <w:tblCellMar>
            <w:top w:w="0" w:type="dxa"/>
            <w:left w:w="108" w:type="dxa"/>
            <w:bottom w:w="0" w:type="dxa"/>
            <w:right w:w="108" w:type="dxa"/>
          </w:tblCellMar>
        </w:tblPrEx>
        <w:trPr>
          <w:trHeight w:val="680" w:hRule="atLeast"/>
          <w:jc w:val="center"/>
        </w:trPr>
        <w:tc>
          <w:tcPr>
            <w:tcW w:w="2160" w:type="dxa"/>
            <w:noWrap/>
            <w:vAlign w:val="center"/>
          </w:tcPr>
          <w:p w14:paraId="51F19315">
            <w:pPr>
              <w:snapToGrid w:val="0"/>
              <w:jc w:val="distribute"/>
              <w:rPr>
                <w:rFonts w:hint="eastAsia" w:ascii="仿宋" w:hAnsi="仿宋" w:eastAsia="仿宋" w:cs="仿宋"/>
                <w:b/>
                <w:sz w:val="32"/>
                <w:szCs w:val="32"/>
                <w:highlight w:val="none"/>
              </w:rPr>
            </w:pPr>
            <w:r>
              <w:rPr>
                <w:rFonts w:hint="eastAsia" w:ascii="仿宋" w:hAnsi="仿宋" w:eastAsia="仿宋" w:cs="仿宋"/>
                <w:b/>
                <w:sz w:val="32"/>
                <w:szCs w:val="32"/>
                <w:highlight w:val="none"/>
              </w:rPr>
              <w:t>采购人</w:t>
            </w:r>
          </w:p>
        </w:tc>
        <w:tc>
          <w:tcPr>
            <w:tcW w:w="260" w:type="dxa"/>
            <w:noWrap/>
            <w:vAlign w:val="center"/>
          </w:tcPr>
          <w:p w14:paraId="31A3BED6">
            <w:pPr>
              <w:snapToGrid w:val="0"/>
              <w:jc w:val="distribute"/>
              <w:rPr>
                <w:rFonts w:hint="eastAsia" w:ascii="仿宋" w:hAnsi="仿宋" w:eastAsia="仿宋" w:cs="仿宋"/>
                <w:b/>
                <w:sz w:val="32"/>
                <w:szCs w:val="32"/>
                <w:highlight w:val="none"/>
              </w:rPr>
            </w:pPr>
            <w:r>
              <w:rPr>
                <w:rFonts w:hint="eastAsia" w:ascii="仿宋" w:hAnsi="仿宋" w:eastAsia="仿宋" w:cs="仿宋"/>
                <w:b/>
                <w:sz w:val="32"/>
                <w:szCs w:val="32"/>
                <w:highlight w:val="none"/>
              </w:rPr>
              <w:t>：</w:t>
            </w:r>
          </w:p>
        </w:tc>
        <w:tc>
          <w:tcPr>
            <w:tcW w:w="3883" w:type="dxa"/>
            <w:noWrap/>
            <w:vAlign w:val="center"/>
          </w:tcPr>
          <w:p w14:paraId="3E89BCAF">
            <w:pPr>
              <w:snapToGrid w:val="0"/>
              <w:jc w:val="distribute"/>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lang w:eastAsia="zh-CN"/>
              </w:rPr>
              <w:t>杭州市钱塘区民政</w:t>
            </w:r>
          </w:p>
          <w:p w14:paraId="221440B6">
            <w:pPr>
              <w:snapToGrid w:val="0"/>
              <w:jc w:val="distribute"/>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lang w:eastAsia="zh-CN"/>
              </w:rPr>
              <w:t>和文化旅游体育局</w:t>
            </w:r>
          </w:p>
        </w:tc>
      </w:tr>
      <w:tr w14:paraId="1F99258B">
        <w:tblPrEx>
          <w:tblCellMar>
            <w:top w:w="0" w:type="dxa"/>
            <w:left w:w="108" w:type="dxa"/>
            <w:bottom w:w="0" w:type="dxa"/>
            <w:right w:w="108" w:type="dxa"/>
          </w:tblCellMar>
        </w:tblPrEx>
        <w:trPr>
          <w:trHeight w:val="297" w:hRule="atLeast"/>
          <w:jc w:val="center"/>
        </w:trPr>
        <w:tc>
          <w:tcPr>
            <w:tcW w:w="2160" w:type="dxa"/>
            <w:noWrap/>
            <w:vAlign w:val="center"/>
          </w:tcPr>
          <w:p w14:paraId="2BF868A7">
            <w:pPr>
              <w:snapToGrid w:val="0"/>
              <w:jc w:val="distribute"/>
              <w:rPr>
                <w:rFonts w:hint="eastAsia" w:ascii="仿宋" w:hAnsi="仿宋" w:eastAsia="仿宋" w:cs="仿宋"/>
                <w:b/>
                <w:sz w:val="22"/>
                <w:szCs w:val="22"/>
                <w:highlight w:val="none"/>
              </w:rPr>
            </w:pPr>
          </w:p>
        </w:tc>
        <w:tc>
          <w:tcPr>
            <w:tcW w:w="260" w:type="dxa"/>
            <w:noWrap/>
            <w:vAlign w:val="center"/>
          </w:tcPr>
          <w:p w14:paraId="4F2F01B8">
            <w:pPr>
              <w:snapToGrid w:val="0"/>
              <w:jc w:val="distribute"/>
              <w:rPr>
                <w:rFonts w:hint="eastAsia" w:ascii="仿宋" w:hAnsi="仿宋" w:eastAsia="仿宋" w:cs="仿宋"/>
                <w:b/>
                <w:sz w:val="22"/>
                <w:szCs w:val="22"/>
                <w:highlight w:val="none"/>
              </w:rPr>
            </w:pPr>
          </w:p>
        </w:tc>
        <w:tc>
          <w:tcPr>
            <w:tcW w:w="3883" w:type="dxa"/>
            <w:noWrap/>
            <w:vAlign w:val="center"/>
          </w:tcPr>
          <w:p w14:paraId="285A8653">
            <w:pPr>
              <w:snapToGrid w:val="0"/>
              <w:jc w:val="distribute"/>
              <w:rPr>
                <w:rFonts w:hint="eastAsia" w:ascii="仿宋" w:hAnsi="仿宋" w:eastAsia="仿宋" w:cs="仿宋"/>
                <w:b/>
                <w:sz w:val="22"/>
                <w:szCs w:val="22"/>
                <w:highlight w:val="none"/>
              </w:rPr>
            </w:pPr>
          </w:p>
        </w:tc>
      </w:tr>
      <w:tr w14:paraId="4B3B74C2">
        <w:tblPrEx>
          <w:tblCellMar>
            <w:top w:w="0" w:type="dxa"/>
            <w:left w:w="108" w:type="dxa"/>
            <w:bottom w:w="0" w:type="dxa"/>
            <w:right w:w="108" w:type="dxa"/>
          </w:tblCellMar>
        </w:tblPrEx>
        <w:trPr>
          <w:trHeight w:val="680" w:hRule="atLeast"/>
          <w:jc w:val="center"/>
        </w:trPr>
        <w:tc>
          <w:tcPr>
            <w:tcW w:w="2160" w:type="dxa"/>
            <w:noWrap/>
            <w:vAlign w:val="center"/>
          </w:tcPr>
          <w:p w14:paraId="5C91F66F">
            <w:pPr>
              <w:snapToGrid w:val="0"/>
              <w:jc w:val="distribute"/>
              <w:rPr>
                <w:rFonts w:hint="eastAsia" w:ascii="仿宋" w:hAnsi="仿宋" w:eastAsia="仿宋" w:cs="仿宋"/>
                <w:b/>
                <w:sz w:val="32"/>
                <w:szCs w:val="32"/>
                <w:highlight w:val="none"/>
              </w:rPr>
            </w:pPr>
            <w:r>
              <w:rPr>
                <w:rFonts w:hint="eastAsia" w:ascii="仿宋" w:hAnsi="仿宋" w:eastAsia="仿宋" w:cs="仿宋"/>
                <w:b/>
                <w:sz w:val="32"/>
                <w:szCs w:val="32"/>
                <w:highlight w:val="none"/>
              </w:rPr>
              <w:t>采购代理机构</w:t>
            </w:r>
          </w:p>
        </w:tc>
        <w:tc>
          <w:tcPr>
            <w:tcW w:w="260" w:type="dxa"/>
            <w:noWrap/>
            <w:vAlign w:val="center"/>
          </w:tcPr>
          <w:p w14:paraId="7231250F">
            <w:pPr>
              <w:snapToGrid w:val="0"/>
              <w:jc w:val="distribute"/>
              <w:rPr>
                <w:rFonts w:hint="eastAsia" w:ascii="仿宋" w:hAnsi="仿宋" w:eastAsia="仿宋" w:cs="仿宋"/>
                <w:b/>
                <w:sz w:val="32"/>
                <w:szCs w:val="32"/>
                <w:highlight w:val="none"/>
              </w:rPr>
            </w:pPr>
            <w:r>
              <w:rPr>
                <w:rFonts w:hint="eastAsia" w:ascii="仿宋" w:hAnsi="仿宋" w:eastAsia="仿宋" w:cs="仿宋"/>
                <w:b/>
                <w:sz w:val="32"/>
                <w:szCs w:val="32"/>
                <w:highlight w:val="none"/>
              </w:rPr>
              <w:t>：</w:t>
            </w:r>
          </w:p>
        </w:tc>
        <w:tc>
          <w:tcPr>
            <w:tcW w:w="3883" w:type="dxa"/>
            <w:noWrap/>
            <w:vAlign w:val="center"/>
          </w:tcPr>
          <w:p w14:paraId="6F901837">
            <w:pPr>
              <w:snapToGrid w:val="0"/>
              <w:jc w:val="distribute"/>
              <w:rPr>
                <w:rFonts w:hint="eastAsia" w:ascii="仿宋" w:hAnsi="仿宋" w:eastAsia="仿宋" w:cs="仿宋"/>
                <w:b/>
                <w:sz w:val="32"/>
                <w:szCs w:val="32"/>
                <w:highlight w:val="none"/>
              </w:rPr>
            </w:pPr>
            <w:r>
              <w:rPr>
                <w:rFonts w:hint="eastAsia" w:ascii="仿宋" w:hAnsi="仿宋" w:eastAsia="仿宋" w:cs="仿宋"/>
                <w:b/>
                <w:color w:val="000000" w:themeColor="text1"/>
                <w:sz w:val="32"/>
                <w:szCs w:val="32"/>
                <w:highlight w:val="none"/>
                <w14:textFill>
                  <w14:solidFill>
                    <w14:schemeClr w14:val="tx1"/>
                  </w14:solidFill>
                </w14:textFill>
              </w:rPr>
              <w:t>浙江国际招投标有限公司</w:t>
            </w:r>
          </w:p>
        </w:tc>
      </w:tr>
      <w:tr w14:paraId="5EC3B3B8">
        <w:tblPrEx>
          <w:tblCellMar>
            <w:top w:w="0" w:type="dxa"/>
            <w:left w:w="108" w:type="dxa"/>
            <w:bottom w:w="0" w:type="dxa"/>
            <w:right w:w="108" w:type="dxa"/>
          </w:tblCellMar>
        </w:tblPrEx>
        <w:trPr>
          <w:trHeight w:val="462" w:hRule="atLeast"/>
          <w:jc w:val="center"/>
        </w:trPr>
        <w:tc>
          <w:tcPr>
            <w:tcW w:w="2160" w:type="dxa"/>
            <w:noWrap/>
            <w:vAlign w:val="center"/>
          </w:tcPr>
          <w:p w14:paraId="08368100">
            <w:pPr>
              <w:snapToGrid w:val="0"/>
              <w:jc w:val="distribute"/>
              <w:rPr>
                <w:rFonts w:hint="eastAsia" w:ascii="仿宋" w:hAnsi="仿宋" w:eastAsia="仿宋" w:cs="仿宋"/>
                <w:b/>
                <w:sz w:val="30"/>
                <w:szCs w:val="30"/>
                <w:highlight w:val="none"/>
              </w:rPr>
            </w:pPr>
          </w:p>
        </w:tc>
        <w:tc>
          <w:tcPr>
            <w:tcW w:w="260" w:type="dxa"/>
            <w:noWrap/>
            <w:vAlign w:val="center"/>
          </w:tcPr>
          <w:p w14:paraId="456BEAF7">
            <w:pPr>
              <w:snapToGrid w:val="0"/>
              <w:jc w:val="distribute"/>
              <w:rPr>
                <w:rFonts w:hint="eastAsia" w:ascii="仿宋" w:hAnsi="仿宋" w:eastAsia="仿宋" w:cs="仿宋"/>
                <w:b/>
                <w:sz w:val="30"/>
                <w:szCs w:val="30"/>
                <w:highlight w:val="none"/>
              </w:rPr>
            </w:pPr>
          </w:p>
        </w:tc>
        <w:tc>
          <w:tcPr>
            <w:tcW w:w="3883" w:type="dxa"/>
            <w:noWrap/>
            <w:vAlign w:val="center"/>
          </w:tcPr>
          <w:p w14:paraId="5F6D8CA6">
            <w:pPr>
              <w:snapToGrid w:val="0"/>
              <w:jc w:val="distribute"/>
              <w:rPr>
                <w:rFonts w:hint="eastAsia" w:ascii="仿宋" w:hAnsi="仿宋" w:eastAsia="仿宋" w:cs="仿宋"/>
                <w:b/>
                <w:sz w:val="30"/>
                <w:szCs w:val="30"/>
                <w:highlight w:val="none"/>
              </w:rPr>
            </w:pPr>
          </w:p>
        </w:tc>
      </w:tr>
      <w:tr w14:paraId="1D01CE61">
        <w:tblPrEx>
          <w:tblCellMar>
            <w:top w:w="0" w:type="dxa"/>
            <w:left w:w="108" w:type="dxa"/>
            <w:bottom w:w="0" w:type="dxa"/>
            <w:right w:w="108" w:type="dxa"/>
          </w:tblCellMar>
        </w:tblPrEx>
        <w:trPr>
          <w:trHeight w:val="680" w:hRule="atLeast"/>
          <w:jc w:val="center"/>
        </w:trPr>
        <w:tc>
          <w:tcPr>
            <w:tcW w:w="6303" w:type="dxa"/>
            <w:gridSpan w:val="3"/>
            <w:noWrap/>
            <w:vAlign w:val="bottom"/>
          </w:tcPr>
          <w:p w14:paraId="26CBF028">
            <w:pPr>
              <w:snapToGrid w:val="0"/>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2025年0</w:t>
            </w:r>
            <w:r>
              <w:rPr>
                <w:rFonts w:hint="eastAsia" w:ascii="仿宋" w:hAnsi="仿宋" w:eastAsia="仿宋" w:cs="仿宋"/>
                <w:b/>
                <w:sz w:val="30"/>
                <w:szCs w:val="30"/>
                <w:highlight w:val="none"/>
                <w:lang w:val="en-US" w:eastAsia="zh-CN"/>
              </w:rPr>
              <w:t>7</w:t>
            </w:r>
            <w:r>
              <w:rPr>
                <w:rFonts w:hint="eastAsia" w:ascii="仿宋" w:hAnsi="仿宋" w:eastAsia="仿宋" w:cs="仿宋"/>
                <w:b/>
                <w:sz w:val="30"/>
                <w:szCs w:val="30"/>
                <w:highlight w:val="none"/>
              </w:rPr>
              <w:t>月</w:t>
            </w:r>
          </w:p>
        </w:tc>
      </w:tr>
    </w:tbl>
    <w:p w14:paraId="103428B4">
      <w:pPr>
        <w:pStyle w:val="24"/>
        <w:spacing w:line="360" w:lineRule="auto"/>
        <w:jc w:val="center"/>
        <w:rPr>
          <w:rFonts w:hint="eastAsia" w:ascii="仿宋" w:hAnsi="仿宋" w:eastAsia="仿宋" w:cs="仿宋"/>
          <w:b/>
          <w:sz w:val="32"/>
          <w:szCs w:val="32"/>
          <w:highlight w:val="none"/>
        </w:rPr>
      </w:pPr>
      <w:r>
        <w:rPr>
          <w:rFonts w:hint="eastAsia" w:ascii="仿宋" w:hAnsi="仿宋" w:eastAsia="仿宋" w:cs="仿宋"/>
          <w:b/>
          <w:sz w:val="48"/>
          <w:szCs w:val="48"/>
          <w:highlight w:val="none"/>
        </w:rPr>
        <w:br w:type="page"/>
      </w:r>
      <w:r>
        <w:rPr>
          <w:rFonts w:hint="eastAsia" w:ascii="仿宋" w:hAnsi="仿宋" w:eastAsia="仿宋" w:cs="仿宋"/>
          <w:b/>
          <w:sz w:val="32"/>
          <w:szCs w:val="32"/>
          <w:highlight w:val="none"/>
        </w:rPr>
        <w:t>目    录</w:t>
      </w:r>
    </w:p>
    <w:p w14:paraId="57F1CBF3">
      <w:pPr>
        <w:pStyle w:val="32"/>
        <w:tabs>
          <w:tab w:val="right" w:leader="dot" w:pos="8306"/>
          <w:tab w:val="clear" w:pos="8720"/>
        </w:tabs>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b/>
          <w:caps w:val="0"/>
          <w:sz w:val="21"/>
          <w:szCs w:val="21"/>
          <w:highlight w:val="none"/>
        </w:rPr>
        <w:fldChar w:fldCharType="begin"/>
      </w:r>
      <w:r>
        <w:rPr>
          <w:rFonts w:hint="eastAsia" w:ascii="仿宋" w:hAnsi="仿宋" w:eastAsia="仿宋" w:cs="仿宋"/>
          <w:b/>
          <w:caps w:val="0"/>
          <w:sz w:val="21"/>
          <w:szCs w:val="21"/>
          <w:highlight w:val="none"/>
        </w:rPr>
        <w:instrText xml:space="preserve"> TOC \o "1-2" \u </w:instrText>
      </w:r>
      <w:r>
        <w:rPr>
          <w:rFonts w:hint="eastAsia" w:ascii="仿宋" w:hAnsi="仿宋" w:eastAsia="仿宋" w:cs="仿宋"/>
          <w:b/>
          <w:caps w:val="0"/>
          <w:sz w:val="21"/>
          <w:szCs w:val="21"/>
          <w:highlight w:val="none"/>
        </w:rPr>
        <w:fldChar w:fldCharType="separate"/>
      </w:r>
      <w:r>
        <w:rPr>
          <w:rFonts w:hint="eastAsia" w:ascii="仿宋" w:hAnsi="仿宋" w:eastAsia="仿宋" w:cs="仿宋"/>
          <w:sz w:val="24"/>
          <w:szCs w:val="40"/>
          <w:highlight w:val="none"/>
        </w:rPr>
        <w:t>第一部分  采购公告</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_Toc13451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w:t>
      </w:r>
      <w:r>
        <w:rPr>
          <w:rFonts w:hint="eastAsia" w:ascii="仿宋" w:hAnsi="仿宋" w:eastAsia="仿宋" w:cs="仿宋"/>
          <w:sz w:val="24"/>
          <w:szCs w:val="24"/>
          <w:highlight w:val="none"/>
        </w:rPr>
        <w:fldChar w:fldCharType="end"/>
      </w:r>
    </w:p>
    <w:p w14:paraId="7C4A65B5">
      <w:pPr>
        <w:pStyle w:val="37"/>
        <w:tabs>
          <w:tab w:val="right" w:leader="dot" w:pos="8306"/>
          <w:tab w:val="clear" w:pos="8720"/>
        </w:tabs>
        <w:spacing w:line="360" w:lineRule="auto"/>
        <w:ind w:firstLine="264" w:firstLineChars="110"/>
        <w:rPr>
          <w:rFonts w:hint="eastAsia" w:ascii="仿宋" w:hAnsi="仿宋" w:eastAsia="仿宋" w:cs="仿宋"/>
          <w:sz w:val="24"/>
          <w:szCs w:val="24"/>
          <w:highlight w:val="none"/>
        </w:rPr>
      </w:pPr>
      <w:r>
        <w:rPr>
          <w:rFonts w:hint="eastAsia" w:ascii="仿宋" w:hAnsi="仿宋" w:eastAsia="仿宋" w:cs="仿宋"/>
          <w:sz w:val="24"/>
          <w:szCs w:val="40"/>
          <w:highlight w:val="none"/>
        </w:rPr>
        <w:t>前 附 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_Toc1014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w:t>
      </w:r>
      <w:r>
        <w:rPr>
          <w:rFonts w:hint="eastAsia" w:ascii="仿宋" w:hAnsi="仿宋" w:eastAsia="仿宋" w:cs="仿宋"/>
          <w:sz w:val="24"/>
          <w:szCs w:val="24"/>
          <w:highlight w:val="none"/>
        </w:rPr>
        <w:fldChar w:fldCharType="end"/>
      </w:r>
    </w:p>
    <w:p w14:paraId="6CEE07AF">
      <w:pPr>
        <w:pStyle w:val="32"/>
        <w:tabs>
          <w:tab w:val="right" w:leader="dot" w:pos="8306"/>
          <w:tab w:val="clear" w:pos="8720"/>
        </w:tabs>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40"/>
          <w:highlight w:val="none"/>
        </w:rPr>
        <w:t>第二部分  投标须知</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_Toc28292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13</w:t>
      </w:r>
      <w:r>
        <w:rPr>
          <w:rFonts w:hint="eastAsia" w:ascii="仿宋" w:hAnsi="仿宋" w:eastAsia="仿宋" w:cs="仿宋"/>
          <w:sz w:val="24"/>
          <w:szCs w:val="24"/>
          <w:highlight w:val="none"/>
        </w:rPr>
        <w:fldChar w:fldCharType="end"/>
      </w:r>
    </w:p>
    <w:p w14:paraId="2A64CD31">
      <w:pPr>
        <w:pStyle w:val="32"/>
        <w:tabs>
          <w:tab w:val="right" w:leader="dot" w:pos="8306"/>
          <w:tab w:val="clear" w:pos="8720"/>
        </w:tabs>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40"/>
          <w:highlight w:val="none"/>
        </w:rPr>
        <w:t>第三部分  采购需求</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_Toc11107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28</w:t>
      </w:r>
      <w:r>
        <w:rPr>
          <w:rFonts w:hint="eastAsia" w:ascii="仿宋" w:hAnsi="仿宋" w:eastAsia="仿宋" w:cs="仿宋"/>
          <w:sz w:val="24"/>
          <w:szCs w:val="24"/>
          <w:highlight w:val="none"/>
        </w:rPr>
        <w:fldChar w:fldCharType="end"/>
      </w:r>
    </w:p>
    <w:p w14:paraId="3C9974B0">
      <w:pPr>
        <w:pStyle w:val="32"/>
        <w:tabs>
          <w:tab w:val="right" w:leader="dot" w:pos="8306"/>
          <w:tab w:val="clear" w:pos="8720"/>
        </w:tabs>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40"/>
          <w:highlight w:val="none"/>
        </w:rPr>
        <w:t>第四部分  评标办法</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_Toc25398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41</w:t>
      </w:r>
      <w:r>
        <w:rPr>
          <w:rFonts w:hint="eastAsia" w:ascii="仿宋" w:hAnsi="仿宋" w:eastAsia="仿宋" w:cs="仿宋"/>
          <w:sz w:val="24"/>
          <w:szCs w:val="24"/>
          <w:highlight w:val="none"/>
        </w:rPr>
        <w:fldChar w:fldCharType="end"/>
      </w:r>
    </w:p>
    <w:p w14:paraId="636AD9B1">
      <w:pPr>
        <w:pStyle w:val="37"/>
        <w:tabs>
          <w:tab w:val="right" w:leader="dot" w:pos="8306"/>
          <w:tab w:val="clear" w:pos="8720"/>
        </w:tabs>
        <w:spacing w:line="360" w:lineRule="auto"/>
        <w:ind w:firstLine="264" w:firstLineChars="110"/>
        <w:rPr>
          <w:rFonts w:hint="eastAsia" w:ascii="仿宋" w:hAnsi="仿宋" w:eastAsia="仿宋" w:cs="仿宋"/>
          <w:sz w:val="24"/>
          <w:szCs w:val="24"/>
          <w:highlight w:val="none"/>
        </w:rPr>
      </w:pPr>
      <w:r>
        <w:rPr>
          <w:rFonts w:hint="eastAsia" w:ascii="仿宋" w:hAnsi="仿宋" w:eastAsia="仿宋" w:cs="仿宋"/>
          <w:sz w:val="24"/>
          <w:szCs w:val="36"/>
          <w:highlight w:val="none"/>
        </w:rPr>
        <w:t>评标办法前附表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_Toc11969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41</w:t>
      </w:r>
      <w:r>
        <w:rPr>
          <w:rFonts w:hint="eastAsia" w:ascii="仿宋" w:hAnsi="仿宋" w:eastAsia="仿宋" w:cs="仿宋"/>
          <w:sz w:val="24"/>
          <w:szCs w:val="24"/>
          <w:highlight w:val="none"/>
        </w:rPr>
        <w:fldChar w:fldCharType="end"/>
      </w:r>
    </w:p>
    <w:p w14:paraId="311B0C2A">
      <w:pPr>
        <w:pStyle w:val="32"/>
        <w:tabs>
          <w:tab w:val="right" w:leader="dot" w:pos="8306"/>
          <w:tab w:val="clear" w:pos="8720"/>
        </w:tabs>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40"/>
          <w:highlight w:val="none"/>
        </w:rPr>
        <w:t>第五部分  合同条款</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_Toc2880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49</w:t>
      </w:r>
      <w:r>
        <w:rPr>
          <w:rFonts w:hint="eastAsia" w:ascii="仿宋" w:hAnsi="仿宋" w:eastAsia="仿宋" w:cs="仿宋"/>
          <w:sz w:val="24"/>
          <w:szCs w:val="24"/>
          <w:highlight w:val="none"/>
        </w:rPr>
        <w:fldChar w:fldCharType="end"/>
      </w:r>
    </w:p>
    <w:p w14:paraId="3E700902">
      <w:pPr>
        <w:pStyle w:val="32"/>
        <w:tabs>
          <w:tab w:val="right" w:leader="dot" w:pos="8306"/>
          <w:tab w:val="clear" w:pos="8720"/>
        </w:tabs>
        <w:adjustRightInd w:val="0"/>
        <w:snapToGrid w:val="0"/>
        <w:spacing w:line="360" w:lineRule="auto"/>
        <w:rPr>
          <w:rFonts w:hint="eastAsia" w:ascii="仿宋" w:hAnsi="仿宋" w:eastAsia="仿宋" w:cs="仿宋"/>
          <w:highlight w:val="none"/>
        </w:rPr>
      </w:pPr>
      <w:r>
        <w:rPr>
          <w:rFonts w:hint="eastAsia" w:ascii="仿宋" w:hAnsi="仿宋" w:eastAsia="仿宋" w:cs="仿宋"/>
          <w:sz w:val="24"/>
          <w:szCs w:val="40"/>
          <w:highlight w:val="none"/>
        </w:rPr>
        <w:t>第六部分  投标文件格式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_Toc21370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62</w:t>
      </w:r>
      <w:r>
        <w:rPr>
          <w:rFonts w:hint="eastAsia" w:ascii="仿宋" w:hAnsi="仿宋" w:eastAsia="仿宋" w:cs="仿宋"/>
          <w:sz w:val="24"/>
          <w:szCs w:val="24"/>
          <w:highlight w:val="none"/>
        </w:rPr>
        <w:fldChar w:fldCharType="end"/>
      </w:r>
    </w:p>
    <w:p w14:paraId="6B7993C3">
      <w:pPr>
        <w:pStyle w:val="37"/>
        <w:tabs>
          <w:tab w:val="right" w:leader="dot" w:pos="8306"/>
          <w:tab w:val="clear" w:pos="8720"/>
        </w:tabs>
        <w:rPr>
          <w:rFonts w:hint="eastAsia" w:ascii="仿宋" w:hAnsi="仿宋" w:eastAsia="仿宋" w:cs="仿宋"/>
          <w:highlight w:val="none"/>
        </w:rPr>
      </w:pPr>
    </w:p>
    <w:p w14:paraId="7520C966">
      <w:pPr>
        <w:pStyle w:val="32"/>
        <w:tabs>
          <w:tab w:val="right" w:leader="dot" w:pos="8306"/>
          <w:tab w:val="clear" w:pos="8720"/>
        </w:tabs>
        <w:rPr>
          <w:rFonts w:hint="eastAsia" w:ascii="仿宋" w:hAnsi="仿宋" w:eastAsia="仿宋" w:cs="仿宋"/>
          <w:highlight w:val="none"/>
        </w:rPr>
      </w:pPr>
    </w:p>
    <w:p w14:paraId="5E1572BE">
      <w:pPr>
        <w:jc w:val="center"/>
        <w:rPr>
          <w:rFonts w:hint="eastAsia" w:ascii="仿宋" w:hAnsi="仿宋" w:eastAsia="仿宋" w:cs="仿宋"/>
          <w:szCs w:val="21"/>
          <w:highlight w:val="none"/>
        </w:rPr>
        <w:sectPr>
          <w:headerReference r:id="rId3" w:type="default"/>
          <w:footerReference r:id="rId4" w:type="default"/>
          <w:pgSz w:w="11906" w:h="16838"/>
          <w:pgMar w:top="1440" w:right="1800" w:bottom="1440" w:left="1800" w:header="851" w:footer="992" w:gutter="0"/>
          <w:pgNumType w:start="0"/>
          <w:cols w:space="720" w:num="1"/>
          <w:titlePg/>
          <w:docGrid w:type="lines" w:linePitch="312" w:charSpace="0"/>
        </w:sectPr>
      </w:pPr>
      <w:r>
        <w:rPr>
          <w:rFonts w:hint="eastAsia" w:ascii="仿宋" w:hAnsi="仿宋" w:eastAsia="仿宋" w:cs="仿宋"/>
          <w:szCs w:val="21"/>
          <w:highlight w:val="none"/>
        </w:rPr>
        <w:fldChar w:fldCharType="end"/>
      </w:r>
    </w:p>
    <w:p w14:paraId="3A910C98">
      <w:pPr>
        <w:adjustRightInd w:val="0"/>
        <w:snapToGrid w:val="0"/>
        <w:spacing w:before="120" w:beforeLines="50" w:after="120" w:afterLines="50" w:line="360" w:lineRule="auto"/>
        <w:jc w:val="center"/>
        <w:outlineLvl w:val="0"/>
        <w:rPr>
          <w:rFonts w:hint="eastAsia" w:ascii="仿宋" w:hAnsi="仿宋" w:eastAsia="仿宋" w:cs="仿宋"/>
          <w:b/>
          <w:sz w:val="30"/>
          <w:szCs w:val="30"/>
          <w:highlight w:val="none"/>
        </w:rPr>
      </w:pPr>
      <w:bookmarkStart w:id="0" w:name="_Toc21665"/>
      <w:bookmarkStart w:id="1" w:name="_Toc13451"/>
      <w:r>
        <w:rPr>
          <w:rFonts w:hint="eastAsia" w:ascii="仿宋" w:hAnsi="仿宋" w:eastAsia="仿宋" w:cs="仿宋"/>
          <w:b/>
          <w:sz w:val="30"/>
          <w:szCs w:val="30"/>
          <w:highlight w:val="none"/>
        </w:rPr>
        <w:t>第一部分  采购公告</w:t>
      </w:r>
      <w:bookmarkEnd w:id="0"/>
      <w:bookmarkEnd w:id="1"/>
    </w:p>
    <w:p w14:paraId="6F82BDA8">
      <w:pPr>
        <w:pBdr>
          <w:top w:val="single" w:color="auto" w:sz="4" w:space="1"/>
          <w:left w:val="single" w:color="auto" w:sz="4" w:space="0"/>
          <w:bottom w:val="single" w:color="auto" w:sz="4" w:space="3"/>
          <w:right w:val="single" w:color="auto" w:sz="4" w:space="4"/>
        </w:pBdr>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项目概况                                                    </w:t>
      </w:r>
    </w:p>
    <w:p w14:paraId="0AEECC8E">
      <w:pPr>
        <w:pBdr>
          <w:top w:val="single" w:color="auto" w:sz="4" w:space="1"/>
          <w:left w:val="single" w:color="auto" w:sz="4" w:space="0"/>
          <w:bottom w:val="single" w:color="auto" w:sz="4" w:space="3"/>
          <w:right w:val="single" w:color="auto" w:sz="4" w:space="4"/>
        </w:pBdr>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lang w:eastAsia="zh-CN"/>
        </w:rPr>
        <w:t>钱塘区图书馆2025年纸质流通图书采购</w:t>
      </w:r>
      <w:r>
        <w:rPr>
          <w:rFonts w:hint="eastAsia" w:ascii="仿宋" w:hAnsi="仿宋" w:eastAsia="仿宋" w:cs="仿宋"/>
          <w:kern w:val="0"/>
          <w:sz w:val="24"/>
          <w:highlight w:val="none"/>
        </w:rPr>
        <w:t>招标项目的潜在投标人应在政采云平台线上获取（下载）招标文件，并于 2025年</w:t>
      </w:r>
      <w:r>
        <w:rPr>
          <w:rFonts w:hint="eastAsia" w:ascii="仿宋" w:hAnsi="仿宋" w:eastAsia="仿宋" w:cs="仿宋"/>
          <w:kern w:val="0"/>
          <w:sz w:val="24"/>
          <w:highlight w:val="none"/>
          <w:lang w:val="en-US" w:eastAsia="zh-CN"/>
        </w:rPr>
        <w:t>07月25日</w:t>
      </w:r>
      <w:r>
        <w:rPr>
          <w:rFonts w:hint="eastAsia" w:ascii="仿宋" w:hAnsi="仿宋" w:eastAsia="仿宋" w:cs="仿宋"/>
          <w:kern w:val="0"/>
          <w:sz w:val="24"/>
          <w:highlight w:val="none"/>
        </w:rPr>
        <w:t xml:space="preserve"> 09:30（北京时间）前递交（上传）投标文件。      </w:t>
      </w:r>
    </w:p>
    <w:p w14:paraId="039B3546">
      <w:pPr>
        <w:pStyle w:val="41"/>
        <w:adjustRightInd w:val="0"/>
        <w:snapToGrid w:val="0"/>
        <w:spacing w:beforeAutospacing="0" w:afterAutospacing="0" w:line="360" w:lineRule="auto"/>
        <w:jc w:val="both"/>
        <w:rPr>
          <w:rFonts w:hint="eastAsia" w:ascii="仿宋" w:hAnsi="仿宋" w:eastAsia="仿宋" w:cs="仿宋"/>
          <w:sz w:val="24"/>
          <w:szCs w:val="24"/>
          <w:highlight w:val="none"/>
        </w:rPr>
      </w:pPr>
    </w:p>
    <w:p w14:paraId="573C9726">
      <w:pPr>
        <w:pStyle w:val="41"/>
        <w:adjustRightInd w:val="0"/>
        <w:snapToGrid w:val="0"/>
        <w:spacing w:beforeAutospacing="0" w:afterAutospacing="0" w:line="360" w:lineRule="auto"/>
        <w:jc w:val="both"/>
        <w:rPr>
          <w:rFonts w:hint="eastAsia" w:ascii="仿宋" w:hAnsi="仿宋" w:eastAsia="仿宋" w:cs="仿宋"/>
          <w:sz w:val="24"/>
          <w:szCs w:val="24"/>
          <w:highlight w:val="none"/>
        </w:rPr>
      </w:pPr>
      <w:r>
        <w:rPr>
          <w:rFonts w:hint="eastAsia" w:ascii="仿宋" w:hAnsi="仿宋" w:eastAsia="仿宋" w:cs="仿宋"/>
          <w:b/>
          <w:bCs/>
          <w:sz w:val="24"/>
          <w:szCs w:val="24"/>
          <w:highlight w:val="none"/>
        </w:rPr>
        <w:t>一、项目基本情况</w:t>
      </w:r>
    </w:p>
    <w:p w14:paraId="4979B7C4">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项目编号：</w:t>
      </w:r>
      <w:r>
        <w:rPr>
          <w:rFonts w:hint="eastAsia" w:ascii="仿宋" w:hAnsi="仿宋" w:eastAsia="仿宋" w:cs="仿宋"/>
          <w:sz w:val="24"/>
          <w:szCs w:val="24"/>
          <w:highlight w:val="none"/>
          <w:lang w:eastAsia="zh-CN"/>
        </w:rPr>
        <w:t>QTCG-GK-2025-110</w:t>
      </w:r>
    </w:p>
    <w:p w14:paraId="053B03A7">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lang w:eastAsia="zh-CN"/>
        </w:rPr>
        <w:t>钱塘区图书馆2025年纸质流通图书采购</w:t>
      </w:r>
    </w:p>
    <w:p w14:paraId="424AD513">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预算金额（元）：</w:t>
      </w:r>
      <w:r>
        <w:rPr>
          <w:rFonts w:hint="eastAsia" w:ascii="仿宋" w:hAnsi="仿宋" w:eastAsia="仿宋" w:cs="仿宋"/>
          <w:sz w:val="24"/>
          <w:szCs w:val="24"/>
          <w:highlight w:val="none"/>
          <w:lang w:eastAsia="zh-CN"/>
        </w:rPr>
        <w:t>1300000</w:t>
      </w:r>
    </w:p>
    <w:p w14:paraId="4C5EE4DD">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最高限价（元）：</w:t>
      </w:r>
      <w:r>
        <w:rPr>
          <w:rFonts w:hint="eastAsia" w:ascii="仿宋" w:hAnsi="仿宋" w:eastAsia="仿宋" w:cs="仿宋"/>
          <w:sz w:val="24"/>
          <w:szCs w:val="24"/>
          <w:highlight w:val="none"/>
          <w:lang w:val="en-US" w:eastAsia="zh-CN"/>
        </w:rPr>
        <w:t>/</w:t>
      </w:r>
    </w:p>
    <w:p w14:paraId="739443C8">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采购需求：</w:t>
      </w:r>
    </w:p>
    <w:p w14:paraId="602CBB0A">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p>
    <w:p w14:paraId="716A7AF2">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标项名称：钱塘区图书馆2025年纸质流通图书采购</w:t>
      </w:r>
    </w:p>
    <w:p w14:paraId="6AC0B147">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数量：不限</w:t>
      </w:r>
    </w:p>
    <w:p w14:paraId="5FCAFFDC">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预算金额（元）：1300000</w:t>
      </w:r>
    </w:p>
    <w:p w14:paraId="2A120E2F">
      <w:pPr>
        <w:pStyle w:val="41"/>
        <w:adjustRightInd w:val="0"/>
        <w:snapToGrid w:val="0"/>
        <w:spacing w:beforeAutospacing="0" w:afterAutospacing="0"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z w:val="24"/>
          <w:szCs w:val="24"/>
          <w:highlight w:val="none"/>
        </w:rPr>
        <w:t>简要规格描述或项目基本概况介绍、用途：</w:t>
      </w:r>
      <w:r>
        <w:rPr>
          <w:rFonts w:hint="eastAsia" w:ascii="仿宋" w:hAnsi="仿宋" w:eastAsia="仿宋" w:cs="仿宋"/>
          <w:color w:val="auto"/>
          <w:sz w:val="24"/>
          <w:szCs w:val="24"/>
          <w:highlight w:val="none"/>
          <w:lang w:val="en-US" w:eastAsia="zh-CN"/>
        </w:rPr>
        <w:t>根据采购人要求，提供钱塘区图书馆2025年所需纸质图书和相关服务，包括图书出版信息数据提供、订单处理、图书配送和退换、图书编目加工、整理上架及售后等其他相关服务</w:t>
      </w:r>
      <w:r>
        <w:rPr>
          <w:rFonts w:hint="eastAsia" w:ascii="仿宋" w:hAnsi="仿宋" w:eastAsia="仿宋" w:cs="仿宋"/>
          <w:color w:val="auto"/>
          <w:sz w:val="24"/>
          <w:szCs w:val="24"/>
          <w:highlight w:val="none"/>
        </w:rPr>
        <w:t>。具体以招标文件第三部分采购需求为准,供应商可点击本公告下方“浏览采购文件”查看采购需求</w:t>
      </w:r>
      <w:r>
        <w:rPr>
          <w:rFonts w:hint="eastAsia" w:ascii="仿宋" w:hAnsi="仿宋" w:eastAsia="仿宋" w:cs="仿宋"/>
          <w:sz w:val="24"/>
          <w:szCs w:val="24"/>
          <w:highlight w:val="none"/>
          <w:lang w:val="en-US" w:eastAsia="zh-CN"/>
        </w:rPr>
        <w:t>。</w:t>
      </w:r>
    </w:p>
    <w:p w14:paraId="0680D200">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p w14:paraId="4599BFDB">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p>
    <w:p w14:paraId="2094F273">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合同履约期限：标项 1</w:t>
      </w:r>
      <w:r>
        <w:rPr>
          <w:rFonts w:hint="eastAsia" w:ascii="仿宋" w:hAnsi="仿宋" w:eastAsia="仿宋" w:cs="仿宋"/>
          <w:sz w:val="24"/>
          <w:szCs w:val="24"/>
          <w:highlight w:val="none"/>
          <w:lang w:val="en-US" w:eastAsia="zh-CN"/>
        </w:rPr>
        <w:t>，</w:t>
      </w:r>
      <w:r>
        <w:rPr>
          <w:rFonts w:hint="eastAsia" w:ascii="仿宋" w:hAnsi="仿宋" w:eastAsia="仿宋" w:cs="仿宋"/>
          <w:color w:val="auto"/>
          <w:sz w:val="24"/>
          <w:szCs w:val="24"/>
          <w:highlight w:val="none"/>
        </w:rPr>
        <w:t>供货期为自合同签订之日起至202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年12月31日。合同有效期满后，未到货的图书，供应商有继续送货的义务，并履行相应服务要求</w:t>
      </w:r>
      <w:r>
        <w:rPr>
          <w:rFonts w:hint="eastAsia" w:ascii="仿宋" w:hAnsi="仿宋" w:eastAsia="仿宋" w:cs="仿宋"/>
          <w:sz w:val="24"/>
          <w:szCs w:val="24"/>
          <w:highlight w:val="none"/>
        </w:rPr>
        <w:t>。</w:t>
      </w:r>
    </w:p>
    <w:p w14:paraId="384EDE4E">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本项目（是）接受联合体投标。</w:t>
      </w:r>
    </w:p>
    <w:p w14:paraId="5DABA62E">
      <w:pPr>
        <w:pStyle w:val="41"/>
        <w:adjustRightInd w:val="0"/>
        <w:snapToGrid w:val="0"/>
        <w:spacing w:beforeAutospacing="0" w:afterAutospacing="0" w:line="360" w:lineRule="auto"/>
        <w:jc w:val="both"/>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二、申请人的资格要求</w:t>
      </w:r>
    </w:p>
    <w:p w14:paraId="557241CB">
      <w:pPr>
        <w:spacing w:line="360" w:lineRule="auto"/>
        <w:ind w:firstLine="48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 xml:space="preserve">1. </w:t>
      </w:r>
      <w:bookmarkStart w:id="2" w:name="OLE_LINK7"/>
      <w:bookmarkStart w:id="3" w:name="OLE_LINK6"/>
      <w:r>
        <w:rPr>
          <w:rFonts w:hint="eastAsia" w:ascii="仿宋" w:hAnsi="仿宋" w:eastAsia="仿宋" w:cs="仿宋"/>
          <w:snapToGrid w:val="0"/>
          <w:kern w:val="28"/>
          <w:sz w:val="24"/>
          <w:szCs w:val="20"/>
          <w:highlight w:val="none"/>
        </w:rPr>
        <w:t>满足《中华人民共和国政府采购法》第二十二条规定；未被“信用中国”（www.creditchina.gov.cn)、中国政府采购网（www.ccgp.gov.cn）列入失信被执行人、重大税收违法案件当事人名单、政府采购严重违法失信行为记录名单。</w:t>
      </w:r>
      <w:bookmarkEnd w:id="2"/>
      <w:bookmarkEnd w:id="3"/>
    </w:p>
    <w:p w14:paraId="05CC5A44">
      <w:pPr>
        <w:spacing w:line="360" w:lineRule="auto"/>
        <w:ind w:firstLine="480"/>
        <w:rPr>
          <w:rFonts w:hint="eastAsia" w:ascii="仿宋" w:hAnsi="仿宋" w:eastAsia="仿宋" w:cs="仿宋"/>
          <w:snapToGrid w:val="0"/>
          <w:kern w:val="28"/>
          <w:sz w:val="24"/>
          <w:szCs w:val="20"/>
          <w:highlight w:val="none"/>
        </w:rPr>
      </w:pPr>
      <w:bookmarkStart w:id="4" w:name="OLE_LINK8"/>
      <w:r>
        <w:rPr>
          <w:rFonts w:hint="eastAsia" w:ascii="仿宋" w:hAnsi="仿宋" w:eastAsia="仿宋" w:cs="仿宋"/>
          <w:snapToGrid w:val="0"/>
          <w:kern w:val="28"/>
          <w:sz w:val="24"/>
          <w:szCs w:val="20"/>
          <w:highlight w:val="none"/>
        </w:rPr>
        <w:t>2.落实政府采购政策需满足的资格要求：</w:t>
      </w:r>
      <w:r>
        <w:rPr>
          <w:rFonts w:hint="eastAsia" w:ascii="仿宋" w:hAnsi="仿宋" w:eastAsia="仿宋" w:cs="仿宋"/>
          <w:snapToGrid w:val="0"/>
          <w:kern w:val="28"/>
          <w:sz w:val="24"/>
          <w:szCs w:val="20"/>
          <w:highlight w:val="none"/>
          <w:lang w:val="en-US" w:eastAsia="zh-CN"/>
        </w:rPr>
        <w:t>无</w:t>
      </w:r>
      <w:r>
        <w:rPr>
          <w:rFonts w:hint="eastAsia" w:ascii="仿宋" w:hAnsi="仿宋" w:eastAsia="仿宋" w:cs="仿宋"/>
          <w:snapToGrid w:val="0"/>
          <w:kern w:val="28"/>
          <w:sz w:val="24"/>
          <w:szCs w:val="20"/>
          <w:highlight w:val="none"/>
        </w:rPr>
        <w:t>。</w:t>
      </w:r>
    </w:p>
    <w:bookmarkEnd w:id="4"/>
    <w:p w14:paraId="0491E7B5">
      <w:pPr>
        <w:spacing w:line="360" w:lineRule="auto"/>
        <w:ind w:firstLine="48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3.本项目的特定资格要求：</w:t>
      </w:r>
      <w:r>
        <w:rPr>
          <w:rFonts w:hint="eastAsia" w:ascii="仿宋" w:hAnsi="仿宋" w:eastAsia="仿宋" w:cs="仿宋"/>
          <w:snapToGrid w:val="0"/>
          <w:color w:val="auto"/>
          <w:kern w:val="28"/>
          <w:sz w:val="24"/>
          <w:szCs w:val="20"/>
          <w:highlight w:val="none"/>
        </w:rPr>
        <w:t>【标项1】</w:t>
      </w:r>
      <w:r>
        <w:rPr>
          <w:rFonts w:hint="eastAsia" w:ascii="仿宋" w:hAnsi="仿宋" w:eastAsia="仿宋" w:cs="仿宋"/>
          <w:snapToGrid w:val="0"/>
          <w:color w:val="auto"/>
          <w:kern w:val="28"/>
          <w:sz w:val="24"/>
          <w:szCs w:val="20"/>
          <w:highlight w:val="none"/>
          <w:lang w:eastAsia="zh-CN"/>
        </w:rPr>
        <w:t>具有新闻出版行政部门颁发的出版物经营许可证</w:t>
      </w:r>
      <w:r>
        <w:rPr>
          <w:rFonts w:hint="eastAsia" w:ascii="仿宋" w:hAnsi="仿宋" w:eastAsia="仿宋" w:cs="仿宋"/>
          <w:snapToGrid w:val="0"/>
          <w:color w:val="auto"/>
          <w:kern w:val="28"/>
          <w:sz w:val="24"/>
          <w:szCs w:val="20"/>
          <w:highlight w:val="none"/>
        </w:rPr>
        <w:t>。</w:t>
      </w:r>
      <w:r>
        <w:rPr>
          <w:rFonts w:hint="eastAsia" w:ascii="仿宋" w:hAnsi="仿宋" w:eastAsia="仿宋" w:cs="仿宋"/>
          <w:snapToGrid w:val="0"/>
          <w:color w:val="auto"/>
          <w:kern w:val="28"/>
          <w:sz w:val="24"/>
          <w:szCs w:val="20"/>
          <w:highlight w:val="none"/>
          <w:lang w:val="en-US" w:eastAsia="zh-CN"/>
        </w:rPr>
        <w:t>法规依据为：</w:t>
      </w:r>
      <w:r>
        <w:rPr>
          <w:rFonts w:hint="eastAsia" w:ascii="仿宋" w:hAnsi="仿宋" w:eastAsia="仿宋" w:cs="仿宋"/>
          <w:snapToGrid w:val="0"/>
          <w:color w:val="auto"/>
          <w:kern w:val="28"/>
          <w:sz w:val="24"/>
          <w:szCs w:val="20"/>
          <w:highlight w:val="none"/>
        </w:rPr>
        <w:t>《</w:t>
      </w:r>
      <w:r>
        <w:rPr>
          <w:rFonts w:hint="eastAsia" w:ascii="仿宋" w:hAnsi="仿宋" w:eastAsia="仿宋" w:cs="仿宋"/>
          <w:snapToGrid w:val="0"/>
          <w:color w:val="auto"/>
          <w:kern w:val="28"/>
          <w:sz w:val="24"/>
          <w:szCs w:val="20"/>
          <w:highlight w:val="none"/>
        </w:rPr>
        <w:fldChar w:fldCharType="begin"/>
      </w:r>
      <w:r>
        <w:rPr>
          <w:rFonts w:hint="eastAsia" w:ascii="仿宋" w:hAnsi="仿宋" w:eastAsia="仿宋" w:cs="仿宋"/>
          <w:snapToGrid w:val="0"/>
          <w:color w:val="auto"/>
          <w:kern w:val="28"/>
          <w:sz w:val="24"/>
          <w:szCs w:val="20"/>
          <w:highlight w:val="none"/>
        </w:rPr>
        <w:instrText xml:space="preserve"> HYPERLINK "https://baike.baidu.com/item/%E5%87%BA%E7%89%88%E7%AE%A1%E7%90%86%E6%9D%A1%E4%BE%8B/7979815?fromModule=lemma_inlink" \t "https://baike.baidu.com/item/%E5%87%BA%E7%89%88%E7%89%A9%E7%BB%8F%E8%90%A5%E8%AE%B8%E5%8F%AF%E8%AF%81/_blank" </w:instrText>
      </w:r>
      <w:r>
        <w:rPr>
          <w:rFonts w:hint="eastAsia" w:ascii="仿宋" w:hAnsi="仿宋" w:eastAsia="仿宋" w:cs="仿宋"/>
          <w:snapToGrid w:val="0"/>
          <w:color w:val="auto"/>
          <w:kern w:val="28"/>
          <w:sz w:val="24"/>
          <w:szCs w:val="20"/>
          <w:highlight w:val="none"/>
        </w:rPr>
        <w:fldChar w:fldCharType="separate"/>
      </w:r>
      <w:r>
        <w:rPr>
          <w:rFonts w:hint="eastAsia" w:ascii="仿宋" w:hAnsi="仿宋" w:eastAsia="仿宋" w:cs="仿宋"/>
          <w:snapToGrid w:val="0"/>
          <w:color w:val="auto"/>
          <w:kern w:val="28"/>
          <w:sz w:val="24"/>
          <w:szCs w:val="20"/>
          <w:highlight w:val="none"/>
        </w:rPr>
        <w:t>出版管理条例</w:t>
      </w:r>
      <w:r>
        <w:rPr>
          <w:rFonts w:hint="eastAsia" w:ascii="仿宋" w:hAnsi="仿宋" w:eastAsia="仿宋" w:cs="仿宋"/>
          <w:snapToGrid w:val="0"/>
          <w:color w:val="auto"/>
          <w:kern w:val="28"/>
          <w:sz w:val="24"/>
          <w:szCs w:val="20"/>
          <w:highlight w:val="none"/>
        </w:rPr>
        <w:fldChar w:fldCharType="end"/>
      </w:r>
      <w:r>
        <w:rPr>
          <w:rFonts w:hint="eastAsia" w:ascii="仿宋" w:hAnsi="仿宋" w:eastAsia="仿宋" w:cs="仿宋"/>
          <w:snapToGrid w:val="0"/>
          <w:color w:val="auto"/>
          <w:kern w:val="28"/>
          <w:sz w:val="24"/>
          <w:szCs w:val="20"/>
          <w:highlight w:val="none"/>
        </w:rPr>
        <w:t>》</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rPr>
        <w:t>《</w:t>
      </w:r>
      <w:r>
        <w:rPr>
          <w:rFonts w:hint="eastAsia" w:ascii="仿宋" w:hAnsi="仿宋" w:eastAsia="仿宋" w:cs="仿宋"/>
          <w:snapToGrid w:val="0"/>
          <w:color w:val="auto"/>
          <w:kern w:val="28"/>
          <w:sz w:val="24"/>
          <w:szCs w:val="20"/>
          <w:highlight w:val="none"/>
        </w:rPr>
        <w:fldChar w:fldCharType="begin"/>
      </w:r>
      <w:r>
        <w:rPr>
          <w:rFonts w:hint="eastAsia" w:ascii="仿宋" w:hAnsi="仿宋" w:eastAsia="仿宋" w:cs="仿宋"/>
          <w:snapToGrid w:val="0"/>
          <w:color w:val="auto"/>
          <w:kern w:val="28"/>
          <w:sz w:val="24"/>
          <w:szCs w:val="20"/>
          <w:highlight w:val="none"/>
        </w:rPr>
        <w:instrText xml:space="preserve"> HYPERLINK "https://baike.baidu.com/item/%E5%87%BA%E7%89%88%E7%89%A9%E5%B8%82%E5%9C%BA%E7%AE%A1%E7%90%86%E8%A7%84%E5%AE%9A/5877530?fromModule=lemma_inlink" \t "https://baike.baidu.com/item/%E5%87%BA%E7%89%88%E7%89%A9%E7%BB%8F%E8%90%A5%E8%AE%B8%E5%8F%AF%E8%AF%81/_blank" </w:instrText>
      </w:r>
      <w:r>
        <w:rPr>
          <w:rFonts w:hint="eastAsia" w:ascii="仿宋" w:hAnsi="仿宋" w:eastAsia="仿宋" w:cs="仿宋"/>
          <w:snapToGrid w:val="0"/>
          <w:color w:val="auto"/>
          <w:kern w:val="28"/>
          <w:sz w:val="24"/>
          <w:szCs w:val="20"/>
          <w:highlight w:val="none"/>
        </w:rPr>
        <w:fldChar w:fldCharType="separate"/>
      </w:r>
      <w:r>
        <w:rPr>
          <w:rFonts w:hint="eastAsia" w:ascii="仿宋" w:hAnsi="仿宋" w:eastAsia="仿宋" w:cs="仿宋"/>
          <w:snapToGrid w:val="0"/>
          <w:color w:val="auto"/>
          <w:kern w:val="28"/>
          <w:sz w:val="24"/>
          <w:szCs w:val="20"/>
          <w:highlight w:val="none"/>
        </w:rPr>
        <w:t>出版物市场管理规定</w:t>
      </w:r>
      <w:r>
        <w:rPr>
          <w:rFonts w:hint="eastAsia" w:ascii="仿宋" w:hAnsi="仿宋" w:eastAsia="仿宋" w:cs="仿宋"/>
          <w:snapToGrid w:val="0"/>
          <w:color w:val="auto"/>
          <w:kern w:val="28"/>
          <w:sz w:val="24"/>
          <w:szCs w:val="20"/>
          <w:highlight w:val="none"/>
        </w:rPr>
        <w:fldChar w:fldCharType="end"/>
      </w:r>
      <w:r>
        <w:rPr>
          <w:rFonts w:hint="eastAsia" w:ascii="仿宋" w:hAnsi="仿宋" w:eastAsia="仿宋" w:cs="仿宋"/>
          <w:snapToGrid w:val="0"/>
          <w:color w:val="auto"/>
          <w:kern w:val="28"/>
          <w:sz w:val="24"/>
          <w:szCs w:val="20"/>
          <w:highlight w:val="none"/>
        </w:rPr>
        <w:t>》</w:t>
      </w:r>
      <w:r>
        <w:rPr>
          <w:rFonts w:hint="eastAsia" w:ascii="仿宋" w:hAnsi="仿宋" w:eastAsia="仿宋" w:cs="仿宋"/>
          <w:snapToGrid w:val="0"/>
          <w:kern w:val="28"/>
          <w:sz w:val="24"/>
          <w:szCs w:val="20"/>
          <w:highlight w:val="none"/>
        </w:rPr>
        <w:t>。</w:t>
      </w:r>
    </w:p>
    <w:p w14:paraId="082130A3">
      <w:pPr>
        <w:pStyle w:val="41"/>
        <w:adjustRightInd w:val="0"/>
        <w:snapToGrid w:val="0"/>
        <w:spacing w:beforeAutospacing="0" w:afterAutospacing="0"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bCs/>
          <w:sz w:val="24"/>
          <w:szCs w:val="24"/>
          <w:highlight w:val="none"/>
        </w:rPr>
        <w:t>三、获取招标文件</w:t>
      </w:r>
    </w:p>
    <w:p w14:paraId="53D20D6D">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时间：</w:t>
      </w:r>
      <w:r>
        <w:rPr>
          <w:rFonts w:hint="eastAsia" w:ascii="仿宋" w:hAnsi="仿宋" w:eastAsia="仿宋" w:cs="仿宋"/>
          <w:sz w:val="24"/>
          <w:highlight w:val="none"/>
        </w:rPr>
        <w:t>/至</w:t>
      </w:r>
      <w:r>
        <w:rPr>
          <w:rFonts w:hint="eastAsia" w:ascii="仿宋" w:hAnsi="仿宋" w:eastAsia="仿宋" w:cs="仿宋"/>
          <w:sz w:val="24"/>
          <w:highlight w:val="none"/>
          <w:u w:val="single"/>
        </w:rPr>
        <w:t>2025年</w:t>
      </w:r>
      <w:r>
        <w:rPr>
          <w:rFonts w:hint="eastAsia" w:ascii="仿宋" w:hAnsi="仿宋" w:eastAsia="仿宋" w:cs="仿宋"/>
          <w:sz w:val="24"/>
          <w:highlight w:val="none"/>
          <w:u w:val="single"/>
          <w:lang w:val="en-US" w:eastAsia="zh-CN"/>
        </w:rPr>
        <w:t>07月25日</w:t>
      </w:r>
      <w:r>
        <w:rPr>
          <w:rFonts w:hint="eastAsia" w:ascii="仿宋" w:hAnsi="仿宋" w:eastAsia="仿宋" w:cs="仿宋"/>
          <w:sz w:val="24"/>
          <w:highlight w:val="none"/>
        </w:rPr>
        <w:t>，每天上午00:00至12:00 ，下午12:00至23:59（北京时间，线上获取法定节假日均可，线下获取文件法定节假日除外）</w:t>
      </w:r>
    </w:p>
    <w:p w14:paraId="132B6E80">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地点（网址）：</w:t>
      </w:r>
      <w:r>
        <w:rPr>
          <w:rFonts w:hint="eastAsia" w:ascii="仿宋" w:hAnsi="仿宋" w:eastAsia="仿宋" w:cs="仿宋"/>
          <w:bCs/>
          <w:sz w:val="24"/>
          <w:highlight w:val="none"/>
        </w:rPr>
        <w:t>政采云平台线上获取</w:t>
      </w:r>
      <w:r>
        <w:rPr>
          <w:rFonts w:hint="eastAsia" w:ascii="仿宋" w:hAnsi="仿宋" w:eastAsia="仿宋" w:cs="仿宋"/>
          <w:sz w:val="24"/>
          <w:highlight w:val="none"/>
        </w:rPr>
        <w:t xml:space="preserve"> </w:t>
      </w:r>
    </w:p>
    <w:p w14:paraId="0922A87C">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 xml:space="preserve">供应商登录政采云平台https://www.zcygov.cn/在线申请获取采购文件（进入“项目采购”应用，在获取采购文件菜单中选择项目，申请获取采购文件） </w:t>
      </w:r>
    </w:p>
    <w:p w14:paraId="3CE2238D">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售价（元）：</w:t>
      </w:r>
      <w:r>
        <w:rPr>
          <w:rFonts w:hint="eastAsia" w:ascii="仿宋" w:hAnsi="仿宋" w:eastAsia="仿宋" w:cs="仿宋"/>
          <w:sz w:val="24"/>
          <w:highlight w:val="none"/>
        </w:rPr>
        <w:t xml:space="preserve">0 </w:t>
      </w:r>
      <w:r>
        <w:rPr>
          <w:rFonts w:hint="eastAsia" w:ascii="仿宋" w:hAnsi="仿宋" w:eastAsia="仿宋" w:cs="仿宋"/>
          <w:sz w:val="24"/>
          <w:highlight w:val="none"/>
        </w:rPr>
        <w:tab/>
      </w:r>
    </w:p>
    <w:p w14:paraId="3993BFCF">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四、提交投标文件截止时间、开标时间和地点</w:t>
      </w:r>
    </w:p>
    <w:p w14:paraId="1220A317">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提交投标文件截止时间：</w:t>
      </w:r>
      <w:r>
        <w:rPr>
          <w:rFonts w:hint="eastAsia" w:ascii="仿宋" w:hAnsi="仿宋" w:eastAsia="仿宋" w:cs="仿宋"/>
          <w:sz w:val="24"/>
          <w:highlight w:val="none"/>
          <w:u w:val="single"/>
        </w:rPr>
        <w:t xml:space="preserve"> 2025年</w:t>
      </w:r>
      <w:r>
        <w:rPr>
          <w:rFonts w:hint="eastAsia" w:ascii="仿宋" w:hAnsi="仿宋" w:eastAsia="仿宋" w:cs="仿宋"/>
          <w:sz w:val="24"/>
          <w:highlight w:val="none"/>
          <w:u w:val="single"/>
          <w:lang w:val="en-US" w:eastAsia="zh-CN"/>
        </w:rPr>
        <w:t>07月25日</w:t>
      </w:r>
      <w:r>
        <w:rPr>
          <w:rFonts w:hint="eastAsia" w:ascii="仿宋" w:hAnsi="仿宋" w:eastAsia="仿宋" w:cs="仿宋"/>
          <w:sz w:val="24"/>
          <w:highlight w:val="none"/>
          <w:u w:val="single"/>
        </w:rPr>
        <w:t>09:30</w:t>
      </w:r>
      <w:r>
        <w:rPr>
          <w:rFonts w:hint="eastAsia" w:ascii="仿宋" w:hAnsi="仿宋" w:eastAsia="仿宋" w:cs="仿宋"/>
          <w:sz w:val="24"/>
          <w:highlight w:val="none"/>
        </w:rPr>
        <w:t>（北京时间）</w:t>
      </w:r>
    </w:p>
    <w:p w14:paraId="3189F4F1">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投标地点（网址）：请登录政采云投标客户端投标</w:t>
      </w:r>
      <w:r>
        <w:rPr>
          <w:rFonts w:hint="eastAsia" w:ascii="仿宋" w:hAnsi="仿宋" w:eastAsia="仿宋" w:cs="仿宋"/>
          <w:sz w:val="24"/>
          <w:highlight w:val="none"/>
        </w:rPr>
        <w:t xml:space="preserve"> </w:t>
      </w:r>
    </w:p>
    <w:p w14:paraId="583EADE2">
      <w:pPr>
        <w:spacing w:line="360" w:lineRule="auto"/>
        <w:ind w:firstLine="482" w:firstLineChars="200"/>
        <w:rPr>
          <w:rFonts w:hint="eastAsia" w:ascii="仿宋" w:hAnsi="仿宋" w:eastAsia="仿宋" w:cs="仿宋"/>
          <w:bCs/>
          <w:sz w:val="24"/>
          <w:highlight w:val="none"/>
          <w:u w:val="single"/>
        </w:rPr>
      </w:pPr>
      <w:r>
        <w:rPr>
          <w:rFonts w:hint="eastAsia" w:ascii="仿宋" w:hAnsi="仿宋" w:eastAsia="仿宋" w:cs="仿宋"/>
          <w:b/>
          <w:sz w:val="24"/>
          <w:highlight w:val="none"/>
        </w:rPr>
        <w:t>开标时间：</w:t>
      </w:r>
      <w:r>
        <w:rPr>
          <w:rFonts w:hint="eastAsia" w:ascii="仿宋" w:hAnsi="仿宋" w:eastAsia="仿宋" w:cs="仿宋"/>
          <w:sz w:val="24"/>
          <w:highlight w:val="none"/>
          <w:u w:val="single"/>
        </w:rPr>
        <w:t>2025年</w:t>
      </w:r>
      <w:r>
        <w:rPr>
          <w:rFonts w:hint="eastAsia" w:ascii="仿宋" w:hAnsi="仿宋" w:eastAsia="仿宋" w:cs="仿宋"/>
          <w:sz w:val="24"/>
          <w:highlight w:val="none"/>
          <w:u w:val="single"/>
          <w:lang w:val="en-US" w:eastAsia="zh-CN"/>
        </w:rPr>
        <w:t>07月25日</w:t>
      </w:r>
      <w:r>
        <w:rPr>
          <w:rFonts w:hint="eastAsia" w:ascii="仿宋" w:hAnsi="仿宋" w:eastAsia="仿宋" w:cs="仿宋"/>
          <w:sz w:val="24"/>
          <w:highlight w:val="none"/>
          <w:u w:val="single"/>
        </w:rPr>
        <w:t>09:30</w:t>
      </w:r>
    </w:p>
    <w:p w14:paraId="553B82AF">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开标地点（网址）：</w:t>
      </w:r>
      <w:r>
        <w:rPr>
          <w:rFonts w:hint="eastAsia" w:ascii="仿宋" w:hAnsi="仿宋" w:eastAsia="仿宋" w:cs="仿宋"/>
          <w:color w:val="000000" w:themeColor="text1"/>
          <w:sz w:val="24"/>
          <w:highlight w:val="none"/>
          <w14:textFill>
            <w14:solidFill>
              <w14:schemeClr w14:val="tx1"/>
            </w14:solidFill>
          </w14:textFill>
        </w:rPr>
        <w:t>政采云平台（https://www.zcygov.cn/）</w:t>
      </w:r>
    </w:p>
    <w:p w14:paraId="49368B3C">
      <w:pPr>
        <w:spacing w:line="360" w:lineRule="auto"/>
        <w:ind w:firstLine="1446" w:firstLineChars="6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（线下）：</w:t>
      </w:r>
      <w:r>
        <w:rPr>
          <w:rFonts w:hint="eastAsia" w:ascii="仿宋" w:hAnsi="仿宋" w:eastAsia="仿宋" w:cs="仿宋"/>
          <w:color w:val="000000" w:themeColor="text1"/>
          <w:sz w:val="24"/>
          <w:highlight w:val="none"/>
          <w14:textFill>
            <w14:solidFill>
              <w14:schemeClr w14:val="tx1"/>
            </w14:solidFill>
          </w14:textFill>
        </w:rPr>
        <w:t>杭州市钱塘区金沙大道600号东楼6楼</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号开标室</w:t>
      </w:r>
    </w:p>
    <w:p w14:paraId="7C3B7AC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五</w:t>
      </w:r>
      <w:r>
        <w:rPr>
          <w:rFonts w:hint="eastAsia" w:ascii="仿宋" w:hAnsi="仿宋" w:eastAsia="仿宋" w:cs="仿宋"/>
          <w:b/>
          <w:color w:val="000000" w:themeColor="text1"/>
          <w:sz w:val="24"/>
          <w:highlight w:val="none"/>
          <w14:textFill>
            <w14:solidFill>
              <w14:schemeClr w14:val="tx1"/>
            </w14:solidFill>
          </w14:textFill>
        </w:rPr>
        <w:t xml:space="preserve">、公告期限 </w:t>
      </w:r>
    </w:p>
    <w:p w14:paraId="1D26FE8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自本公告发布之日起5个工作日。</w:t>
      </w:r>
    </w:p>
    <w:p w14:paraId="3656CB70">
      <w:pPr>
        <w:spacing w:line="360" w:lineRule="auto"/>
        <w:rPr>
          <w:rFonts w:hint="eastAsia" w:ascii="仿宋" w:hAnsi="仿宋" w:eastAsia="仿宋" w:cs="仿宋"/>
          <w:b/>
          <w:sz w:val="24"/>
          <w:highlight w:val="none"/>
        </w:rPr>
      </w:pPr>
      <w:r>
        <w:rPr>
          <w:rFonts w:hint="eastAsia" w:ascii="仿宋" w:hAnsi="仿宋" w:eastAsia="仿宋" w:cs="仿宋"/>
          <w:b/>
          <w:sz w:val="24"/>
          <w:highlight w:val="none"/>
          <w:lang w:val="en-US" w:eastAsia="zh-CN"/>
        </w:rPr>
        <w:t>六</w:t>
      </w:r>
      <w:r>
        <w:rPr>
          <w:rFonts w:hint="eastAsia" w:ascii="仿宋" w:hAnsi="仿宋" w:eastAsia="仿宋" w:cs="仿宋"/>
          <w:b/>
          <w:sz w:val="24"/>
          <w:highlight w:val="none"/>
        </w:rPr>
        <w:t>、其他补充事宜</w:t>
      </w:r>
    </w:p>
    <w:p w14:paraId="6C2CBFE3">
      <w:pPr>
        <w:pStyle w:val="41"/>
        <w:adjustRightInd w:val="0"/>
        <w:snapToGrid w:val="0"/>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1.《浙江省财政厅关于进一步发挥政府采购政策功能全力推动经济稳进提质的通知》（浙财采监</w:t>
      </w:r>
      <w:r>
        <w:rPr>
          <w:rFonts w:hint="eastAsia" w:ascii="仿宋" w:hAnsi="仿宋" w:eastAsia="仿宋" w:cs="仿宋"/>
          <w:sz w:val="24"/>
          <w:highlight w:val="none"/>
          <w:lang w:eastAsia="zh-CN"/>
        </w:rPr>
        <w:t>〔2022〕3号</w:t>
      </w:r>
      <w:r>
        <w:rPr>
          <w:rFonts w:hint="eastAsia" w:ascii="仿宋" w:hAnsi="仿宋" w:eastAsia="仿宋" w:cs="仿宋"/>
          <w:sz w:val="24"/>
          <w:highlight w:val="none"/>
        </w:rPr>
        <w:t>）、《浙江省财政厅关于进一步促进政府采购公平竞争打造最优营商环境的通知》（浙财采监</w:t>
      </w:r>
      <w:r>
        <w:rPr>
          <w:rFonts w:hint="eastAsia" w:ascii="仿宋" w:hAnsi="仿宋" w:eastAsia="仿宋" w:cs="仿宋"/>
          <w:sz w:val="24"/>
          <w:highlight w:val="none"/>
          <w:lang w:eastAsia="zh-CN"/>
        </w:rPr>
        <w:t>〔2021〕22号</w:t>
      </w:r>
      <w:r>
        <w:rPr>
          <w:rFonts w:hint="eastAsia" w:ascii="仿宋" w:hAnsi="仿宋" w:eastAsia="仿宋" w:cs="仿宋"/>
          <w:sz w:val="24"/>
          <w:highlight w:val="none"/>
        </w:rPr>
        <w:t>））、《浙江省财政厅关于进一步加大政府采购支持中小企业力度助力扎实稳住经济的通知》（浙财采监</w:t>
      </w:r>
      <w:r>
        <w:rPr>
          <w:rFonts w:hint="eastAsia" w:ascii="仿宋" w:hAnsi="仿宋" w:eastAsia="仿宋" w:cs="仿宋"/>
          <w:sz w:val="24"/>
          <w:highlight w:val="none"/>
          <w:lang w:eastAsia="zh-CN"/>
        </w:rPr>
        <w:t>〔2022〕8号</w:t>
      </w:r>
      <w:r>
        <w:rPr>
          <w:rFonts w:hint="eastAsia" w:ascii="仿宋" w:hAnsi="仿宋" w:eastAsia="仿宋" w:cs="仿宋"/>
          <w:sz w:val="24"/>
          <w:highlight w:val="none"/>
        </w:rPr>
        <w:t>）已分别于2022年1月29日、2022年2月1日和2022年7月1日开始实施，此前有关规定与上述文件内容不一致的，按上述文件要求执行。</w:t>
      </w:r>
    </w:p>
    <w:p w14:paraId="68C98FBA">
      <w:pPr>
        <w:pStyle w:val="41"/>
        <w:adjustRightInd w:val="0"/>
        <w:snapToGrid w:val="0"/>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2.根据《浙江省财政厅关于进一步促进政府采购公平竞争打造最优营商环境的通知》（浙财采监</w:t>
      </w:r>
      <w:r>
        <w:rPr>
          <w:rFonts w:hint="eastAsia" w:ascii="仿宋" w:hAnsi="仿宋" w:eastAsia="仿宋" w:cs="仿宋"/>
          <w:sz w:val="24"/>
          <w:highlight w:val="none"/>
          <w:lang w:eastAsia="zh-CN"/>
        </w:rPr>
        <w:t>〔2021〕22号</w:t>
      </w:r>
      <w:r>
        <w:rPr>
          <w:rFonts w:hint="eastAsia" w:ascii="仿宋" w:hAnsi="仿宋" w:eastAsia="仿宋" w:cs="仿宋"/>
          <w:sz w:val="24"/>
          <w:highlight w:val="none"/>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6B909284">
      <w:pPr>
        <w:pStyle w:val="41"/>
        <w:adjustRightInd w:val="0"/>
        <w:snapToGrid w:val="0"/>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7490070">
      <w:pPr>
        <w:pStyle w:val="41"/>
        <w:adjustRightInd w:val="0"/>
        <w:snapToGrid w:val="0"/>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4.其他事项：</w:t>
      </w:r>
    </w:p>
    <w:p w14:paraId="14251BE9">
      <w:pPr>
        <w:pStyle w:val="41"/>
        <w:adjustRightInd w:val="0"/>
        <w:snapToGrid w:val="0"/>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（1）需要落实的政府采购政策：包括节约资源、保护环境、支持创新、促进中小企业发展等。详见招标文件的第二部分总则。</w:t>
      </w:r>
    </w:p>
    <w:p w14:paraId="1B6EB69B">
      <w:pPr>
        <w:pStyle w:val="41"/>
        <w:adjustRightInd w:val="0"/>
        <w:snapToGrid w:val="0"/>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2F9831C9">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highlight w:val="none"/>
        </w:rPr>
        <w:t>（3）</w:t>
      </w:r>
      <w:r>
        <w:rPr>
          <w:rFonts w:hint="eastAsia" w:ascii="仿宋" w:hAnsi="仿宋" w:eastAsia="仿宋" w:cs="仿宋"/>
          <w:sz w:val="24"/>
          <w:szCs w:val="24"/>
          <w:highlight w:val="none"/>
        </w:rPr>
        <w:t>钱塘区政府采购支持中小企业信用融资：</w:t>
      </w:r>
    </w:p>
    <w:p w14:paraId="7ACE37E6">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为支持和促进中小企业发展，进一步发挥政府采购政策功能，根据《杭州市政府采购支持中小企业信用融资管理办法》、《关于钱塘区政府采购支持中小企业信用融资有关事项的通知》，现将相关事项通知如下：</w:t>
      </w:r>
    </w:p>
    <w:p w14:paraId="6256DCFC">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A.适用对象：在浙江“政采云”平台注册入库，并取得钱塘区政府采购合同的中小企业供应商。</w:t>
      </w:r>
    </w:p>
    <w:p w14:paraId="6BE368DE">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B.相关信息获取方式：具体合作银行及联系方式详见采购文件。登陆杭州钱塘区管理委员会官网（http://qt.hangzhou.gov.cn） “公告公示”专栏，可查看信用融资政策文件及各相关银行服务方案。</w:t>
      </w:r>
    </w:p>
    <w:p w14:paraId="1AD55EBA">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C.申请方式和步骤：①供应商若有融资意向，需先与钱塘区财政局合作的银行对接，办理相关融资前期手续；②中标后，供应商应与采购单位或者采购代理机构及时联系，告知融资需求；③相关合作银行联系并审核供应商及相关中标信息，办理相关融资事宜；④采购单位或者采购代理机构在政府采购信息系统录入中标合同信息时，须标注合同为信用融资合同，并选择相应的信用融资合作银行，录入账号信息；⑤采购人应及时将信用融资合同提交财政局备案。</w:t>
      </w:r>
    </w:p>
    <w:p w14:paraId="69FB78E5">
      <w:pPr>
        <w:pStyle w:val="41"/>
        <w:adjustRightInd w:val="0"/>
        <w:snapToGrid w:val="0"/>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A5852AE">
      <w:pPr>
        <w:pStyle w:val="41"/>
        <w:adjustRightInd w:val="0"/>
        <w:snapToGrid w:val="0"/>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（5）本项目采购文件公告期限为本公告发布之日起5个工作日。</w:t>
      </w:r>
    </w:p>
    <w:p w14:paraId="665F277A">
      <w:pPr>
        <w:pStyle w:val="41"/>
        <w:adjustRightInd w:val="0"/>
        <w:snapToGrid w:val="0"/>
        <w:spacing w:beforeAutospacing="0" w:afterAutospacing="0" w:line="36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七</w:t>
      </w:r>
      <w:r>
        <w:rPr>
          <w:rFonts w:hint="eastAsia" w:ascii="仿宋" w:hAnsi="仿宋" w:eastAsia="仿宋" w:cs="仿宋"/>
          <w:b/>
          <w:bCs/>
          <w:sz w:val="24"/>
          <w:szCs w:val="24"/>
          <w:highlight w:val="none"/>
        </w:rPr>
        <w:t>、对本次采购提出询问、质疑、投诉，请按以下方式联系　　　</w:t>
      </w:r>
      <w:r>
        <w:rPr>
          <w:rFonts w:hint="eastAsia" w:ascii="仿宋" w:hAnsi="仿宋" w:eastAsia="仿宋" w:cs="仿宋"/>
          <w:sz w:val="24"/>
          <w:szCs w:val="24"/>
          <w:highlight w:val="none"/>
        </w:rPr>
        <w:t>　　　　　　　　　</w:t>
      </w:r>
    </w:p>
    <w:p w14:paraId="242C47DA">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1、采购人信息</w:t>
      </w:r>
    </w:p>
    <w:p w14:paraId="16B2427A">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eastAsia="zh-CN"/>
        </w:rPr>
        <w:t>杭州市钱塘区民政和文化旅游体育局</w:t>
      </w:r>
      <w:r>
        <w:rPr>
          <w:rFonts w:hint="eastAsia" w:ascii="仿宋" w:hAnsi="仿宋" w:eastAsia="仿宋" w:cs="仿宋"/>
          <w:color w:val="auto"/>
          <w:sz w:val="24"/>
          <w:szCs w:val="24"/>
          <w:highlight w:val="none"/>
        </w:rPr>
        <w:t>　　　　　　　　　</w:t>
      </w:r>
    </w:p>
    <w:p w14:paraId="338F8DCA">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地址：杭州市钱塘区智慧谷28楼</w:t>
      </w:r>
    </w:p>
    <w:p w14:paraId="1CA21467">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传真：  / </w:t>
      </w:r>
    </w:p>
    <w:p w14:paraId="0C71C684">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szCs w:val="24"/>
          <w:highlight w:val="none"/>
        </w:rPr>
        <w:t>项目联系人（询问）：孟繁远</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w:t>
      </w:r>
    </w:p>
    <w:p w14:paraId="75C87D25">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项目联系方式（询</w:t>
      </w:r>
      <w:r>
        <w:rPr>
          <w:rFonts w:hint="eastAsia" w:ascii="仿宋" w:hAnsi="仿宋" w:eastAsia="仿宋" w:cs="仿宋"/>
          <w:color w:val="auto"/>
          <w:sz w:val="24"/>
          <w:szCs w:val="24"/>
          <w:highlight w:val="none"/>
          <w:lang w:val="en-US" w:eastAsia="zh-CN"/>
        </w:rPr>
        <w:t>问）：</w:t>
      </w:r>
      <w:r>
        <w:rPr>
          <w:rFonts w:hint="eastAsia" w:ascii="仿宋" w:hAnsi="仿宋" w:eastAsia="仿宋" w:cs="仿宋"/>
          <w:color w:val="auto"/>
          <w:sz w:val="24"/>
          <w:szCs w:val="24"/>
          <w:highlight w:val="none"/>
        </w:rPr>
        <w:t>0571-89898161</w:t>
      </w:r>
      <w:r>
        <w:rPr>
          <w:rFonts w:hint="eastAsia" w:ascii="仿宋" w:hAnsi="仿宋" w:eastAsia="仿宋" w:cs="仿宋"/>
          <w:color w:val="auto"/>
          <w:sz w:val="24"/>
          <w:szCs w:val="24"/>
          <w:highlight w:val="none"/>
          <w:lang w:val="en-US" w:eastAsia="zh-CN"/>
        </w:rPr>
        <w:t xml:space="preserve"> </w:t>
      </w:r>
    </w:p>
    <w:p w14:paraId="53E0EB10">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质疑联系人：</w:t>
      </w:r>
      <w:r>
        <w:rPr>
          <w:rFonts w:hint="eastAsia" w:ascii="仿宋" w:hAnsi="仿宋" w:eastAsia="仿宋" w:cs="仿宋"/>
          <w:color w:val="auto"/>
          <w:sz w:val="24"/>
          <w:szCs w:val="24"/>
          <w:highlight w:val="none"/>
          <w:lang w:val="en-US" w:eastAsia="zh-CN"/>
        </w:rPr>
        <w:t>刘艳军</w:t>
      </w:r>
    </w:p>
    <w:p w14:paraId="7E0B9343">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    质疑联系方式</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0571-</w:t>
      </w:r>
      <w:r>
        <w:rPr>
          <w:rFonts w:hint="eastAsia" w:ascii="仿宋" w:hAnsi="仿宋" w:eastAsia="仿宋" w:cs="仿宋"/>
          <w:color w:val="auto"/>
          <w:sz w:val="24"/>
          <w:szCs w:val="24"/>
          <w:highlight w:val="none"/>
          <w:lang w:val="en-US" w:eastAsia="zh-CN"/>
        </w:rPr>
        <w:t>89899181</w:t>
      </w:r>
      <w:r>
        <w:rPr>
          <w:rFonts w:hint="eastAsia" w:ascii="仿宋" w:hAnsi="仿宋" w:eastAsia="仿宋" w:cs="仿宋"/>
          <w:color w:val="auto"/>
          <w:sz w:val="24"/>
          <w:szCs w:val="24"/>
          <w:highlight w:val="none"/>
        </w:rPr>
        <w:t>（请通过以下路径在线提起质疑：政采云-项目采购-询问质疑投诉-质疑列表）</w:t>
      </w:r>
      <w:r>
        <w:rPr>
          <w:rFonts w:hint="eastAsia" w:ascii="仿宋" w:hAnsi="仿宋" w:eastAsia="仿宋" w:cs="仿宋"/>
          <w:sz w:val="24"/>
          <w:szCs w:val="24"/>
          <w:highlight w:val="none"/>
        </w:rPr>
        <w:t>　　　</w:t>
      </w:r>
    </w:p>
    <w:p w14:paraId="3E509FE0">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2.采购代理机构信息</w:t>
      </w:r>
    </w:p>
    <w:p w14:paraId="1A96DC23">
      <w:pPr>
        <w:pStyle w:val="41"/>
        <w:adjustRightInd w:val="0"/>
        <w:snapToGrid w:val="0"/>
        <w:spacing w:beforeAutospacing="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名称：浙江国际招投标有限公司 　　　　　　　　　　　</w:t>
      </w:r>
    </w:p>
    <w:p w14:paraId="3956ACDC">
      <w:pPr>
        <w:pStyle w:val="41"/>
        <w:adjustRightInd w:val="0"/>
        <w:snapToGrid w:val="0"/>
        <w:spacing w:beforeAutospacing="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地址：浙江省杭州市西湖区文三路90号东部软件园1号楼3楼 </w:t>
      </w:r>
    </w:p>
    <w:p w14:paraId="7B6828D1">
      <w:pPr>
        <w:pStyle w:val="41"/>
        <w:adjustRightInd w:val="0"/>
        <w:snapToGrid w:val="0"/>
        <w:spacing w:beforeAutospacing="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传真： 0571-88473411   　</w:t>
      </w:r>
    </w:p>
    <w:p w14:paraId="1B3EFAA4">
      <w:pPr>
        <w:pStyle w:val="41"/>
        <w:adjustRightInd w:val="0"/>
        <w:snapToGrid w:val="0"/>
        <w:spacing w:beforeAutospacing="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项目联系人（询问）：唐稳 　   　　　　　　　　　　　</w:t>
      </w:r>
    </w:p>
    <w:p w14:paraId="1D38FD76">
      <w:pPr>
        <w:pStyle w:val="41"/>
        <w:adjustRightInd w:val="0"/>
        <w:snapToGrid w:val="0"/>
        <w:spacing w:beforeAutospacing="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项目联系方式（询问）：0571-81061825 </w:t>
      </w:r>
    </w:p>
    <w:p w14:paraId="21D43B36">
      <w:pPr>
        <w:pStyle w:val="41"/>
        <w:adjustRightInd w:val="0"/>
        <w:snapToGrid w:val="0"/>
        <w:spacing w:beforeAutospacing="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质疑联系人：赵娟 </w:t>
      </w:r>
    </w:p>
    <w:p w14:paraId="4A488A60">
      <w:pPr>
        <w:pStyle w:val="41"/>
        <w:adjustRightInd w:val="0"/>
        <w:snapToGrid w:val="0"/>
        <w:spacing w:beforeAutospacing="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质疑联系方式：0571-81061819（请通过以下路径在线提起质疑：政采云-项目采购-询问质疑投诉-质疑列表）　</w:t>
      </w:r>
    </w:p>
    <w:p w14:paraId="549E7FE8">
      <w:pPr>
        <w:pStyle w:val="41"/>
        <w:adjustRightInd w:val="0"/>
        <w:snapToGrid w:val="0"/>
        <w:spacing w:beforeAutospacing="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3.同级政府采购监督管理部门</w:t>
      </w:r>
    </w:p>
    <w:p w14:paraId="7BE170B5">
      <w:pPr>
        <w:pStyle w:val="41"/>
        <w:adjustRightInd w:val="0"/>
        <w:snapToGrid w:val="0"/>
        <w:spacing w:beforeAutospacing="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名称：杭州市钱塘区财政局、浙江省政府采购行政裁决服务中心 (杭州)</w:t>
      </w:r>
    </w:p>
    <w:p w14:paraId="5595BB7C">
      <w:pPr>
        <w:pStyle w:val="41"/>
        <w:adjustRightInd w:val="0"/>
        <w:snapToGrid w:val="0"/>
        <w:spacing w:beforeAutospacing="0" w:afterAutospacing="0"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地址：杭州市上城区清泰街549号城建综合大楼11楼 (快递仅限ems或顺丰)             </w:t>
      </w:r>
    </w:p>
    <w:p w14:paraId="727D71F8">
      <w:pPr>
        <w:pStyle w:val="41"/>
        <w:adjustRightInd w:val="0"/>
        <w:snapToGrid w:val="0"/>
        <w:spacing w:beforeAutospacing="0" w:afterAutospacing="0"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传真：      </w:t>
      </w:r>
    </w:p>
    <w:p w14:paraId="50ECBDCA">
      <w:pPr>
        <w:pStyle w:val="41"/>
        <w:adjustRightInd w:val="0"/>
        <w:snapToGrid w:val="0"/>
        <w:spacing w:beforeAutospacing="0" w:afterAutospacing="0"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联 系 人：匡老师</w:t>
      </w:r>
    </w:p>
    <w:p w14:paraId="3611EB4F">
      <w:pPr>
        <w:pStyle w:val="41"/>
        <w:adjustRightInd w:val="0"/>
        <w:snapToGrid w:val="0"/>
        <w:spacing w:beforeAutospacing="0" w:afterAutospacing="0"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监督投诉电话：0571-87807798  （仅限投诉事项）</w:t>
      </w:r>
    </w:p>
    <w:p w14:paraId="546459D2">
      <w:pPr>
        <w:pStyle w:val="41"/>
        <w:adjustRightInd w:val="0"/>
        <w:snapToGrid w:val="0"/>
        <w:spacing w:beforeAutospacing="0" w:afterAutospacing="0" w:line="360" w:lineRule="auto"/>
        <w:rPr>
          <w:rFonts w:hint="eastAsia" w:ascii="仿宋" w:hAnsi="仿宋" w:eastAsia="仿宋" w:cs="仿宋"/>
          <w:sz w:val="24"/>
          <w:szCs w:val="24"/>
          <w:highlight w:val="none"/>
        </w:rPr>
      </w:pPr>
    </w:p>
    <w:p w14:paraId="53B9821E">
      <w:pPr>
        <w:widowControl/>
        <w:adjustRightInd w:val="0"/>
        <w:snapToGrid w:val="0"/>
        <w:spacing w:line="360" w:lineRule="auto"/>
        <w:ind w:firstLine="420" w:firstLineChars="200"/>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 xml:space="preserve">若对项目采购电子交易系统操作有疑问，可登录政采云（https://www.zcygov.cn/），点击右侧咨询小采，获取采小蜜智能服务管家帮助，或拨打政采云服务热线95763获取热线服务帮助。       </w:t>
      </w:r>
    </w:p>
    <w:p w14:paraId="78A1AF0D">
      <w:pPr>
        <w:widowControl/>
        <w:adjustRightInd w:val="0"/>
        <w:snapToGrid w:val="0"/>
        <w:spacing w:line="360" w:lineRule="auto"/>
        <w:ind w:firstLine="420" w:firstLineChars="200"/>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CA问题联系电话（人工）：汇信CA 400-888-4636；天谷CA 400-087-8198。</w:t>
      </w:r>
    </w:p>
    <w:p w14:paraId="0E790FB3">
      <w:pPr>
        <w:widowControl/>
        <w:tabs>
          <w:tab w:val="left" w:pos="8647"/>
        </w:tabs>
        <w:adjustRightInd w:val="0"/>
        <w:snapToGrid w:val="0"/>
        <w:spacing w:line="360" w:lineRule="auto"/>
        <w:jc w:val="center"/>
        <w:outlineLvl w:val="1"/>
        <w:rPr>
          <w:rFonts w:hint="eastAsia" w:ascii="仿宋" w:hAnsi="仿宋" w:eastAsia="仿宋" w:cs="仿宋"/>
          <w:b/>
          <w:sz w:val="30"/>
          <w:szCs w:val="30"/>
          <w:highlight w:val="none"/>
        </w:rPr>
      </w:pPr>
      <w:r>
        <w:rPr>
          <w:rFonts w:hint="eastAsia" w:ascii="仿宋" w:hAnsi="仿宋" w:eastAsia="仿宋" w:cs="仿宋"/>
          <w:b/>
          <w:bCs/>
          <w:sz w:val="28"/>
          <w:szCs w:val="21"/>
          <w:highlight w:val="none"/>
        </w:rPr>
        <w:br w:type="page"/>
      </w:r>
      <w:bookmarkStart w:id="5" w:name="_Toc1014"/>
      <w:r>
        <w:rPr>
          <w:rFonts w:hint="eastAsia" w:ascii="仿宋" w:hAnsi="仿宋" w:eastAsia="仿宋" w:cs="仿宋"/>
          <w:b/>
          <w:sz w:val="30"/>
          <w:szCs w:val="30"/>
          <w:highlight w:val="none"/>
        </w:rPr>
        <w:t>前 附 表</w:t>
      </w:r>
      <w:bookmarkEnd w:id="5"/>
    </w:p>
    <w:tbl>
      <w:tblPr>
        <w:tblStyle w:val="45"/>
        <w:tblW w:w="856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29"/>
        <w:gridCol w:w="1843"/>
        <w:gridCol w:w="6095"/>
      </w:tblGrid>
      <w:tr w14:paraId="6D7CD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0" w:hRule="atLeast"/>
          <w:tblHeader/>
        </w:trPr>
        <w:tc>
          <w:tcPr>
            <w:tcW w:w="629" w:type="dxa"/>
            <w:tcBorders>
              <w:tl2br w:val="nil"/>
              <w:tr2bl w:val="nil"/>
            </w:tcBorders>
            <w:noWrap/>
            <w:vAlign w:val="center"/>
          </w:tcPr>
          <w:p w14:paraId="015142B7">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843" w:type="dxa"/>
            <w:tcBorders>
              <w:tl2br w:val="nil"/>
              <w:tr2bl w:val="nil"/>
            </w:tcBorders>
            <w:noWrap/>
            <w:vAlign w:val="center"/>
          </w:tcPr>
          <w:p w14:paraId="3098FD28">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事项</w:t>
            </w:r>
          </w:p>
        </w:tc>
        <w:tc>
          <w:tcPr>
            <w:tcW w:w="6095" w:type="dxa"/>
            <w:tcBorders>
              <w:tl2br w:val="nil"/>
              <w:tr2bl w:val="nil"/>
            </w:tcBorders>
            <w:noWrap/>
            <w:vAlign w:val="center"/>
          </w:tcPr>
          <w:p w14:paraId="28143B05">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本项目的特别规定</w:t>
            </w:r>
          </w:p>
        </w:tc>
      </w:tr>
      <w:tr w14:paraId="01C78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30" w:hRule="atLeast"/>
        </w:trPr>
        <w:tc>
          <w:tcPr>
            <w:tcW w:w="629" w:type="dxa"/>
            <w:tcBorders>
              <w:tl2br w:val="nil"/>
              <w:tr2bl w:val="nil"/>
            </w:tcBorders>
            <w:noWrap/>
            <w:vAlign w:val="center"/>
          </w:tcPr>
          <w:p w14:paraId="651CF56E">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843" w:type="dxa"/>
            <w:tcBorders>
              <w:tl2br w:val="nil"/>
              <w:tr2bl w:val="nil"/>
            </w:tcBorders>
            <w:noWrap/>
            <w:vAlign w:val="center"/>
          </w:tcPr>
          <w:p w14:paraId="3841F6FB">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项目属性</w:t>
            </w:r>
          </w:p>
        </w:tc>
        <w:tc>
          <w:tcPr>
            <w:tcW w:w="6095" w:type="dxa"/>
            <w:tcBorders>
              <w:tl2br w:val="nil"/>
              <w:tr2bl w:val="nil"/>
            </w:tcBorders>
            <w:noWrap/>
            <w:vAlign w:val="center"/>
          </w:tcPr>
          <w:p w14:paraId="4529479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b/>
                <w:kern w:val="0"/>
                <w:sz w:val="24"/>
                <w:highlight w:val="none"/>
              </w:rPr>
            </w:pPr>
            <w:r>
              <w:rPr>
                <w:rFonts w:hint="eastAsia" w:ascii="仿宋" w:hAnsi="仿宋" w:eastAsia="仿宋" w:cs="仿宋"/>
                <w:b/>
                <w:bCs/>
                <w:color w:val="auto"/>
                <w:sz w:val="24"/>
                <w:highlight w:val="none"/>
                <w:lang w:val="en-US" w:eastAsia="zh-CN"/>
              </w:rPr>
              <w:t>货物</w:t>
            </w:r>
            <w:r>
              <w:rPr>
                <w:rFonts w:hint="eastAsia" w:ascii="仿宋" w:hAnsi="仿宋" w:eastAsia="仿宋" w:cs="仿宋"/>
                <w:b/>
                <w:bCs/>
                <w:color w:val="auto"/>
                <w:sz w:val="24"/>
                <w:highlight w:val="none"/>
              </w:rPr>
              <w:t>类</w:t>
            </w:r>
            <w:r>
              <w:rPr>
                <w:rFonts w:hint="eastAsia" w:ascii="仿宋" w:hAnsi="仿宋" w:eastAsia="仿宋" w:cs="仿宋"/>
                <w:color w:val="auto"/>
                <w:sz w:val="24"/>
                <w:highlight w:val="none"/>
                <w:lang w:eastAsia="zh-CN"/>
              </w:rPr>
              <w:t>，</w:t>
            </w:r>
            <w:r>
              <w:rPr>
                <w:rFonts w:hint="eastAsia" w:ascii="仿宋" w:hAnsi="仿宋" w:eastAsia="仿宋" w:cs="仿宋"/>
                <w:kern w:val="0"/>
                <w:sz w:val="24"/>
                <w:highlight w:val="none"/>
              </w:rPr>
              <w:t>核心产品为：</w:t>
            </w:r>
            <w:r>
              <w:rPr>
                <w:rFonts w:hint="eastAsia" w:ascii="仿宋" w:hAnsi="仿宋" w:eastAsia="仿宋" w:cs="仿宋"/>
                <w:sz w:val="24"/>
                <w:highlight w:val="none"/>
                <w:u w:val="single"/>
              </w:rPr>
              <w:t xml:space="preserve"> </w:t>
            </w:r>
            <w:r>
              <w:rPr>
                <w:rFonts w:hint="eastAsia" w:ascii="仿宋" w:hAnsi="仿宋" w:eastAsia="仿宋" w:cs="仿宋"/>
                <w:b/>
                <w:bCs/>
                <w:color w:val="auto"/>
                <w:kern w:val="0"/>
                <w:sz w:val="24"/>
                <w:szCs w:val="24"/>
                <w:highlight w:val="none"/>
                <w:u w:val="single"/>
                <w:lang w:val="en-US" w:eastAsia="zh-CN"/>
              </w:rPr>
              <w:t>图书</w:t>
            </w:r>
            <w:r>
              <w:rPr>
                <w:rFonts w:hint="eastAsia" w:ascii="仿宋" w:hAnsi="仿宋" w:eastAsia="仿宋" w:cs="仿宋"/>
                <w:sz w:val="24"/>
                <w:highlight w:val="none"/>
                <w:u w:val="single"/>
              </w:rPr>
              <w:t xml:space="preserve"> </w:t>
            </w:r>
          </w:p>
        </w:tc>
      </w:tr>
      <w:tr w14:paraId="199EE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0" w:hRule="atLeast"/>
        </w:trPr>
        <w:tc>
          <w:tcPr>
            <w:tcW w:w="629" w:type="dxa"/>
            <w:vMerge w:val="restart"/>
            <w:tcBorders>
              <w:tl2br w:val="nil"/>
              <w:tr2bl w:val="nil"/>
            </w:tcBorders>
            <w:noWrap/>
            <w:vAlign w:val="center"/>
          </w:tcPr>
          <w:p w14:paraId="7DA4C336">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843" w:type="dxa"/>
            <w:vMerge w:val="restart"/>
            <w:tcBorders>
              <w:tl2br w:val="nil"/>
              <w:tr2bl w:val="nil"/>
            </w:tcBorders>
            <w:noWrap/>
            <w:vAlign w:val="center"/>
          </w:tcPr>
          <w:p w14:paraId="3EFB9578">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采购标的对应的中小企业划分标准所属行业</w:t>
            </w:r>
          </w:p>
        </w:tc>
        <w:tc>
          <w:tcPr>
            <w:tcW w:w="6095" w:type="dxa"/>
            <w:tcBorders>
              <w:tl2br w:val="nil"/>
              <w:tr2bl w:val="nil"/>
            </w:tcBorders>
            <w:noWrap/>
            <w:vAlign w:val="center"/>
          </w:tcPr>
          <w:p w14:paraId="40A0C90F">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b/>
                <w:color w:val="FF0000"/>
                <w:kern w:val="0"/>
                <w:sz w:val="24"/>
                <w:highlight w:val="none"/>
              </w:rPr>
            </w:pPr>
            <w:r>
              <w:rPr>
                <w:rFonts w:hint="eastAsia" w:ascii="仿宋" w:hAnsi="仿宋" w:eastAsia="仿宋" w:cs="仿宋"/>
                <w:b/>
                <w:bCs/>
                <w:color w:val="FF0000"/>
                <w:kern w:val="0"/>
                <w:sz w:val="24"/>
                <w:szCs w:val="24"/>
                <w:highlight w:val="none"/>
              </w:rPr>
              <w:t>标的</w:t>
            </w:r>
            <w:r>
              <w:rPr>
                <w:rFonts w:hint="eastAsia" w:ascii="仿宋" w:hAnsi="仿宋" w:eastAsia="仿宋" w:cs="仿宋"/>
                <w:b/>
                <w:bCs/>
                <w:color w:val="FF0000"/>
                <w:kern w:val="0"/>
                <w:sz w:val="24"/>
                <w:szCs w:val="24"/>
                <w:highlight w:val="none"/>
                <w:lang w:val="en-US" w:eastAsia="zh-CN"/>
              </w:rPr>
              <w:t>为</w:t>
            </w:r>
            <w:r>
              <w:rPr>
                <w:rFonts w:hint="eastAsia" w:ascii="仿宋" w:hAnsi="仿宋" w:eastAsia="仿宋" w:cs="仿宋"/>
                <w:b/>
                <w:bCs/>
                <w:color w:val="FF0000"/>
                <w:kern w:val="0"/>
                <w:sz w:val="24"/>
                <w:szCs w:val="24"/>
                <w:highlight w:val="none"/>
              </w:rPr>
              <w:t>：</w:t>
            </w:r>
            <w:r>
              <w:rPr>
                <w:rFonts w:hint="eastAsia" w:ascii="仿宋" w:hAnsi="仿宋" w:eastAsia="仿宋" w:cs="仿宋"/>
                <w:b/>
                <w:bCs/>
                <w:color w:val="FF0000"/>
                <w:kern w:val="0"/>
                <w:sz w:val="24"/>
                <w:szCs w:val="24"/>
                <w:highlight w:val="none"/>
                <w:u w:val="single"/>
                <w:lang w:val="en-US" w:eastAsia="zh-CN"/>
              </w:rPr>
              <w:t xml:space="preserve"> 图书 </w:t>
            </w:r>
            <w:r>
              <w:rPr>
                <w:rFonts w:hint="eastAsia" w:ascii="仿宋" w:hAnsi="仿宋" w:eastAsia="仿宋" w:cs="仿宋"/>
                <w:b/>
                <w:bCs/>
                <w:color w:val="FF0000"/>
                <w:kern w:val="0"/>
                <w:sz w:val="24"/>
                <w:szCs w:val="24"/>
                <w:highlight w:val="none"/>
              </w:rPr>
              <w:t>，属于</w:t>
            </w:r>
            <w:r>
              <w:rPr>
                <w:rFonts w:hint="eastAsia" w:ascii="仿宋" w:hAnsi="仿宋" w:eastAsia="仿宋" w:cs="仿宋"/>
                <w:b/>
                <w:bCs/>
                <w:color w:val="FF0000"/>
                <w:kern w:val="0"/>
                <w:sz w:val="24"/>
                <w:szCs w:val="24"/>
                <w:highlight w:val="none"/>
                <w:u w:val="single"/>
              </w:rPr>
              <w:t xml:space="preserve"> </w:t>
            </w:r>
            <w:r>
              <w:rPr>
                <w:rFonts w:hint="eastAsia" w:ascii="仿宋" w:hAnsi="仿宋" w:eastAsia="仿宋" w:cs="仿宋"/>
                <w:b/>
                <w:bCs/>
                <w:color w:val="FF0000"/>
                <w:kern w:val="0"/>
                <w:sz w:val="24"/>
                <w:szCs w:val="24"/>
                <w:highlight w:val="none"/>
                <w:u w:val="single"/>
                <w:lang w:val="en-US" w:eastAsia="zh-CN"/>
              </w:rPr>
              <w:t xml:space="preserve">工业  </w:t>
            </w:r>
          </w:p>
        </w:tc>
      </w:tr>
      <w:tr w14:paraId="14706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781" w:hRule="atLeast"/>
        </w:trPr>
        <w:tc>
          <w:tcPr>
            <w:tcW w:w="629" w:type="dxa"/>
            <w:vMerge w:val="continue"/>
            <w:tcBorders>
              <w:tl2br w:val="nil"/>
              <w:tr2bl w:val="nil"/>
            </w:tcBorders>
            <w:noWrap/>
            <w:vAlign w:val="center"/>
          </w:tcPr>
          <w:p w14:paraId="08ED2077">
            <w:pPr>
              <w:adjustRightInd w:val="0"/>
              <w:snapToGrid w:val="0"/>
              <w:spacing w:line="400" w:lineRule="exact"/>
              <w:jc w:val="center"/>
              <w:rPr>
                <w:rFonts w:hint="eastAsia" w:ascii="仿宋" w:hAnsi="仿宋" w:eastAsia="仿宋" w:cs="仿宋"/>
                <w:sz w:val="24"/>
                <w:highlight w:val="none"/>
              </w:rPr>
            </w:pPr>
          </w:p>
        </w:tc>
        <w:tc>
          <w:tcPr>
            <w:tcW w:w="1843" w:type="dxa"/>
            <w:vMerge w:val="continue"/>
            <w:tcBorders>
              <w:tl2br w:val="nil"/>
              <w:tr2bl w:val="nil"/>
            </w:tcBorders>
            <w:noWrap/>
            <w:vAlign w:val="center"/>
          </w:tcPr>
          <w:p w14:paraId="504FDD38">
            <w:pPr>
              <w:adjustRightInd w:val="0"/>
              <w:snapToGrid w:val="0"/>
              <w:spacing w:line="400" w:lineRule="exact"/>
              <w:jc w:val="center"/>
              <w:rPr>
                <w:rFonts w:hint="eastAsia" w:ascii="仿宋" w:hAnsi="仿宋" w:eastAsia="仿宋" w:cs="仿宋"/>
                <w:b/>
                <w:sz w:val="24"/>
                <w:highlight w:val="none"/>
              </w:rPr>
            </w:pPr>
          </w:p>
        </w:tc>
        <w:tc>
          <w:tcPr>
            <w:tcW w:w="6095" w:type="dxa"/>
            <w:tcBorders>
              <w:tl2br w:val="nil"/>
              <w:tr2bl w:val="nil"/>
            </w:tcBorders>
            <w:noWrap/>
            <w:vAlign w:val="center"/>
          </w:tcPr>
          <w:p w14:paraId="659626CE">
            <w:pPr>
              <w:adjustRightInd w:val="0"/>
              <w:snapToGrid w:val="0"/>
              <w:rPr>
                <w:rFonts w:hint="eastAsia" w:ascii="仿宋" w:hAnsi="仿宋" w:eastAsia="仿宋" w:cs="仿宋"/>
                <w:color w:val="FF0000"/>
                <w:kern w:val="0"/>
                <w:sz w:val="24"/>
                <w:highlight w:val="none"/>
              </w:rPr>
            </w:pPr>
            <w:r>
              <w:rPr>
                <w:rFonts w:hint="eastAsia" w:ascii="仿宋" w:hAnsi="仿宋" w:eastAsia="仿宋" w:cs="仿宋"/>
                <w:b w:val="0"/>
                <w:bCs w:val="0"/>
                <w:color w:val="FF0000"/>
                <w:kern w:val="0"/>
                <w:sz w:val="24"/>
                <w:szCs w:val="24"/>
                <w:highlight w:val="none"/>
              </w:rPr>
              <w:t>工业</w:t>
            </w:r>
            <w:r>
              <w:rPr>
                <w:rFonts w:hint="eastAsia" w:ascii="仿宋" w:hAnsi="仿宋" w:eastAsia="仿宋" w:cs="仿宋"/>
                <w:b w:val="0"/>
                <w:bCs w:val="0"/>
                <w:color w:val="FF0000"/>
                <w:kern w:val="0"/>
                <w:sz w:val="24"/>
                <w:szCs w:val="24"/>
                <w:highlight w:val="none"/>
                <w:lang w:val="en-US" w:eastAsia="zh-CN"/>
              </w:rPr>
              <w:t>中，</w:t>
            </w:r>
            <w:r>
              <w:rPr>
                <w:rFonts w:hint="eastAsia" w:ascii="仿宋" w:hAnsi="仿宋" w:eastAsia="仿宋" w:cs="仿宋"/>
                <w:b w:val="0"/>
                <w:bCs w:val="0"/>
                <w:color w:val="FF0000"/>
                <w:kern w:val="0"/>
                <w:sz w:val="24"/>
                <w:szCs w:val="24"/>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10EB8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640" w:hRule="atLeast"/>
        </w:trPr>
        <w:tc>
          <w:tcPr>
            <w:tcW w:w="629" w:type="dxa"/>
            <w:vMerge w:val="continue"/>
            <w:tcBorders>
              <w:tl2br w:val="nil"/>
              <w:tr2bl w:val="nil"/>
            </w:tcBorders>
            <w:noWrap/>
            <w:vAlign w:val="center"/>
          </w:tcPr>
          <w:p w14:paraId="5718CB3E">
            <w:pPr>
              <w:adjustRightInd w:val="0"/>
              <w:snapToGrid w:val="0"/>
              <w:spacing w:line="400" w:lineRule="exact"/>
              <w:jc w:val="center"/>
              <w:rPr>
                <w:rFonts w:hint="eastAsia" w:ascii="仿宋" w:hAnsi="仿宋" w:eastAsia="仿宋" w:cs="仿宋"/>
                <w:sz w:val="24"/>
                <w:highlight w:val="none"/>
              </w:rPr>
            </w:pPr>
          </w:p>
        </w:tc>
        <w:tc>
          <w:tcPr>
            <w:tcW w:w="1843" w:type="dxa"/>
            <w:vMerge w:val="continue"/>
            <w:tcBorders>
              <w:tl2br w:val="nil"/>
              <w:tr2bl w:val="nil"/>
            </w:tcBorders>
            <w:noWrap/>
            <w:vAlign w:val="center"/>
          </w:tcPr>
          <w:p w14:paraId="61299274">
            <w:pPr>
              <w:adjustRightInd w:val="0"/>
              <w:snapToGrid w:val="0"/>
              <w:spacing w:line="400" w:lineRule="exact"/>
              <w:jc w:val="center"/>
              <w:rPr>
                <w:rFonts w:hint="eastAsia" w:ascii="仿宋" w:hAnsi="仿宋" w:eastAsia="仿宋" w:cs="仿宋"/>
                <w:b/>
                <w:sz w:val="24"/>
                <w:highlight w:val="none"/>
              </w:rPr>
            </w:pPr>
          </w:p>
        </w:tc>
        <w:tc>
          <w:tcPr>
            <w:tcW w:w="6095" w:type="dxa"/>
            <w:tcBorders>
              <w:tl2br w:val="nil"/>
              <w:tr2bl w:val="nil"/>
            </w:tcBorders>
            <w:noWrap/>
            <w:vAlign w:val="center"/>
          </w:tcPr>
          <w:p w14:paraId="5DB6BDE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（1）投标人填写中小企业声明函时，标的为</w:t>
            </w:r>
            <w:r>
              <w:rPr>
                <w:rFonts w:hint="eastAsia" w:ascii="仿宋" w:hAnsi="仿宋" w:eastAsia="仿宋" w:cs="仿宋"/>
                <w:b/>
                <w:bCs/>
                <w:color w:val="auto"/>
                <w:kern w:val="0"/>
                <w:sz w:val="24"/>
                <w:szCs w:val="24"/>
                <w:highlight w:val="none"/>
                <w:u w:val="single"/>
                <w:lang w:val="en-US" w:eastAsia="zh-CN"/>
              </w:rPr>
              <w:t>图书</w:t>
            </w:r>
            <w:r>
              <w:rPr>
                <w:rFonts w:hint="eastAsia" w:ascii="仿宋" w:hAnsi="仿宋" w:eastAsia="仿宋" w:cs="仿宋"/>
                <w:b/>
                <w:bCs/>
                <w:color w:val="auto"/>
                <w:kern w:val="0"/>
                <w:sz w:val="24"/>
                <w:szCs w:val="24"/>
                <w:highlight w:val="none"/>
                <w:lang w:val="en-US" w:eastAsia="zh-CN"/>
              </w:rPr>
              <w:t>，所属行业为</w:t>
            </w:r>
            <w:r>
              <w:rPr>
                <w:rFonts w:hint="eastAsia" w:ascii="仿宋" w:hAnsi="仿宋" w:eastAsia="仿宋" w:cs="仿宋"/>
                <w:b/>
                <w:bCs/>
                <w:color w:val="auto"/>
                <w:kern w:val="0"/>
                <w:sz w:val="24"/>
                <w:szCs w:val="24"/>
                <w:highlight w:val="none"/>
                <w:u w:val="single"/>
                <w:lang w:val="en-US" w:eastAsia="zh-CN"/>
              </w:rPr>
              <w:t>工业</w:t>
            </w:r>
            <w:r>
              <w:rPr>
                <w:rFonts w:hint="eastAsia" w:ascii="仿宋" w:hAnsi="仿宋" w:eastAsia="仿宋" w:cs="仿宋"/>
                <w:b/>
                <w:bCs/>
                <w:color w:val="auto"/>
                <w:kern w:val="0"/>
                <w:sz w:val="24"/>
                <w:szCs w:val="24"/>
                <w:highlight w:val="none"/>
                <w:lang w:val="en-US" w:eastAsia="zh-CN"/>
              </w:rPr>
              <w:t>；</w:t>
            </w:r>
          </w:p>
          <w:p w14:paraId="6FB0F26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rPr>
              <w:t>从业人员、营业收入、资产总额填报上一年度数据，无上一年度数据的新成立企业可不填报</w:t>
            </w:r>
            <w:r>
              <w:rPr>
                <w:rFonts w:hint="eastAsia" w:ascii="仿宋" w:hAnsi="仿宋" w:eastAsia="仿宋" w:cs="仿宋"/>
                <w:b/>
                <w:bCs/>
                <w:color w:val="auto"/>
                <w:kern w:val="0"/>
                <w:sz w:val="24"/>
                <w:szCs w:val="24"/>
                <w:highlight w:val="none"/>
                <w:lang w:eastAsia="zh-CN"/>
              </w:rPr>
              <w:t>；</w:t>
            </w:r>
          </w:p>
          <w:p w14:paraId="5EBEEB6A">
            <w:pPr>
              <w:adjustRightInd w:val="0"/>
              <w:snapToGrid w:val="0"/>
              <w:rPr>
                <w:rFonts w:hint="eastAsia" w:ascii="仿宋" w:hAnsi="仿宋" w:eastAsia="仿宋" w:cs="仿宋"/>
                <w:kern w:val="0"/>
                <w:sz w:val="24"/>
                <w:highlight w:val="none"/>
              </w:rPr>
            </w:pP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3</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中型企业、小型企业、微型企业等3种企业类型，结合以上数据，依据《中小企业划型标准规定》（工信部联企业〔2011〕300号）确定</w:t>
            </w:r>
            <w:r>
              <w:rPr>
                <w:rFonts w:hint="eastAsia" w:ascii="仿宋" w:hAnsi="仿宋" w:eastAsia="仿宋" w:cs="仿宋"/>
                <w:b/>
                <w:bCs/>
                <w:color w:val="auto"/>
                <w:kern w:val="0"/>
                <w:sz w:val="24"/>
                <w:szCs w:val="24"/>
                <w:highlight w:val="none"/>
                <w:lang w:val="en-US" w:eastAsia="zh-CN"/>
              </w:rPr>
              <w:t>的</w:t>
            </w:r>
            <w:r>
              <w:rPr>
                <w:rFonts w:hint="eastAsia" w:ascii="仿宋" w:hAnsi="仿宋" w:eastAsia="仿宋" w:cs="仿宋"/>
                <w:b/>
                <w:bCs/>
                <w:color w:val="auto"/>
                <w:kern w:val="0"/>
                <w:sz w:val="24"/>
                <w:szCs w:val="24"/>
                <w:highlight w:val="none"/>
                <w:u w:val="single"/>
                <w:lang w:val="en-US" w:eastAsia="zh-CN"/>
              </w:rPr>
              <w:t>工业</w:t>
            </w:r>
            <w:r>
              <w:rPr>
                <w:rFonts w:hint="eastAsia" w:ascii="仿宋" w:hAnsi="仿宋" w:eastAsia="仿宋" w:cs="仿宋"/>
                <w:b/>
                <w:bCs/>
                <w:color w:val="auto"/>
                <w:kern w:val="0"/>
                <w:sz w:val="24"/>
                <w:szCs w:val="24"/>
                <w:highlight w:val="none"/>
              </w:rPr>
              <w:t>，</w:t>
            </w:r>
            <w:r>
              <w:rPr>
                <w:rFonts w:hint="eastAsia" w:ascii="仿宋" w:hAnsi="仿宋" w:eastAsia="仿宋" w:cs="仿宋"/>
                <w:b/>
                <w:bCs/>
                <w:strike w:val="0"/>
                <w:dstrike w:val="0"/>
                <w:color w:val="auto"/>
                <w:kern w:val="0"/>
                <w:sz w:val="24"/>
                <w:szCs w:val="24"/>
                <w:highlight w:val="none"/>
                <w:u w:val="single"/>
              </w:rPr>
              <w:t>填写时应明确是中型或小型或微型</w:t>
            </w:r>
            <w:r>
              <w:rPr>
                <w:rFonts w:hint="eastAsia" w:ascii="仿宋" w:hAnsi="仿宋" w:eastAsia="仿宋" w:cs="仿宋"/>
                <w:b/>
                <w:bCs/>
                <w:color w:val="auto"/>
                <w:kern w:val="0"/>
                <w:sz w:val="24"/>
                <w:szCs w:val="24"/>
                <w:highlight w:val="none"/>
                <w:lang w:eastAsia="zh-CN"/>
              </w:rPr>
              <w:t>。</w:t>
            </w:r>
          </w:p>
        </w:tc>
      </w:tr>
      <w:tr w14:paraId="23E79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92" w:hRule="atLeast"/>
        </w:trPr>
        <w:tc>
          <w:tcPr>
            <w:tcW w:w="629" w:type="dxa"/>
            <w:tcBorders>
              <w:tl2br w:val="nil"/>
              <w:tr2bl w:val="nil"/>
            </w:tcBorders>
            <w:noWrap/>
            <w:vAlign w:val="center"/>
          </w:tcPr>
          <w:p w14:paraId="68A30E33">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843" w:type="dxa"/>
            <w:tcBorders>
              <w:tl2br w:val="nil"/>
              <w:tr2bl w:val="nil"/>
            </w:tcBorders>
            <w:noWrap/>
            <w:vAlign w:val="center"/>
          </w:tcPr>
          <w:p w14:paraId="6391FD42">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是否允许采购进口产品</w:t>
            </w:r>
          </w:p>
        </w:tc>
        <w:tc>
          <w:tcPr>
            <w:tcW w:w="6095" w:type="dxa"/>
            <w:tcBorders>
              <w:tl2br w:val="nil"/>
              <w:tr2bl w:val="nil"/>
            </w:tcBorders>
            <w:noWrap/>
            <w:vAlign w:val="center"/>
          </w:tcPr>
          <w:p w14:paraId="25D87327">
            <w:pPr>
              <w:adjustRightInd w:val="0"/>
              <w:snapToGrid w:val="0"/>
              <w:spacing w:line="4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rPr>
              <w:t>本项目不允许采购进口产品。</w:t>
            </w:r>
          </w:p>
          <w:p w14:paraId="73D72D38">
            <w:pPr>
              <w:adjustRightInd w:val="0"/>
              <w:snapToGrid w:val="0"/>
              <w:spacing w:line="4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3403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92" w:hRule="atLeast"/>
        </w:trPr>
        <w:tc>
          <w:tcPr>
            <w:tcW w:w="629" w:type="dxa"/>
            <w:tcBorders>
              <w:tl2br w:val="nil"/>
              <w:tr2bl w:val="nil"/>
            </w:tcBorders>
            <w:noWrap/>
            <w:vAlign w:val="center"/>
          </w:tcPr>
          <w:p w14:paraId="135D62BB">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1843" w:type="dxa"/>
            <w:tcBorders>
              <w:tl2br w:val="nil"/>
              <w:tr2bl w:val="nil"/>
            </w:tcBorders>
            <w:noWrap/>
            <w:vAlign w:val="center"/>
          </w:tcPr>
          <w:p w14:paraId="64F0FE50">
            <w:pPr>
              <w:adjustRightInd w:val="0"/>
              <w:snapToGrid w:val="0"/>
              <w:spacing w:line="40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分包</w:t>
            </w:r>
          </w:p>
        </w:tc>
        <w:tc>
          <w:tcPr>
            <w:tcW w:w="6095" w:type="dxa"/>
            <w:tcBorders>
              <w:tl2br w:val="nil"/>
              <w:tr2bl w:val="nil"/>
            </w:tcBorders>
            <w:noWrap/>
            <w:vAlign w:val="center"/>
          </w:tcPr>
          <w:p w14:paraId="739738E6">
            <w:pPr>
              <w:adjustRightInd w:val="0"/>
              <w:snapToGrid w:val="0"/>
              <w:rPr>
                <w:rFonts w:hint="eastAsia" w:ascii="仿宋" w:hAnsi="仿宋" w:eastAsia="仿宋" w:cs="仿宋"/>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rPr>
              <w:t xml:space="preserve"> A</w:t>
            </w:r>
            <w:r>
              <w:rPr>
                <w:rFonts w:hint="eastAsia" w:ascii="仿宋" w:hAnsi="仿宋" w:eastAsia="仿宋" w:cs="仿宋"/>
                <w:sz w:val="24"/>
                <w:highlight w:val="none"/>
              </w:rPr>
              <w:t>同意将非主体、非关键性的</w:t>
            </w:r>
            <w:r>
              <w:rPr>
                <w:rFonts w:hint="eastAsia" w:ascii="仿宋" w:hAnsi="仿宋" w:eastAsia="仿宋" w:cs="仿宋"/>
                <w:color w:val="auto"/>
                <w:sz w:val="24"/>
                <w:highlight w:val="none"/>
                <w:u w:val="single"/>
                <w:lang w:val="en-US" w:eastAsia="zh-CN"/>
              </w:rPr>
              <w:t>图书运输、加工、上架等服务</w:t>
            </w:r>
            <w:r>
              <w:rPr>
                <w:rFonts w:hint="eastAsia" w:ascii="仿宋" w:hAnsi="仿宋" w:eastAsia="仿宋" w:cs="仿宋"/>
                <w:sz w:val="24"/>
                <w:highlight w:val="none"/>
              </w:rPr>
              <w:t>工作分包。</w:t>
            </w:r>
          </w:p>
          <w:p w14:paraId="34FD8337">
            <w:pPr>
              <w:adjustRightInd w:val="0"/>
              <w:snapToGrid w:val="0"/>
              <w:rPr>
                <w:rFonts w:hint="eastAsia" w:ascii="仿宋" w:hAnsi="仿宋" w:eastAsia="仿宋" w:cs="仿宋"/>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rPr>
              <w:t xml:space="preserve"> B</w:t>
            </w:r>
            <w:r>
              <w:rPr>
                <w:rFonts w:hint="eastAsia" w:ascii="仿宋" w:hAnsi="仿宋" w:eastAsia="仿宋" w:cs="仿宋"/>
                <w:sz w:val="24"/>
                <w:highlight w:val="none"/>
              </w:rPr>
              <w:t>同意向小微企业合理分包。</w:t>
            </w:r>
          </w:p>
          <w:p w14:paraId="72CEDFD5">
            <w:pPr>
              <w:adjustRightInd w:val="0"/>
              <w:snapToGrid w:val="0"/>
              <w:spacing w:line="400" w:lineRule="exact"/>
              <w:rPr>
                <w:rFonts w:hint="eastAsia" w:ascii="仿宋" w:hAnsi="仿宋" w:eastAsia="仿宋" w:cs="仿宋"/>
                <w:kern w:val="0"/>
                <w:sz w:val="24"/>
                <w:highlight w:val="none"/>
              </w:rPr>
            </w:pP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C</w:t>
            </w:r>
            <w:r>
              <w:rPr>
                <w:rFonts w:hint="eastAsia" w:ascii="仿宋" w:hAnsi="仿宋" w:eastAsia="仿宋" w:cs="仿宋"/>
                <w:sz w:val="24"/>
                <w:highlight w:val="none"/>
              </w:rPr>
              <w:t>不同意分包。</w:t>
            </w:r>
          </w:p>
        </w:tc>
      </w:tr>
      <w:tr w14:paraId="2DAC0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33" w:hRule="atLeast"/>
        </w:trPr>
        <w:tc>
          <w:tcPr>
            <w:tcW w:w="629" w:type="dxa"/>
            <w:tcBorders>
              <w:tl2br w:val="nil"/>
              <w:tr2bl w:val="nil"/>
            </w:tcBorders>
            <w:noWrap/>
            <w:vAlign w:val="center"/>
          </w:tcPr>
          <w:p w14:paraId="05D0202E">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1843" w:type="dxa"/>
            <w:tcBorders>
              <w:tl2br w:val="nil"/>
              <w:tr2bl w:val="nil"/>
            </w:tcBorders>
            <w:noWrap/>
            <w:vAlign w:val="center"/>
          </w:tcPr>
          <w:p w14:paraId="40E14BE2">
            <w:pPr>
              <w:adjustRightInd w:val="0"/>
              <w:snapToGrid w:val="0"/>
              <w:spacing w:line="40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开标前答疑会或现场考察</w:t>
            </w:r>
          </w:p>
        </w:tc>
        <w:tc>
          <w:tcPr>
            <w:tcW w:w="6095" w:type="dxa"/>
            <w:tcBorders>
              <w:tl2br w:val="nil"/>
              <w:tr2bl w:val="nil"/>
            </w:tcBorders>
            <w:noWrap/>
            <w:vAlign w:val="center"/>
          </w:tcPr>
          <w:p w14:paraId="77733C32">
            <w:pPr>
              <w:snapToGrid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sym w:font="Wingdings" w:char="00FE"/>
            </w:r>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不组织。</w:t>
            </w:r>
          </w:p>
          <w:p w14:paraId="21B0AFA2">
            <w:pPr>
              <w:snapToGrid w:val="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☐B组织，</w:t>
            </w:r>
            <w:r>
              <w:rPr>
                <w:rFonts w:hint="eastAsia" w:ascii="仿宋" w:hAnsi="仿宋" w:eastAsia="仿宋" w:cs="仿宋"/>
                <w:color w:val="000000" w:themeColor="text1"/>
                <w:sz w:val="24"/>
                <w:highlight w:val="none"/>
                <w14:textFill>
                  <w14:solidFill>
                    <w14:schemeClr w14:val="tx1"/>
                  </w14:solidFill>
                </w14:textFill>
              </w:rPr>
              <w:t>时间：</w:t>
            </w:r>
            <w:r>
              <w:rPr>
                <w:rFonts w:hint="eastAsia" w:ascii="仿宋" w:hAnsi="仿宋" w:eastAsia="仿宋" w:cs="仿宋"/>
                <w:color w:val="000000" w:themeColor="text1"/>
                <w:kern w:val="0"/>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highlight w:val="none"/>
                <w14:textFill>
                  <w14:solidFill>
                    <w14:schemeClr w14:val="tx1"/>
                  </w14:solidFill>
                </w14:textFill>
              </w:rPr>
              <w:t>,地点：</w:t>
            </w:r>
            <w:r>
              <w:rPr>
                <w:rFonts w:hint="eastAsia" w:ascii="仿宋" w:hAnsi="仿宋" w:eastAsia="仿宋" w:cs="仿宋"/>
                <w:color w:val="000000" w:themeColor="text1"/>
                <w:kern w:val="0"/>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kern w:val="0"/>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highlight w:val="none"/>
                <w14:textFill>
                  <w14:solidFill>
                    <w14:schemeClr w14:val="tx1"/>
                  </w14:solidFill>
                </w14:textFill>
              </w:rPr>
              <w:t>，联系方式：</w:t>
            </w:r>
            <w:r>
              <w:rPr>
                <w:rFonts w:hint="eastAsia" w:ascii="仿宋" w:hAnsi="仿宋" w:eastAsia="仿宋" w:cs="仿宋"/>
                <w:color w:val="000000" w:themeColor="text1"/>
                <w:kern w:val="0"/>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0"/>
                <w:highlight w:val="none"/>
                <w14:textFill>
                  <w14:solidFill>
                    <w14:schemeClr w14:val="tx1"/>
                  </w14:solidFill>
                </w14:textFill>
              </w:rPr>
              <w:t>。</w:t>
            </w:r>
          </w:p>
          <w:p w14:paraId="1121E225">
            <w:pPr>
              <w:snapToGrid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sym w:font="Wingdings" w:char="00A8"/>
            </w:r>
            <w:r>
              <w:rPr>
                <w:rFonts w:hint="eastAsia" w:ascii="仿宋" w:hAnsi="仿宋" w:eastAsia="仿宋" w:cs="仿宋"/>
                <w:color w:val="000000" w:themeColor="text1"/>
                <w:kern w:val="0"/>
                <w:sz w:val="24"/>
                <w:highlight w:val="none"/>
                <w14:textFill>
                  <w14:solidFill>
                    <w14:schemeClr w14:val="tx1"/>
                  </w14:solidFill>
                </w14:textFill>
              </w:rPr>
              <w:t>C不统一组织，供应商在获取采购文件后，自行至项目现场考察。地点：</w:t>
            </w:r>
            <w:r>
              <w:rPr>
                <w:rFonts w:hint="eastAsia" w:ascii="仿宋" w:hAnsi="仿宋" w:eastAsia="仿宋" w:cs="仿宋"/>
                <w:color w:val="000000" w:themeColor="text1"/>
                <w:kern w:val="0"/>
                <w:sz w:val="24"/>
                <w:highlight w:val="none"/>
                <w:u w:val="single"/>
                <w14:textFill>
                  <w14:solidFill>
                    <w14:schemeClr w14:val="tx1"/>
                  </w14:solidFill>
                </w14:textFill>
              </w:rPr>
              <w:t xml:space="preserve"> / </w:t>
            </w:r>
            <w:r>
              <w:rPr>
                <w:rFonts w:hint="eastAsia" w:ascii="仿宋" w:hAnsi="仿宋" w:eastAsia="仿宋" w:cs="仿宋"/>
                <w:color w:val="000000" w:themeColor="text1"/>
                <w:kern w:val="0"/>
                <w:sz w:val="24"/>
                <w:highlight w:val="none"/>
                <w14:textFill>
                  <w14:solidFill>
                    <w14:schemeClr w14:val="tx1"/>
                  </w14:solidFill>
                </w14:textFill>
              </w:rPr>
              <w:t xml:space="preserve"> ，联系人：</w:t>
            </w:r>
            <w:r>
              <w:rPr>
                <w:rFonts w:hint="eastAsia" w:ascii="仿宋" w:hAnsi="仿宋" w:eastAsia="仿宋" w:cs="仿宋"/>
                <w:color w:val="000000" w:themeColor="text1"/>
                <w:kern w:val="0"/>
                <w:sz w:val="24"/>
                <w:highlight w:val="none"/>
                <w:u w:val="single"/>
                <w14:textFill>
                  <w14:solidFill>
                    <w14:schemeClr w14:val="tx1"/>
                  </w14:solidFill>
                </w14:textFill>
              </w:rPr>
              <w:t xml:space="preserve"> / </w:t>
            </w:r>
            <w:r>
              <w:rPr>
                <w:rFonts w:hint="eastAsia" w:ascii="仿宋" w:hAnsi="仿宋" w:eastAsia="仿宋" w:cs="仿宋"/>
                <w:color w:val="000000" w:themeColor="text1"/>
                <w:kern w:val="0"/>
                <w:sz w:val="24"/>
                <w:highlight w:val="none"/>
                <w14:textFill>
                  <w14:solidFill>
                    <w14:schemeClr w14:val="tx1"/>
                  </w14:solidFill>
                </w14:textFill>
              </w:rPr>
              <w:t>，联系方式：</w:t>
            </w:r>
            <w:r>
              <w:rPr>
                <w:rFonts w:hint="eastAsia" w:ascii="仿宋" w:hAnsi="仿宋" w:eastAsia="仿宋" w:cs="仿宋"/>
                <w:color w:val="000000" w:themeColor="text1"/>
                <w:kern w:val="0"/>
                <w:sz w:val="24"/>
                <w:highlight w:val="none"/>
                <w:u w:val="single"/>
                <w14:textFill>
                  <w14:solidFill>
                    <w14:schemeClr w14:val="tx1"/>
                  </w14:solidFill>
                </w14:textFill>
              </w:rPr>
              <w:t xml:space="preserve"> / </w:t>
            </w:r>
            <w:r>
              <w:rPr>
                <w:rFonts w:hint="eastAsia" w:ascii="仿宋" w:hAnsi="仿宋" w:eastAsia="仿宋" w:cs="仿宋"/>
                <w:color w:val="000000" w:themeColor="text1"/>
                <w:kern w:val="0"/>
                <w:sz w:val="24"/>
                <w:highlight w:val="none"/>
                <w14:textFill>
                  <w14:solidFill>
                    <w14:schemeClr w14:val="tx1"/>
                  </w14:solidFill>
                </w14:textFill>
              </w:rPr>
              <w:t>。</w:t>
            </w:r>
          </w:p>
        </w:tc>
      </w:tr>
      <w:tr w14:paraId="77CA4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92" w:hRule="atLeast"/>
        </w:trPr>
        <w:tc>
          <w:tcPr>
            <w:tcW w:w="629" w:type="dxa"/>
            <w:tcBorders>
              <w:tl2br w:val="nil"/>
              <w:tr2bl w:val="nil"/>
            </w:tcBorders>
            <w:noWrap/>
            <w:vAlign w:val="center"/>
          </w:tcPr>
          <w:p w14:paraId="1302FA54">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1843" w:type="dxa"/>
            <w:tcBorders>
              <w:tl2br w:val="nil"/>
              <w:tr2bl w:val="nil"/>
            </w:tcBorders>
            <w:noWrap/>
            <w:vAlign w:val="center"/>
          </w:tcPr>
          <w:p w14:paraId="67F414FC">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样品提供</w:t>
            </w:r>
          </w:p>
        </w:tc>
        <w:tc>
          <w:tcPr>
            <w:tcW w:w="6095" w:type="dxa"/>
            <w:tcBorders>
              <w:tl2br w:val="nil"/>
              <w:tr2bl w:val="nil"/>
            </w:tcBorders>
            <w:noWrap/>
            <w:vAlign w:val="center"/>
          </w:tcPr>
          <w:p w14:paraId="113435C8">
            <w:pPr>
              <w:adjustRightInd w:val="0"/>
              <w:snapToGrid w:val="0"/>
              <w:spacing w:line="400" w:lineRule="exact"/>
              <w:rPr>
                <w:rFonts w:hint="eastAsia" w:ascii="仿宋" w:hAnsi="仿宋" w:eastAsia="仿宋" w:cs="仿宋"/>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rPr>
              <w:t>A</w:t>
            </w:r>
            <w:r>
              <w:rPr>
                <w:rFonts w:hint="eastAsia" w:ascii="仿宋" w:hAnsi="仿宋" w:eastAsia="仿宋" w:cs="仿宋"/>
                <w:sz w:val="24"/>
                <w:highlight w:val="none"/>
              </w:rPr>
              <w:t>不要求提供。</w:t>
            </w:r>
          </w:p>
          <w:p w14:paraId="17B81C34">
            <w:pPr>
              <w:adjustRightInd w:val="0"/>
              <w:snapToGrid w:val="0"/>
              <w:spacing w:line="4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sym w:font="Wingdings" w:char="00A8"/>
            </w:r>
            <w:r>
              <w:rPr>
                <w:rFonts w:hint="eastAsia" w:ascii="仿宋" w:hAnsi="仿宋" w:eastAsia="仿宋" w:cs="仿宋"/>
                <w:kern w:val="0"/>
                <w:sz w:val="24"/>
                <w:highlight w:val="none"/>
              </w:rPr>
              <w:t>B要求提供，</w:t>
            </w:r>
          </w:p>
          <w:p w14:paraId="1A623651">
            <w:pPr>
              <w:numPr>
                <w:ilvl w:val="0"/>
                <w:numId w:val="1"/>
              </w:numPr>
              <w:adjustRightInd w:val="0"/>
              <w:snapToGrid w:val="0"/>
              <w:spacing w:line="400" w:lineRule="exact"/>
              <w:rPr>
                <w:rFonts w:hint="eastAsia" w:ascii="仿宋" w:hAnsi="仿宋" w:eastAsia="仿宋" w:cs="仿宋"/>
                <w:kern w:val="0"/>
                <w:sz w:val="24"/>
                <w:highlight w:val="none"/>
              </w:rPr>
            </w:pPr>
            <w:r>
              <w:rPr>
                <w:rFonts w:hint="eastAsia" w:ascii="仿宋" w:hAnsi="仿宋" w:eastAsia="仿宋" w:cs="仿宋"/>
                <w:snapToGrid w:val="0"/>
                <w:kern w:val="28"/>
                <w:sz w:val="24"/>
                <w:highlight w:val="none"/>
              </w:rPr>
              <w:t>样品：</w:t>
            </w:r>
            <w:r>
              <w:rPr>
                <w:rFonts w:hint="eastAsia" w:ascii="仿宋" w:hAnsi="仿宋" w:eastAsia="仿宋" w:cs="仿宋"/>
                <w:snapToGrid w:val="0"/>
                <w:kern w:val="28"/>
                <w:sz w:val="24"/>
                <w:highlight w:val="none"/>
                <w:u w:val="single"/>
              </w:rPr>
              <w:t xml:space="preserve">  /  </w:t>
            </w:r>
            <w:r>
              <w:rPr>
                <w:rFonts w:hint="eastAsia" w:ascii="仿宋" w:hAnsi="仿宋" w:eastAsia="仿宋" w:cs="仿宋"/>
                <w:snapToGrid w:val="0"/>
                <w:kern w:val="28"/>
                <w:sz w:val="24"/>
                <w:highlight w:val="none"/>
              </w:rPr>
              <w:t>；</w:t>
            </w:r>
          </w:p>
          <w:p w14:paraId="773F90D8">
            <w:pPr>
              <w:numPr>
                <w:ilvl w:val="0"/>
                <w:numId w:val="1"/>
              </w:numPr>
              <w:adjustRightInd w:val="0"/>
              <w:snapToGrid w:val="0"/>
              <w:spacing w:line="400" w:lineRule="exact"/>
              <w:rPr>
                <w:rFonts w:hint="eastAsia" w:ascii="仿宋" w:hAnsi="仿宋" w:eastAsia="仿宋" w:cs="仿宋"/>
                <w:kern w:val="0"/>
                <w:sz w:val="24"/>
                <w:highlight w:val="none"/>
              </w:rPr>
            </w:pPr>
            <w:r>
              <w:rPr>
                <w:rFonts w:hint="eastAsia" w:ascii="仿宋" w:hAnsi="仿宋" w:eastAsia="仿宋" w:cs="仿宋"/>
                <w:snapToGrid w:val="0"/>
                <w:kern w:val="28"/>
                <w:sz w:val="24"/>
                <w:highlight w:val="none"/>
              </w:rPr>
              <w:t>样品制作的标准和要求：</w:t>
            </w:r>
            <w:r>
              <w:rPr>
                <w:rFonts w:hint="eastAsia" w:ascii="仿宋" w:hAnsi="仿宋" w:eastAsia="仿宋" w:cs="仿宋"/>
                <w:color w:val="000000" w:themeColor="text1"/>
                <w:kern w:val="0"/>
                <w:sz w:val="24"/>
                <w:highlight w:val="none"/>
                <w:u w:val="single"/>
                <w14:textFill>
                  <w14:solidFill>
                    <w14:schemeClr w14:val="tx1"/>
                  </w14:solidFill>
                </w14:textFill>
              </w:rPr>
              <w:t xml:space="preserve"> / </w:t>
            </w:r>
            <w:r>
              <w:rPr>
                <w:rFonts w:hint="eastAsia" w:ascii="仿宋" w:hAnsi="仿宋" w:eastAsia="仿宋" w:cs="仿宋"/>
                <w:kern w:val="0"/>
                <w:sz w:val="24"/>
                <w:highlight w:val="none"/>
              </w:rPr>
              <w:t>；</w:t>
            </w:r>
          </w:p>
          <w:p w14:paraId="2100500B">
            <w:pPr>
              <w:numPr>
                <w:ilvl w:val="0"/>
                <w:numId w:val="1"/>
              </w:numPr>
              <w:adjustRightInd w:val="0"/>
              <w:snapToGrid w:val="0"/>
              <w:spacing w:line="4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样品的评审方法以及评审标准</w:t>
            </w:r>
            <w:r>
              <w:rPr>
                <w:rFonts w:hint="eastAsia" w:ascii="仿宋" w:hAnsi="仿宋" w:eastAsia="仿宋" w:cs="仿宋"/>
                <w:snapToGrid w:val="0"/>
                <w:kern w:val="28"/>
                <w:sz w:val="24"/>
                <w:highlight w:val="none"/>
              </w:rPr>
              <w:t>：详见</w:t>
            </w:r>
            <w:r>
              <w:rPr>
                <w:rFonts w:hint="eastAsia" w:ascii="仿宋" w:hAnsi="仿宋" w:eastAsia="仿宋" w:cs="仿宋"/>
                <w:color w:val="000000" w:themeColor="text1"/>
                <w:kern w:val="0"/>
                <w:sz w:val="24"/>
                <w:highlight w:val="none"/>
                <w:u w:val="single"/>
                <w14:textFill>
                  <w14:solidFill>
                    <w14:schemeClr w14:val="tx1"/>
                  </w14:solidFill>
                </w14:textFill>
              </w:rPr>
              <w:t xml:space="preserve"> / </w:t>
            </w:r>
            <w:r>
              <w:rPr>
                <w:rFonts w:hint="eastAsia" w:ascii="仿宋" w:hAnsi="仿宋" w:eastAsia="仿宋" w:cs="仿宋"/>
                <w:kern w:val="0"/>
                <w:sz w:val="24"/>
                <w:highlight w:val="none"/>
              </w:rPr>
              <w:t>；</w:t>
            </w:r>
          </w:p>
          <w:p w14:paraId="314DFEBD">
            <w:pPr>
              <w:numPr>
                <w:ilvl w:val="0"/>
                <w:numId w:val="1"/>
              </w:numPr>
              <w:adjustRightInd w:val="0"/>
              <w:snapToGrid w:val="0"/>
              <w:spacing w:line="4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是否需要随样品提交检测报告：</w:t>
            </w:r>
            <w:r>
              <w:rPr>
                <w:rFonts w:hint="eastAsia" w:ascii="仿宋" w:hAnsi="仿宋" w:eastAsia="仿宋" w:cs="仿宋"/>
                <w:kern w:val="0"/>
                <w:sz w:val="24"/>
                <w:highlight w:val="none"/>
              </w:rPr>
              <w:sym w:font="Wingdings" w:char="00A8"/>
            </w:r>
            <w:r>
              <w:rPr>
                <w:rFonts w:hint="eastAsia" w:ascii="仿宋" w:hAnsi="仿宋" w:eastAsia="仿宋" w:cs="仿宋"/>
                <w:kern w:val="0"/>
                <w:sz w:val="24"/>
                <w:highlight w:val="none"/>
              </w:rPr>
              <w:t>否；</w:t>
            </w:r>
            <w:r>
              <w:rPr>
                <w:rFonts w:hint="eastAsia" w:ascii="仿宋" w:hAnsi="仿宋" w:eastAsia="仿宋" w:cs="仿宋"/>
                <w:kern w:val="0"/>
                <w:sz w:val="24"/>
                <w:highlight w:val="none"/>
              </w:rPr>
              <w:sym w:font="Wingdings" w:char="00A8"/>
            </w:r>
            <w:r>
              <w:rPr>
                <w:rFonts w:hint="eastAsia" w:ascii="仿宋" w:hAnsi="仿宋" w:eastAsia="仿宋" w:cs="仿宋"/>
                <w:kern w:val="0"/>
                <w:sz w:val="24"/>
                <w:highlight w:val="none"/>
              </w:rPr>
              <w:t>是，检测机构的要求</w:t>
            </w:r>
            <w:r>
              <w:rPr>
                <w:rFonts w:hint="eastAsia" w:ascii="仿宋" w:hAnsi="仿宋" w:eastAsia="仿宋" w:cs="仿宋"/>
                <w:sz w:val="24"/>
                <w:highlight w:val="none"/>
              </w:rPr>
              <w:t>：</w:t>
            </w:r>
            <w:r>
              <w:rPr>
                <w:rFonts w:hint="eastAsia" w:ascii="仿宋" w:hAnsi="仿宋" w:eastAsia="仿宋" w:cs="仿宋"/>
                <w:color w:val="000000" w:themeColor="text1"/>
                <w:kern w:val="0"/>
                <w:sz w:val="24"/>
                <w:highlight w:val="none"/>
                <w:u w:val="single"/>
                <w14:textFill>
                  <w14:solidFill>
                    <w14:schemeClr w14:val="tx1"/>
                  </w14:solidFill>
                </w14:textFill>
              </w:rPr>
              <w:t xml:space="preserve"> / </w:t>
            </w:r>
            <w:r>
              <w:rPr>
                <w:rFonts w:hint="eastAsia" w:ascii="仿宋" w:hAnsi="仿宋" w:eastAsia="仿宋" w:cs="仿宋"/>
                <w:kern w:val="0"/>
                <w:sz w:val="24"/>
                <w:highlight w:val="none"/>
              </w:rPr>
              <w:t>；检测内容</w:t>
            </w:r>
            <w:r>
              <w:rPr>
                <w:rFonts w:hint="eastAsia" w:ascii="仿宋" w:hAnsi="仿宋" w:eastAsia="仿宋" w:cs="仿宋"/>
                <w:sz w:val="24"/>
                <w:highlight w:val="none"/>
              </w:rPr>
              <w:t>：</w:t>
            </w:r>
            <w:r>
              <w:rPr>
                <w:rFonts w:hint="eastAsia" w:ascii="仿宋" w:hAnsi="仿宋" w:eastAsia="仿宋" w:cs="仿宋"/>
                <w:color w:val="000000" w:themeColor="text1"/>
                <w:kern w:val="0"/>
                <w:sz w:val="24"/>
                <w:highlight w:val="none"/>
                <w:u w:val="single"/>
                <w14:textFill>
                  <w14:solidFill>
                    <w14:schemeClr w14:val="tx1"/>
                  </w14:solidFill>
                </w14:textFill>
              </w:rPr>
              <w:t xml:space="preserve"> / </w:t>
            </w:r>
            <w:r>
              <w:rPr>
                <w:rFonts w:hint="eastAsia" w:ascii="仿宋" w:hAnsi="仿宋" w:eastAsia="仿宋" w:cs="仿宋"/>
                <w:kern w:val="0"/>
                <w:sz w:val="24"/>
                <w:highlight w:val="none"/>
              </w:rPr>
              <w:t>。</w:t>
            </w:r>
          </w:p>
          <w:p w14:paraId="39940E0F">
            <w:pPr>
              <w:numPr>
                <w:ilvl w:val="0"/>
                <w:numId w:val="1"/>
              </w:numPr>
              <w:adjustRightInd w:val="0"/>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提供样品的时间：</w:t>
            </w:r>
            <w:r>
              <w:rPr>
                <w:rFonts w:hint="eastAsia" w:ascii="仿宋" w:hAnsi="仿宋" w:eastAsia="仿宋" w:cs="仿宋"/>
                <w:color w:val="000000" w:themeColor="text1"/>
                <w:kern w:val="0"/>
                <w:sz w:val="24"/>
                <w:highlight w:val="none"/>
                <w:u w:val="single"/>
                <w14:textFill>
                  <w14:solidFill>
                    <w14:schemeClr w14:val="tx1"/>
                  </w14:solidFill>
                </w14:textFill>
              </w:rPr>
              <w:t xml:space="preserve"> / </w:t>
            </w:r>
            <w:r>
              <w:rPr>
                <w:rFonts w:hint="eastAsia" w:ascii="仿宋" w:hAnsi="仿宋" w:eastAsia="仿宋" w:cs="仿宋"/>
                <w:kern w:val="0"/>
                <w:sz w:val="24"/>
                <w:highlight w:val="none"/>
              </w:rPr>
              <w:t>；地点：</w:t>
            </w:r>
            <w:r>
              <w:rPr>
                <w:rFonts w:hint="eastAsia" w:ascii="仿宋" w:hAnsi="仿宋" w:eastAsia="仿宋" w:cs="仿宋"/>
                <w:color w:val="000000" w:themeColor="text1"/>
                <w:kern w:val="0"/>
                <w:sz w:val="24"/>
                <w:highlight w:val="none"/>
                <w:u w:val="single"/>
                <w14:textFill>
                  <w14:solidFill>
                    <w14:schemeClr w14:val="tx1"/>
                  </w14:solidFill>
                </w14:textFill>
              </w:rPr>
              <w:t xml:space="preserve"> / </w:t>
            </w:r>
            <w:r>
              <w:rPr>
                <w:rFonts w:hint="eastAsia" w:ascii="仿宋" w:hAnsi="仿宋" w:eastAsia="仿宋" w:cs="仿宋"/>
                <w:kern w:val="0"/>
                <w:sz w:val="24"/>
                <w:highlight w:val="none"/>
              </w:rPr>
              <w:t>；联系人</w:t>
            </w:r>
            <w:r>
              <w:rPr>
                <w:rFonts w:hint="eastAsia" w:ascii="仿宋" w:hAnsi="仿宋" w:eastAsia="仿宋" w:cs="仿宋"/>
                <w:sz w:val="24"/>
                <w:highlight w:val="none"/>
              </w:rPr>
              <w:t>：</w:t>
            </w:r>
            <w:r>
              <w:rPr>
                <w:rFonts w:hint="eastAsia" w:ascii="仿宋" w:hAnsi="仿宋" w:eastAsia="仿宋" w:cs="仿宋"/>
                <w:color w:val="000000" w:themeColor="text1"/>
                <w:kern w:val="0"/>
                <w:sz w:val="24"/>
                <w:highlight w:val="none"/>
                <w:u w:val="single"/>
                <w14:textFill>
                  <w14:solidFill>
                    <w14:schemeClr w14:val="tx1"/>
                  </w14:solidFill>
                </w14:textFill>
              </w:rPr>
              <w:t xml:space="preserve"> / </w:t>
            </w:r>
            <w:r>
              <w:rPr>
                <w:rFonts w:hint="eastAsia" w:ascii="仿宋" w:hAnsi="仿宋" w:eastAsia="仿宋" w:cs="仿宋"/>
                <w:sz w:val="24"/>
                <w:highlight w:val="none"/>
              </w:rPr>
              <w:t>，</w:t>
            </w:r>
            <w:r>
              <w:rPr>
                <w:rFonts w:hint="eastAsia" w:ascii="仿宋" w:hAnsi="仿宋" w:eastAsia="仿宋" w:cs="仿宋"/>
                <w:kern w:val="28"/>
                <w:sz w:val="24"/>
                <w:highlight w:val="none"/>
              </w:rPr>
              <w:t>联系电话：</w:t>
            </w:r>
            <w:r>
              <w:rPr>
                <w:rFonts w:hint="eastAsia" w:ascii="仿宋" w:hAnsi="仿宋" w:eastAsia="仿宋" w:cs="仿宋"/>
                <w:color w:val="000000" w:themeColor="text1"/>
                <w:kern w:val="0"/>
                <w:sz w:val="24"/>
                <w:highlight w:val="none"/>
                <w:u w:val="single"/>
                <w14:textFill>
                  <w14:solidFill>
                    <w14:schemeClr w14:val="tx1"/>
                  </w14:solidFill>
                </w14:textFill>
              </w:rPr>
              <w:t xml:space="preserve"> / </w:t>
            </w:r>
            <w:r>
              <w:rPr>
                <w:rFonts w:hint="eastAsia" w:ascii="仿宋" w:hAnsi="仿宋" w:eastAsia="仿宋" w:cs="仿宋"/>
                <w:sz w:val="24"/>
                <w:highlight w:val="none"/>
              </w:rPr>
              <w:t>。请投标人在上述时间内提供样品并按规定位置安装完毕。超过截止时间的，采购人或采购代理机构将不予接收，并将清场并封闭样品现场。</w:t>
            </w:r>
          </w:p>
          <w:p w14:paraId="506C1E5C">
            <w:pPr>
              <w:numPr>
                <w:ilvl w:val="0"/>
                <w:numId w:val="1"/>
              </w:numPr>
              <w:adjustRightInd w:val="0"/>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5F631B27">
            <w:pPr>
              <w:numPr>
                <w:ilvl w:val="0"/>
                <w:numId w:val="1"/>
              </w:numPr>
              <w:adjustRightInd w:val="0"/>
              <w:snapToGrid w:val="0"/>
              <w:spacing w:line="400" w:lineRule="exact"/>
              <w:rPr>
                <w:rFonts w:hint="eastAsia" w:ascii="仿宋" w:hAnsi="仿宋" w:eastAsia="仿宋" w:cs="仿宋"/>
                <w:kern w:val="0"/>
                <w:sz w:val="24"/>
                <w:highlight w:val="none"/>
              </w:rPr>
            </w:pPr>
            <w:r>
              <w:rPr>
                <w:rFonts w:hint="eastAsia" w:ascii="仿宋" w:hAnsi="仿宋" w:eastAsia="仿宋" w:cs="仿宋"/>
                <w:sz w:val="24"/>
                <w:highlight w:val="none"/>
              </w:rPr>
              <w:t>制作、运输、安装和保管样品所发生的一切费用由投标人自理。</w:t>
            </w:r>
          </w:p>
        </w:tc>
      </w:tr>
      <w:tr w14:paraId="27BBD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92" w:hRule="atLeast"/>
        </w:trPr>
        <w:tc>
          <w:tcPr>
            <w:tcW w:w="629" w:type="dxa"/>
            <w:tcBorders>
              <w:tl2br w:val="nil"/>
              <w:tr2bl w:val="nil"/>
            </w:tcBorders>
            <w:noWrap/>
            <w:vAlign w:val="center"/>
          </w:tcPr>
          <w:p w14:paraId="411FEDCC">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7</w:t>
            </w:r>
          </w:p>
        </w:tc>
        <w:tc>
          <w:tcPr>
            <w:tcW w:w="1843" w:type="dxa"/>
            <w:tcBorders>
              <w:tl2br w:val="nil"/>
              <w:tr2bl w:val="nil"/>
            </w:tcBorders>
            <w:noWrap/>
            <w:vAlign w:val="center"/>
          </w:tcPr>
          <w:p w14:paraId="3E1937EB">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color w:val="000000" w:themeColor="text1"/>
                <w:sz w:val="24"/>
                <w:highlight w:val="none"/>
                <w14:textFill>
                  <w14:solidFill>
                    <w14:schemeClr w14:val="tx1"/>
                  </w14:solidFill>
                </w14:textFill>
              </w:rPr>
              <w:t>方案讲解演示</w:t>
            </w:r>
          </w:p>
        </w:tc>
        <w:tc>
          <w:tcPr>
            <w:tcW w:w="6095" w:type="dxa"/>
            <w:tcBorders>
              <w:tl2br w:val="nil"/>
              <w:tr2bl w:val="nil"/>
            </w:tcBorders>
            <w:noWrap/>
            <w:vAlign w:val="center"/>
          </w:tcPr>
          <w:p w14:paraId="168F5A4E">
            <w:pPr>
              <w:adjustRightInd w:val="0"/>
              <w:snapToGrid w:val="0"/>
              <w:spacing w:line="4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sym w:font="Wingdings" w:char="00FE"/>
            </w:r>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不组织。</w:t>
            </w:r>
          </w:p>
          <w:p w14:paraId="053C8D04">
            <w:pPr>
              <w:adjustRightInd w:val="0"/>
              <w:snapToGrid w:val="0"/>
              <w:spacing w:line="40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sym w:font="Wingdings" w:char="00A8"/>
            </w:r>
            <w:r>
              <w:rPr>
                <w:rFonts w:hint="eastAsia" w:ascii="仿宋" w:hAnsi="仿宋" w:eastAsia="仿宋" w:cs="仿宋"/>
                <w:color w:val="000000" w:themeColor="text1"/>
                <w:kern w:val="0"/>
                <w:sz w:val="24"/>
                <w:highlight w:val="none"/>
                <w14:textFill>
                  <w14:solidFill>
                    <w14:schemeClr w14:val="tx1"/>
                  </w14:solidFill>
                </w14:textFill>
              </w:rPr>
              <w:t>B组织。</w:t>
            </w:r>
          </w:p>
          <w:p w14:paraId="12F7E031">
            <w:pPr>
              <w:adjustRightInd w:val="0"/>
              <w:snapToGrid w:val="0"/>
              <w:spacing w:line="4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（1）在评标时安排每个投标人进行方案讲解演示。每个投标人时间不超过</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分钟，讲解次序以投标文件解密时间先后次序为准，讲解演示人员不超过</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人。讲解演示结束后按要求解答评标委员会提问。</w:t>
            </w:r>
          </w:p>
          <w:p w14:paraId="00E0321D">
            <w:pPr>
              <w:adjustRightInd w:val="0"/>
              <w:snapToGrid w:val="0"/>
              <w:spacing w:line="4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（2）方案讲解演示可选择以下其中一种方式：</w:t>
            </w:r>
          </w:p>
          <w:p w14:paraId="1563A771">
            <w:pPr>
              <w:adjustRightInd w:val="0"/>
              <w:snapToGrid w:val="0"/>
              <w:spacing w:line="4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方式一：政采云平台在线讲解演示。政采云平台在线讲解需投标人根据政采云平台操作要求做好准备工作，提前完善软硬件配置环境。</w:t>
            </w:r>
          </w:p>
          <w:p w14:paraId="73932EC7">
            <w:pPr>
              <w:adjustRightInd w:val="0"/>
              <w:snapToGrid w:val="0"/>
              <w:spacing w:line="4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方式二：交易中心现场讲解演示。现场讲解地点为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，讲解演示所用电脑等设备由投标人自备。现场讲解演示人员进场时提供讲解人员名单（加盖公章或授权代表签名）及身份证明，否则不得讲解演示。</w:t>
            </w:r>
          </w:p>
          <w:p w14:paraId="6503B4DD">
            <w:pPr>
              <w:adjustRightInd w:val="0"/>
              <w:snapToGrid w:val="0"/>
              <w:spacing w:line="400" w:lineRule="exact"/>
              <w:rPr>
                <w:rFonts w:hint="eastAsia" w:ascii="仿宋" w:hAnsi="仿宋" w:eastAsia="仿宋" w:cs="仿宋"/>
                <w:sz w:val="24"/>
                <w:highlight w:val="none"/>
              </w:rPr>
            </w:pPr>
            <w:r>
              <w:rPr>
                <w:rFonts w:hint="eastAsia" w:ascii="仿宋" w:hAnsi="仿宋" w:eastAsia="仿宋" w:cs="仿宋"/>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309F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61" w:hRule="atLeast"/>
        </w:trPr>
        <w:tc>
          <w:tcPr>
            <w:tcW w:w="629" w:type="dxa"/>
            <w:vMerge w:val="restart"/>
            <w:tcBorders>
              <w:tl2br w:val="nil"/>
              <w:tr2bl w:val="nil"/>
            </w:tcBorders>
            <w:noWrap/>
            <w:vAlign w:val="center"/>
          </w:tcPr>
          <w:p w14:paraId="41A06D58">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8</w:t>
            </w:r>
          </w:p>
        </w:tc>
        <w:tc>
          <w:tcPr>
            <w:tcW w:w="1843" w:type="dxa"/>
            <w:vMerge w:val="restart"/>
            <w:tcBorders>
              <w:tl2br w:val="nil"/>
              <w:tr2bl w:val="nil"/>
            </w:tcBorders>
            <w:noWrap/>
            <w:vAlign w:val="center"/>
          </w:tcPr>
          <w:p w14:paraId="17C6416A">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投标人应当提供的资格、资信证明文件</w:t>
            </w:r>
          </w:p>
        </w:tc>
        <w:tc>
          <w:tcPr>
            <w:tcW w:w="6095" w:type="dxa"/>
            <w:tcBorders>
              <w:tl2br w:val="nil"/>
              <w:tr2bl w:val="nil"/>
            </w:tcBorders>
            <w:noWrap/>
            <w:vAlign w:val="center"/>
          </w:tcPr>
          <w:p w14:paraId="2DCD08F8">
            <w:pPr>
              <w:adjustRightInd w:val="0"/>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（1）资格证明文件：见招标文件第二部分11.1。</w:t>
            </w:r>
          </w:p>
          <w:p w14:paraId="02A9B402">
            <w:pPr>
              <w:adjustRightInd w:val="0"/>
              <w:snapToGrid w:val="0"/>
              <w:spacing w:line="400" w:lineRule="exact"/>
              <w:rPr>
                <w:rFonts w:hint="eastAsia" w:ascii="仿宋" w:hAnsi="仿宋" w:eastAsia="仿宋" w:cs="仿宋"/>
                <w:snapToGrid w:val="0"/>
                <w:kern w:val="0"/>
                <w:szCs w:val="21"/>
                <w:highlight w:val="none"/>
              </w:rPr>
            </w:pPr>
            <w:r>
              <w:rPr>
                <w:rFonts w:hint="eastAsia" w:ascii="仿宋" w:hAnsi="仿宋" w:eastAsia="仿宋" w:cs="仿宋"/>
                <w:kern w:val="0"/>
                <w:sz w:val="24"/>
                <w:highlight w:val="none"/>
                <w:lang w:val="zh-CN"/>
              </w:rPr>
              <w:t>投标人未提供有效的资格证明文件的，视为投标人不具备招标文件中规定的资格要求，投标无效。</w:t>
            </w:r>
          </w:p>
        </w:tc>
      </w:tr>
      <w:tr w14:paraId="307FF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47" w:hRule="atLeast"/>
        </w:trPr>
        <w:tc>
          <w:tcPr>
            <w:tcW w:w="629" w:type="dxa"/>
            <w:vMerge w:val="continue"/>
            <w:tcBorders>
              <w:tl2br w:val="nil"/>
              <w:tr2bl w:val="nil"/>
            </w:tcBorders>
            <w:noWrap/>
            <w:vAlign w:val="center"/>
          </w:tcPr>
          <w:p w14:paraId="4EF682F8">
            <w:pPr>
              <w:adjustRightInd w:val="0"/>
              <w:snapToGrid w:val="0"/>
              <w:spacing w:line="400" w:lineRule="exact"/>
              <w:jc w:val="center"/>
              <w:rPr>
                <w:rFonts w:hint="eastAsia" w:ascii="仿宋" w:hAnsi="仿宋" w:eastAsia="仿宋" w:cs="仿宋"/>
                <w:sz w:val="24"/>
                <w:highlight w:val="none"/>
              </w:rPr>
            </w:pPr>
          </w:p>
        </w:tc>
        <w:tc>
          <w:tcPr>
            <w:tcW w:w="1843" w:type="dxa"/>
            <w:vMerge w:val="continue"/>
            <w:tcBorders>
              <w:tl2br w:val="nil"/>
              <w:tr2bl w:val="nil"/>
            </w:tcBorders>
            <w:noWrap/>
            <w:vAlign w:val="center"/>
          </w:tcPr>
          <w:p w14:paraId="75359394">
            <w:pPr>
              <w:adjustRightInd w:val="0"/>
              <w:snapToGrid w:val="0"/>
              <w:spacing w:line="400" w:lineRule="exact"/>
              <w:jc w:val="center"/>
              <w:rPr>
                <w:rFonts w:hint="eastAsia" w:ascii="仿宋" w:hAnsi="仿宋" w:eastAsia="仿宋" w:cs="仿宋"/>
                <w:b/>
                <w:sz w:val="24"/>
                <w:highlight w:val="none"/>
              </w:rPr>
            </w:pPr>
          </w:p>
        </w:tc>
        <w:tc>
          <w:tcPr>
            <w:tcW w:w="6095" w:type="dxa"/>
            <w:tcBorders>
              <w:tl2br w:val="nil"/>
              <w:tr2bl w:val="nil"/>
            </w:tcBorders>
            <w:noWrap/>
            <w:vAlign w:val="center"/>
          </w:tcPr>
          <w:p w14:paraId="15F147DA">
            <w:pPr>
              <w:adjustRightInd w:val="0"/>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（2）资信证明文件：根据招标文件第四部分评标标准提供。</w:t>
            </w:r>
          </w:p>
        </w:tc>
      </w:tr>
      <w:tr w14:paraId="45195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47" w:hRule="atLeast"/>
        </w:trPr>
        <w:tc>
          <w:tcPr>
            <w:tcW w:w="629" w:type="dxa"/>
            <w:tcBorders>
              <w:tl2br w:val="nil"/>
              <w:tr2bl w:val="nil"/>
            </w:tcBorders>
            <w:noWrap/>
            <w:vAlign w:val="center"/>
          </w:tcPr>
          <w:p w14:paraId="6A42E56C">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9</w:t>
            </w:r>
          </w:p>
        </w:tc>
        <w:tc>
          <w:tcPr>
            <w:tcW w:w="1843" w:type="dxa"/>
            <w:tcBorders>
              <w:tl2br w:val="nil"/>
              <w:tr2bl w:val="nil"/>
            </w:tcBorders>
            <w:noWrap/>
            <w:vAlign w:val="center"/>
          </w:tcPr>
          <w:p w14:paraId="4BD5057A">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节能产品、环境标志产品</w:t>
            </w:r>
          </w:p>
        </w:tc>
        <w:tc>
          <w:tcPr>
            <w:tcW w:w="6095" w:type="dxa"/>
            <w:tcBorders>
              <w:tl2br w:val="nil"/>
              <w:tr2bl w:val="nil"/>
            </w:tcBorders>
            <w:noWrap/>
            <w:vAlign w:val="center"/>
          </w:tcPr>
          <w:p w14:paraId="1FCEEA80">
            <w:pPr>
              <w:pStyle w:val="3"/>
              <w:rPr>
                <w:rFonts w:hint="eastAsia" w:ascii="仿宋" w:hAnsi="仿宋" w:eastAsia="仿宋" w:cs="仿宋"/>
                <w:sz w:val="24"/>
                <w:highlight w:val="none"/>
              </w:rPr>
            </w:pPr>
            <w:r>
              <w:rPr>
                <w:rFonts w:hint="eastAsia" w:ascii="仿宋" w:hAnsi="仿宋" w:eastAsia="仿宋" w:cs="仿宋"/>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w:t>
            </w:r>
          </w:p>
          <w:p w14:paraId="2C974437">
            <w:pPr>
              <w:pStyle w:val="3"/>
              <w:rPr>
                <w:rFonts w:hint="eastAsia" w:ascii="仿宋" w:hAnsi="仿宋" w:eastAsia="仿宋" w:cs="仿宋"/>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rPr>
              <w:t>A无</w:t>
            </w:r>
          </w:p>
          <w:p w14:paraId="26E4A0F1">
            <w:pPr>
              <w:pStyle w:val="3"/>
              <w:rPr>
                <w:rFonts w:hint="eastAsia" w:ascii="仿宋" w:hAnsi="仿宋" w:eastAsia="仿宋" w:cs="仿宋"/>
                <w:kern w:val="0"/>
                <w:sz w:val="24"/>
                <w:highlight w:val="none"/>
              </w:rPr>
            </w:pPr>
            <w:r>
              <w:rPr>
                <w:rFonts w:hint="eastAsia" w:ascii="仿宋" w:hAnsi="仿宋" w:eastAsia="仿宋" w:cs="仿宋"/>
                <w:snapToGrid w:val="0"/>
                <w:kern w:val="0"/>
                <w:sz w:val="24"/>
                <w:highlight w:val="none"/>
              </w:rPr>
              <w:t>☐</w:t>
            </w:r>
            <w:r>
              <w:rPr>
                <w:rFonts w:hint="eastAsia" w:ascii="仿宋" w:hAnsi="仿宋" w:eastAsia="仿宋" w:cs="仿宋"/>
                <w:kern w:val="0"/>
                <w:sz w:val="24"/>
                <w:highlight w:val="none"/>
              </w:rPr>
              <w:t>B 政府</w:t>
            </w:r>
            <w:r>
              <w:rPr>
                <w:rFonts w:hint="eastAsia" w:ascii="仿宋" w:hAnsi="仿宋" w:eastAsia="仿宋" w:cs="仿宋"/>
                <w:sz w:val="24"/>
                <w:highlight w:val="none"/>
              </w:rPr>
              <w:t>强制采购节能产品</w:t>
            </w:r>
            <w:r>
              <w:rPr>
                <w:rFonts w:hint="eastAsia" w:ascii="仿宋" w:hAnsi="仿宋" w:eastAsia="仿宋" w:cs="仿宋"/>
                <w:kern w:val="0"/>
                <w:sz w:val="24"/>
                <w:highlight w:val="none"/>
              </w:rPr>
              <w:t>：</w:t>
            </w:r>
          </w:p>
          <w:p w14:paraId="0AACB83E">
            <w:pPr>
              <w:pStyle w:val="3"/>
              <w:rPr>
                <w:rFonts w:hint="eastAsia" w:ascii="仿宋" w:hAnsi="仿宋" w:eastAsia="仿宋" w:cs="仿宋"/>
                <w:sz w:val="24"/>
                <w:highlight w:val="none"/>
                <w:u w:val="single"/>
              </w:rPr>
            </w:pPr>
            <w:r>
              <w:rPr>
                <w:rFonts w:hint="eastAsia" w:ascii="仿宋" w:hAnsi="仿宋" w:eastAsia="仿宋" w:cs="仿宋"/>
                <w:sz w:val="24"/>
                <w:highlight w:val="none"/>
              </w:rPr>
              <w:t>（1）；</w:t>
            </w:r>
          </w:p>
          <w:p w14:paraId="06FAB03C">
            <w:pPr>
              <w:pStyle w:val="3"/>
              <w:rPr>
                <w:rFonts w:hint="eastAsia" w:ascii="仿宋" w:hAnsi="仿宋" w:eastAsia="仿宋" w:cs="仿宋"/>
                <w:sz w:val="24"/>
                <w:highlight w:val="none"/>
              </w:rPr>
            </w:pPr>
            <w:r>
              <w:rPr>
                <w:rFonts w:hint="eastAsia" w:ascii="仿宋" w:hAnsi="仿宋" w:eastAsia="仿宋" w:cs="仿宋"/>
                <w:sz w:val="24"/>
                <w:highlight w:val="none"/>
              </w:rPr>
              <w:t>（2）……</w:t>
            </w:r>
          </w:p>
          <w:p w14:paraId="456858F1">
            <w:pPr>
              <w:pStyle w:val="3"/>
              <w:rPr>
                <w:rFonts w:hint="eastAsia" w:ascii="仿宋" w:hAnsi="仿宋" w:eastAsia="仿宋" w:cs="仿宋"/>
                <w:kern w:val="0"/>
                <w:sz w:val="24"/>
                <w:highlight w:val="none"/>
              </w:rPr>
            </w:pPr>
            <w:r>
              <w:rPr>
                <w:rFonts w:hint="eastAsia" w:ascii="仿宋" w:hAnsi="仿宋" w:eastAsia="仿宋" w:cs="仿宋"/>
                <w:snapToGrid w:val="0"/>
                <w:kern w:val="0"/>
                <w:sz w:val="24"/>
                <w:highlight w:val="none"/>
              </w:rPr>
              <w:t>☐</w:t>
            </w:r>
            <w:r>
              <w:rPr>
                <w:rFonts w:hint="eastAsia" w:ascii="仿宋" w:hAnsi="仿宋" w:eastAsia="仿宋" w:cs="仿宋"/>
                <w:kern w:val="0"/>
                <w:sz w:val="24"/>
                <w:highlight w:val="none"/>
              </w:rPr>
              <w:t xml:space="preserve">C </w:t>
            </w:r>
            <w:r>
              <w:rPr>
                <w:rFonts w:hint="eastAsia" w:ascii="仿宋" w:hAnsi="仿宋" w:eastAsia="仿宋" w:cs="仿宋"/>
                <w:sz w:val="24"/>
                <w:highlight w:val="none"/>
              </w:rPr>
              <w:t>政府优先采购节能产品</w:t>
            </w:r>
            <w:r>
              <w:rPr>
                <w:rFonts w:hint="eastAsia" w:ascii="仿宋" w:hAnsi="仿宋" w:eastAsia="仿宋" w:cs="仿宋"/>
                <w:kern w:val="0"/>
                <w:sz w:val="24"/>
                <w:highlight w:val="none"/>
              </w:rPr>
              <w:t>：</w:t>
            </w:r>
          </w:p>
          <w:p w14:paraId="5D09FB6C">
            <w:pPr>
              <w:pStyle w:val="3"/>
              <w:rPr>
                <w:rFonts w:hint="eastAsia" w:ascii="仿宋" w:hAnsi="仿宋" w:eastAsia="仿宋" w:cs="仿宋"/>
                <w:sz w:val="24"/>
                <w:highlight w:val="none"/>
                <w:u w:val="single"/>
              </w:rPr>
            </w:pPr>
            <w:r>
              <w:rPr>
                <w:rFonts w:hint="eastAsia" w:ascii="仿宋" w:hAnsi="仿宋" w:eastAsia="仿宋" w:cs="仿宋"/>
                <w:kern w:val="0"/>
                <w:sz w:val="24"/>
                <w:highlight w:val="none"/>
              </w:rPr>
              <w:t>（1）</w:t>
            </w:r>
            <w:r>
              <w:rPr>
                <w:rFonts w:hint="eastAsia" w:ascii="仿宋" w:hAnsi="仿宋" w:eastAsia="仿宋" w:cs="仿宋"/>
                <w:sz w:val="24"/>
                <w:highlight w:val="none"/>
              </w:rPr>
              <w:t>；</w:t>
            </w:r>
          </w:p>
          <w:p w14:paraId="03B0D726">
            <w:pPr>
              <w:pStyle w:val="3"/>
              <w:rPr>
                <w:rFonts w:hint="eastAsia" w:ascii="仿宋" w:hAnsi="仿宋" w:eastAsia="仿宋" w:cs="仿宋"/>
                <w:sz w:val="24"/>
                <w:highlight w:val="none"/>
              </w:rPr>
            </w:pPr>
            <w:r>
              <w:rPr>
                <w:rFonts w:hint="eastAsia" w:ascii="仿宋" w:hAnsi="仿宋" w:eastAsia="仿宋" w:cs="仿宋"/>
                <w:sz w:val="24"/>
                <w:highlight w:val="none"/>
              </w:rPr>
              <w:t>（2）……</w:t>
            </w:r>
          </w:p>
          <w:p w14:paraId="4A6C7A24">
            <w:pPr>
              <w:pStyle w:val="3"/>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☐D </w:t>
            </w:r>
            <w:r>
              <w:rPr>
                <w:rFonts w:hint="eastAsia" w:ascii="仿宋" w:hAnsi="仿宋" w:eastAsia="仿宋" w:cs="仿宋"/>
                <w:sz w:val="24"/>
                <w:highlight w:val="none"/>
              </w:rPr>
              <w:t>政府优先采购环境标志产品</w:t>
            </w:r>
            <w:r>
              <w:rPr>
                <w:rFonts w:hint="eastAsia" w:ascii="仿宋" w:hAnsi="仿宋" w:eastAsia="仿宋" w:cs="仿宋"/>
                <w:kern w:val="0"/>
                <w:sz w:val="24"/>
                <w:highlight w:val="none"/>
              </w:rPr>
              <w:t>：</w:t>
            </w:r>
          </w:p>
          <w:p w14:paraId="507140B4">
            <w:pPr>
              <w:pStyle w:val="3"/>
              <w:rPr>
                <w:rFonts w:hint="eastAsia" w:ascii="仿宋" w:hAnsi="仿宋" w:eastAsia="仿宋" w:cs="仿宋"/>
                <w:sz w:val="24"/>
                <w:highlight w:val="none"/>
              </w:rPr>
            </w:pPr>
            <w:r>
              <w:rPr>
                <w:rFonts w:hint="eastAsia" w:ascii="仿宋" w:hAnsi="仿宋" w:eastAsia="仿宋" w:cs="仿宋"/>
                <w:kern w:val="0"/>
                <w:sz w:val="24"/>
                <w:highlight w:val="none"/>
              </w:rPr>
              <w:t>（1）</w:t>
            </w:r>
            <w:r>
              <w:rPr>
                <w:rFonts w:hint="eastAsia" w:ascii="仿宋" w:hAnsi="仿宋" w:eastAsia="仿宋" w:cs="仿宋"/>
                <w:sz w:val="24"/>
                <w:highlight w:val="none"/>
              </w:rPr>
              <w:t>；</w:t>
            </w:r>
          </w:p>
          <w:p w14:paraId="1BED3078">
            <w:pPr>
              <w:pStyle w:val="3"/>
              <w:rPr>
                <w:rFonts w:hint="eastAsia" w:ascii="仿宋" w:hAnsi="仿宋" w:eastAsia="仿宋" w:cs="仿宋"/>
                <w:sz w:val="24"/>
                <w:highlight w:val="none"/>
              </w:rPr>
            </w:pPr>
            <w:r>
              <w:rPr>
                <w:rFonts w:hint="eastAsia" w:ascii="仿宋" w:hAnsi="仿宋" w:eastAsia="仿宋" w:cs="仿宋"/>
                <w:sz w:val="24"/>
                <w:highlight w:val="none"/>
              </w:rPr>
              <w:t>（2）……</w:t>
            </w:r>
          </w:p>
        </w:tc>
      </w:tr>
      <w:tr w14:paraId="04A0F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7" w:hRule="atLeast"/>
        </w:trPr>
        <w:tc>
          <w:tcPr>
            <w:tcW w:w="629" w:type="dxa"/>
            <w:tcBorders>
              <w:tl2br w:val="nil"/>
              <w:tr2bl w:val="nil"/>
            </w:tcBorders>
            <w:noWrap/>
            <w:vAlign w:val="center"/>
          </w:tcPr>
          <w:p w14:paraId="66B9B9DB">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10</w:t>
            </w:r>
          </w:p>
        </w:tc>
        <w:tc>
          <w:tcPr>
            <w:tcW w:w="1843" w:type="dxa"/>
            <w:tcBorders>
              <w:tl2br w:val="nil"/>
              <w:tr2bl w:val="nil"/>
            </w:tcBorders>
            <w:noWrap/>
            <w:vAlign w:val="center"/>
          </w:tcPr>
          <w:p w14:paraId="44613269">
            <w:pPr>
              <w:adjustRightInd w:val="0"/>
              <w:snapToGrid w:val="0"/>
              <w:spacing w:line="40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报价要求（下有）</w:t>
            </w:r>
          </w:p>
        </w:tc>
        <w:tc>
          <w:tcPr>
            <w:tcW w:w="6095" w:type="dxa"/>
            <w:tcBorders>
              <w:tl2br w:val="nil"/>
              <w:tr2bl w:val="nil"/>
            </w:tcBorders>
            <w:noWrap/>
            <w:vAlign w:val="center"/>
          </w:tcPr>
          <w:p w14:paraId="5DA4356D">
            <w:pPr>
              <w:tabs>
                <w:tab w:val="left" w:pos="3570"/>
              </w:tabs>
              <w:adjustRightInd w:val="0"/>
              <w:snapToGrid w:val="0"/>
              <w:spacing w:line="400" w:lineRule="exact"/>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仿宋" w:hAnsi="仿宋" w:eastAsia="仿宋" w:cs="仿宋"/>
                <w:color w:val="000000" w:themeColor="text1"/>
                <w:sz w:val="24"/>
                <w:highlight w:val="none"/>
                <w14:textFill>
                  <w14:solidFill>
                    <w14:schemeClr w14:val="tx1"/>
                  </w14:solidFill>
                </w14:textFill>
              </w:rPr>
              <w:t>开标一览表（报价表）是报价的唯一载体</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kern w:val="0"/>
                <w:sz w:val="24"/>
                <w:highlight w:val="none"/>
                <w:lang w:val="zh-CN"/>
                <w14:textFill>
                  <w14:solidFill>
                    <w14:schemeClr w14:val="tx1"/>
                  </w14:solidFill>
                </w14:textFill>
              </w:rPr>
              <w:t>如投标人在政府采购云平台填写的投标报价与投标文件报价文件中开标一览表（报价表）不一致的，以报价文件中开标一览表（报价表）为准。</w:t>
            </w:r>
            <w:r>
              <w:rPr>
                <w:rFonts w:hint="eastAsia" w:ascii="仿宋" w:hAnsi="仿宋" w:eastAsia="仿宋" w:cs="仿宋"/>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仿宋" w:hAnsi="仿宋" w:eastAsia="仿宋" w:cs="仿宋"/>
                <w:b/>
                <w:color w:val="000000" w:themeColor="text1"/>
                <w:kern w:val="0"/>
                <w:sz w:val="24"/>
                <w:highlight w:val="none"/>
                <w:lang w:val="zh-CN"/>
                <w14:textFill>
                  <w14:solidFill>
                    <w14:schemeClr w14:val="tx1"/>
                  </w14:solidFill>
                </w14:textFill>
              </w:rPr>
              <w:t>提醒：验收时检测费用由采购人承担，不包含在投标总价中。</w:t>
            </w:r>
          </w:p>
          <w:p w14:paraId="37F44B9A">
            <w:pPr>
              <w:adjustRightInd w:val="0"/>
              <w:snapToGrid w:val="0"/>
              <w:spacing w:line="400" w:lineRule="exact"/>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投标报价出现下列情形的，投标无效：</w:t>
            </w:r>
          </w:p>
          <w:p w14:paraId="6D70DB08">
            <w:pPr>
              <w:numPr>
                <w:ilvl w:val="0"/>
                <w:numId w:val="2"/>
              </w:numPr>
              <w:adjustRightInd w:val="0"/>
              <w:snapToGrid w:val="0"/>
              <w:spacing w:line="400" w:lineRule="exact"/>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投标文件出现不是唯一的、有选择性投标报价的；</w:t>
            </w:r>
          </w:p>
          <w:p w14:paraId="7B1DDB31">
            <w:pPr>
              <w:numPr>
                <w:ilvl w:val="0"/>
                <w:numId w:val="2"/>
              </w:numPr>
              <w:adjustRightInd w:val="0"/>
              <w:snapToGrid w:val="0"/>
              <w:spacing w:line="400" w:lineRule="exact"/>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投标报价超过招标文件中规定的预算金额或者最高限价的;</w:t>
            </w:r>
          </w:p>
          <w:p w14:paraId="6814CA77">
            <w:pPr>
              <w:numPr>
                <w:ilvl w:val="0"/>
                <w:numId w:val="2"/>
              </w:numPr>
              <w:adjustRightInd w:val="0"/>
              <w:snapToGrid w:val="0"/>
              <w:spacing w:line="400" w:lineRule="exac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000000" w:themeColor="text1"/>
                <w:sz w:val="24"/>
                <w:szCs w:val="21"/>
                <w:highlight w:val="none"/>
                <w14:textFill>
                  <w14:solidFill>
                    <w14:schemeClr w14:val="tx1"/>
                  </w14:solidFill>
                </w14:textFill>
              </w:rPr>
              <w:t>;</w:t>
            </w:r>
          </w:p>
          <w:p w14:paraId="6212E484">
            <w:pPr>
              <w:numPr>
                <w:ilvl w:val="0"/>
                <w:numId w:val="2"/>
              </w:numPr>
              <w:adjustRightInd w:val="0"/>
              <w:snapToGrid w:val="0"/>
              <w:spacing w:line="400" w:lineRule="exact"/>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投标人对根据修正原则修正后的报价不确认的</w:t>
            </w:r>
            <w:r>
              <w:rPr>
                <w:rFonts w:hint="eastAsia" w:ascii="仿宋" w:hAnsi="仿宋" w:eastAsia="仿宋" w:cs="仿宋"/>
                <w:b/>
                <w:color w:val="000000" w:themeColor="text1"/>
                <w:sz w:val="24"/>
                <w:highlight w:val="none"/>
                <w14:textFill>
                  <w14:solidFill>
                    <w14:schemeClr w14:val="tx1"/>
                  </w14:solidFill>
                </w14:textFill>
              </w:rPr>
              <w:t>。</w:t>
            </w:r>
          </w:p>
        </w:tc>
      </w:tr>
      <w:tr w14:paraId="5CF9F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7" w:hRule="atLeast"/>
        </w:trPr>
        <w:tc>
          <w:tcPr>
            <w:tcW w:w="629" w:type="dxa"/>
            <w:vMerge w:val="restart"/>
            <w:tcBorders>
              <w:tl2br w:val="nil"/>
              <w:tr2bl w:val="nil"/>
            </w:tcBorders>
            <w:noWrap/>
            <w:vAlign w:val="center"/>
          </w:tcPr>
          <w:p w14:paraId="40188309">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11</w:t>
            </w:r>
          </w:p>
        </w:tc>
        <w:tc>
          <w:tcPr>
            <w:tcW w:w="1843" w:type="dxa"/>
            <w:vMerge w:val="restart"/>
            <w:tcBorders>
              <w:tl2br w:val="nil"/>
              <w:tr2bl w:val="nil"/>
            </w:tcBorders>
            <w:noWrap/>
            <w:vAlign w:val="center"/>
          </w:tcPr>
          <w:p w14:paraId="2451E506">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中小企业信用融资</w:t>
            </w:r>
          </w:p>
        </w:tc>
        <w:tc>
          <w:tcPr>
            <w:tcW w:w="6095" w:type="dxa"/>
            <w:tcBorders>
              <w:tl2br w:val="nil"/>
              <w:tr2bl w:val="nil"/>
            </w:tcBorders>
            <w:noWrap/>
            <w:vAlign w:val="center"/>
          </w:tcPr>
          <w:p w14:paraId="6C954976">
            <w:pPr>
              <w:adjustRightInd w:val="0"/>
              <w:snapToGrid w:val="0"/>
              <w:spacing w:line="400" w:lineRule="exact"/>
              <w:rPr>
                <w:rFonts w:hint="eastAsia" w:ascii="仿宋" w:hAnsi="仿宋" w:eastAsia="仿宋" w:cs="仿宋"/>
                <w:b/>
                <w:sz w:val="24"/>
                <w:highlight w:val="none"/>
              </w:rPr>
            </w:pPr>
            <w:r>
              <w:rPr>
                <w:rFonts w:hint="eastAsia" w:ascii="仿宋" w:hAnsi="仿宋" w:eastAsia="仿宋" w:cs="仿宋"/>
                <w:sz w:val="24"/>
                <w:highlight w:val="none"/>
              </w:rPr>
              <w:t>为支持和促进中小企业发展，进一步发挥政府采购政策功能，根据《杭州市政府采购支持中小企业信用融资管理办法》和《关于钱塘区政府采购支持中小企业信用融资有关事项的通知》，供应商若有融资意向，详见本采购文件尾页《关于钱塘区政府采购支持中小企业信用融资相关事项通知》，或登录杭州钱塘区管理委员会官网查看信用融资相关政策及各相关银行服务方案、联系方式。</w:t>
            </w:r>
          </w:p>
        </w:tc>
      </w:tr>
      <w:tr w14:paraId="76C68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7" w:hRule="atLeast"/>
        </w:trPr>
        <w:tc>
          <w:tcPr>
            <w:tcW w:w="629" w:type="dxa"/>
            <w:vMerge w:val="continue"/>
            <w:tcBorders>
              <w:tl2br w:val="nil"/>
              <w:tr2bl w:val="nil"/>
            </w:tcBorders>
            <w:noWrap/>
            <w:vAlign w:val="center"/>
          </w:tcPr>
          <w:p w14:paraId="7D4AB046">
            <w:pPr>
              <w:adjustRightInd w:val="0"/>
              <w:snapToGrid w:val="0"/>
              <w:spacing w:line="400" w:lineRule="exact"/>
              <w:jc w:val="center"/>
              <w:rPr>
                <w:rFonts w:hint="eastAsia" w:ascii="仿宋" w:hAnsi="仿宋" w:eastAsia="仿宋" w:cs="仿宋"/>
                <w:sz w:val="24"/>
                <w:highlight w:val="none"/>
              </w:rPr>
            </w:pPr>
          </w:p>
        </w:tc>
        <w:tc>
          <w:tcPr>
            <w:tcW w:w="1843" w:type="dxa"/>
            <w:vMerge w:val="continue"/>
            <w:tcBorders>
              <w:tl2br w:val="nil"/>
              <w:tr2bl w:val="nil"/>
            </w:tcBorders>
            <w:noWrap/>
            <w:vAlign w:val="center"/>
          </w:tcPr>
          <w:p w14:paraId="2F253C88">
            <w:pPr>
              <w:adjustRightInd w:val="0"/>
              <w:snapToGrid w:val="0"/>
              <w:spacing w:line="400" w:lineRule="exact"/>
              <w:ind w:firstLine="482" w:firstLineChars="200"/>
              <w:rPr>
                <w:rFonts w:hint="eastAsia" w:ascii="仿宋" w:hAnsi="仿宋" w:eastAsia="仿宋" w:cs="仿宋"/>
                <w:b/>
                <w:sz w:val="24"/>
                <w:highlight w:val="none"/>
              </w:rPr>
            </w:pPr>
          </w:p>
        </w:tc>
        <w:tc>
          <w:tcPr>
            <w:tcW w:w="6095" w:type="dxa"/>
            <w:tcBorders>
              <w:tl2br w:val="nil"/>
              <w:tr2bl w:val="nil"/>
            </w:tcBorders>
            <w:noWrap/>
            <w:vAlign w:val="center"/>
          </w:tcPr>
          <w:p w14:paraId="5FFC3883">
            <w:pPr>
              <w:adjustRightInd w:val="0"/>
              <w:snapToGrid w:val="0"/>
              <w:spacing w:line="400" w:lineRule="exact"/>
              <w:ind w:firstLine="480" w:firstLineChars="200"/>
              <w:rPr>
                <w:rFonts w:hint="eastAsia" w:ascii="仿宋" w:hAnsi="仿宋" w:eastAsia="仿宋" w:cs="仿宋"/>
                <w:b/>
                <w:sz w:val="24"/>
                <w:highlight w:val="none"/>
              </w:rPr>
            </w:pPr>
            <w:r>
              <w:rPr>
                <w:rFonts w:hint="eastAsia" w:ascii="仿宋" w:hAnsi="仿宋" w:eastAsia="仿宋" w:cs="仿宋"/>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8FFD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629" w:type="dxa"/>
            <w:tcBorders>
              <w:tl2br w:val="nil"/>
              <w:tr2bl w:val="nil"/>
            </w:tcBorders>
            <w:noWrap/>
            <w:vAlign w:val="center"/>
          </w:tcPr>
          <w:p w14:paraId="195BDE35">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12</w:t>
            </w:r>
          </w:p>
        </w:tc>
        <w:tc>
          <w:tcPr>
            <w:tcW w:w="1843" w:type="dxa"/>
            <w:tcBorders>
              <w:tl2br w:val="nil"/>
              <w:tr2bl w:val="nil"/>
            </w:tcBorders>
            <w:noWrap/>
            <w:vAlign w:val="center"/>
          </w:tcPr>
          <w:p w14:paraId="3F5005FF">
            <w:pPr>
              <w:adjustRightInd w:val="0"/>
              <w:snapToGrid w:val="0"/>
              <w:spacing w:line="400" w:lineRule="exact"/>
              <w:jc w:val="center"/>
              <w:rPr>
                <w:rFonts w:hint="eastAsia" w:ascii="仿宋" w:hAnsi="仿宋" w:eastAsia="仿宋" w:cs="仿宋"/>
                <w:bCs/>
                <w:sz w:val="24"/>
                <w:highlight w:val="none"/>
              </w:rPr>
            </w:pPr>
            <w:r>
              <w:rPr>
                <w:rFonts w:hint="eastAsia" w:ascii="仿宋" w:hAnsi="仿宋" w:eastAsia="仿宋" w:cs="仿宋"/>
                <w:b/>
                <w:sz w:val="24"/>
                <w:highlight w:val="none"/>
              </w:rPr>
              <w:t xml:space="preserve">备份投标文件送达地点和签收人员 </w:t>
            </w:r>
          </w:p>
        </w:tc>
        <w:tc>
          <w:tcPr>
            <w:tcW w:w="6095" w:type="dxa"/>
            <w:tcBorders>
              <w:tl2br w:val="nil"/>
              <w:tr2bl w:val="nil"/>
            </w:tcBorders>
            <w:noWrap/>
            <w:vAlign w:val="center"/>
          </w:tcPr>
          <w:p w14:paraId="5A1E5355">
            <w:pPr>
              <w:pStyle w:val="24"/>
              <w:adjustRightInd w:val="0"/>
              <w:snapToGrid w:val="0"/>
              <w:spacing w:line="400" w:lineRule="exact"/>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t>备份投标文件送达地点：</w:t>
            </w:r>
            <w:r>
              <w:rPr>
                <w:rFonts w:hint="eastAsia" w:ascii="仿宋" w:hAnsi="仿宋" w:eastAsia="仿宋" w:cs="仿宋"/>
                <w:sz w:val="24"/>
                <w:highlight w:val="none"/>
                <w:u w:val="single"/>
              </w:rPr>
              <w:t xml:space="preserve"> 杭州市文三路90号东部软件园一号楼319室  </w:t>
            </w:r>
            <w:r>
              <w:rPr>
                <w:rFonts w:hint="eastAsia" w:ascii="仿宋" w:hAnsi="仿宋" w:eastAsia="仿宋" w:cs="仿宋"/>
                <w:kern w:val="28"/>
                <w:sz w:val="24"/>
                <w:szCs w:val="24"/>
                <w:highlight w:val="none"/>
              </w:rPr>
              <w:t>；</w:t>
            </w:r>
          </w:p>
          <w:p w14:paraId="5118A34A">
            <w:pPr>
              <w:pStyle w:val="24"/>
              <w:adjustRightInd w:val="0"/>
              <w:snapToGrid w:val="0"/>
              <w:spacing w:line="400" w:lineRule="exact"/>
              <w:rPr>
                <w:rFonts w:hint="eastAsia" w:ascii="仿宋" w:hAnsi="仿宋" w:eastAsia="仿宋" w:cs="仿宋"/>
                <w:kern w:val="28"/>
                <w:sz w:val="24"/>
                <w:szCs w:val="24"/>
                <w:highlight w:val="none"/>
              </w:rPr>
            </w:pPr>
            <w:r>
              <w:rPr>
                <w:rFonts w:hint="eastAsia" w:ascii="仿宋" w:hAnsi="仿宋" w:eastAsia="仿宋" w:cs="仿宋"/>
                <w:b/>
                <w:bCs/>
                <w:kern w:val="28"/>
                <w:sz w:val="24"/>
                <w:szCs w:val="24"/>
                <w:highlight w:val="none"/>
              </w:rPr>
              <w:t>因开标地点与代理机构办公地点不在同一处，备份文件如开标当天送出或可以收到的，</w:t>
            </w:r>
            <w:r>
              <w:rPr>
                <w:rFonts w:hint="eastAsia" w:ascii="仿宋" w:hAnsi="仿宋" w:eastAsia="仿宋" w:cs="仿宋"/>
                <w:kern w:val="28"/>
                <w:sz w:val="24"/>
                <w:szCs w:val="24"/>
                <w:highlight w:val="none"/>
              </w:rPr>
              <w:t>请在投标截止时间之前，送至</w:t>
            </w:r>
            <w:r>
              <w:rPr>
                <w:rFonts w:hint="eastAsia" w:ascii="仿宋" w:hAnsi="仿宋" w:eastAsia="仿宋" w:cs="仿宋"/>
                <w:sz w:val="24"/>
                <w:highlight w:val="none"/>
                <w:u w:val="single"/>
              </w:rPr>
              <w:t>杭州市钱塘区金沙大道600号东楼6楼</w:t>
            </w:r>
            <w:r>
              <w:rPr>
                <w:rFonts w:hint="eastAsia" w:ascii="仿宋" w:hAnsi="仿宋" w:eastAsia="仿宋" w:cs="仿宋"/>
                <w:sz w:val="24"/>
                <w:highlight w:val="none"/>
                <w:u w:val="single"/>
                <w:lang w:val="en-US" w:eastAsia="zh-CN"/>
              </w:rPr>
              <w:t>5</w:t>
            </w:r>
            <w:r>
              <w:rPr>
                <w:rFonts w:hint="eastAsia" w:ascii="仿宋" w:hAnsi="仿宋" w:eastAsia="仿宋" w:cs="仿宋"/>
                <w:sz w:val="24"/>
                <w:highlight w:val="none"/>
                <w:u w:val="single"/>
              </w:rPr>
              <w:t>号开标室</w:t>
            </w:r>
            <w:r>
              <w:rPr>
                <w:rFonts w:hint="eastAsia" w:ascii="仿宋" w:hAnsi="仿宋" w:eastAsia="仿宋" w:cs="仿宋"/>
                <w:sz w:val="24"/>
                <w:highlight w:val="none"/>
              </w:rPr>
              <w:t>。</w:t>
            </w:r>
          </w:p>
          <w:p w14:paraId="2A39D3F5">
            <w:pPr>
              <w:pStyle w:val="24"/>
              <w:adjustRightInd w:val="0"/>
              <w:snapToGrid w:val="0"/>
              <w:spacing w:line="400" w:lineRule="exact"/>
              <w:rPr>
                <w:rFonts w:hint="eastAsia" w:ascii="仿宋" w:hAnsi="仿宋" w:eastAsia="仿宋" w:cs="仿宋"/>
                <w:highlight w:val="none"/>
              </w:rPr>
            </w:pPr>
            <w:r>
              <w:rPr>
                <w:rFonts w:hint="eastAsia" w:ascii="仿宋" w:hAnsi="仿宋" w:eastAsia="仿宋" w:cs="仿宋"/>
                <w:kern w:val="28"/>
                <w:sz w:val="24"/>
                <w:szCs w:val="24"/>
                <w:highlight w:val="none"/>
              </w:rPr>
              <w:t>备份投标文件签收人员联系电话：</w:t>
            </w:r>
            <w:r>
              <w:rPr>
                <w:rFonts w:hint="eastAsia" w:ascii="仿宋" w:hAnsi="仿宋" w:eastAsia="仿宋" w:cs="仿宋"/>
                <w:sz w:val="24"/>
                <w:highlight w:val="none"/>
                <w:u w:val="single"/>
              </w:rPr>
              <w:t xml:space="preserve"> 唐稳，13777483506 </w:t>
            </w:r>
            <w:r>
              <w:rPr>
                <w:rFonts w:hint="eastAsia" w:ascii="仿宋" w:hAnsi="仿宋" w:eastAsia="仿宋" w:cs="仿宋"/>
                <w:sz w:val="24"/>
                <w:szCs w:val="24"/>
                <w:highlight w:val="none"/>
              </w:rPr>
              <w:t>。</w:t>
            </w:r>
          </w:p>
          <w:p w14:paraId="28932DBF">
            <w:pPr>
              <w:pStyle w:val="24"/>
              <w:adjustRightInd w:val="0"/>
              <w:snapToGrid w:val="0"/>
              <w:spacing w:line="400" w:lineRule="exact"/>
              <w:rPr>
                <w:rFonts w:hint="eastAsia" w:ascii="仿宋" w:hAnsi="仿宋" w:eastAsia="仿宋" w:cs="仿宋"/>
                <w:b/>
                <w:kern w:val="0"/>
                <w:sz w:val="24"/>
                <w:highlight w:val="none"/>
                <w:lang w:val="zh-CN"/>
              </w:rPr>
            </w:pPr>
            <w:r>
              <w:rPr>
                <w:rFonts w:hint="eastAsia" w:ascii="仿宋" w:hAnsi="仿宋" w:eastAsia="仿宋" w:cs="仿宋"/>
                <w:b/>
                <w:sz w:val="24"/>
                <w:szCs w:val="24"/>
                <w:highlight w:val="none"/>
              </w:rPr>
              <w:t>采购人、采购机构不强制或变相强制投标人提交备份投标文件。</w:t>
            </w:r>
          </w:p>
        </w:tc>
      </w:tr>
      <w:tr w14:paraId="02774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86" w:hRule="atLeast"/>
        </w:trPr>
        <w:tc>
          <w:tcPr>
            <w:tcW w:w="629" w:type="dxa"/>
            <w:tcBorders>
              <w:tl2br w:val="nil"/>
              <w:tr2bl w:val="nil"/>
            </w:tcBorders>
            <w:noWrap/>
            <w:vAlign w:val="center"/>
          </w:tcPr>
          <w:p w14:paraId="0B53DD33">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13</w:t>
            </w:r>
          </w:p>
        </w:tc>
        <w:tc>
          <w:tcPr>
            <w:tcW w:w="1843" w:type="dxa"/>
            <w:tcBorders>
              <w:tl2br w:val="nil"/>
              <w:tr2bl w:val="nil"/>
            </w:tcBorders>
            <w:noWrap/>
            <w:vAlign w:val="center"/>
          </w:tcPr>
          <w:p w14:paraId="49FE9819">
            <w:pPr>
              <w:adjustRightInd w:val="0"/>
              <w:snapToGrid w:val="0"/>
              <w:jc w:val="center"/>
              <w:rPr>
                <w:rFonts w:hint="eastAsia" w:ascii="仿宋" w:hAnsi="仿宋" w:eastAsia="仿宋" w:cs="仿宋"/>
                <w:b/>
                <w:sz w:val="24"/>
                <w:highlight w:val="none"/>
              </w:rPr>
            </w:pPr>
            <w:r>
              <w:rPr>
                <w:rFonts w:hint="eastAsia" w:ascii="仿宋" w:hAnsi="仿宋" w:eastAsia="仿宋" w:cs="仿宋"/>
                <w:sz w:val="24"/>
                <w:highlight w:val="none"/>
              </w:rPr>
              <w:t>采购代理服务费</w:t>
            </w:r>
          </w:p>
        </w:tc>
        <w:tc>
          <w:tcPr>
            <w:tcW w:w="6095" w:type="dxa"/>
            <w:tcBorders>
              <w:tl2br w:val="nil"/>
              <w:tr2bl w:val="nil"/>
            </w:tcBorders>
            <w:noWrap/>
            <w:vAlign w:val="center"/>
          </w:tcPr>
          <w:p w14:paraId="56395E1D">
            <w:pPr>
              <w:pStyle w:val="24"/>
              <w:adjustRightInd w:val="0"/>
              <w:snapToGrid w:val="0"/>
              <w:rPr>
                <w:rFonts w:hint="eastAsia" w:ascii="仿宋" w:hAnsi="仿宋" w:eastAsia="仿宋" w:cs="仿宋"/>
                <w:sz w:val="24"/>
                <w:highlight w:val="none"/>
                <w:lang w:val="en-US" w:eastAsia="zh-CN"/>
              </w:rPr>
            </w:pPr>
            <w:r>
              <w:rPr>
                <w:rFonts w:hint="eastAsia" w:ascii="仿宋" w:hAnsi="仿宋" w:eastAsia="仿宋" w:cs="仿宋"/>
                <w:sz w:val="24"/>
                <w:highlight w:val="none"/>
              </w:rPr>
              <w:t>1.本项目的采购代理费由中标人支付；</w:t>
            </w:r>
            <w:r>
              <w:rPr>
                <w:rFonts w:hint="eastAsia" w:ascii="仿宋" w:hAnsi="仿宋" w:eastAsia="仿宋" w:cs="仿宋"/>
                <w:sz w:val="24"/>
                <w:highlight w:val="none"/>
                <w:lang w:val="en-US" w:eastAsia="zh-CN"/>
              </w:rPr>
              <w:t>以预算金额为计费基准，计费标准参照《计价格〔2002〕1980号》及《发改办价格〔2003〕857号》文件中货物类收费标准的80%计算；</w:t>
            </w:r>
          </w:p>
          <w:p w14:paraId="600DF1F8">
            <w:pPr>
              <w:pStyle w:val="24"/>
              <w:adjustRightInd w:val="0"/>
              <w:snapToGrid w:val="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货物类的收费标准如下（差额累进法）：</w:t>
            </w:r>
          </w:p>
          <w:tbl>
            <w:tblPr>
              <w:tblStyle w:val="45"/>
              <w:tblW w:w="5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1288"/>
              <w:gridCol w:w="1925"/>
            </w:tblGrid>
            <w:tr w14:paraId="2C2F4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47" w:type="dxa"/>
                  <w:noWrap w:val="0"/>
                  <w:vAlign w:val="top"/>
                </w:tcPr>
                <w:p w14:paraId="397EE22D">
                  <w:pPr>
                    <w:pStyle w:val="24"/>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预算金额</w:t>
                  </w:r>
                </w:p>
              </w:tc>
              <w:tc>
                <w:tcPr>
                  <w:tcW w:w="1288" w:type="dxa"/>
                  <w:noWrap w:val="0"/>
                  <w:vAlign w:val="top"/>
                </w:tcPr>
                <w:p w14:paraId="023FDEB3">
                  <w:pPr>
                    <w:pStyle w:val="24"/>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标准费率</w:t>
                  </w:r>
                </w:p>
              </w:tc>
              <w:tc>
                <w:tcPr>
                  <w:tcW w:w="1925" w:type="dxa"/>
                  <w:noWrap w:val="0"/>
                  <w:vAlign w:val="top"/>
                </w:tcPr>
                <w:p w14:paraId="13727F5A">
                  <w:pPr>
                    <w:pStyle w:val="24"/>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八折费率</w:t>
                  </w:r>
                </w:p>
              </w:tc>
            </w:tr>
            <w:tr w14:paraId="20AB0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47" w:type="dxa"/>
                  <w:noWrap w:val="0"/>
                  <w:vAlign w:val="top"/>
                </w:tcPr>
                <w:p w14:paraId="2D52DD76">
                  <w:pPr>
                    <w:pStyle w:val="24"/>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≤100万元</w:t>
                  </w:r>
                </w:p>
              </w:tc>
              <w:tc>
                <w:tcPr>
                  <w:tcW w:w="1288" w:type="dxa"/>
                  <w:noWrap w:val="0"/>
                  <w:vAlign w:val="top"/>
                </w:tcPr>
                <w:p w14:paraId="47530042">
                  <w:pPr>
                    <w:pStyle w:val="24"/>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1.5%</w:t>
                  </w:r>
                </w:p>
              </w:tc>
              <w:tc>
                <w:tcPr>
                  <w:tcW w:w="1925" w:type="dxa"/>
                  <w:noWrap w:val="0"/>
                  <w:vAlign w:val="center"/>
                </w:tcPr>
                <w:p w14:paraId="0ED08AEA">
                  <w:pPr>
                    <w:pStyle w:val="24"/>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1.2%</w:t>
                  </w:r>
                </w:p>
              </w:tc>
            </w:tr>
            <w:tr w14:paraId="5B950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47" w:type="dxa"/>
                  <w:noWrap w:val="0"/>
                  <w:vAlign w:val="top"/>
                </w:tcPr>
                <w:p w14:paraId="58B05029">
                  <w:pPr>
                    <w:pStyle w:val="24"/>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100-500</w:t>
                  </w:r>
                </w:p>
              </w:tc>
              <w:tc>
                <w:tcPr>
                  <w:tcW w:w="1288" w:type="dxa"/>
                  <w:noWrap w:val="0"/>
                  <w:vAlign w:val="top"/>
                </w:tcPr>
                <w:p w14:paraId="6537F5F1">
                  <w:pPr>
                    <w:pStyle w:val="24"/>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1.1%</w:t>
                  </w:r>
                </w:p>
              </w:tc>
              <w:tc>
                <w:tcPr>
                  <w:tcW w:w="1925" w:type="dxa"/>
                  <w:noWrap w:val="0"/>
                  <w:vAlign w:val="center"/>
                </w:tcPr>
                <w:p w14:paraId="03AFEB20">
                  <w:pPr>
                    <w:pStyle w:val="24"/>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0.88%</w:t>
                  </w:r>
                </w:p>
              </w:tc>
            </w:tr>
          </w:tbl>
          <w:p w14:paraId="372286A7">
            <w:pPr>
              <w:pStyle w:val="24"/>
              <w:adjustRightInd w:val="0"/>
              <w:snapToGrid w:val="0"/>
              <w:rPr>
                <w:rFonts w:hint="eastAsia" w:ascii="仿宋" w:hAnsi="仿宋" w:eastAsia="仿宋" w:cs="仿宋"/>
                <w:sz w:val="24"/>
                <w:highlight w:val="none"/>
              </w:rPr>
            </w:pPr>
          </w:p>
          <w:p w14:paraId="0CDFDF1C">
            <w:pPr>
              <w:pStyle w:val="24"/>
              <w:adjustRightInd w:val="0"/>
              <w:snapToGrid w:val="0"/>
              <w:rPr>
                <w:rFonts w:hint="eastAsia" w:ascii="仿宋" w:hAnsi="仿宋" w:eastAsia="仿宋" w:cs="仿宋"/>
                <w:sz w:val="24"/>
                <w:highlight w:val="none"/>
              </w:rPr>
            </w:pPr>
            <w:r>
              <w:rPr>
                <w:rFonts w:hint="eastAsia" w:ascii="仿宋" w:hAnsi="仿宋" w:eastAsia="仿宋" w:cs="仿宋"/>
                <w:sz w:val="24"/>
                <w:highlight w:val="none"/>
              </w:rPr>
              <w:t>2.结算方式及时间为：在结果公告发布5个工作日内由中标人一次性向采购代理机构付清。</w:t>
            </w:r>
          </w:p>
          <w:p w14:paraId="13666B51">
            <w:pPr>
              <w:pStyle w:val="24"/>
              <w:adjustRightInd w:val="0"/>
              <w:snapToGrid w:val="0"/>
              <w:rPr>
                <w:rFonts w:hint="eastAsia" w:ascii="仿宋" w:hAnsi="仿宋" w:eastAsia="仿宋" w:cs="仿宋"/>
                <w:sz w:val="24"/>
                <w:highlight w:val="none"/>
              </w:rPr>
            </w:pPr>
            <w:r>
              <w:rPr>
                <w:rFonts w:hint="eastAsia" w:ascii="仿宋" w:hAnsi="仿宋" w:eastAsia="仿宋" w:cs="仿宋"/>
                <w:sz w:val="24"/>
                <w:highlight w:val="none"/>
              </w:rPr>
              <w:t>3.代理机构账号信息：</w:t>
            </w:r>
          </w:p>
          <w:p w14:paraId="3A35194C">
            <w:pPr>
              <w:pStyle w:val="24"/>
              <w:adjustRightInd w:val="0"/>
              <w:snapToGrid w:val="0"/>
              <w:rPr>
                <w:rFonts w:hint="eastAsia" w:ascii="仿宋" w:hAnsi="仿宋" w:eastAsia="仿宋" w:cs="仿宋"/>
                <w:sz w:val="24"/>
                <w:highlight w:val="none"/>
              </w:rPr>
            </w:pPr>
            <w:r>
              <w:rPr>
                <w:rFonts w:hint="eastAsia" w:ascii="仿宋" w:hAnsi="仿宋" w:eastAsia="仿宋" w:cs="仿宋"/>
                <w:sz w:val="24"/>
                <w:highlight w:val="none"/>
              </w:rPr>
              <w:t>（1）收款人（全称）：浙江国际招投标有限公司</w:t>
            </w:r>
          </w:p>
          <w:p w14:paraId="2C73576B">
            <w:pPr>
              <w:pStyle w:val="24"/>
              <w:adjustRightInd w:val="0"/>
              <w:snapToGrid w:val="0"/>
              <w:rPr>
                <w:rFonts w:hint="eastAsia" w:ascii="仿宋" w:hAnsi="仿宋" w:eastAsia="仿宋" w:cs="仿宋"/>
                <w:sz w:val="24"/>
                <w:highlight w:val="none"/>
              </w:rPr>
            </w:pPr>
            <w:r>
              <w:rPr>
                <w:rFonts w:hint="eastAsia" w:ascii="仿宋" w:hAnsi="仿宋" w:eastAsia="仿宋" w:cs="仿宋"/>
                <w:sz w:val="24"/>
                <w:highlight w:val="none"/>
              </w:rPr>
              <w:t>（2）开户银行：中国工商银行杭州武林支行</w:t>
            </w:r>
          </w:p>
          <w:p w14:paraId="6687D6A1">
            <w:pPr>
              <w:pStyle w:val="24"/>
              <w:adjustRightInd w:val="0"/>
              <w:snapToGrid w:val="0"/>
              <w:rPr>
                <w:rFonts w:hint="eastAsia" w:ascii="仿宋" w:hAnsi="仿宋" w:eastAsia="仿宋" w:cs="仿宋"/>
                <w:sz w:val="24"/>
                <w:highlight w:val="none"/>
              </w:rPr>
            </w:pPr>
            <w:r>
              <w:rPr>
                <w:rFonts w:hint="eastAsia" w:ascii="仿宋" w:hAnsi="仿宋" w:eastAsia="仿宋" w:cs="仿宋"/>
                <w:sz w:val="24"/>
                <w:highlight w:val="none"/>
              </w:rPr>
              <w:t>（3）帐    号：1202 0212 0990 6782 015</w:t>
            </w:r>
          </w:p>
          <w:p w14:paraId="60C1E290">
            <w:pPr>
              <w:pStyle w:val="24"/>
              <w:adjustRightInd w:val="0"/>
              <w:snapToGrid w:val="0"/>
              <w:rPr>
                <w:rFonts w:hint="eastAsia" w:ascii="仿宋" w:hAnsi="仿宋" w:eastAsia="仿宋" w:cs="仿宋"/>
                <w:highlight w:val="none"/>
              </w:rPr>
            </w:pPr>
            <w:r>
              <w:rPr>
                <w:rFonts w:hint="eastAsia" w:ascii="仿宋" w:hAnsi="仿宋" w:eastAsia="仿宋" w:cs="仿宋"/>
                <w:sz w:val="24"/>
                <w:highlight w:val="none"/>
              </w:rPr>
              <w:t>4</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中标、成交供应商放弃中标、成交资格导致重新采购的，应当承担支付代理费和专家评审费等费用在内的赔偿责任。</w:t>
            </w:r>
          </w:p>
        </w:tc>
      </w:tr>
      <w:tr w14:paraId="4A642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94" w:hRule="atLeast"/>
        </w:trPr>
        <w:tc>
          <w:tcPr>
            <w:tcW w:w="629" w:type="dxa"/>
            <w:vMerge w:val="restart"/>
            <w:tcBorders>
              <w:tl2br w:val="nil"/>
              <w:tr2bl w:val="nil"/>
            </w:tcBorders>
            <w:noWrap/>
            <w:vAlign w:val="center"/>
          </w:tcPr>
          <w:p w14:paraId="6FDDCA01">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14</w:t>
            </w:r>
          </w:p>
          <w:p w14:paraId="1F3D5F84">
            <w:pPr>
              <w:adjustRightInd w:val="0"/>
              <w:snapToGrid w:val="0"/>
              <w:spacing w:line="400" w:lineRule="exact"/>
              <w:jc w:val="center"/>
              <w:rPr>
                <w:rFonts w:hint="eastAsia" w:ascii="仿宋" w:hAnsi="仿宋" w:eastAsia="仿宋" w:cs="仿宋"/>
                <w:sz w:val="24"/>
                <w:highlight w:val="none"/>
              </w:rPr>
            </w:pPr>
          </w:p>
        </w:tc>
        <w:tc>
          <w:tcPr>
            <w:tcW w:w="1843" w:type="dxa"/>
            <w:vMerge w:val="restart"/>
            <w:tcBorders>
              <w:tl2br w:val="nil"/>
              <w:tr2bl w:val="nil"/>
            </w:tcBorders>
            <w:noWrap/>
            <w:vAlign w:val="center"/>
          </w:tcPr>
          <w:p w14:paraId="2594FA6A">
            <w:pPr>
              <w:adjustRightInd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联合体投标说明</w:t>
            </w:r>
          </w:p>
          <w:p w14:paraId="7C4DA9BC">
            <w:pPr>
              <w:adjustRightInd w:val="0"/>
              <w:snapToGrid w:val="0"/>
              <w:jc w:val="center"/>
              <w:rPr>
                <w:rFonts w:hint="eastAsia" w:ascii="仿宋" w:hAnsi="仿宋" w:eastAsia="仿宋" w:cs="仿宋"/>
                <w:sz w:val="24"/>
                <w:highlight w:val="none"/>
              </w:rPr>
            </w:pPr>
          </w:p>
        </w:tc>
        <w:tc>
          <w:tcPr>
            <w:tcW w:w="6095" w:type="dxa"/>
            <w:tcBorders>
              <w:tl2br w:val="nil"/>
              <w:tr2bl w:val="nil"/>
            </w:tcBorders>
            <w:noWrap/>
            <w:vAlign w:val="center"/>
          </w:tcPr>
          <w:p w14:paraId="02CB526F">
            <w:pPr>
              <w:pStyle w:val="24"/>
              <w:adjustRightInd w:val="0"/>
              <w:snapToGrid w:val="0"/>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t>以联合体形式参与投标的，资格文件中：</w:t>
            </w:r>
          </w:p>
          <w:p w14:paraId="66201ABF">
            <w:pPr>
              <w:pStyle w:val="24"/>
              <w:adjustRightInd w:val="0"/>
              <w:snapToGrid w:val="0"/>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t>1、联合体各方均应提供“符合参加采购活动应当具备的一般条件的承诺函”，否则资格审查不通过。（承诺函格式见采购文件第六部分）</w:t>
            </w:r>
          </w:p>
          <w:p w14:paraId="306E1D1C">
            <w:pPr>
              <w:pStyle w:val="24"/>
              <w:adjustRightInd w:val="0"/>
              <w:snapToGrid w:val="0"/>
              <w:rPr>
                <w:rFonts w:hint="eastAsia" w:ascii="仿宋" w:hAnsi="仿宋" w:eastAsia="仿宋" w:cs="仿宋"/>
                <w:snapToGrid w:val="0"/>
                <w:kern w:val="0"/>
                <w:sz w:val="24"/>
                <w:szCs w:val="24"/>
                <w:highlight w:val="none"/>
              </w:rPr>
            </w:pPr>
            <w:r>
              <w:rPr>
                <w:rFonts w:hint="eastAsia" w:ascii="仿宋" w:hAnsi="仿宋" w:eastAsia="仿宋" w:cs="仿宋"/>
                <w:kern w:val="28"/>
                <w:sz w:val="24"/>
                <w:szCs w:val="24"/>
                <w:highlight w:val="none"/>
              </w:rPr>
              <w:t>2、资格文件中必须提供联合协议，否则资格审查不通过。（联合协议格式见采购文件第六部分）</w:t>
            </w:r>
          </w:p>
        </w:tc>
      </w:tr>
      <w:tr w14:paraId="2ADB5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94" w:hRule="atLeast"/>
        </w:trPr>
        <w:tc>
          <w:tcPr>
            <w:tcW w:w="629" w:type="dxa"/>
            <w:vMerge w:val="continue"/>
            <w:tcBorders>
              <w:tl2br w:val="nil"/>
              <w:tr2bl w:val="nil"/>
            </w:tcBorders>
            <w:noWrap/>
            <w:vAlign w:val="center"/>
          </w:tcPr>
          <w:p w14:paraId="190AE358">
            <w:pPr>
              <w:adjustRightInd w:val="0"/>
              <w:snapToGrid w:val="0"/>
              <w:spacing w:line="400" w:lineRule="exact"/>
              <w:jc w:val="center"/>
              <w:rPr>
                <w:rFonts w:hint="eastAsia" w:ascii="仿宋" w:hAnsi="仿宋" w:eastAsia="仿宋" w:cs="仿宋"/>
                <w:sz w:val="24"/>
                <w:highlight w:val="none"/>
              </w:rPr>
            </w:pPr>
          </w:p>
        </w:tc>
        <w:tc>
          <w:tcPr>
            <w:tcW w:w="1843" w:type="dxa"/>
            <w:vMerge w:val="continue"/>
            <w:tcBorders>
              <w:tl2br w:val="nil"/>
              <w:tr2bl w:val="nil"/>
            </w:tcBorders>
            <w:noWrap/>
            <w:vAlign w:val="center"/>
          </w:tcPr>
          <w:p w14:paraId="08729895">
            <w:pPr>
              <w:adjustRightInd w:val="0"/>
              <w:snapToGrid w:val="0"/>
              <w:jc w:val="center"/>
              <w:rPr>
                <w:rFonts w:hint="eastAsia" w:ascii="仿宋" w:hAnsi="仿宋" w:eastAsia="仿宋" w:cs="仿宋"/>
                <w:sz w:val="24"/>
                <w:highlight w:val="none"/>
              </w:rPr>
            </w:pPr>
          </w:p>
        </w:tc>
        <w:tc>
          <w:tcPr>
            <w:tcW w:w="6095" w:type="dxa"/>
            <w:tcBorders>
              <w:tl2br w:val="nil"/>
              <w:tr2bl w:val="nil"/>
            </w:tcBorders>
            <w:noWrap/>
            <w:vAlign w:val="center"/>
          </w:tcPr>
          <w:p w14:paraId="372AE431">
            <w:pPr>
              <w:pStyle w:val="24"/>
              <w:adjustRightInd w:val="0"/>
              <w:snapToGrid w:val="0"/>
              <w:spacing w:line="400" w:lineRule="exact"/>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t>业绩证明材料</w:t>
            </w:r>
          </w:p>
          <w:p w14:paraId="34AC5A62">
            <w:pPr>
              <w:pStyle w:val="24"/>
              <w:adjustRightInd w:val="0"/>
              <w:snapToGrid w:val="0"/>
              <w:spacing w:line="400" w:lineRule="exact"/>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sym w:font="Wingdings" w:char="00A8"/>
            </w:r>
            <w:r>
              <w:rPr>
                <w:rFonts w:hint="eastAsia" w:ascii="仿宋" w:hAnsi="仿宋" w:eastAsia="仿宋" w:cs="仿宋"/>
                <w:kern w:val="28"/>
                <w:sz w:val="24"/>
                <w:szCs w:val="24"/>
                <w:highlight w:val="none"/>
              </w:rPr>
              <w:t>联合体投标的，按联合体协议约定的分工内容出具相应的业绩证明材料。承担相同工作的各方或工作内容存在部 分相同的，业绩数量以提供材料较少的一方为准。</w:t>
            </w:r>
          </w:p>
          <w:p w14:paraId="3CFD3057">
            <w:pPr>
              <w:pStyle w:val="24"/>
              <w:adjustRightInd w:val="0"/>
              <w:snapToGrid w:val="0"/>
              <w:spacing w:line="400" w:lineRule="exact"/>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sym w:font="Wingdings" w:char="00FE"/>
            </w:r>
            <w:r>
              <w:rPr>
                <w:rFonts w:hint="eastAsia" w:ascii="仿宋" w:hAnsi="仿宋" w:eastAsia="仿宋" w:cs="仿宋"/>
                <w:kern w:val="28"/>
                <w:sz w:val="24"/>
                <w:szCs w:val="24"/>
                <w:highlight w:val="none"/>
              </w:rPr>
              <w:t>联合体投标的，由联合体牵头方出具相应的业绩证明材料。</w:t>
            </w:r>
          </w:p>
          <w:p w14:paraId="081D77FF">
            <w:pPr>
              <w:pStyle w:val="24"/>
              <w:adjustRightInd w:val="0"/>
              <w:snapToGrid w:val="0"/>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t>☐其他规定：</w:t>
            </w:r>
            <w:r>
              <w:rPr>
                <w:rFonts w:hint="eastAsia" w:ascii="仿宋" w:hAnsi="仿宋" w:eastAsia="仿宋" w:cs="仿宋"/>
                <w:kern w:val="28"/>
                <w:sz w:val="24"/>
                <w:szCs w:val="24"/>
                <w:highlight w:val="none"/>
                <w:u w:val="single"/>
              </w:rPr>
              <w:t xml:space="preserve">       /          </w:t>
            </w:r>
          </w:p>
        </w:tc>
      </w:tr>
      <w:tr w14:paraId="110DE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94" w:hRule="atLeast"/>
        </w:trPr>
        <w:tc>
          <w:tcPr>
            <w:tcW w:w="629" w:type="dxa"/>
            <w:vMerge w:val="continue"/>
            <w:tcBorders>
              <w:tl2br w:val="nil"/>
              <w:tr2bl w:val="nil"/>
            </w:tcBorders>
            <w:noWrap/>
            <w:vAlign w:val="center"/>
          </w:tcPr>
          <w:p w14:paraId="56A72ED9">
            <w:pPr>
              <w:adjustRightInd w:val="0"/>
              <w:snapToGrid w:val="0"/>
              <w:spacing w:line="400" w:lineRule="exact"/>
              <w:jc w:val="center"/>
              <w:rPr>
                <w:rFonts w:hint="eastAsia" w:ascii="仿宋" w:hAnsi="仿宋" w:eastAsia="仿宋" w:cs="仿宋"/>
                <w:sz w:val="24"/>
                <w:highlight w:val="none"/>
              </w:rPr>
            </w:pPr>
          </w:p>
        </w:tc>
        <w:tc>
          <w:tcPr>
            <w:tcW w:w="1843" w:type="dxa"/>
            <w:vMerge w:val="continue"/>
            <w:tcBorders>
              <w:tl2br w:val="nil"/>
              <w:tr2bl w:val="nil"/>
            </w:tcBorders>
            <w:noWrap/>
            <w:vAlign w:val="center"/>
          </w:tcPr>
          <w:p w14:paraId="4DE9B385">
            <w:pPr>
              <w:adjustRightInd w:val="0"/>
              <w:snapToGrid w:val="0"/>
              <w:jc w:val="center"/>
              <w:rPr>
                <w:rFonts w:hint="eastAsia" w:ascii="仿宋" w:hAnsi="仿宋" w:eastAsia="仿宋" w:cs="仿宋"/>
                <w:sz w:val="24"/>
                <w:highlight w:val="none"/>
              </w:rPr>
            </w:pPr>
          </w:p>
        </w:tc>
        <w:tc>
          <w:tcPr>
            <w:tcW w:w="6095" w:type="dxa"/>
            <w:tcBorders>
              <w:tl2br w:val="nil"/>
              <w:tr2bl w:val="nil"/>
            </w:tcBorders>
            <w:noWrap/>
            <w:vAlign w:val="center"/>
          </w:tcPr>
          <w:p w14:paraId="1E09304E">
            <w:pPr>
              <w:pStyle w:val="24"/>
              <w:adjustRightInd w:val="0"/>
              <w:snapToGrid w:val="0"/>
              <w:spacing w:line="400" w:lineRule="exact"/>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t>其他资信证明材料</w:t>
            </w:r>
          </w:p>
          <w:p w14:paraId="2BB93700">
            <w:pPr>
              <w:pStyle w:val="24"/>
              <w:adjustRightInd w:val="0"/>
              <w:snapToGrid w:val="0"/>
              <w:spacing w:line="400" w:lineRule="exact"/>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sym w:font="Wingdings" w:char="00A8"/>
            </w:r>
            <w:r>
              <w:rPr>
                <w:rFonts w:hint="eastAsia" w:ascii="仿宋" w:hAnsi="仿宋" w:eastAsia="仿宋" w:cs="仿宋"/>
                <w:kern w:val="28"/>
                <w:sz w:val="24"/>
                <w:szCs w:val="24"/>
                <w:highlight w:val="none"/>
              </w:rPr>
              <w:t>联合体投标的，联合体各方均需按招标文件第四部分评标标准要求提供资信证明文件，否则视为不符合相关要求。</w:t>
            </w:r>
          </w:p>
          <w:p w14:paraId="0DC7D8D3">
            <w:pPr>
              <w:pStyle w:val="24"/>
              <w:adjustRightInd w:val="0"/>
              <w:snapToGrid w:val="0"/>
              <w:spacing w:line="400" w:lineRule="exact"/>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sym w:font="Wingdings" w:char="00A8"/>
            </w:r>
            <w:r>
              <w:rPr>
                <w:rFonts w:hint="eastAsia" w:ascii="仿宋" w:hAnsi="仿宋" w:eastAsia="仿宋" w:cs="仿宋"/>
                <w:kern w:val="28"/>
                <w:sz w:val="24"/>
                <w:szCs w:val="24"/>
                <w:highlight w:val="none"/>
              </w:rPr>
              <w:t>联合体投标的，联合体牵头方或者联合体成员根据分工按招标文件第四部分评标标准要求提供资信证明文件的，视为符合了相关要求。</w:t>
            </w:r>
          </w:p>
          <w:p w14:paraId="18D0EFF4">
            <w:pPr>
              <w:pStyle w:val="24"/>
              <w:adjustRightInd w:val="0"/>
              <w:snapToGrid w:val="0"/>
              <w:rPr>
                <w:rFonts w:hint="eastAsia" w:ascii="仿宋" w:hAnsi="仿宋" w:eastAsia="仿宋" w:cs="仿宋"/>
                <w:snapToGrid w:val="0"/>
                <w:kern w:val="0"/>
                <w:sz w:val="24"/>
                <w:szCs w:val="24"/>
                <w:highlight w:val="none"/>
              </w:rPr>
            </w:pPr>
            <w:r>
              <w:rPr>
                <w:rFonts w:hint="eastAsia" w:ascii="仿宋" w:hAnsi="仿宋" w:eastAsia="仿宋" w:cs="仿宋"/>
                <w:kern w:val="28"/>
                <w:sz w:val="24"/>
                <w:szCs w:val="24"/>
                <w:highlight w:val="none"/>
              </w:rPr>
              <w:sym w:font="Wingdings" w:char="00FE"/>
            </w:r>
            <w:r>
              <w:rPr>
                <w:rFonts w:hint="eastAsia" w:ascii="仿宋" w:hAnsi="仿宋" w:eastAsia="仿宋" w:cs="仿宋"/>
                <w:kern w:val="28"/>
                <w:sz w:val="24"/>
                <w:szCs w:val="24"/>
                <w:highlight w:val="none"/>
              </w:rPr>
              <w:t>其他规定：</w:t>
            </w:r>
            <w:r>
              <w:rPr>
                <w:rFonts w:hint="eastAsia" w:ascii="仿宋" w:hAnsi="仿宋" w:eastAsia="仿宋" w:cs="仿宋"/>
                <w:kern w:val="28"/>
                <w:sz w:val="24"/>
                <w:szCs w:val="24"/>
                <w:highlight w:val="none"/>
                <w:u w:val="single"/>
              </w:rPr>
              <w:t xml:space="preserve">  </w:t>
            </w:r>
            <w:r>
              <w:rPr>
                <w:rFonts w:hint="eastAsia" w:ascii="仿宋" w:hAnsi="仿宋" w:eastAsia="仿宋" w:cs="仿宋"/>
                <w:kern w:val="28"/>
                <w:sz w:val="24"/>
                <w:szCs w:val="24"/>
                <w:highlight w:val="none"/>
                <w:u w:val="single"/>
                <w:lang w:val="en-US" w:eastAsia="zh-CN"/>
              </w:rPr>
              <w:t>联合体投标的，资信类内容，包括人员等，均以联合体牵头方出具的为准。</w:t>
            </w:r>
            <w:r>
              <w:rPr>
                <w:rFonts w:hint="eastAsia" w:ascii="仿宋" w:hAnsi="仿宋" w:eastAsia="仿宋" w:cs="仿宋"/>
                <w:kern w:val="28"/>
                <w:sz w:val="24"/>
                <w:szCs w:val="24"/>
                <w:highlight w:val="none"/>
                <w:u w:val="single"/>
              </w:rPr>
              <w:t xml:space="preserve">   </w:t>
            </w:r>
          </w:p>
        </w:tc>
      </w:tr>
      <w:tr w14:paraId="044D7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117" w:hRule="atLeast"/>
        </w:trPr>
        <w:tc>
          <w:tcPr>
            <w:tcW w:w="629" w:type="dxa"/>
            <w:tcBorders>
              <w:tl2br w:val="nil"/>
              <w:tr2bl w:val="nil"/>
            </w:tcBorders>
            <w:noWrap/>
            <w:vAlign w:val="center"/>
          </w:tcPr>
          <w:p w14:paraId="5C35912B">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15</w:t>
            </w:r>
          </w:p>
        </w:tc>
        <w:tc>
          <w:tcPr>
            <w:tcW w:w="1843" w:type="dxa"/>
            <w:tcBorders>
              <w:tl2br w:val="nil"/>
              <w:tr2bl w:val="nil"/>
            </w:tcBorders>
            <w:noWrap/>
            <w:vAlign w:val="center"/>
          </w:tcPr>
          <w:p w14:paraId="12D479AE">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钱塘区公共资源交易领域突出问题专项整治线索征集公告</w:t>
            </w:r>
          </w:p>
        </w:tc>
        <w:tc>
          <w:tcPr>
            <w:tcW w:w="6095" w:type="dxa"/>
            <w:tcBorders>
              <w:tl2br w:val="nil"/>
              <w:tr2bl w:val="nil"/>
            </w:tcBorders>
            <w:noWrap/>
            <w:vAlign w:val="center"/>
          </w:tcPr>
          <w:p w14:paraId="3CA923F3">
            <w:pPr>
              <w:pStyle w:val="24"/>
              <w:adjustRightInd w:val="0"/>
              <w:snapToGrid w:val="0"/>
              <w:spacing w:line="400" w:lineRule="exact"/>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t>为进一步贯彻落实省市区“招投标领域专项整治与提升”工作要求，维护公平竞争的市场环境，现开设公共资源交易领域违法线索征集渠道，线索反馈联系方式如下：</w:t>
            </w:r>
          </w:p>
          <w:p w14:paraId="5B4C1415">
            <w:pPr>
              <w:pStyle w:val="24"/>
              <w:adjustRightInd w:val="0"/>
              <w:snapToGrid w:val="0"/>
              <w:spacing w:line="400" w:lineRule="exact"/>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t xml:space="preserve">钱塘区财政局：ryp2001@163.com </w:t>
            </w:r>
          </w:p>
          <w:p w14:paraId="0E486644">
            <w:pPr>
              <w:pStyle w:val="24"/>
              <w:adjustRightInd w:val="0"/>
              <w:snapToGrid w:val="0"/>
              <w:spacing w:line="400" w:lineRule="exact"/>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t>钱塘区公共资源交易管理办公室:qtqgzb@163.com</w:t>
            </w:r>
          </w:p>
        </w:tc>
      </w:tr>
      <w:tr w14:paraId="65351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2" w:hRule="atLeast"/>
        </w:trPr>
        <w:tc>
          <w:tcPr>
            <w:tcW w:w="629" w:type="dxa"/>
            <w:tcBorders>
              <w:tl2br w:val="nil"/>
              <w:tr2bl w:val="nil"/>
            </w:tcBorders>
            <w:noWrap/>
            <w:vAlign w:val="center"/>
          </w:tcPr>
          <w:p w14:paraId="56D36DBC">
            <w:pPr>
              <w:adjustRightInd w:val="0"/>
              <w:snapToGrid w:val="0"/>
              <w:spacing w:line="40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16</w:t>
            </w:r>
          </w:p>
        </w:tc>
        <w:tc>
          <w:tcPr>
            <w:tcW w:w="1843" w:type="dxa"/>
            <w:tcBorders>
              <w:tl2br w:val="nil"/>
              <w:tr2bl w:val="nil"/>
            </w:tcBorders>
            <w:noWrap/>
            <w:vAlign w:val="center"/>
          </w:tcPr>
          <w:p w14:paraId="5CAED06E">
            <w:pPr>
              <w:snapToGrid w:val="0"/>
              <w:spacing w:line="360" w:lineRule="auto"/>
              <w:jc w:val="center"/>
              <w:rPr>
                <w:rFonts w:hint="eastAsia" w:ascii="仿宋" w:hAnsi="仿宋" w:eastAsia="仿宋" w:cs="仿宋"/>
                <w:sz w:val="24"/>
                <w:highlight w:val="none"/>
              </w:rPr>
            </w:pPr>
            <w:r>
              <w:rPr>
                <w:rFonts w:hint="eastAsia" w:ascii="仿宋" w:hAnsi="仿宋" w:eastAsia="仿宋" w:cs="仿宋"/>
                <w:b/>
                <w:bCs/>
                <w:sz w:val="24"/>
                <w:highlight w:val="none"/>
                <w:lang w:val="en-US" w:eastAsia="zh-CN"/>
              </w:rPr>
              <w:t>材料审核</w:t>
            </w:r>
          </w:p>
        </w:tc>
        <w:tc>
          <w:tcPr>
            <w:tcW w:w="6095" w:type="dxa"/>
            <w:tcBorders>
              <w:tl2br w:val="nil"/>
              <w:tr2bl w:val="nil"/>
            </w:tcBorders>
            <w:noWrap/>
            <w:vAlign w:val="center"/>
          </w:tcPr>
          <w:p w14:paraId="210AD140">
            <w:pPr>
              <w:pStyle w:val="24"/>
              <w:snapToGrid w:val="0"/>
              <w:spacing w:line="400" w:lineRule="exact"/>
              <w:rPr>
                <w:rFonts w:hint="eastAsia" w:ascii="仿宋" w:hAnsi="仿宋" w:eastAsia="仿宋" w:cs="仿宋"/>
                <w:color w:val="FF0000"/>
                <w:kern w:val="28"/>
                <w:sz w:val="24"/>
                <w:szCs w:val="24"/>
                <w:highlight w:val="none"/>
                <w:lang w:eastAsia="zh-CN"/>
              </w:rPr>
            </w:pPr>
            <w:r>
              <w:rPr>
                <w:rFonts w:hint="eastAsia" w:ascii="仿宋" w:hAnsi="仿宋" w:eastAsia="仿宋" w:cs="仿宋"/>
                <w:color w:val="FF0000"/>
                <w:kern w:val="28"/>
                <w:sz w:val="24"/>
                <w:szCs w:val="24"/>
                <w:highlight w:val="none"/>
                <w:lang w:val="en-US" w:eastAsia="zh-CN"/>
              </w:rPr>
              <w:t>根据《</w:t>
            </w:r>
            <w:r>
              <w:rPr>
                <w:rFonts w:hint="eastAsia" w:ascii="仿宋" w:hAnsi="仿宋" w:eastAsia="仿宋" w:cs="仿宋"/>
                <w:color w:val="FF0000"/>
                <w:kern w:val="28"/>
                <w:sz w:val="24"/>
                <w:szCs w:val="24"/>
                <w:highlight w:val="none"/>
              </w:rPr>
              <w:t>浙江省财政厅关于进一步规范政府采购秩序促进公平竞争的通知</w:t>
            </w:r>
            <w:r>
              <w:rPr>
                <w:rFonts w:hint="eastAsia" w:ascii="仿宋" w:hAnsi="仿宋" w:eastAsia="仿宋" w:cs="仿宋"/>
                <w:color w:val="FF0000"/>
                <w:kern w:val="28"/>
                <w:sz w:val="24"/>
                <w:szCs w:val="24"/>
                <w:highlight w:val="none"/>
                <w:lang w:val="en-US" w:eastAsia="zh-CN"/>
              </w:rPr>
              <w:t>》（</w:t>
            </w:r>
            <w:r>
              <w:rPr>
                <w:rFonts w:hint="eastAsia" w:ascii="仿宋" w:hAnsi="仿宋" w:eastAsia="仿宋" w:cs="仿宋"/>
                <w:color w:val="FF0000"/>
                <w:kern w:val="28"/>
                <w:sz w:val="24"/>
                <w:szCs w:val="24"/>
                <w:highlight w:val="none"/>
              </w:rPr>
              <w:t>浙财采监〔2025〕2号</w:t>
            </w:r>
            <w:r>
              <w:rPr>
                <w:rFonts w:hint="eastAsia" w:ascii="仿宋" w:hAnsi="仿宋" w:eastAsia="仿宋" w:cs="仿宋"/>
                <w:color w:val="FF0000"/>
                <w:kern w:val="28"/>
                <w:sz w:val="24"/>
                <w:szCs w:val="24"/>
                <w:highlight w:val="none"/>
                <w:lang w:val="en-US" w:eastAsia="zh-CN"/>
              </w:rPr>
              <w:t>）相关规定，</w:t>
            </w:r>
            <w:r>
              <w:rPr>
                <w:rFonts w:hint="eastAsia" w:ascii="仿宋" w:hAnsi="仿宋" w:eastAsia="仿宋" w:cs="仿宋"/>
                <w:b/>
                <w:bCs/>
                <w:color w:val="FF0000"/>
                <w:kern w:val="28"/>
                <w:sz w:val="24"/>
                <w:szCs w:val="24"/>
                <w:highlight w:val="none"/>
              </w:rPr>
              <w:t>评审结束后、合同签订前，采购人、采购代理机构</w:t>
            </w:r>
            <w:r>
              <w:rPr>
                <w:rFonts w:hint="eastAsia" w:ascii="仿宋" w:hAnsi="仿宋" w:eastAsia="仿宋" w:cs="仿宋"/>
                <w:b/>
                <w:bCs/>
                <w:color w:val="FF0000"/>
                <w:kern w:val="28"/>
                <w:sz w:val="24"/>
                <w:szCs w:val="24"/>
                <w:highlight w:val="none"/>
                <w:lang w:val="en-US" w:eastAsia="zh-CN"/>
              </w:rPr>
              <w:t>将</w:t>
            </w:r>
            <w:r>
              <w:rPr>
                <w:rFonts w:hint="eastAsia" w:ascii="仿宋" w:hAnsi="仿宋" w:eastAsia="仿宋" w:cs="仿宋"/>
                <w:b/>
                <w:bCs/>
                <w:color w:val="FF0000"/>
                <w:kern w:val="28"/>
                <w:sz w:val="24"/>
                <w:szCs w:val="24"/>
                <w:highlight w:val="none"/>
              </w:rPr>
              <w:t>通过网站查询、原件核对等方式对中标（成交）供应商在投标（响应）文件中涉及客观分评审内容的检测报告、认证证书等资料的真实性进行复核，复核情况详细记录，并纳入采购档案</w:t>
            </w:r>
            <w:r>
              <w:rPr>
                <w:rFonts w:hint="eastAsia" w:ascii="仿宋" w:hAnsi="仿宋" w:eastAsia="仿宋" w:cs="仿宋"/>
                <w:color w:val="FF0000"/>
                <w:kern w:val="28"/>
                <w:sz w:val="24"/>
                <w:szCs w:val="24"/>
                <w:highlight w:val="none"/>
                <w:lang w:eastAsia="zh-CN"/>
              </w:rPr>
              <w:t>。</w:t>
            </w:r>
          </w:p>
          <w:p w14:paraId="6067ECBC">
            <w:pPr>
              <w:pStyle w:val="24"/>
              <w:adjustRightInd w:val="0"/>
              <w:snapToGrid w:val="0"/>
              <w:spacing w:line="400" w:lineRule="exact"/>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lang w:val="en-US" w:eastAsia="zh-CN"/>
              </w:rPr>
              <w:t>如</w:t>
            </w:r>
            <w:r>
              <w:rPr>
                <w:rFonts w:hint="eastAsia" w:ascii="仿宋" w:hAnsi="仿宋" w:eastAsia="仿宋" w:cs="仿宋"/>
                <w:kern w:val="28"/>
                <w:sz w:val="24"/>
                <w:szCs w:val="24"/>
                <w:highlight w:val="none"/>
              </w:rPr>
              <w:t>采购人</w:t>
            </w:r>
            <w:r>
              <w:rPr>
                <w:rFonts w:hint="eastAsia" w:ascii="仿宋" w:hAnsi="仿宋" w:eastAsia="仿宋" w:cs="仿宋"/>
                <w:kern w:val="28"/>
                <w:sz w:val="24"/>
                <w:szCs w:val="24"/>
                <w:highlight w:val="none"/>
                <w:lang w:val="en-US" w:eastAsia="zh-CN"/>
              </w:rPr>
              <w:t>或</w:t>
            </w:r>
            <w:r>
              <w:rPr>
                <w:rFonts w:hint="eastAsia" w:ascii="仿宋" w:hAnsi="仿宋" w:eastAsia="仿宋" w:cs="仿宋"/>
                <w:kern w:val="28"/>
                <w:sz w:val="24"/>
                <w:szCs w:val="24"/>
                <w:highlight w:val="none"/>
              </w:rPr>
              <w:t>采购代理机构</w:t>
            </w:r>
            <w:r>
              <w:rPr>
                <w:rFonts w:hint="eastAsia" w:ascii="仿宋" w:hAnsi="仿宋" w:eastAsia="仿宋" w:cs="仿宋"/>
                <w:kern w:val="28"/>
                <w:sz w:val="24"/>
                <w:szCs w:val="24"/>
                <w:highlight w:val="none"/>
                <w:lang w:val="en-US" w:eastAsia="zh-CN"/>
              </w:rPr>
              <w:t>向供应商要求提交</w:t>
            </w:r>
            <w:r>
              <w:rPr>
                <w:rFonts w:hint="eastAsia" w:ascii="仿宋" w:hAnsi="仿宋" w:eastAsia="仿宋" w:cs="仿宋"/>
                <w:kern w:val="28"/>
                <w:sz w:val="24"/>
                <w:szCs w:val="24"/>
                <w:highlight w:val="none"/>
              </w:rPr>
              <w:t>涉及客观分评审内容</w:t>
            </w:r>
            <w:r>
              <w:rPr>
                <w:rFonts w:hint="eastAsia" w:ascii="仿宋" w:hAnsi="仿宋" w:eastAsia="仿宋" w:cs="仿宋"/>
                <w:kern w:val="28"/>
                <w:sz w:val="24"/>
                <w:szCs w:val="24"/>
                <w:highlight w:val="none"/>
                <w:lang w:val="en-US" w:eastAsia="zh-CN"/>
              </w:rPr>
              <w:t>的资料时，供应商务必按要求提交相关材料。</w:t>
            </w:r>
          </w:p>
        </w:tc>
      </w:tr>
      <w:tr w14:paraId="36C8F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2" w:hRule="atLeast"/>
        </w:trPr>
        <w:tc>
          <w:tcPr>
            <w:tcW w:w="629" w:type="dxa"/>
            <w:tcBorders>
              <w:tl2br w:val="nil"/>
              <w:tr2bl w:val="nil"/>
            </w:tcBorders>
            <w:noWrap/>
            <w:vAlign w:val="center"/>
          </w:tcPr>
          <w:p w14:paraId="73CAC006">
            <w:pPr>
              <w:adjustRightInd w:val="0"/>
              <w:snapToGrid w:val="0"/>
              <w:spacing w:line="40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17</w:t>
            </w:r>
          </w:p>
        </w:tc>
        <w:tc>
          <w:tcPr>
            <w:tcW w:w="1843" w:type="dxa"/>
            <w:tcBorders>
              <w:tl2br w:val="nil"/>
              <w:tr2bl w:val="nil"/>
            </w:tcBorders>
            <w:noWrap/>
            <w:vAlign w:val="center"/>
          </w:tcPr>
          <w:p w14:paraId="497E7EB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4"/>
                <w:highlight w:val="none"/>
                <w:lang w:val="en-US" w:eastAsia="zh-CN"/>
              </w:rPr>
            </w:pPr>
            <w:r>
              <w:rPr>
                <w:rFonts w:hint="eastAsia" w:ascii="仿宋_GB2312" w:hAnsi="仿宋" w:eastAsia="仿宋_GB2312" w:cs="仿宋"/>
                <w:sz w:val="24"/>
                <w:highlight w:val="none"/>
                <w:lang w:val="en" w:eastAsia="zh-CN"/>
              </w:rPr>
              <w:t>中标候选人数量</w:t>
            </w:r>
          </w:p>
        </w:tc>
        <w:tc>
          <w:tcPr>
            <w:tcW w:w="6095" w:type="dxa"/>
            <w:tcBorders>
              <w:tl2br w:val="nil"/>
              <w:tr2bl w:val="nil"/>
            </w:tcBorders>
            <w:noWrap/>
            <w:vAlign w:val="center"/>
          </w:tcPr>
          <w:p w14:paraId="56E8532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28"/>
                <w:sz w:val="24"/>
                <w:szCs w:val="24"/>
                <w:highlight w:val="none"/>
                <w:lang w:val="en-US" w:eastAsia="zh-CN"/>
              </w:rPr>
            </w:pPr>
            <w:r>
              <w:rPr>
                <w:rFonts w:hint="eastAsia" w:ascii="仿宋" w:hAnsi="仿宋" w:eastAsia="仿宋" w:cs="仿宋"/>
                <w:color w:val="auto"/>
                <w:kern w:val="0"/>
                <w:sz w:val="24"/>
                <w:highlight w:val="none"/>
                <w:lang w:val="en-US" w:eastAsia="zh-CN"/>
              </w:rPr>
              <w:t>如无其他说明，</w:t>
            </w:r>
            <w:r>
              <w:rPr>
                <w:rFonts w:hint="eastAsia" w:ascii="仿宋" w:hAnsi="仿宋" w:eastAsia="仿宋" w:cs="仿宋"/>
                <w:color w:val="auto"/>
                <w:kern w:val="0"/>
                <w:sz w:val="24"/>
                <w:highlight w:val="none"/>
                <w:lang w:val="en" w:eastAsia="zh-CN"/>
              </w:rPr>
              <w:t>本项目推荐的中标候选人数量：</w:t>
            </w:r>
            <w:r>
              <w:rPr>
                <w:rFonts w:hint="eastAsia" w:ascii="仿宋" w:hAnsi="仿宋" w:eastAsia="仿宋" w:cs="仿宋"/>
                <w:color w:val="auto"/>
                <w:kern w:val="0"/>
                <w:sz w:val="24"/>
                <w:highlight w:val="none"/>
                <w:u w:val="single"/>
                <w:lang w:val="en-US" w:eastAsia="zh-CN"/>
              </w:rPr>
              <w:t xml:space="preserve"> 1 </w:t>
            </w:r>
            <w:r>
              <w:rPr>
                <w:rFonts w:hint="eastAsia" w:ascii="仿宋" w:hAnsi="仿宋" w:eastAsia="仿宋" w:cs="仿宋"/>
                <w:color w:val="auto"/>
                <w:kern w:val="0"/>
                <w:sz w:val="24"/>
                <w:highlight w:val="none"/>
                <w:lang w:val="en" w:eastAsia="zh-CN"/>
              </w:rPr>
              <w:t>。</w:t>
            </w:r>
          </w:p>
        </w:tc>
      </w:tr>
      <w:tr w14:paraId="259D7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2" w:hRule="atLeast"/>
        </w:trPr>
        <w:tc>
          <w:tcPr>
            <w:tcW w:w="629" w:type="dxa"/>
            <w:tcBorders>
              <w:tl2br w:val="nil"/>
              <w:tr2bl w:val="nil"/>
            </w:tcBorders>
            <w:noWrap/>
            <w:vAlign w:val="center"/>
          </w:tcPr>
          <w:p w14:paraId="5B301386">
            <w:pPr>
              <w:adjustRightInd w:val="0"/>
              <w:snapToGrid w:val="0"/>
              <w:spacing w:line="40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18</w:t>
            </w:r>
          </w:p>
        </w:tc>
        <w:tc>
          <w:tcPr>
            <w:tcW w:w="7938" w:type="dxa"/>
            <w:gridSpan w:val="2"/>
            <w:tcBorders>
              <w:tl2br w:val="nil"/>
              <w:tr2bl w:val="nil"/>
            </w:tcBorders>
            <w:noWrap/>
            <w:vAlign w:val="center"/>
          </w:tcPr>
          <w:p w14:paraId="07CCCCCD">
            <w:pPr>
              <w:pStyle w:val="24"/>
              <w:adjustRightInd w:val="0"/>
              <w:snapToGrid w:val="0"/>
              <w:spacing w:line="400" w:lineRule="exact"/>
              <w:rPr>
                <w:rFonts w:hint="eastAsia" w:ascii="仿宋" w:hAnsi="仿宋" w:eastAsia="仿宋" w:cs="仿宋"/>
                <w:kern w:val="28"/>
                <w:sz w:val="24"/>
                <w:szCs w:val="24"/>
                <w:highlight w:val="none"/>
                <w:lang w:val="en-US" w:eastAsia="zh-CN"/>
              </w:rPr>
            </w:pPr>
            <w:r>
              <w:rPr>
                <w:rFonts w:hint="eastAsia" w:ascii="仿宋" w:hAnsi="仿宋" w:eastAsia="仿宋" w:cs="仿宋"/>
                <w:kern w:val="0"/>
                <w:sz w:val="24"/>
                <w:highlight w:val="none"/>
              </w:rPr>
              <w:t>评审因素对应的要求视为采购需求的一部分。</w:t>
            </w:r>
          </w:p>
        </w:tc>
      </w:tr>
    </w:tbl>
    <w:p w14:paraId="7A49E9D9">
      <w:pPr>
        <w:widowControl/>
        <w:adjustRightInd w:val="0"/>
        <w:snapToGrid w:val="0"/>
        <w:spacing w:line="360" w:lineRule="auto"/>
        <w:ind w:firstLine="420" w:firstLineChars="200"/>
        <w:jc w:val="left"/>
        <w:rPr>
          <w:rFonts w:hint="eastAsia" w:ascii="仿宋" w:hAnsi="仿宋" w:eastAsia="仿宋" w:cs="仿宋"/>
          <w:kern w:val="0"/>
          <w:szCs w:val="21"/>
          <w:highlight w:val="none"/>
        </w:rPr>
      </w:pPr>
    </w:p>
    <w:p w14:paraId="5A543C42">
      <w:pPr>
        <w:rPr>
          <w:rFonts w:hint="eastAsia" w:ascii="仿宋" w:hAnsi="仿宋" w:eastAsia="仿宋" w:cs="仿宋"/>
          <w:szCs w:val="21"/>
          <w:highlight w:val="none"/>
        </w:rPr>
      </w:pPr>
    </w:p>
    <w:p w14:paraId="05EBF9B8">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注：以上内容如有变化将另行书面通知。如通知其中某一内容发生变化，其余未提及的将不作变动。</w:t>
      </w:r>
      <w:bookmarkStart w:id="6" w:name="_Toc251566649"/>
      <w:bookmarkStart w:id="7" w:name="_Toc240450076"/>
    </w:p>
    <w:p w14:paraId="6166ABAB">
      <w:pPr>
        <w:adjustRightInd w:val="0"/>
        <w:snapToGrid w:val="0"/>
        <w:spacing w:before="120" w:beforeLines="50" w:after="120" w:afterLines="50" w:line="360" w:lineRule="auto"/>
        <w:jc w:val="center"/>
        <w:outlineLvl w:val="0"/>
        <w:rPr>
          <w:rFonts w:hint="eastAsia" w:ascii="仿宋" w:hAnsi="仿宋" w:eastAsia="仿宋" w:cs="仿宋"/>
          <w:szCs w:val="21"/>
          <w:highlight w:val="none"/>
        </w:rPr>
      </w:pPr>
      <w:r>
        <w:rPr>
          <w:rFonts w:hint="eastAsia" w:ascii="仿宋" w:hAnsi="仿宋" w:eastAsia="仿宋" w:cs="仿宋"/>
          <w:szCs w:val="21"/>
          <w:highlight w:val="none"/>
        </w:rPr>
        <w:br w:type="page"/>
      </w:r>
      <w:bookmarkStart w:id="8" w:name="_Toc28292"/>
      <w:bookmarkStart w:id="9" w:name="_Toc2187"/>
      <w:r>
        <w:rPr>
          <w:rFonts w:hint="eastAsia" w:ascii="仿宋" w:hAnsi="仿宋" w:eastAsia="仿宋" w:cs="仿宋"/>
          <w:b/>
          <w:sz w:val="30"/>
          <w:szCs w:val="30"/>
          <w:highlight w:val="none"/>
        </w:rPr>
        <w:t>第二部分  投标须知</w:t>
      </w:r>
      <w:bookmarkEnd w:id="6"/>
      <w:bookmarkEnd w:id="7"/>
      <w:bookmarkEnd w:id="8"/>
      <w:bookmarkEnd w:id="9"/>
    </w:p>
    <w:p w14:paraId="7A97FC62">
      <w:pPr>
        <w:spacing w:line="360" w:lineRule="auto"/>
        <w:jc w:val="center"/>
        <w:outlineLvl w:val="1"/>
        <w:rPr>
          <w:rFonts w:hint="eastAsia" w:ascii="仿宋" w:hAnsi="仿宋" w:eastAsia="仿宋" w:cs="仿宋"/>
          <w:b/>
          <w:sz w:val="32"/>
          <w:szCs w:val="20"/>
          <w:highlight w:val="none"/>
        </w:rPr>
      </w:pPr>
      <w:bookmarkStart w:id="10" w:name="_Toc3612"/>
      <w:bookmarkStart w:id="11" w:name="_Toc5875"/>
      <w:bookmarkStart w:id="12" w:name="_Toc29733"/>
      <w:r>
        <w:rPr>
          <w:rFonts w:hint="eastAsia" w:ascii="仿宋" w:hAnsi="仿宋" w:eastAsia="仿宋" w:cs="仿宋"/>
          <w:b/>
          <w:sz w:val="32"/>
          <w:szCs w:val="20"/>
          <w:highlight w:val="none"/>
        </w:rPr>
        <w:t>一、总则</w:t>
      </w:r>
      <w:bookmarkEnd w:id="10"/>
      <w:bookmarkEnd w:id="11"/>
      <w:bookmarkEnd w:id="12"/>
    </w:p>
    <w:p w14:paraId="6936B04F">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适用范围</w:t>
      </w:r>
    </w:p>
    <w:p w14:paraId="73200561">
      <w:pPr>
        <w:snapToGrid w:val="0"/>
        <w:spacing w:line="360" w:lineRule="auto"/>
        <w:ind w:firstLine="480" w:firstLineChars="200"/>
        <w:jc w:val="left"/>
        <w:rPr>
          <w:rFonts w:hint="eastAsia" w:ascii="仿宋" w:hAnsi="仿宋" w:eastAsia="仿宋" w:cs="仿宋"/>
          <w:highlight w:val="none"/>
        </w:rPr>
      </w:pPr>
      <w:r>
        <w:rPr>
          <w:rFonts w:hint="eastAsia" w:ascii="仿宋" w:hAnsi="仿宋" w:eastAsia="仿宋" w:cs="仿宋"/>
          <w:sz w:val="24"/>
          <w:highlight w:val="none"/>
        </w:rPr>
        <w:t>本招标文件适用于该项目的招标、投标、开标、资格审查及信用信息查询、评标、定标、合同、验收等行为（法律、法规另有规定的，从其规定）。</w:t>
      </w:r>
    </w:p>
    <w:p w14:paraId="640BBEB6">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定义</w:t>
      </w:r>
    </w:p>
    <w:p w14:paraId="619E53D2">
      <w:pPr>
        <w:numPr>
          <w:ilvl w:val="1"/>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“采购人”系指招标公告中载明的本项目的采购人。</w:t>
      </w:r>
    </w:p>
    <w:p w14:paraId="6CED8DB0">
      <w:pPr>
        <w:numPr>
          <w:ilvl w:val="1"/>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“采购代理机构”系指招标公告中载明的本项目的采购代理机构。</w:t>
      </w:r>
    </w:p>
    <w:p w14:paraId="674B26D5">
      <w:pPr>
        <w:numPr>
          <w:ilvl w:val="1"/>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“投标人”系指响应招标、参加投标竞争的法人、其他组织或者自然人。</w:t>
      </w:r>
    </w:p>
    <w:p w14:paraId="33CC413E">
      <w:pPr>
        <w:numPr>
          <w:ilvl w:val="1"/>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“负责人”系指法人企业的法定负责人，或其他组织为法律、行政法规规定代表单位行使职权的主要负责人，或自然人本人。</w:t>
      </w:r>
    </w:p>
    <w:p w14:paraId="0419C966">
      <w:pPr>
        <w:numPr>
          <w:ilvl w:val="1"/>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9B195B9">
      <w:pPr>
        <w:numPr>
          <w:ilvl w:val="1"/>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“电子交易平台”是指本项目政府采购活动所依托的政府采购云平台（https://www.zcygov.cn/）。</w:t>
      </w:r>
    </w:p>
    <w:p w14:paraId="21D037B0">
      <w:pPr>
        <w:numPr>
          <w:ilvl w:val="1"/>
          <w:numId w:val="3"/>
        </w:numPr>
        <w:spacing w:line="360" w:lineRule="auto"/>
        <w:rPr>
          <w:rFonts w:hint="eastAsia" w:ascii="仿宋" w:hAnsi="仿宋" w:eastAsia="仿宋" w:cs="仿宋"/>
          <w:b/>
          <w:sz w:val="24"/>
          <w:highlight w:val="none"/>
        </w:rPr>
      </w:pPr>
      <w:r>
        <w:rPr>
          <w:rFonts w:hint="eastAsia" w:ascii="仿宋" w:hAnsi="仿宋" w:eastAsia="仿宋" w:cs="仿宋"/>
          <w:sz w:val="24"/>
          <w:highlight w:val="none"/>
        </w:rPr>
        <w:t>“▲” 系指实质性要求条款，“★”系关键技术指标，“</w:t>
      </w:r>
      <w:r>
        <w:rPr>
          <w:rFonts w:hint="eastAsia" w:ascii="仿宋" w:hAnsi="仿宋" w:eastAsia="仿宋" w:cs="仿宋"/>
          <w:kern w:val="28"/>
          <w:sz w:val="24"/>
          <w:highlight w:val="none"/>
        </w:rPr>
        <w:sym w:font="Wingdings" w:char="00FE"/>
      </w:r>
      <w:r>
        <w:rPr>
          <w:rFonts w:hint="eastAsia" w:ascii="仿宋" w:hAnsi="仿宋" w:eastAsia="仿宋" w:cs="仿宋"/>
          <w:sz w:val="24"/>
          <w:highlight w:val="none"/>
        </w:rPr>
        <w:t>” 系指适用本项目的要求，“☐” 系指不适用本项目的要求。</w:t>
      </w:r>
    </w:p>
    <w:p w14:paraId="23A13CD5">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采购项目需要落实的政府采购政策</w:t>
      </w:r>
    </w:p>
    <w:p w14:paraId="12B62B77">
      <w:pPr>
        <w:numPr>
          <w:ilvl w:val="1"/>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06F28C91">
      <w:pPr>
        <w:numPr>
          <w:ilvl w:val="1"/>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支持绿色发展</w:t>
      </w:r>
    </w:p>
    <w:p w14:paraId="478EB1F1">
      <w:pPr>
        <w:numPr>
          <w:ilvl w:val="2"/>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4050D327">
      <w:pPr>
        <w:spacing w:line="360" w:lineRule="auto"/>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321D9A3B">
      <w:pPr>
        <w:numPr>
          <w:ilvl w:val="2"/>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纳入政府采购管理的修缮、装修类项目采购建材的，鼓励采购单位将绿色建材性能、指标等作为实质性条件纳入采购文件和合同，具体性能指标要求参考相关绿色建材政府采购需求标准。</w:t>
      </w:r>
    </w:p>
    <w:p w14:paraId="6AC0EE3A">
      <w:pPr>
        <w:numPr>
          <w:ilvl w:val="2"/>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0981C06">
      <w:pPr>
        <w:numPr>
          <w:ilvl w:val="2"/>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0CE1DC6">
      <w:pPr>
        <w:numPr>
          <w:ilvl w:val="1"/>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支持中小企业发展</w:t>
      </w:r>
    </w:p>
    <w:p w14:paraId="56579EBD">
      <w:pPr>
        <w:numPr>
          <w:ilvl w:val="2"/>
          <w:numId w:val="3"/>
        </w:numPr>
        <w:spacing w:line="360" w:lineRule="auto"/>
        <w:rPr>
          <w:rFonts w:hint="eastAsia" w:ascii="仿宋" w:hAnsi="仿宋" w:eastAsia="仿宋" w:cs="仿宋"/>
          <w:sz w:val="24"/>
          <w:highlight w:val="none"/>
        </w:rPr>
      </w:pPr>
      <w:r>
        <w:rPr>
          <w:rFonts w:hint="eastAsia" w:ascii="仿宋" w:hAnsi="仿宋" w:eastAsia="仿宋" w:cs="仿宋"/>
          <w:b/>
          <w:bCs/>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A8D9D99">
      <w:pPr>
        <w:spacing w:line="360" w:lineRule="auto"/>
        <w:ind w:firstLine="840" w:firstLineChars="350"/>
        <w:rPr>
          <w:rFonts w:hint="eastAsia" w:ascii="仿宋" w:hAnsi="仿宋" w:eastAsia="仿宋" w:cs="仿宋"/>
          <w:sz w:val="24"/>
          <w:highlight w:val="none"/>
        </w:rPr>
      </w:pPr>
      <w:r>
        <w:rPr>
          <w:rFonts w:hint="eastAsia" w:ascii="仿宋" w:hAnsi="仿宋" w:eastAsia="仿宋" w:cs="仿宋"/>
          <w:sz w:val="24"/>
          <w:highlight w:val="none"/>
        </w:rPr>
        <w:t>符合中小企业划分标准的个体工商户，在政府采购活动中视同中小企业。</w:t>
      </w:r>
    </w:p>
    <w:p w14:paraId="4A3B417A">
      <w:pPr>
        <w:numPr>
          <w:ilvl w:val="2"/>
          <w:numId w:val="3"/>
        </w:numPr>
        <w:spacing w:line="360" w:lineRule="auto"/>
        <w:rPr>
          <w:rFonts w:hint="eastAsia" w:ascii="仿宋" w:hAnsi="仿宋" w:eastAsia="仿宋" w:cs="仿宋"/>
          <w:color w:val="FF0000"/>
          <w:sz w:val="24"/>
          <w:highlight w:val="none"/>
        </w:rPr>
      </w:pPr>
      <w:r>
        <w:rPr>
          <w:rFonts w:hint="eastAsia" w:ascii="仿宋" w:hAnsi="仿宋" w:eastAsia="仿宋" w:cs="仿宋"/>
          <w:color w:val="FF000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FAF0D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color w:val="FF0000"/>
          <w:sz w:val="24"/>
          <w:highlight w:val="none"/>
          <w:lang w:eastAsia="zh-CN"/>
        </w:rPr>
      </w:pPr>
      <w:r>
        <w:rPr>
          <w:rFonts w:hint="eastAsia" w:ascii="仿宋" w:hAnsi="仿宋" w:eastAsia="仿宋" w:cs="仿宋"/>
          <w:color w:val="FF0000"/>
          <w:sz w:val="24"/>
          <w:highlight w:val="none"/>
        </w:rPr>
        <w:t>以联合体形式参加政府采购活动，联合体各方均为中小企业的，联合体视同中小企业。其中，联合体各方均为小微企业的，联合体视同小微企业</w:t>
      </w:r>
      <w:r>
        <w:rPr>
          <w:rFonts w:hint="eastAsia" w:ascii="仿宋" w:hAnsi="仿宋" w:eastAsia="仿宋" w:cs="仿宋"/>
          <w:color w:val="FF0000"/>
          <w:sz w:val="24"/>
          <w:highlight w:val="none"/>
          <w:lang w:eastAsia="zh-CN"/>
        </w:rPr>
        <w:t>。</w:t>
      </w:r>
    </w:p>
    <w:p w14:paraId="280E482D">
      <w:pPr>
        <w:numPr>
          <w:ilvl w:val="2"/>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5E6E13B">
      <w:pPr>
        <w:numPr>
          <w:ilvl w:val="2"/>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符合《关于促进残疾人就业政府采购政策的通知》（财库〔2017〕141号）规定的条件并提供《残疾人福利性单位声明函》（附件1）的残疾人福利性单位视同小型、微型企业；</w:t>
      </w:r>
    </w:p>
    <w:p w14:paraId="11E2D769">
      <w:pPr>
        <w:numPr>
          <w:ilvl w:val="2"/>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FED2B8F">
      <w:pPr>
        <w:numPr>
          <w:ilvl w:val="2"/>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sz w:val="24"/>
          <w:highlight w:val="none"/>
        </w:rPr>
        <w:t>。</w:t>
      </w:r>
    </w:p>
    <w:p w14:paraId="488E3F33">
      <w:pPr>
        <w:numPr>
          <w:ilvl w:val="2"/>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中小企业享受扶持政策获得政府采购合同的，小微企业不得将合同分包给大中型企业，中型企业不得将合同分包给大型企业。</w:t>
      </w:r>
    </w:p>
    <w:p w14:paraId="09083F6A">
      <w:pPr>
        <w:numPr>
          <w:ilvl w:val="1"/>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支持创新发展</w:t>
      </w:r>
    </w:p>
    <w:p w14:paraId="56C1C6C3">
      <w:pPr>
        <w:numPr>
          <w:ilvl w:val="2"/>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采购人优先采购被认定为首台套产品和“制造精品”的自主创新产品。</w:t>
      </w:r>
    </w:p>
    <w:p w14:paraId="386F1D83">
      <w:pPr>
        <w:numPr>
          <w:ilvl w:val="2"/>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C2334E6">
      <w:pPr>
        <w:numPr>
          <w:ilvl w:val="2"/>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采购人应当贯彻落实知识产权保护相关法律法规，应当采购使用正版软件。</w:t>
      </w:r>
    </w:p>
    <w:p w14:paraId="5D16A290">
      <w:pPr>
        <w:numPr>
          <w:ilvl w:val="1"/>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平等对待内外资企业和符合条件的破产重整企业</w:t>
      </w:r>
    </w:p>
    <w:p w14:paraId="661B569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平等对待内外资企业和符合条件的破产重整企业，切实保障企业公平竞争，平等维护企业的合法利益。</w:t>
      </w:r>
    </w:p>
    <w:p w14:paraId="16CEB15E">
      <w:pPr>
        <w:numPr>
          <w:ilvl w:val="1"/>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中小企业信用融资：为支持和促进中小企业发展，进一步发挥政府采购政策功能，</w:t>
      </w:r>
      <w:r>
        <w:rPr>
          <w:rFonts w:hint="eastAsia" w:ascii="仿宋" w:hAnsi="仿宋" w:eastAsia="仿宋" w:cs="仿宋"/>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25213110">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询问、质疑、投诉、补偿救济</w:t>
      </w:r>
    </w:p>
    <w:p w14:paraId="16FA5D63">
      <w:pPr>
        <w:numPr>
          <w:ilvl w:val="1"/>
          <w:numId w:val="3"/>
        </w:numPr>
        <w:tabs>
          <w:tab w:val="left" w:pos="210"/>
        </w:tabs>
        <w:snapToGrid w:val="0"/>
        <w:spacing w:line="360" w:lineRule="auto"/>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AEC7433">
      <w:pPr>
        <w:numPr>
          <w:ilvl w:val="1"/>
          <w:numId w:val="3"/>
        </w:numPr>
        <w:tabs>
          <w:tab w:val="left" w:pos="210"/>
        </w:tabs>
        <w:snapToGrid w:val="0"/>
        <w:spacing w:line="360" w:lineRule="auto"/>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供应商询问</w:t>
      </w:r>
    </w:p>
    <w:p w14:paraId="48B9449A">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1B8ACF4">
      <w:pPr>
        <w:numPr>
          <w:ilvl w:val="1"/>
          <w:numId w:val="3"/>
        </w:numPr>
        <w:tabs>
          <w:tab w:val="left" w:pos="210"/>
        </w:tabs>
        <w:snapToGrid w:val="0"/>
        <w:spacing w:line="360" w:lineRule="auto"/>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供应商质疑</w:t>
      </w:r>
    </w:p>
    <w:p w14:paraId="5130DC70">
      <w:pPr>
        <w:numPr>
          <w:ilvl w:val="2"/>
          <w:numId w:val="3"/>
        </w:numPr>
        <w:tabs>
          <w:tab w:val="left" w:pos="210"/>
        </w:tabs>
        <w:snapToGrid w:val="0"/>
        <w:spacing w:line="360" w:lineRule="auto"/>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提出质疑的供应商应当是参与所质疑项目采购活动的供应商。潜在供应商已依法获取其可质疑的招标文件的，可以对该文件提出质疑。</w:t>
      </w:r>
    </w:p>
    <w:p w14:paraId="3DE99E8D">
      <w:pPr>
        <w:numPr>
          <w:ilvl w:val="2"/>
          <w:numId w:val="3"/>
        </w:numPr>
        <w:tabs>
          <w:tab w:val="left" w:pos="210"/>
        </w:tabs>
        <w:snapToGrid w:val="0"/>
        <w:spacing w:line="360" w:lineRule="auto"/>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6F06963">
      <w:pPr>
        <w:numPr>
          <w:ilvl w:val="3"/>
          <w:numId w:val="3"/>
        </w:numPr>
        <w:tabs>
          <w:tab w:val="left" w:pos="210"/>
          <w:tab w:val="left" w:pos="1050"/>
        </w:tabs>
        <w:snapToGrid w:val="0"/>
        <w:spacing w:line="360" w:lineRule="auto"/>
        <w:ind w:left="1050" w:hanging="1050"/>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对招标文件提出质疑的，质疑期限为供应商获得招标文件之日或者招标文件公告期限届满之日起计算。</w:t>
      </w:r>
    </w:p>
    <w:p w14:paraId="57D24267">
      <w:pPr>
        <w:numPr>
          <w:ilvl w:val="3"/>
          <w:numId w:val="3"/>
        </w:numPr>
        <w:tabs>
          <w:tab w:val="left" w:pos="210"/>
          <w:tab w:val="left" w:pos="1050"/>
        </w:tabs>
        <w:snapToGrid w:val="0"/>
        <w:spacing w:line="360" w:lineRule="auto"/>
        <w:ind w:left="1050" w:hanging="1050"/>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对采购过程提出质疑的，质疑期限为各采购程序环节结束之日起计算。</w:t>
      </w:r>
    </w:p>
    <w:p w14:paraId="57762345">
      <w:pPr>
        <w:numPr>
          <w:ilvl w:val="3"/>
          <w:numId w:val="3"/>
        </w:numPr>
        <w:tabs>
          <w:tab w:val="left" w:pos="210"/>
          <w:tab w:val="left" w:pos="1050"/>
        </w:tabs>
        <w:snapToGrid w:val="0"/>
        <w:spacing w:line="360" w:lineRule="auto"/>
        <w:ind w:left="1050" w:hanging="1050"/>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对采购结果提出质疑的，质疑期限自采购结果公告期限届满之日起计算。</w:t>
      </w:r>
    </w:p>
    <w:p w14:paraId="0A5424FB">
      <w:pPr>
        <w:numPr>
          <w:ilvl w:val="2"/>
          <w:numId w:val="3"/>
        </w:numPr>
        <w:tabs>
          <w:tab w:val="left" w:pos="210"/>
        </w:tabs>
        <w:snapToGrid w:val="0"/>
        <w:spacing w:line="360" w:lineRule="auto"/>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供应商提出质疑应当提交质疑函和必要的证明材料。质疑函应当包括下列内容：</w:t>
      </w:r>
    </w:p>
    <w:p w14:paraId="673EB49D">
      <w:pPr>
        <w:numPr>
          <w:ilvl w:val="3"/>
          <w:numId w:val="3"/>
        </w:numPr>
        <w:tabs>
          <w:tab w:val="left" w:pos="210"/>
          <w:tab w:val="left" w:pos="1050"/>
        </w:tabs>
        <w:snapToGrid w:val="0"/>
        <w:spacing w:line="360" w:lineRule="auto"/>
        <w:ind w:hanging="210"/>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供应商的姓名或者名称、地址、邮编、联系人及联系电话；</w:t>
      </w:r>
    </w:p>
    <w:p w14:paraId="42C90727">
      <w:pPr>
        <w:numPr>
          <w:ilvl w:val="3"/>
          <w:numId w:val="3"/>
        </w:numPr>
        <w:tabs>
          <w:tab w:val="left" w:pos="210"/>
          <w:tab w:val="left" w:pos="1050"/>
        </w:tabs>
        <w:snapToGrid w:val="0"/>
        <w:spacing w:line="360" w:lineRule="auto"/>
        <w:ind w:hanging="210"/>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质疑项目的名称、编号；</w:t>
      </w:r>
    </w:p>
    <w:p w14:paraId="3CC79372">
      <w:pPr>
        <w:numPr>
          <w:ilvl w:val="3"/>
          <w:numId w:val="3"/>
        </w:numPr>
        <w:tabs>
          <w:tab w:val="left" w:pos="210"/>
          <w:tab w:val="left" w:pos="1050"/>
        </w:tabs>
        <w:snapToGrid w:val="0"/>
        <w:spacing w:line="360" w:lineRule="auto"/>
        <w:ind w:hanging="210"/>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具体、明确的质疑事项和与质疑事项相关的请求；</w:t>
      </w:r>
    </w:p>
    <w:p w14:paraId="2A3AAC1A">
      <w:pPr>
        <w:numPr>
          <w:ilvl w:val="3"/>
          <w:numId w:val="3"/>
        </w:numPr>
        <w:tabs>
          <w:tab w:val="left" w:pos="210"/>
          <w:tab w:val="left" w:pos="1050"/>
        </w:tabs>
        <w:snapToGrid w:val="0"/>
        <w:spacing w:line="360" w:lineRule="auto"/>
        <w:ind w:hanging="210"/>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事实依据；</w:t>
      </w:r>
    </w:p>
    <w:p w14:paraId="74FDCE17">
      <w:pPr>
        <w:numPr>
          <w:ilvl w:val="3"/>
          <w:numId w:val="3"/>
        </w:numPr>
        <w:tabs>
          <w:tab w:val="left" w:pos="210"/>
          <w:tab w:val="left" w:pos="1050"/>
        </w:tabs>
        <w:snapToGrid w:val="0"/>
        <w:spacing w:line="360" w:lineRule="auto"/>
        <w:ind w:hanging="210"/>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必要的法律依据；</w:t>
      </w:r>
    </w:p>
    <w:p w14:paraId="66F212CF">
      <w:pPr>
        <w:numPr>
          <w:ilvl w:val="3"/>
          <w:numId w:val="3"/>
        </w:numPr>
        <w:tabs>
          <w:tab w:val="left" w:pos="210"/>
          <w:tab w:val="left" w:pos="1050"/>
        </w:tabs>
        <w:snapToGrid w:val="0"/>
        <w:spacing w:line="360" w:lineRule="auto"/>
        <w:ind w:hanging="210"/>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提出质疑的日期。</w:t>
      </w:r>
    </w:p>
    <w:p w14:paraId="2E29C639">
      <w:pPr>
        <w:tabs>
          <w:tab w:val="left" w:pos="210"/>
        </w:tabs>
        <w:snapToGrid w:val="0"/>
        <w:spacing w:line="360" w:lineRule="auto"/>
        <w:ind w:firstLine="480" w:firstLineChars="200"/>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107007A7">
      <w:pPr>
        <w:tabs>
          <w:tab w:val="left" w:pos="210"/>
        </w:tabs>
        <w:snapToGrid w:val="0"/>
        <w:spacing w:line="360" w:lineRule="auto"/>
        <w:ind w:firstLine="480" w:firstLineChars="200"/>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质疑函范本及制作说明详见附件2。</w:t>
      </w:r>
    </w:p>
    <w:p w14:paraId="051E261C">
      <w:pPr>
        <w:numPr>
          <w:ilvl w:val="2"/>
          <w:numId w:val="3"/>
        </w:numPr>
        <w:tabs>
          <w:tab w:val="left" w:pos="210"/>
          <w:tab w:val="left" w:pos="840"/>
        </w:tabs>
        <w:snapToGrid w:val="0"/>
        <w:spacing w:line="360" w:lineRule="auto"/>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对同一采购程序环节的质疑，供应商须在法定质疑期内一次性提出。</w:t>
      </w:r>
    </w:p>
    <w:p w14:paraId="0C00D990">
      <w:pPr>
        <w:numPr>
          <w:ilvl w:val="2"/>
          <w:numId w:val="3"/>
        </w:numPr>
        <w:tabs>
          <w:tab w:val="left" w:pos="210"/>
          <w:tab w:val="left" w:pos="840"/>
        </w:tabs>
        <w:snapToGrid w:val="0"/>
        <w:spacing w:line="360" w:lineRule="auto"/>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采购人负责供应商质疑答复。采购人委托采购代理机构采购的，采购代理机构对委托授权范围内质疑事项作出答复。委托授权范围应当在采购代理协议中明确。</w:t>
      </w:r>
    </w:p>
    <w:p w14:paraId="1C3B2DC0">
      <w:pPr>
        <w:numPr>
          <w:ilvl w:val="2"/>
          <w:numId w:val="3"/>
        </w:numPr>
        <w:tabs>
          <w:tab w:val="left" w:pos="210"/>
          <w:tab w:val="left" w:pos="840"/>
        </w:tabs>
        <w:snapToGrid w:val="0"/>
        <w:spacing w:line="360" w:lineRule="auto"/>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E00CC44">
      <w:pPr>
        <w:numPr>
          <w:ilvl w:val="2"/>
          <w:numId w:val="3"/>
        </w:numPr>
        <w:tabs>
          <w:tab w:val="left" w:pos="210"/>
        </w:tabs>
        <w:snapToGrid w:val="0"/>
        <w:spacing w:line="360" w:lineRule="auto"/>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询问或者质疑事项可能影响采购结果的，采购人应当暂停签订合同，已经签订合同的，应当中止履行合同。</w:t>
      </w:r>
    </w:p>
    <w:p w14:paraId="446B9AE2">
      <w:pPr>
        <w:numPr>
          <w:ilvl w:val="1"/>
          <w:numId w:val="3"/>
        </w:numPr>
        <w:tabs>
          <w:tab w:val="left" w:pos="210"/>
        </w:tabs>
        <w:snapToGrid w:val="0"/>
        <w:spacing w:line="360" w:lineRule="auto"/>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供应商投诉</w:t>
      </w:r>
    </w:p>
    <w:p w14:paraId="07672EF0">
      <w:pPr>
        <w:numPr>
          <w:ilvl w:val="2"/>
          <w:numId w:val="3"/>
        </w:numPr>
        <w:tabs>
          <w:tab w:val="left" w:pos="210"/>
        </w:tabs>
        <w:snapToGrid w:val="0"/>
        <w:spacing w:line="360" w:lineRule="auto"/>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质疑供应商对采购人、采购代理机构的答复不满意或者采购人、采购代理机构未在规定的时间内作出答复的，可以在答复期满后十五个工作日内向同级政府采购监督管理部门提出投诉。</w:t>
      </w:r>
    </w:p>
    <w:p w14:paraId="2ED0AD99">
      <w:pPr>
        <w:numPr>
          <w:ilvl w:val="2"/>
          <w:numId w:val="3"/>
        </w:numPr>
        <w:tabs>
          <w:tab w:val="left" w:pos="210"/>
        </w:tabs>
        <w:snapToGrid w:val="0"/>
        <w:spacing w:line="360" w:lineRule="auto"/>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供应商投诉的事项不得超出已质疑事项的范围，基于质疑答复内容提出的投诉事项除外。</w:t>
      </w:r>
    </w:p>
    <w:p w14:paraId="1CCBBC10">
      <w:pPr>
        <w:numPr>
          <w:ilvl w:val="2"/>
          <w:numId w:val="3"/>
        </w:numPr>
        <w:tabs>
          <w:tab w:val="left" w:pos="210"/>
        </w:tabs>
        <w:snapToGrid w:val="0"/>
        <w:spacing w:line="360" w:lineRule="auto"/>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供应商投诉应当有明确的请求和必要的证明材料。</w:t>
      </w:r>
    </w:p>
    <w:p w14:paraId="06B77457">
      <w:pPr>
        <w:numPr>
          <w:ilvl w:val="2"/>
          <w:numId w:val="3"/>
        </w:numPr>
        <w:tabs>
          <w:tab w:val="left" w:pos="210"/>
        </w:tabs>
        <w:snapToGrid w:val="0"/>
        <w:spacing w:line="360" w:lineRule="auto"/>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以联合体形式参加政府采购活动的，其投诉应当由组成联合体的所有供应商共同提出。</w:t>
      </w:r>
    </w:p>
    <w:p w14:paraId="485A8465">
      <w:pPr>
        <w:numPr>
          <w:ilvl w:val="2"/>
          <w:numId w:val="3"/>
        </w:numPr>
        <w:tabs>
          <w:tab w:val="left" w:pos="210"/>
        </w:tabs>
        <w:snapToGrid w:val="0"/>
        <w:spacing w:line="360" w:lineRule="auto"/>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政府采购项目投诉材料可寄送浙江省政府采购行政裁决服务中心（杭州），</w:t>
      </w:r>
      <w:r>
        <w:rPr>
          <w:rFonts w:hint="eastAsia" w:ascii="仿宋" w:hAnsi="仿宋" w:eastAsia="仿宋" w:cs="仿宋"/>
          <w:bCs/>
          <w:sz w:val="24"/>
          <w:highlight w:val="none"/>
          <w:lang w:val="en-US" w:eastAsia="zh-CN"/>
        </w:rPr>
        <w:t>联系方式见采购公告</w:t>
      </w:r>
      <w:r>
        <w:rPr>
          <w:rFonts w:hint="eastAsia" w:ascii="仿宋" w:hAnsi="仿宋" w:eastAsia="仿宋" w:cs="仿宋"/>
          <w:bCs/>
          <w:sz w:val="24"/>
          <w:highlight w:val="none"/>
          <w:lang w:val="zh-CN"/>
        </w:rPr>
        <w:t>。</w:t>
      </w:r>
    </w:p>
    <w:p w14:paraId="53C8E672">
      <w:pPr>
        <w:tabs>
          <w:tab w:val="left" w:pos="210"/>
        </w:tabs>
        <w:snapToGrid w:val="0"/>
        <w:spacing w:line="360" w:lineRule="auto"/>
        <w:ind w:firstLine="480" w:firstLineChars="200"/>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投诉书范本及制作说明详见附件3。</w:t>
      </w:r>
    </w:p>
    <w:p w14:paraId="51F1578A">
      <w:pPr>
        <w:numPr>
          <w:ilvl w:val="1"/>
          <w:numId w:val="3"/>
        </w:numPr>
        <w:tabs>
          <w:tab w:val="left" w:pos="210"/>
        </w:tabs>
        <w:snapToGrid w:val="0"/>
        <w:spacing w:line="360" w:lineRule="auto"/>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补偿救济</w:t>
      </w:r>
    </w:p>
    <w:p w14:paraId="1E586C70">
      <w:pPr>
        <w:numPr>
          <w:ilvl w:val="2"/>
          <w:numId w:val="3"/>
        </w:numPr>
        <w:tabs>
          <w:tab w:val="left" w:pos="210"/>
        </w:tabs>
        <w:snapToGrid w:val="0"/>
        <w:spacing w:line="360" w:lineRule="auto"/>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采购人因政策变化、规划调整而不履行政府采购合同的，供应商可依据《杭州市涉企补偿救济实施办法（试行）》向采购人提起补偿申请。</w:t>
      </w:r>
    </w:p>
    <w:p w14:paraId="0D0C2870">
      <w:pPr>
        <w:rPr>
          <w:rFonts w:hint="eastAsia" w:ascii="仿宋" w:hAnsi="仿宋" w:eastAsia="仿宋" w:cs="仿宋"/>
          <w:highlight w:val="none"/>
        </w:rPr>
      </w:pPr>
    </w:p>
    <w:p w14:paraId="5C89B87A">
      <w:pPr>
        <w:spacing w:line="360" w:lineRule="auto"/>
        <w:jc w:val="center"/>
        <w:outlineLvl w:val="1"/>
        <w:rPr>
          <w:rFonts w:hint="eastAsia" w:ascii="仿宋" w:hAnsi="仿宋" w:eastAsia="仿宋" w:cs="仿宋"/>
          <w:b/>
          <w:sz w:val="32"/>
          <w:szCs w:val="20"/>
          <w:highlight w:val="none"/>
        </w:rPr>
      </w:pPr>
      <w:bookmarkStart w:id="13" w:name="_Toc27887"/>
      <w:bookmarkStart w:id="14" w:name="_Toc30065"/>
      <w:bookmarkStart w:id="15" w:name="_Toc14473"/>
      <w:bookmarkStart w:id="16" w:name="_Toc5240"/>
      <w:bookmarkStart w:id="17" w:name="_Toc28192"/>
      <w:r>
        <w:rPr>
          <w:rFonts w:hint="eastAsia" w:ascii="仿宋" w:hAnsi="仿宋" w:eastAsia="仿宋" w:cs="仿宋"/>
          <w:b/>
          <w:sz w:val="32"/>
          <w:szCs w:val="20"/>
          <w:highlight w:val="none"/>
        </w:rPr>
        <w:t>二、招标文件的构成、澄清、修改</w:t>
      </w:r>
      <w:bookmarkEnd w:id="13"/>
      <w:bookmarkEnd w:id="14"/>
      <w:bookmarkEnd w:id="15"/>
      <w:bookmarkEnd w:id="16"/>
      <w:bookmarkEnd w:id="17"/>
    </w:p>
    <w:p w14:paraId="471E7804">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招标文件的构成</w:t>
      </w:r>
    </w:p>
    <w:p w14:paraId="1C1B20B2">
      <w:pPr>
        <w:numPr>
          <w:ilvl w:val="1"/>
          <w:numId w:val="3"/>
        </w:numPr>
        <w:tabs>
          <w:tab w:val="left" w:pos="21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招标文件包括下列文件及附件：</w:t>
      </w:r>
    </w:p>
    <w:p w14:paraId="4973F38C">
      <w:pPr>
        <w:numPr>
          <w:ilvl w:val="2"/>
          <w:numId w:val="3"/>
        </w:numPr>
        <w:tabs>
          <w:tab w:val="left" w:pos="21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招标公告；</w:t>
      </w:r>
    </w:p>
    <w:p w14:paraId="21A6B33C">
      <w:pPr>
        <w:numPr>
          <w:ilvl w:val="2"/>
          <w:numId w:val="3"/>
        </w:numPr>
        <w:tabs>
          <w:tab w:val="left" w:pos="21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投标人须知；</w:t>
      </w:r>
    </w:p>
    <w:p w14:paraId="5082D988">
      <w:pPr>
        <w:numPr>
          <w:ilvl w:val="2"/>
          <w:numId w:val="3"/>
        </w:numPr>
        <w:tabs>
          <w:tab w:val="left" w:pos="21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采购需求；</w:t>
      </w:r>
    </w:p>
    <w:p w14:paraId="12BB758B">
      <w:pPr>
        <w:numPr>
          <w:ilvl w:val="2"/>
          <w:numId w:val="3"/>
        </w:numPr>
        <w:tabs>
          <w:tab w:val="left" w:pos="21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评标办法；</w:t>
      </w:r>
    </w:p>
    <w:p w14:paraId="24800052">
      <w:pPr>
        <w:numPr>
          <w:ilvl w:val="2"/>
          <w:numId w:val="3"/>
        </w:numPr>
        <w:tabs>
          <w:tab w:val="left" w:pos="21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拟签订的合同文本；</w:t>
      </w:r>
    </w:p>
    <w:p w14:paraId="73209236">
      <w:pPr>
        <w:numPr>
          <w:ilvl w:val="2"/>
          <w:numId w:val="3"/>
        </w:numPr>
        <w:tabs>
          <w:tab w:val="left" w:pos="21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应提交的有关格式范例。</w:t>
      </w:r>
    </w:p>
    <w:p w14:paraId="271E7748">
      <w:pPr>
        <w:numPr>
          <w:ilvl w:val="1"/>
          <w:numId w:val="3"/>
        </w:numPr>
        <w:tabs>
          <w:tab w:val="left" w:pos="21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与本项目有关的澄清或者修改的内容为招标文件的组成部分。</w:t>
      </w:r>
    </w:p>
    <w:p w14:paraId="255888AD">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招标文件的澄清、修改</w:t>
      </w:r>
    </w:p>
    <w:p w14:paraId="142B6595">
      <w:pPr>
        <w:numPr>
          <w:ilvl w:val="1"/>
          <w:numId w:val="3"/>
        </w:numPr>
        <w:tabs>
          <w:tab w:val="left" w:pos="21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已获取招标文件的潜在投标人，若有问题需要澄清，应于投标截止时间前，以书面形式向采购代理机构提出。</w:t>
      </w:r>
    </w:p>
    <w:p w14:paraId="142BF0CE">
      <w:pPr>
        <w:numPr>
          <w:ilvl w:val="1"/>
          <w:numId w:val="3"/>
        </w:numPr>
        <w:tabs>
          <w:tab w:val="left" w:pos="21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AFD224B">
      <w:pPr>
        <w:rPr>
          <w:rFonts w:hint="eastAsia" w:ascii="仿宋" w:hAnsi="仿宋" w:eastAsia="仿宋" w:cs="仿宋"/>
          <w:highlight w:val="none"/>
        </w:rPr>
      </w:pPr>
      <w:r>
        <w:rPr>
          <w:rFonts w:hint="eastAsia" w:ascii="仿宋" w:hAnsi="仿宋" w:eastAsia="仿宋" w:cs="仿宋"/>
          <w:highlight w:val="none"/>
        </w:rPr>
        <w:t xml:space="preserve">    </w:t>
      </w:r>
    </w:p>
    <w:p w14:paraId="7CC8FE29">
      <w:pPr>
        <w:spacing w:line="360" w:lineRule="auto"/>
        <w:jc w:val="center"/>
        <w:outlineLvl w:val="1"/>
        <w:rPr>
          <w:rFonts w:hint="eastAsia" w:ascii="仿宋" w:hAnsi="仿宋" w:eastAsia="仿宋" w:cs="仿宋"/>
          <w:b/>
          <w:sz w:val="30"/>
          <w:szCs w:val="20"/>
          <w:highlight w:val="none"/>
        </w:rPr>
      </w:pPr>
      <w:bookmarkStart w:id="18" w:name="_Toc484"/>
      <w:bookmarkStart w:id="19" w:name="_Toc25644"/>
      <w:bookmarkStart w:id="20" w:name="_Toc2344"/>
      <w:bookmarkStart w:id="21" w:name="_Toc10627"/>
      <w:bookmarkStart w:id="22" w:name="_Toc8085"/>
      <w:r>
        <w:rPr>
          <w:rFonts w:hint="eastAsia" w:ascii="仿宋" w:hAnsi="仿宋" w:eastAsia="仿宋" w:cs="仿宋"/>
          <w:b/>
          <w:sz w:val="30"/>
          <w:szCs w:val="20"/>
          <w:highlight w:val="none"/>
        </w:rPr>
        <w:t>三、投标</w:t>
      </w:r>
      <w:bookmarkEnd w:id="18"/>
      <w:bookmarkEnd w:id="19"/>
      <w:bookmarkEnd w:id="20"/>
      <w:bookmarkEnd w:id="21"/>
      <w:bookmarkEnd w:id="22"/>
    </w:p>
    <w:p w14:paraId="37FE6B78">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招标文件的获取</w:t>
      </w:r>
    </w:p>
    <w:p w14:paraId="603057D7">
      <w:pPr>
        <w:spacing w:line="360" w:lineRule="auto"/>
        <w:ind w:firstLine="420"/>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详见招标公告中获取招标文件的时间期限、地点、方式及招标文件售价。</w:t>
      </w:r>
    </w:p>
    <w:p w14:paraId="1E6665E0">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开标前答疑会或现场考察</w:t>
      </w:r>
    </w:p>
    <w:p w14:paraId="12D2BB0E">
      <w:pPr>
        <w:pStyle w:val="24"/>
        <w:spacing w:line="36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采购人组织潜在投标人现场考察或者召开开标前答疑会的，潜在投标人按第二部分投标人须知前附表的规定参加现场考察或者开标前答疑会。</w:t>
      </w:r>
    </w:p>
    <w:p w14:paraId="3EB8A6A2">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投标保证金</w:t>
      </w:r>
    </w:p>
    <w:p w14:paraId="12FBF606">
      <w:pPr>
        <w:pStyle w:val="12"/>
        <w:spacing w:line="360" w:lineRule="auto"/>
        <w:ind w:firstLine="470" w:firstLineChars="196"/>
        <w:rPr>
          <w:rFonts w:hint="eastAsia" w:ascii="仿宋" w:hAnsi="仿宋" w:eastAsia="仿宋" w:cs="仿宋"/>
          <w:sz w:val="24"/>
          <w:highlight w:val="none"/>
        </w:rPr>
      </w:pPr>
      <w:r>
        <w:rPr>
          <w:rFonts w:hint="eastAsia" w:ascii="仿宋" w:hAnsi="仿宋" w:eastAsia="仿宋" w:cs="仿宋"/>
          <w:sz w:val="24"/>
          <w:highlight w:val="none"/>
        </w:rPr>
        <w:t>本项目不需缴纳投标保证金。</w:t>
      </w:r>
    </w:p>
    <w:p w14:paraId="1FC38D49">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投标文件的语言</w:t>
      </w:r>
    </w:p>
    <w:p w14:paraId="7A3E11BC">
      <w:pPr>
        <w:autoSpaceDE w:val="0"/>
        <w:autoSpaceDN w:val="0"/>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投标文件及投标人与采购有关的来往通知、函件和文件均应使用中文。</w:t>
      </w:r>
    </w:p>
    <w:p w14:paraId="62D90C3D">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投标文件的组成</w:t>
      </w:r>
    </w:p>
    <w:p w14:paraId="563A1816">
      <w:pPr>
        <w:numPr>
          <w:ilvl w:val="1"/>
          <w:numId w:val="3"/>
        </w:numPr>
        <w:tabs>
          <w:tab w:val="left" w:pos="210"/>
          <w:tab w:val="left" w:pos="630"/>
          <w:tab w:val="left" w:pos="840"/>
        </w:tabs>
        <w:snapToGrid w:val="0"/>
        <w:spacing w:line="360" w:lineRule="auto"/>
        <w:jc w:val="left"/>
        <w:rPr>
          <w:rFonts w:hint="eastAsia" w:ascii="仿宋" w:hAnsi="仿宋" w:eastAsia="仿宋" w:cs="仿宋"/>
          <w:b/>
          <w:sz w:val="24"/>
          <w:highlight w:val="none"/>
        </w:rPr>
      </w:pPr>
      <w:r>
        <w:rPr>
          <w:rFonts w:hint="eastAsia" w:ascii="仿宋" w:hAnsi="仿宋" w:eastAsia="仿宋" w:cs="仿宋"/>
          <w:b/>
          <w:sz w:val="24"/>
          <w:highlight w:val="none"/>
        </w:rPr>
        <w:t>资格文件：</w:t>
      </w:r>
    </w:p>
    <w:p w14:paraId="6185236E">
      <w:pPr>
        <w:numPr>
          <w:ilvl w:val="2"/>
          <w:numId w:val="3"/>
        </w:numPr>
        <w:tabs>
          <w:tab w:val="left" w:pos="210"/>
          <w:tab w:val="left" w:pos="630"/>
          <w:tab w:val="left" w:pos="84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符合参加政府采购活动应当具备的一般条件的承诺函；</w:t>
      </w:r>
    </w:p>
    <w:p w14:paraId="78AD35FC">
      <w:pPr>
        <w:numPr>
          <w:ilvl w:val="2"/>
          <w:numId w:val="3"/>
        </w:numPr>
        <w:tabs>
          <w:tab w:val="left" w:pos="210"/>
          <w:tab w:val="left" w:pos="630"/>
          <w:tab w:val="left" w:pos="84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联合协议；（如果有）</w:t>
      </w:r>
    </w:p>
    <w:p w14:paraId="0F8425CE">
      <w:pPr>
        <w:numPr>
          <w:ilvl w:val="2"/>
          <w:numId w:val="3"/>
        </w:numPr>
        <w:tabs>
          <w:tab w:val="left" w:pos="210"/>
          <w:tab w:val="left" w:pos="630"/>
          <w:tab w:val="left" w:pos="840"/>
        </w:tabs>
        <w:snapToGrid w:val="0"/>
        <w:spacing w:line="360" w:lineRule="auto"/>
        <w:jc w:val="left"/>
        <w:rPr>
          <w:rFonts w:hint="eastAsia" w:ascii="仿宋" w:hAnsi="仿宋" w:eastAsia="仿宋" w:cs="仿宋"/>
          <w:snapToGrid w:val="0"/>
          <w:kern w:val="0"/>
          <w:sz w:val="24"/>
          <w:highlight w:val="none"/>
        </w:rPr>
      </w:pPr>
      <w:r>
        <w:rPr>
          <w:rFonts w:hint="eastAsia" w:ascii="仿宋" w:hAnsi="仿宋" w:eastAsia="仿宋" w:cs="仿宋"/>
          <w:bCs/>
          <w:sz w:val="24"/>
          <w:highlight w:val="none"/>
        </w:rPr>
        <w:t>落实政府采购政策需满足的资格要求；（如果有，按采购公告“申请人的资格要求”第2项；未要求的，无需提供）</w:t>
      </w:r>
    </w:p>
    <w:p w14:paraId="4EA4F2F7">
      <w:pPr>
        <w:numPr>
          <w:ilvl w:val="2"/>
          <w:numId w:val="3"/>
        </w:numPr>
        <w:tabs>
          <w:tab w:val="left" w:pos="210"/>
          <w:tab w:val="left" w:pos="630"/>
          <w:tab w:val="left" w:pos="84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本项目的特定资格要求。（如果有，按采购公告“申请人的资格要求”第3项；未要求的，无需提供）</w:t>
      </w:r>
    </w:p>
    <w:p w14:paraId="797B24D8">
      <w:pPr>
        <w:numPr>
          <w:ilvl w:val="1"/>
          <w:numId w:val="3"/>
        </w:numPr>
        <w:tabs>
          <w:tab w:val="left" w:pos="210"/>
          <w:tab w:val="left" w:pos="630"/>
          <w:tab w:val="left" w:pos="840"/>
        </w:tabs>
        <w:snapToGrid w:val="0"/>
        <w:spacing w:line="360" w:lineRule="auto"/>
        <w:jc w:val="left"/>
        <w:rPr>
          <w:rFonts w:hint="eastAsia" w:ascii="仿宋" w:hAnsi="仿宋" w:eastAsia="仿宋" w:cs="仿宋"/>
          <w:b/>
          <w:sz w:val="24"/>
          <w:highlight w:val="none"/>
          <w:lang w:val="zh-CN"/>
        </w:rPr>
      </w:pPr>
      <w:r>
        <w:rPr>
          <w:rFonts w:hint="eastAsia" w:ascii="仿宋" w:hAnsi="仿宋" w:eastAsia="仿宋" w:cs="仿宋"/>
          <w:b/>
          <w:sz w:val="24"/>
          <w:highlight w:val="none"/>
        </w:rPr>
        <w:t>商务技术</w:t>
      </w:r>
      <w:r>
        <w:rPr>
          <w:rFonts w:hint="eastAsia" w:ascii="仿宋" w:hAnsi="仿宋" w:eastAsia="仿宋" w:cs="仿宋"/>
          <w:b/>
          <w:sz w:val="24"/>
          <w:highlight w:val="none"/>
          <w:lang w:val="zh-CN"/>
        </w:rPr>
        <w:t>文件：</w:t>
      </w:r>
    </w:p>
    <w:p w14:paraId="060985AA">
      <w:pPr>
        <w:numPr>
          <w:ilvl w:val="2"/>
          <w:numId w:val="3"/>
        </w:numPr>
        <w:tabs>
          <w:tab w:val="left" w:pos="210"/>
          <w:tab w:val="left" w:pos="630"/>
          <w:tab w:val="left" w:pos="84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投标函；</w:t>
      </w:r>
      <w:r>
        <w:rPr>
          <w:rFonts w:hint="eastAsia" w:ascii="仿宋" w:hAnsi="仿宋" w:eastAsia="仿宋" w:cs="仿宋"/>
          <w:bCs/>
          <w:sz w:val="24"/>
          <w:highlight w:val="none"/>
          <w:lang w:val="zh-CN"/>
        </w:rPr>
        <w:t xml:space="preserve"> </w:t>
      </w:r>
    </w:p>
    <w:p w14:paraId="6EA0B6DC">
      <w:pPr>
        <w:numPr>
          <w:ilvl w:val="2"/>
          <w:numId w:val="3"/>
        </w:numPr>
        <w:tabs>
          <w:tab w:val="left" w:pos="210"/>
          <w:tab w:val="left" w:pos="630"/>
          <w:tab w:val="left" w:pos="84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授权委托书或法定代表人（单位负责人、自然人本人）身份证明，以及为授权代表缴纳、距投标截止时间3个月内任意时间出具的社保证明材料；</w:t>
      </w:r>
    </w:p>
    <w:p w14:paraId="5ED0D225">
      <w:pPr>
        <w:numPr>
          <w:ilvl w:val="2"/>
          <w:numId w:val="3"/>
        </w:numPr>
        <w:tabs>
          <w:tab w:val="left" w:pos="210"/>
          <w:tab w:val="left" w:pos="630"/>
          <w:tab w:val="left" w:pos="84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分包意向协议；（如果有）</w:t>
      </w:r>
    </w:p>
    <w:p w14:paraId="6E16B44C">
      <w:pPr>
        <w:numPr>
          <w:ilvl w:val="2"/>
          <w:numId w:val="3"/>
        </w:numPr>
        <w:tabs>
          <w:tab w:val="left" w:pos="210"/>
          <w:tab w:val="left" w:pos="630"/>
          <w:tab w:val="left" w:pos="84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符合性审查资料；</w:t>
      </w:r>
    </w:p>
    <w:p w14:paraId="03C7FAFE">
      <w:pPr>
        <w:numPr>
          <w:ilvl w:val="2"/>
          <w:numId w:val="3"/>
        </w:numPr>
        <w:tabs>
          <w:tab w:val="left" w:pos="210"/>
          <w:tab w:val="left" w:pos="630"/>
          <w:tab w:val="left" w:pos="84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评标标准相应的商务技术资料；</w:t>
      </w:r>
    </w:p>
    <w:p w14:paraId="1C7CDC69">
      <w:pPr>
        <w:numPr>
          <w:ilvl w:val="2"/>
          <w:numId w:val="3"/>
        </w:numPr>
        <w:tabs>
          <w:tab w:val="left" w:pos="210"/>
          <w:tab w:val="left" w:pos="630"/>
          <w:tab w:val="left" w:pos="84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投标标的清单；</w:t>
      </w:r>
    </w:p>
    <w:p w14:paraId="023AAF2F">
      <w:pPr>
        <w:numPr>
          <w:ilvl w:val="2"/>
          <w:numId w:val="3"/>
        </w:numPr>
        <w:tabs>
          <w:tab w:val="left" w:pos="210"/>
          <w:tab w:val="left" w:pos="630"/>
          <w:tab w:val="left" w:pos="84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商务技术偏离表；</w:t>
      </w:r>
    </w:p>
    <w:p w14:paraId="49861221">
      <w:pPr>
        <w:numPr>
          <w:ilvl w:val="2"/>
          <w:numId w:val="3"/>
        </w:numPr>
        <w:tabs>
          <w:tab w:val="left" w:pos="210"/>
          <w:tab w:val="left" w:pos="630"/>
          <w:tab w:val="left" w:pos="840"/>
        </w:tabs>
        <w:snapToGrid w:val="0"/>
        <w:spacing w:line="360" w:lineRule="auto"/>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政府采购供应商廉洁自律承诺书。</w:t>
      </w:r>
    </w:p>
    <w:p w14:paraId="64CDCA3D">
      <w:pPr>
        <w:numPr>
          <w:ilvl w:val="1"/>
          <w:numId w:val="3"/>
        </w:numPr>
        <w:tabs>
          <w:tab w:val="left" w:pos="210"/>
          <w:tab w:val="left" w:pos="630"/>
          <w:tab w:val="left" w:pos="840"/>
        </w:tabs>
        <w:snapToGrid w:val="0"/>
        <w:spacing w:line="360" w:lineRule="auto"/>
        <w:jc w:val="left"/>
        <w:rPr>
          <w:rFonts w:hint="eastAsia" w:ascii="仿宋" w:hAnsi="仿宋" w:eastAsia="仿宋" w:cs="仿宋"/>
          <w:b/>
          <w:sz w:val="24"/>
          <w:highlight w:val="none"/>
          <w:lang w:val="zh-CN"/>
        </w:rPr>
      </w:pPr>
      <w:r>
        <w:rPr>
          <w:rFonts w:hint="eastAsia" w:ascii="仿宋" w:hAnsi="仿宋" w:eastAsia="仿宋" w:cs="仿宋"/>
          <w:b/>
          <w:sz w:val="24"/>
          <w:highlight w:val="none"/>
        </w:rPr>
        <w:t xml:space="preserve">报价文件： </w:t>
      </w:r>
    </w:p>
    <w:p w14:paraId="15C34DC8">
      <w:pPr>
        <w:numPr>
          <w:ilvl w:val="2"/>
          <w:numId w:val="3"/>
        </w:numPr>
        <w:tabs>
          <w:tab w:val="left" w:pos="210"/>
          <w:tab w:val="left" w:pos="630"/>
          <w:tab w:val="left" w:pos="84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开标一览表（报价表）；</w:t>
      </w:r>
    </w:p>
    <w:p w14:paraId="0DF03C19">
      <w:pPr>
        <w:numPr>
          <w:ilvl w:val="2"/>
          <w:numId w:val="3"/>
        </w:numPr>
        <w:tabs>
          <w:tab w:val="left" w:pos="210"/>
          <w:tab w:val="left" w:pos="630"/>
          <w:tab w:val="left" w:pos="84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报价明细表</w:t>
      </w:r>
      <w:r>
        <w:rPr>
          <w:rFonts w:hint="eastAsia" w:ascii="仿宋" w:hAnsi="仿宋" w:eastAsia="仿宋" w:cs="仿宋"/>
          <w:bCs/>
          <w:sz w:val="24"/>
          <w:highlight w:val="none"/>
          <w:lang w:eastAsia="zh-CN"/>
        </w:rPr>
        <w:t>；</w:t>
      </w:r>
      <w:r>
        <w:rPr>
          <w:rFonts w:hint="eastAsia" w:ascii="仿宋" w:hAnsi="仿宋" w:eastAsia="仿宋" w:cs="仿宋"/>
          <w:bCs/>
          <w:sz w:val="24"/>
          <w:highlight w:val="none"/>
        </w:rPr>
        <w:t>（自拟）</w:t>
      </w:r>
    </w:p>
    <w:p w14:paraId="14BD6788">
      <w:pPr>
        <w:numPr>
          <w:ilvl w:val="2"/>
          <w:numId w:val="3"/>
        </w:numPr>
        <w:tabs>
          <w:tab w:val="left" w:pos="210"/>
          <w:tab w:val="left" w:pos="630"/>
          <w:tab w:val="left" w:pos="840"/>
        </w:tabs>
        <w:snapToGrid w:val="0"/>
        <w:spacing w:line="360" w:lineRule="auto"/>
        <w:jc w:val="left"/>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中小企业声明函。（如果有）</w:t>
      </w:r>
    </w:p>
    <w:p w14:paraId="4ABAEBFA">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投标文件含有采购人不能接受的附加条件的，投标无效；</w:t>
      </w:r>
    </w:p>
    <w:p w14:paraId="24B82CF3">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投标人提供虚假材料投标的，投标无效；</w:t>
      </w:r>
    </w:p>
    <w:p w14:paraId="256D7638">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投标人应对投标文件中材料的真实性、合法性负责。</w:t>
      </w:r>
    </w:p>
    <w:p w14:paraId="5886A9A6">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投标文件的编制</w:t>
      </w:r>
    </w:p>
    <w:p w14:paraId="6A7403F9">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8FFBE68">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7A025515">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使用“政采云电子交易客户端”需要提前申领CA数字证书，申领流程请自行前往“浙江政府采购网-下载专区-电子交易客户端-CA驱动和申领流程”进行查阅。</w:t>
      </w:r>
    </w:p>
    <w:p w14:paraId="5B192CAF">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投标文件的签署、盖章</w:t>
      </w:r>
    </w:p>
    <w:p w14:paraId="11DC807C">
      <w:pPr>
        <w:numPr>
          <w:ilvl w:val="1"/>
          <w:numId w:val="3"/>
        </w:numPr>
        <w:tabs>
          <w:tab w:val="left" w:pos="210"/>
          <w:tab w:val="left" w:pos="64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投标文件按照招标文件第六部分格式要求进行签署、盖章。</w:t>
      </w:r>
    </w:p>
    <w:p w14:paraId="5ED97943">
      <w:pPr>
        <w:pStyle w:val="120"/>
        <w:snapToGrid w:val="0"/>
        <w:ind w:firstLine="482"/>
        <w:rPr>
          <w:rFonts w:hint="eastAsia" w:ascii="仿宋" w:hAnsi="仿宋" w:eastAsia="仿宋" w:cs="仿宋"/>
          <w:b/>
          <w:highlight w:val="none"/>
        </w:rPr>
      </w:pPr>
      <w:r>
        <w:rPr>
          <w:rFonts w:hint="eastAsia" w:ascii="仿宋" w:hAnsi="仿宋" w:eastAsia="仿宋" w:cs="仿宋"/>
          <w:b/>
          <w:highlight w:val="none"/>
        </w:rPr>
        <w:t>▲投标人的投标文件未按照招标文件要求签署、盖章的，其投标无效</w:t>
      </w:r>
      <w:r>
        <w:rPr>
          <w:rFonts w:hint="eastAsia" w:ascii="仿宋" w:hAnsi="仿宋" w:eastAsia="仿宋" w:cs="仿宋"/>
          <w:szCs w:val="24"/>
          <w:highlight w:val="none"/>
        </w:rPr>
        <w:t>。</w:t>
      </w:r>
    </w:p>
    <w:p w14:paraId="72B24AB4">
      <w:pPr>
        <w:numPr>
          <w:ilvl w:val="1"/>
          <w:numId w:val="3"/>
        </w:numPr>
        <w:tabs>
          <w:tab w:val="left" w:pos="210"/>
          <w:tab w:val="left" w:pos="640"/>
        </w:tabs>
        <w:snapToGrid w:val="0"/>
        <w:spacing w:line="360" w:lineRule="auto"/>
        <w:ind w:left="627" w:hanging="627"/>
        <w:jc w:val="left"/>
        <w:rPr>
          <w:rFonts w:hint="eastAsia" w:ascii="仿宋" w:hAnsi="仿宋" w:eastAsia="仿宋" w:cs="仿宋"/>
          <w:bCs/>
          <w:sz w:val="24"/>
          <w:highlight w:val="none"/>
        </w:rPr>
      </w:pPr>
      <w:r>
        <w:rPr>
          <w:rFonts w:hint="eastAsia" w:ascii="仿宋" w:hAnsi="仿宋" w:eastAsia="仿宋" w:cs="仿宋"/>
          <w:bCs/>
          <w:sz w:val="24"/>
          <w:highlight w:val="none"/>
        </w:rPr>
        <w:t>为确保网上操作合法、有效和安全，投标人应当在投标截止时间前完成在“政府采购云平台”的身份认证，确保在电子投标过程中能够对相关数据电文进行加密和使用电子签名。</w:t>
      </w:r>
    </w:p>
    <w:p w14:paraId="48AC6C0A">
      <w:pPr>
        <w:numPr>
          <w:ilvl w:val="1"/>
          <w:numId w:val="3"/>
        </w:numPr>
        <w:tabs>
          <w:tab w:val="left" w:pos="210"/>
          <w:tab w:val="left" w:pos="640"/>
        </w:tabs>
        <w:snapToGrid w:val="0"/>
        <w:spacing w:line="360" w:lineRule="auto"/>
        <w:ind w:left="627" w:hanging="627"/>
        <w:jc w:val="left"/>
        <w:rPr>
          <w:rFonts w:hint="eastAsia" w:ascii="仿宋" w:hAnsi="仿宋" w:eastAsia="仿宋" w:cs="仿宋"/>
          <w:bCs/>
          <w:sz w:val="24"/>
          <w:highlight w:val="none"/>
        </w:rPr>
      </w:pPr>
      <w:r>
        <w:rPr>
          <w:rFonts w:hint="eastAsia" w:ascii="仿宋" w:hAnsi="仿宋" w:eastAsia="仿宋" w:cs="仿宋"/>
          <w:bCs/>
          <w:sz w:val="24"/>
          <w:highlight w:val="none"/>
        </w:rPr>
        <w:t>招标文件对投标文件签署、盖章的要求适用于电子签名。</w:t>
      </w:r>
    </w:p>
    <w:p w14:paraId="78031EDA">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投标文件的提交、补充、修改、撤回</w:t>
      </w:r>
    </w:p>
    <w:p w14:paraId="678373E1">
      <w:pPr>
        <w:numPr>
          <w:ilvl w:val="1"/>
          <w:numId w:val="3"/>
        </w:numPr>
        <w:tabs>
          <w:tab w:val="left" w:pos="210"/>
          <w:tab w:val="left" w:pos="640"/>
        </w:tabs>
        <w:snapToGrid w:val="0"/>
        <w:spacing w:line="360" w:lineRule="auto"/>
        <w:ind w:left="627" w:hanging="627"/>
        <w:jc w:val="left"/>
        <w:rPr>
          <w:rFonts w:hint="eastAsia" w:ascii="仿宋" w:hAnsi="仿宋" w:eastAsia="仿宋" w:cs="仿宋"/>
          <w:bCs/>
          <w:sz w:val="24"/>
          <w:highlight w:val="none"/>
        </w:rPr>
      </w:pPr>
      <w:r>
        <w:rPr>
          <w:rFonts w:hint="eastAsia" w:ascii="仿宋" w:hAnsi="仿宋" w:eastAsia="仿宋" w:cs="仿宋"/>
          <w:bCs/>
          <w:sz w:val="24"/>
          <w:highlight w:val="none"/>
        </w:rPr>
        <w:t>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63CC5ADD">
      <w:pPr>
        <w:numPr>
          <w:ilvl w:val="1"/>
          <w:numId w:val="3"/>
        </w:numPr>
        <w:tabs>
          <w:tab w:val="left" w:pos="210"/>
          <w:tab w:val="left" w:pos="64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电子交易平台收到投标文件，将妥善保存并即时向供应商发出确认回执通知。在投标截止时间前，除供应商补充、修改或者撤回投标文件外，任何单位和个人不得解密或提取投标文件。</w:t>
      </w:r>
    </w:p>
    <w:p w14:paraId="0B1EBDC4">
      <w:pPr>
        <w:numPr>
          <w:ilvl w:val="1"/>
          <w:numId w:val="3"/>
        </w:numPr>
        <w:tabs>
          <w:tab w:val="left" w:pos="210"/>
          <w:tab w:val="left" w:pos="64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采购人、采购代理机构可以视情况延长投标文件提交的截止时间。在上述情况下，采购代理机构与投标人以前在投标截止期方面的全部权利、责任和义务，将适用于延长至新的投标截止期。</w:t>
      </w:r>
    </w:p>
    <w:p w14:paraId="43D87829">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备份投标文件</w:t>
      </w:r>
    </w:p>
    <w:p w14:paraId="7725171C">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rPr>
        <w:t>投标人在电子交易平台传输递交投标文件后，还可以在投标截止时间前直接提交或者以邮政快递方式递交备份投标文件1份，</w:t>
      </w:r>
      <w:r>
        <w:rPr>
          <w:rFonts w:hint="eastAsia" w:ascii="仿宋" w:hAnsi="仿宋" w:eastAsia="仿宋" w:cs="仿宋"/>
          <w:b/>
          <w:sz w:val="24"/>
          <w:highlight w:val="none"/>
        </w:rPr>
        <w:t>但采购人、采购代理机构不强制或变相强制投标人提交备份投标文件</w:t>
      </w:r>
      <w:r>
        <w:rPr>
          <w:rFonts w:hint="eastAsia" w:ascii="仿宋" w:hAnsi="仿宋" w:eastAsia="仿宋" w:cs="仿宋"/>
          <w:bCs/>
          <w:sz w:val="24"/>
          <w:highlight w:val="none"/>
        </w:rPr>
        <w:t>。</w:t>
      </w:r>
    </w:p>
    <w:p w14:paraId="53B822F2">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highlight w:val="none"/>
        </w:rPr>
        <w:t>不符合上述制作、存储、密封规定的备份投标文件将被视为无效或者被拒绝接收。</w:t>
      </w:r>
    </w:p>
    <w:p w14:paraId="3217D353">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rPr>
        <w:t>直接提交备份投标文件的，投标人应于投标截止时间前在招标公告中载明的开标地点将备份投标文件提交给采购代理机构，</w:t>
      </w:r>
      <w:r>
        <w:rPr>
          <w:rFonts w:hint="eastAsia" w:ascii="仿宋" w:hAnsi="仿宋" w:eastAsia="仿宋" w:cs="仿宋"/>
          <w:b/>
          <w:sz w:val="24"/>
          <w:highlight w:val="none"/>
        </w:rPr>
        <w:t>采购代理机构将拒绝接受逾期送达的备份投标文件</w:t>
      </w:r>
      <w:r>
        <w:rPr>
          <w:rFonts w:hint="eastAsia" w:ascii="仿宋" w:hAnsi="仿宋" w:eastAsia="仿宋" w:cs="仿宋"/>
          <w:bCs/>
          <w:sz w:val="24"/>
          <w:highlight w:val="none"/>
        </w:rPr>
        <w:t>。</w:t>
      </w:r>
    </w:p>
    <w:p w14:paraId="07A6A6B2">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1C468593">
      <w:pPr>
        <w:numPr>
          <w:ilvl w:val="1"/>
          <w:numId w:val="3"/>
        </w:numPr>
        <w:tabs>
          <w:tab w:val="left" w:pos="210"/>
          <w:tab w:val="left" w:pos="640"/>
        </w:tabs>
        <w:snapToGrid w:val="0"/>
        <w:spacing w:line="360" w:lineRule="auto"/>
        <w:ind w:left="629" w:hanging="629"/>
        <w:jc w:val="left"/>
        <w:rPr>
          <w:rFonts w:hint="eastAsia" w:ascii="仿宋" w:hAnsi="仿宋" w:eastAsia="仿宋" w:cs="仿宋"/>
          <w:b/>
          <w:sz w:val="24"/>
          <w:highlight w:val="none"/>
        </w:rPr>
      </w:pPr>
      <w:r>
        <w:rPr>
          <w:rFonts w:hint="eastAsia" w:ascii="仿宋" w:hAnsi="仿宋" w:eastAsia="仿宋" w:cs="仿宋"/>
          <w:b/>
          <w:sz w:val="24"/>
          <w:highlight w:val="none"/>
        </w:rPr>
        <w:t>投标人仅提交备份投标文件，未在电子交易平台传输递交投标文件的，投标无效。</w:t>
      </w:r>
    </w:p>
    <w:p w14:paraId="294ABB6D">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投标文件的无效处理</w:t>
      </w:r>
    </w:p>
    <w:p w14:paraId="43CBA600">
      <w:pPr>
        <w:pStyle w:val="19"/>
        <w:ind w:firstLine="360" w:firstLineChars="150"/>
        <w:rPr>
          <w:rFonts w:hint="eastAsia" w:ascii="仿宋" w:hAnsi="仿宋" w:eastAsia="仿宋" w:cs="仿宋"/>
          <w:szCs w:val="21"/>
          <w:highlight w:val="none"/>
        </w:rPr>
      </w:pPr>
      <w:r>
        <w:rPr>
          <w:rFonts w:hint="eastAsia" w:ascii="仿宋" w:hAnsi="仿宋" w:eastAsia="仿宋" w:cs="仿宋"/>
          <w:szCs w:val="21"/>
          <w:highlight w:val="none"/>
        </w:rPr>
        <w:t>有招标文件第四部分</w:t>
      </w:r>
      <w:r>
        <w:rPr>
          <w:rFonts w:hint="eastAsia" w:ascii="仿宋" w:hAnsi="仿宋" w:eastAsia="仿宋" w:cs="仿宋"/>
          <w:highlight w:val="none"/>
        </w:rPr>
        <w:t>第4.2项规定</w:t>
      </w:r>
      <w:r>
        <w:rPr>
          <w:rFonts w:hint="eastAsia" w:ascii="仿宋" w:hAnsi="仿宋" w:eastAsia="仿宋" w:cs="仿宋"/>
          <w:szCs w:val="21"/>
          <w:highlight w:val="none"/>
        </w:rPr>
        <w:t>的情形之一的，投标无效。</w:t>
      </w:r>
    </w:p>
    <w:p w14:paraId="4D58632C">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投标有效期</w:t>
      </w:r>
    </w:p>
    <w:p w14:paraId="5995C8C6">
      <w:pPr>
        <w:numPr>
          <w:ilvl w:val="1"/>
          <w:numId w:val="3"/>
        </w:numPr>
        <w:tabs>
          <w:tab w:val="left" w:pos="210"/>
          <w:tab w:val="left" w:pos="64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投标有效期为从提交投标文件的截止之日起90天。</w:t>
      </w:r>
    </w:p>
    <w:p w14:paraId="09E14B53">
      <w:pPr>
        <w:spacing w:line="360" w:lineRule="auto"/>
        <w:ind w:firstLine="480" w:firstLineChars="200"/>
        <w:rPr>
          <w:rFonts w:hint="eastAsia" w:ascii="仿宋" w:hAnsi="仿宋" w:eastAsia="仿宋" w:cs="仿宋"/>
          <w:b/>
          <w:sz w:val="24"/>
          <w:szCs w:val="21"/>
          <w:highlight w:val="none"/>
        </w:rPr>
      </w:pPr>
      <w:r>
        <w:rPr>
          <w:rFonts w:hint="eastAsia" w:ascii="仿宋" w:hAnsi="仿宋" w:eastAsia="仿宋" w:cs="仿宋"/>
          <w:sz w:val="24"/>
          <w:szCs w:val="20"/>
          <w:highlight w:val="none"/>
        </w:rPr>
        <w:t>▲</w:t>
      </w:r>
      <w:r>
        <w:rPr>
          <w:rFonts w:hint="eastAsia" w:ascii="仿宋" w:hAnsi="仿宋" w:eastAsia="仿宋" w:cs="仿宋"/>
          <w:b/>
          <w:sz w:val="24"/>
          <w:szCs w:val="20"/>
          <w:highlight w:val="none"/>
        </w:rPr>
        <w:t>投标人的投标文件中承</w:t>
      </w:r>
      <w:r>
        <w:rPr>
          <w:rFonts w:hint="eastAsia" w:ascii="仿宋" w:hAnsi="仿宋" w:eastAsia="仿宋" w:cs="仿宋"/>
          <w:b/>
          <w:sz w:val="24"/>
          <w:szCs w:val="21"/>
          <w:highlight w:val="none"/>
        </w:rPr>
        <w:t>诺的投标有效期少于招标文件中载明的投标有效期的，投标无效。</w:t>
      </w:r>
    </w:p>
    <w:p w14:paraId="1610BDAB">
      <w:pPr>
        <w:numPr>
          <w:ilvl w:val="1"/>
          <w:numId w:val="3"/>
        </w:numPr>
        <w:tabs>
          <w:tab w:val="left" w:pos="210"/>
          <w:tab w:val="left" w:pos="640"/>
        </w:tabs>
        <w:snapToGrid w:val="0"/>
        <w:spacing w:line="360" w:lineRule="auto"/>
        <w:ind w:left="627" w:hanging="627"/>
        <w:jc w:val="left"/>
        <w:rPr>
          <w:rFonts w:hint="eastAsia" w:ascii="仿宋" w:hAnsi="仿宋" w:eastAsia="仿宋" w:cs="仿宋"/>
          <w:bCs/>
          <w:sz w:val="24"/>
          <w:highlight w:val="none"/>
        </w:rPr>
      </w:pPr>
      <w:r>
        <w:rPr>
          <w:rFonts w:hint="eastAsia" w:ascii="仿宋" w:hAnsi="仿宋" w:eastAsia="仿宋" w:cs="仿宋"/>
          <w:bCs/>
          <w:sz w:val="24"/>
          <w:highlight w:val="none"/>
        </w:rPr>
        <w:t>投标文件合格投递后，自投标截止日期起，在投标有效期内有效。</w:t>
      </w:r>
    </w:p>
    <w:p w14:paraId="2B1F0581">
      <w:pPr>
        <w:numPr>
          <w:ilvl w:val="1"/>
          <w:numId w:val="3"/>
        </w:numPr>
        <w:tabs>
          <w:tab w:val="left" w:pos="210"/>
          <w:tab w:val="left" w:pos="640"/>
        </w:tabs>
        <w:snapToGrid w:val="0"/>
        <w:spacing w:line="360" w:lineRule="auto"/>
        <w:ind w:left="627" w:hanging="627"/>
        <w:jc w:val="left"/>
        <w:rPr>
          <w:rFonts w:hint="eastAsia" w:ascii="仿宋" w:hAnsi="仿宋" w:eastAsia="仿宋" w:cs="仿宋"/>
          <w:bCs/>
          <w:sz w:val="24"/>
          <w:highlight w:val="none"/>
        </w:rPr>
      </w:pPr>
      <w:r>
        <w:rPr>
          <w:rFonts w:hint="eastAsia" w:ascii="仿宋" w:hAnsi="仿宋" w:eastAsia="仿宋" w:cs="仿宋"/>
          <w:bCs/>
          <w:sz w:val="24"/>
          <w:highlight w:val="none"/>
        </w:rPr>
        <w:t>在原定投标有效期满之前，如果出现特殊情况，采购代理机构可以以书面形式通知投标人延长投标有效期。投标人同意延长的，不得要求或被允许修改其投标文件，投标人拒绝延长的，其投标无效。</w:t>
      </w:r>
    </w:p>
    <w:p w14:paraId="4DEF4C18">
      <w:pPr>
        <w:numPr>
          <w:ilvl w:val="1"/>
          <w:numId w:val="3"/>
        </w:numPr>
        <w:tabs>
          <w:tab w:val="left" w:pos="210"/>
          <w:tab w:val="left" w:pos="640"/>
        </w:tabs>
        <w:snapToGrid w:val="0"/>
        <w:spacing w:line="360" w:lineRule="auto"/>
        <w:ind w:left="627" w:hanging="627"/>
        <w:jc w:val="left"/>
        <w:outlineLvl w:val="2"/>
        <w:rPr>
          <w:rFonts w:hint="eastAsia" w:ascii="仿宋" w:hAnsi="仿宋" w:eastAsia="仿宋" w:cs="仿宋"/>
          <w:highlight w:val="none"/>
        </w:rPr>
      </w:pPr>
      <w:r>
        <w:rPr>
          <w:rFonts w:hint="eastAsia" w:ascii="仿宋" w:hAnsi="仿宋" w:eastAsia="仿宋" w:cs="仿宋"/>
          <w:bCs/>
          <w:sz w:val="24"/>
          <w:highlight w:val="none"/>
        </w:rPr>
        <w:t>自投标截止时间起至投标有效期届满，供应商投标文件不可撤销。</w:t>
      </w:r>
    </w:p>
    <w:p w14:paraId="1B0CE5FD">
      <w:pPr>
        <w:pStyle w:val="120"/>
        <w:ind w:firstLine="643"/>
        <w:rPr>
          <w:rFonts w:hint="eastAsia" w:ascii="仿宋" w:hAnsi="仿宋" w:eastAsia="仿宋" w:cs="仿宋"/>
          <w:b/>
          <w:sz w:val="32"/>
          <w:highlight w:val="none"/>
        </w:rPr>
      </w:pPr>
    </w:p>
    <w:p w14:paraId="1751CC63">
      <w:pPr>
        <w:spacing w:line="360" w:lineRule="auto"/>
        <w:jc w:val="center"/>
        <w:outlineLvl w:val="1"/>
        <w:rPr>
          <w:rFonts w:hint="eastAsia" w:ascii="仿宋" w:hAnsi="仿宋" w:eastAsia="仿宋" w:cs="仿宋"/>
          <w:b/>
          <w:sz w:val="30"/>
          <w:szCs w:val="20"/>
          <w:highlight w:val="none"/>
        </w:rPr>
      </w:pPr>
      <w:bookmarkStart w:id="23" w:name="_Toc16113"/>
      <w:bookmarkStart w:id="24" w:name="_Toc3728"/>
      <w:bookmarkStart w:id="25" w:name="_Toc11837"/>
      <w:bookmarkStart w:id="26" w:name="_Toc533"/>
      <w:bookmarkStart w:id="27" w:name="_Toc25497"/>
      <w:r>
        <w:rPr>
          <w:rFonts w:hint="eastAsia" w:ascii="仿宋" w:hAnsi="仿宋" w:eastAsia="仿宋" w:cs="仿宋"/>
          <w:b/>
          <w:sz w:val="30"/>
          <w:szCs w:val="20"/>
          <w:highlight w:val="none"/>
        </w:rPr>
        <w:t>四、开标、资格审查与信用信息查询</w:t>
      </w:r>
      <w:bookmarkEnd w:id="23"/>
      <w:bookmarkEnd w:id="24"/>
      <w:bookmarkEnd w:id="25"/>
      <w:bookmarkEnd w:id="26"/>
      <w:bookmarkEnd w:id="27"/>
    </w:p>
    <w:p w14:paraId="2E22D14D">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 xml:space="preserve">开标 </w:t>
      </w:r>
    </w:p>
    <w:p w14:paraId="584FBA24">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rPr>
        <w:t>采购代理机构按照招标文件规定的时间通过电子交易平台组织开标，所有投标人均应当准时在线参加。投标人不足3家的，不得开标。</w:t>
      </w:r>
    </w:p>
    <w:p w14:paraId="71FA64BD">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rPr>
        <w:t>开标时，电子交易平台按开标时间自动提取所有投标文件。采购代理机构依托电子交易平台发起开始解密指令，投标人按照平台提示和招标文件的规定在半小时内完成在线解密。</w:t>
      </w:r>
    </w:p>
    <w:p w14:paraId="74CC78E5">
      <w:pPr>
        <w:numPr>
          <w:ilvl w:val="1"/>
          <w:numId w:val="3"/>
        </w:numPr>
        <w:tabs>
          <w:tab w:val="left" w:pos="210"/>
          <w:tab w:val="left" w:pos="640"/>
        </w:tabs>
        <w:snapToGrid w:val="0"/>
        <w:spacing w:line="360" w:lineRule="auto"/>
        <w:ind w:left="629" w:hanging="629"/>
        <w:jc w:val="left"/>
        <w:rPr>
          <w:rFonts w:hint="eastAsia" w:ascii="仿宋" w:hAnsi="仿宋" w:eastAsia="仿宋" w:cs="仿宋"/>
          <w:b/>
          <w:sz w:val="24"/>
          <w:highlight w:val="none"/>
        </w:rPr>
      </w:pPr>
      <w:r>
        <w:rPr>
          <w:rFonts w:hint="eastAsia" w:ascii="仿宋" w:hAnsi="仿宋" w:eastAsia="仿宋" w:cs="仿宋"/>
          <w:b/>
          <w:sz w:val="24"/>
          <w:highlight w:val="none"/>
        </w:rPr>
        <w:t>投标文件未按时解密，投标人提供了备份投标文件的，以备份投标文件作为依据，否则视为投标文件撤回。投标文件已按时解密的，备份投标文件自动失效。</w:t>
      </w:r>
    </w:p>
    <w:p w14:paraId="2CAA074F">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资格审查</w:t>
      </w:r>
    </w:p>
    <w:p w14:paraId="236743F4">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rPr>
        <w:t>开标后，采购人或采购代理机构依据法律法规和招标文件的规定，对投标人的资格进行审查。</w:t>
      </w:r>
    </w:p>
    <w:p w14:paraId="1C646AB5">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rPr>
        <w:t>采购人或采购代理机构依据法律法规和招标文件的规定，对投标人的基本资格条件、特定资格条件进行审查。</w:t>
      </w:r>
    </w:p>
    <w:p w14:paraId="484C4DCF">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rPr>
        <w:t>投标人未按照招标文件要求提供与基本资格条件、特定资格条件相应的有效资格证明材料的，视为投标人不具备招标文件中规定的资格要求，其投标无效。</w:t>
      </w:r>
    </w:p>
    <w:p w14:paraId="013E4143">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rPr>
        <w:t>对未通过资格审查的投标人，采购人或采购代理机构告知其未通过的原因。</w:t>
      </w:r>
    </w:p>
    <w:p w14:paraId="15B42A31">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rPr>
        <w:t>合格投标人不足3家的，不再评标。</w:t>
      </w:r>
    </w:p>
    <w:p w14:paraId="4FB58392">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信用信息查询</w:t>
      </w:r>
    </w:p>
    <w:p w14:paraId="163324E1">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rPr>
        <w:t>信用信息查询渠道及截止时间：采购代理机构将在资格审查时通过“信用中国”网站(www.creditchina.gov.cn)、中国政府采购网(www.ccgp.gov.cn)渠道查询投标人投标截止时间当天的信用记录。</w:t>
      </w:r>
    </w:p>
    <w:p w14:paraId="17C8A176">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rPr>
        <w:t>信用信息查询记录和证据留存的具体方式：现场查询的投标人的信用记录、查询结果经确认后将与采购文件一起存档。</w:t>
      </w:r>
    </w:p>
    <w:p w14:paraId="7EBA2528">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rPr>
        <w:t>信用信息的使用规则：经查询列入失信被执行人名单、重大税收违法案件当事人名单、政府采购严重违法失信行为记录名单的投标人将被拒绝参与政府采购活动。</w:t>
      </w:r>
    </w:p>
    <w:p w14:paraId="54D7A5D0">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73BAAFE">
      <w:pPr>
        <w:snapToGrid w:val="0"/>
        <w:spacing w:line="360" w:lineRule="auto"/>
        <w:jc w:val="center"/>
        <w:outlineLvl w:val="1"/>
        <w:rPr>
          <w:rFonts w:hint="eastAsia" w:ascii="仿宋" w:hAnsi="仿宋" w:eastAsia="仿宋" w:cs="仿宋"/>
          <w:b/>
          <w:sz w:val="36"/>
          <w:szCs w:val="36"/>
          <w:highlight w:val="none"/>
        </w:rPr>
      </w:pPr>
      <w:bookmarkStart w:id="28" w:name="_Toc22552"/>
      <w:bookmarkStart w:id="29" w:name="_Toc24431"/>
      <w:bookmarkStart w:id="30" w:name="_Toc7171"/>
      <w:bookmarkStart w:id="31" w:name="_Toc19433"/>
      <w:bookmarkStart w:id="32" w:name="_Toc9793"/>
      <w:r>
        <w:rPr>
          <w:rFonts w:hint="eastAsia" w:ascii="仿宋" w:hAnsi="仿宋" w:eastAsia="仿宋" w:cs="仿宋"/>
          <w:b/>
          <w:sz w:val="36"/>
          <w:szCs w:val="36"/>
          <w:highlight w:val="none"/>
        </w:rPr>
        <w:t>五、评标</w:t>
      </w:r>
      <w:bookmarkEnd w:id="28"/>
      <w:bookmarkEnd w:id="29"/>
      <w:bookmarkEnd w:id="30"/>
      <w:bookmarkEnd w:id="31"/>
      <w:bookmarkEnd w:id="32"/>
    </w:p>
    <w:p w14:paraId="4C0B8D07">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评标</w:t>
      </w:r>
    </w:p>
    <w:p w14:paraId="09D8B8D8">
      <w:pPr>
        <w:spacing w:line="360" w:lineRule="auto"/>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highlight w:val="none"/>
        </w:rPr>
        <w:t>详见招标文件第四部分评标办法。</w:t>
      </w:r>
    </w:p>
    <w:p w14:paraId="04ABF725">
      <w:pPr>
        <w:snapToGrid w:val="0"/>
        <w:spacing w:line="360" w:lineRule="auto"/>
        <w:jc w:val="center"/>
        <w:outlineLvl w:val="1"/>
        <w:rPr>
          <w:rFonts w:hint="eastAsia" w:ascii="仿宋" w:hAnsi="仿宋" w:eastAsia="仿宋" w:cs="仿宋"/>
          <w:b/>
          <w:sz w:val="36"/>
          <w:szCs w:val="36"/>
          <w:highlight w:val="none"/>
        </w:rPr>
      </w:pPr>
      <w:bookmarkStart w:id="33" w:name="_Toc31668"/>
      <w:bookmarkStart w:id="34" w:name="_Toc7518"/>
      <w:bookmarkStart w:id="35" w:name="_Toc29939"/>
      <w:bookmarkStart w:id="36" w:name="_Toc30302"/>
      <w:bookmarkStart w:id="37" w:name="_Toc20749"/>
      <w:r>
        <w:rPr>
          <w:rFonts w:hint="eastAsia" w:ascii="仿宋" w:hAnsi="仿宋" w:eastAsia="仿宋" w:cs="仿宋"/>
          <w:b/>
          <w:sz w:val="36"/>
          <w:szCs w:val="36"/>
          <w:highlight w:val="none"/>
        </w:rPr>
        <w:t>六、定 标</w:t>
      </w:r>
      <w:bookmarkEnd w:id="33"/>
      <w:bookmarkEnd w:id="34"/>
      <w:bookmarkEnd w:id="35"/>
      <w:bookmarkEnd w:id="36"/>
      <w:bookmarkEnd w:id="37"/>
    </w:p>
    <w:p w14:paraId="34B3CAB3">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确定中标供应商</w:t>
      </w:r>
    </w:p>
    <w:p w14:paraId="03EBC8D9">
      <w:pPr>
        <w:pStyle w:val="120"/>
        <w:snapToGrid w:val="0"/>
        <w:ind w:firstLine="420" w:firstLineChars="175"/>
        <w:rPr>
          <w:rFonts w:hint="eastAsia" w:ascii="仿宋" w:hAnsi="仿宋" w:eastAsia="仿宋" w:cs="仿宋"/>
          <w:b/>
          <w:szCs w:val="24"/>
          <w:highlight w:val="none"/>
        </w:rPr>
      </w:pPr>
      <w:r>
        <w:rPr>
          <w:rFonts w:hint="eastAsia" w:ascii="仿宋" w:hAnsi="仿宋" w:eastAsia="仿宋" w:cs="仿宋"/>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候选人并列的，由采购人或者采购人委托评标委员会按照招标文件规定的方式确定中标人；招标文件未规定的，采取随机抽取的方式确定。在采购结果确认环节，中标候选人撤销投标文件不能成为采购人不确认采购结果的正当理由。中标、成交通知书和中标、成交结果公告应当在规定时间内同时发出。</w:t>
      </w:r>
    </w:p>
    <w:p w14:paraId="5A8C0DF2">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中标通知与中标结果公告</w:t>
      </w:r>
    </w:p>
    <w:p w14:paraId="65675103">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rPr>
        <w:t>自中标人确定之日起2个工作日内，采购代理机构通过电子交易平台向中标人发出中标通知书，同时编制发布采购结果公告。采购代理机构也可以以纸质形式进行中标通知。</w:t>
      </w:r>
    </w:p>
    <w:p w14:paraId="2A1CCC71">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rPr>
        <w:t>中标结果公告内容包括采购人及其委托的采购代理机构的名称、地址、联系方式，项目名称和项目编号，中标人名称、地址和中标金额，主要中标标的的名称、规格型号、数量、单价、服务要求，开标记录、</w:t>
      </w:r>
      <w:bookmarkStart w:id="38" w:name="_Hlk101184471"/>
      <w:r>
        <w:rPr>
          <w:rFonts w:hint="eastAsia" w:ascii="仿宋" w:hAnsi="仿宋" w:eastAsia="仿宋" w:cs="仿宋"/>
          <w:bCs/>
          <w:sz w:val="24"/>
          <w:highlight w:val="none"/>
        </w:rPr>
        <w:t>资格审查情况、评审专家抽取规则、符合性审查情况、</w:t>
      </w:r>
      <w:bookmarkEnd w:id="38"/>
      <w:r>
        <w:rPr>
          <w:rFonts w:hint="eastAsia" w:ascii="仿宋" w:hAnsi="仿宋" w:eastAsia="仿宋" w:cs="仿宋"/>
          <w:bCs/>
          <w:sz w:val="24"/>
          <w:highlight w:val="none"/>
        </w:rPr>
        <w:t>未中标情况说明、中标公告期限以及评审专家名单、评分汇总及明细。</w:t>
      </w:r>
    </w:p>
    <w:p w14:paraId="363ADE81">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rPr>
        <w:t>公告期限为1个工作日。</w:t>
      </w:r>
    </w:p>
    <w:p w14:paraId="6D21785D">
      <w:pPr>
        <w:rPr>
          <w:rFonts w:hint="eastAsia" w:ascii="仿宋" w:hAnsi="仿宋" w:eastAsia="仿宋" w:cs="仿宋"/>
          <w:highlight w:val="none"/>
        </w:rPr>
      </w:pPr>
    </w:p>
    <w:p w14:paraId="09AC24F2">
      <w:pPr>
        <w:snapToGrid w:val="0"/>
        <w:spacing w:line="360" w:lineRule="auto"/>
        <w:jc w:val="center"/>
        <w:outlineLvl w:val="1"/>
        <w:rPr>
          <w:rFonts w:hint="eastAsia" w:ascii="仿宋" w:hAnsi="仿宋" w:eastAsia="仿宋" w:cs="仿宋"/>
          <w:b/>
          <w:sz w:val="36"/>
          <w:szCs w:val="36"/>
          <w:highlight w:val="none"/>
        </w:rPr>
      </w:pPr>
      <w:bookmarkStart w:id="39" w:name="_Toc21438"/>
      <w:bookmarkStart w:id="40" w:name="_Toc12684"/>
      <w:bookmarkStart w:id="41" w:name="_Toc5538"/>
      <w:bookmarkStart w:id="42" w:name="_Toc16906"/>
      <w:r>
        <w:rPr>
          <w:rFonts w:hint="eastAsia" w:ascii="仿宋" w:hAnsi="仿宋" w:eastAsia="仿宋" w:cs="仿宋"/>
          <w:b/>
          <w:sz w:val="36"/>
          <w:szCs w:val="36"/>
          <w:highlight w:val="none"/>
        </w:rPr>
        <w:t>七、合同授予</w:t>
      </w:r>
      <w:bookmarkEnd w:id="39"/>
      <w:bookmarkEnd w:id="40"/>
      <w:bookmarkEnd w:id="41"/>
      <w:bookmarkEnd w:id="42"/>
    </w:p>
    <w:p w14:paraId="4B573219">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合同授予</w:t>
      </w:r>
    </w:p>
    <w:p w14:paraId="0D626961">
      <w:pPr>
        <w:widowControl/>
        <w:shd w:val="clear" w:color="auto" w:fill="FFFFFF"/>
        <w:spacing w:line="360" w:lineRule="auto"/>
        <w:ind w:firstLine="420"/>
        <w:jc w:val="left"/>
        <w:rPr>
          <w:rFonts w:hint="eastAsia" w:ascii="仿宋" w:hAnsi="仿宋" w:eastAsia="仿宋" w:cs="仿宋"/>
          <w:b/>
          <w:highlight w:val="none"/>
        </w:rPr>
      </w:pPr>
      <w:r>
        <w:rPr>
          <w:rFonts w:hint="eastAsia" w:ascii="仿宋" w:hAnsi="仿宋" w:eastAsia="仿宋" w:cs="仿宋"/>
          <w:sz w:val="24"/>
          <w:highlight w:val="none"/>
        </w:rPr>
        <w:t>合同主要条款详见第五部分拟签订的合同文本。</w:t>
      </w:r>
    </w:p>
    <w:p w14:paraId="37425699">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合同的签订</w:t>
      </w:r>
    </w:p>
    <w:p w14:paraId="2D0F691C">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A340B13">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2E03081E">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如签订合同并生效后，供应商无故拒绝或延期，除按照合同条款处理外，列入不良行为记录一次，并给予通报。</w:t>
      </w:r>
    </w:p>
    <w:p w14:paraId="361D4E36">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中标供应商拒绝与采购人签订合同的，采购人可以按照评审报告推荐的中标或者成交候选人名单排序，确定下一候选人为中标供应商，也可以重新开展政府采购活动。</w:t>
      </w:r>
    </w:p>
    <w:p w14:paraId="6C7180B8">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采购合同由采购人与中标供应商根据招标文件、投标文件等内容通过政府采购电子交易平台在线签订，自动备案。</w:t>
      </w:r>
    </w:p>
    <w:p w14:paraId="07435F78">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履约保证金</w:t>
      </w:r>
    </w:p>
    <w:p w14:paraId="7D3132DF">
      <w:pPr>
        <w:tabs>
          <w:tab w:val="left" w:pos="210"/>
          <w:tab w:val="left" w:pos="640"/>
        </w:tabs>
        <w:snapToGrid w:val="0"/>
        <w:spacing w:line="360" w:lineRule="auto"/>
        <w:ind w:firstLine="480" w:firstLineChars="200"/>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51061E8">
      <w:pPr>
        <w:tabs>
          <w:tab w:val="left" w:pos="210"/>
          <w:tab w:val="left" w:pos="640"/>
        </w:tabs>
        <w:snapToGrid w:val="0"/>
        <w:spacing w:line="360" w:lineRule="auto"/>
        <w:ind w:firstLine="480" w:firstLineChars="200"/>
        <w:jc w:val="left"/>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zh-CN" w:eastAsia="zh-CN"/>
        </w:rPr>
        <w:t>供应商</w:t>
      </w:r>
      <w:r>
        <w:rPr>
          <w:rFonts w:hint="eastAsia" w:ascii="仿宋" w:hAnsi="仿宋" w:eastAsia="仿宋" w:cs="仿宋"/>
          <w:bCs/>
          <w:sz w:val="24"/>
          <w:highlight w:val="none"/>
          <w:lang w:val="en-US" w:eastAsia="zh-CN"/>
        </w:rPr>
        <w:t>可</w:t>
      </w:r>
      <w:r>
        <w:rPr>
          <w:rFonts w:hint="eastAsia" w:ascii="仿宋" w:hAnsi="仿宋" w:eastAsia="仿宋" w:cs="仿宋"/>
          <w:bCs/>
          <w:sz w:val="24"/>
          <w:highlight w:val="none"/>
          <w:lang w:val="zh-CN" w:eastAsia="zh-CN"/>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bCs/>
          <w:sz w:val="24"/>
          <w:highlight w:val="none"/>
          <w:lang w:val="en-US" w:eastAsia="zh-CN"/>
        </w:rPr>
        <w:t>95763</w:t>
      </w:r>
      <w:r>
        <w:rPr>
          <w:rFonts w:hint="eastAsia" w:ascii="仿宋" w:hAnsi="仿宋" w:eastAsia="仿宋" w:cs="仿宋"/>
          <w:bCs/>
          <w:sz w:val="24"/>
          <w:highlight w:val="none"/>
          <w:lang w:val="zh-CN" w:eastAsia="zh-CN"/>
        </w:rPr>
        <w:t>。</w:t>
      </w:r>
    </w:p>
    <w:p w14:paraId="7D23B095">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预付款</w:t>
      </w:r>
    </w:p>
    <w:p w14:paraId="2FE7767D">
      <w:pPr>
        <w:tabs>
          <w:tab w:val="left" w:pos="210"/>
          <w:tab w:val="left" w:pos="640"/>
        </w:tabs>
        <w:snapToGrid w:val="0"/>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sz w:val="24"/>
          <w:highlight w:val="none"/>
        </w:rPr>
        <w:t>95763</w:t>
      </w:r>
      <w:r>
        <w:rPr>
          <w:rFonts w:hint="eastAsia" w:ascii="仿宋" w:hAnsi="仿宋" w:eastAsia="仿宋" w:cs="仿宋"/>
          <w:bCs/>
          <w:sz w:val="24"/>
          <w:highlight w:val="none"/>
        </w:rPr>
        <w:t>。</w:t>
      </w:r>
    </w:p>
    <w:p w14:paraId="73A64BCB">
      <w:pPr>
        <w:snapToGrid w:val="0"/>
        <w:spacing w:line="360" w:lineRule="auto"/>
        <w:jc w:val="center"/>
        <w:outlineLvl w:val="1"/>
        <w:rPr>
          <w:rFonts w:hint="eastAsia" w:ascii="仿宋" w:hAnsi="仿宋" w:eastAsia="仿宋" w:cs="仿宋"/>
          <w:b/>
          <w:sz w:val="36"/>
          <w:szCs w:val="36"/>
          <w:highlight w:val="none"/>
        </w:rPr>
      </w:pPr>
      <w:bookmarkStart w:id="43" w:name="_Toc12260"/>
      <w:bookmarkStart w:id="44" w:name="_Toc32079"/>
      <w:bookmarkStart w:id="45" w:name="_Toc24890"/>
      <w:r>
        <w:rPr>
          <w:rFonts w:hint="eastAsia" w:ascii="仿宋" w:hAnsi="仿宋" w:eastAsia="仿宋" w:cs="仿宋"/>
          <w:b/>
          <w:sz w:val="36"/>
          <w:szCs w:val="36"/>
          <w:highlight w:val="none"/>
        </w:rPr>
        <w:t>八、电子交易活动的中止</w:t>
      </w:r>
      <w:bookmarkEnd w:id="43"/>
      <w:bookmarkEnd w:id="44"/>
      <w:bookmarkEnd w:id="45"/>
    </w:p>
    <w:p w14:paraId="63612A42">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电子交易活动的中止</w:t>
      </w:r>
    </w:p>
    <w:p w14:paraId="5AEBFDB0">
      <w:pPr>
        <w:pStyle w:val="120"/>
        <w:snapToGrid w:val="0"/>
        <w:ind w:firstLine="480"/>
        <w:rPr>
          <w:rFonts w:hint="eastAsia" w:ascii="仿宋" w:hAnsi="仿宋" w:eastAsia="仿宋" w:cs="仿宋"/>
          <w:highlight w:val="none"/>
        </w:rPr>
      </w:pPr>
      <w:r>
        <w:rPr>
          <w:rFonts w:hint="eastAsia" w:ascii="仿宋" w:hAnsi="仿宋" w:eastAsia="仿宋" w:cs="仿宋"/>
          <w:highlight w:val="none"/>
        </w:rPr>
        <w:t>采购过程中出现以下情形，导致电子交易平台无法正常运行，或者无法保证电子交易的公平、公正和安全时，采购代理机构可中止电子交易活动：</w:t>
      </w:r>
    </w:p>
    <w:p w14:paraId="245553D0">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 xml:space="preserve">电子交易平台发生故障而无法登录访问的； </w:t>
      </w:r>
    </w:p>
    <w:p w14:paraId="758324EE">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电子交易平台应用或数据库出现错误，不能进行正常操作的；</w:t>
      </w:r>
    </w:p>
    <w:p w14:paraId="42EE7E3E">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电子交易平台发现严重安全漏洞，有潜在泄密危险的；</w:t>
      </w:r>
    </w:p>
    <w:p w14:paraId="50CCB76A">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 xml:space="preserve">病毒发作导致不能进行正常操作的； </w:t>
      </w:r>
    </w:p>
    <w:p w14:paraId="71972B0A">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其他无法保证电子交易的公平、公正和安全的情况。</w:t>
      </w:r>
    </w:p>
    <w:p w14:paraId="31B09A74">
      <w:pPr>
        <w:numPr>
          <w:ilvl w:val="0"/>
          <w:numId w:val="3"/>
        </w:numPr>
        <w:tabs>
          <w:tab w:val="left" w:pos="210"/>
        </w:tabs>
        <w:snapToGrid w:val="0"/>
        <w:spacing w:line="360" w:lineRule="auto"/>
        <w:ind w:left="403" w:hanging="403"/>
        <w:jc w:val="left"/>
        <w:outlineLvl w:val="2"/>
        <w:rPr>
          <w:rFonts w:hint="eastAsia" w:ascii="仿宋" w:hAnsi="仿宋" w:eastAsia="仿宋" w:cs="仿宋"/>
          <w:sz w:val="24"/>
          <w:highlight w:val="none"/>
        </w:rPr>
      </w:pPr>
      <w:r>
        <w:rPr>
          <w:rFonts w:hint="eastAsia" w:ascii="仿宋" w:hAnsi="仿宋" w:eastAsia="仿宋" w:cs="仿宋"/>
          <w:b/>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FD4B3C8">
      <w:pPr>
        <w:snapToGrid w:val="0"/>
        <w:spacing w:line="360" w:lineRule="auto"/>
        <w:jc w:val="center"/>
        <w:outlineLvl w:val="1"/>
        <w:rPr>
          <w:rFonts w:hint="eastAsia" w:ascii="仿宋" w:hAnsi="仿宋" w:eastAsia="仿宋" w:cs="仿宋"/>
          <w:b/>
          <w:sz w:val="36"/>
          <w:szCs w:val="36"/>
          <w:highlight w:val="none"/>
        </w:rPr>
      </w:pPr>
      <w:bookmarkStart w:id="46" w:name="_Toc24777"/>
      <w:bookmarkStart w:id="47" w:name="_Toc26192"/>
      <w:bookmarkStart w:id="48" w:name="_Toc18624"/>
      <w:r>
        <w:rPr>
          <w:rFonts w:hint="eastAsia" w:ascii="仿宋" w:hAnsi="仿宋" w:eastAsia="仿宋" w:cs="仿宋"/>
          <w:b/>
          <w:sz w:val="36"/>
          <w:szCs w:val="36"/>
          <w:highlight w:val="none"/>
        </w:rPr>
        <w:t>九、验收</w:t>
      </w:r>
      <w:bookmarkEnd w:id="46"/>
      <w:bookmarkEnd w:id="47"/>
      <w:bookmarkEnd w:id="48"/>
    </w:p>
    <w:p w14:paraId="29FA7DBD">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验收</w:t>
      </w:r>
    </w:p>
    <w:p w14:paraId="4430CEB8">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820D907">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采购人可以邀请参加本项目的其他投标人或者第三方机构参与验收。参与验收的投标人或者第三方机构的意见作为验收书的参考资料一并存档。</w:t>
      </w:r>
    </w:p>
    <w:p w14:paraId="14586831">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1BCF9F4">
      <w:pPr>
        <w:numPr>
          <w:ilvl w:val="1"/>
          <w:numId w:val="3"/>
        </w:numPr>
        <w:tabs>
          <w:tab w:val="left" w:pos="210"/>
          <w:tab w:val="left" w:pos="640"/>
        </w:tabs>
        <w:snapToGrid w:val="0"/>
        <w:spacing w:line="360" w:lineRule="auto"/>
        <w:ind w:left="627" w:hanging="627"/>
        <w:jc w:val="left"/>
        <w:outlineLvl w:val="2"/>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2060B54">
      <w:pPr>
        <w:numPr>
          <w:ilvl w:val="1"/>
          <w:numId w:val="3"/>
        </w:numPr>
        <w:tabs>
          <w:tab w:val="left" w:pos="210"/>
          <w:tab w:val="left" w:pos="640"/>
        </w:tabs>
        <w:snapToGrid w:val="0"/>
        <w:spacing w:line="360" w:lineRule="auto"/>
        <w:ind w:left="627" w:hanging="627"/>
        <w:jc w:val="left"/>
        <w:outlineLvl w:val="2"/>
        <w:rPr>
          <w:rFonts w:hint="eastAsia" w:ascii="仿宋" w:hAnsi="仿宋" w:eastAsia="仿宋" w:cs="仿宋"/>
          <w:bCs/>
          <w:sz w:val="24"/>
          <w:highlight w:val="none"/>
          <w:lang w:val="zh-CN"/>
        </w:rPr>
      </w:pPr>
      <w:r>
        <w:rPr>
          <w:rFonts w:hint="eastAsia" w:ascii="仿宋" w:hAnsi="仿宋" w:eastAsia="仿宋" w:cs="仿宋"/>
          <w:bCs/>
          <w:sz w:val="24"/>
          <w:highlight w:val="none"/>
        </w:rPr>
        <w:t>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3D33B307">
      <w:pPr>
        <w:pStyle w:val="227"/>
        <w:rPr>
          <w:rFonts w:hint="eastAsia" w:ascii="仿宋" w:hAnsi="仿宋" w:eastAsia="仿宋" w:cs="仿宋"/>
          <w:highlight w:val="none"/>
          <w:lang w:val="zh-CN"/>
        </w:rPr>
      </w:pPr>
    </w:p>
    <w:p w14:paraId="4640D8D5">
      <w:pPr>
        <w:adjustRightInd w:val="0"/>
        <w:snapToGrid w:val="0"/>
        <w:spacing w:before="120" w:beforeLines="50" w:after="120" w:afterLines="50" w:line="360" w:lineRule="auto"/>
        <w:jc w:val="center"/>
        <w:outlineLvl w:val="0"/>
        <w:rPr>
          <w:rFonts w:hint="eastAsia" w:ascii="仿宋" w:hAnsi="仿宋" w:eastAsia="仿宋" w:cs="仿宋"/>
          <w:color w:val="000000" w:themeColor="text1"/>
          <w:sz w:val="36"/>
          <w:highlight w:val="none"/>
          <w14:textFill>
            <w14:solidFill>
              <w14:schemeClr w14:val="tx1"/>
            </w14:solidFill>
          </w14:textFill>
        </w:rPr>
      </w:pPr>
      <w:r>
        <w:rPr>
          <w:rFonts w:hint="eastAsia" w:ascii="仿宋" w:hAnsi="仿宋" w:eastAsia="仿宋" w:cs="仿宋"/>
          <w:b/>
          <w:bCs/>
          <w:sz w:val="28"/>
          <w:szCs w:val="21"/>
          <w:highlight w:val="none"/>
        </w:rPr>
        <w:br w:type="page"/>
      </w:r>
      <w:bookmarkStart w:id="49" w:name="_Toc83616202"/>
      <w:bookmarkStart w:id="50" w:name="_Toc242012796"/>
      <w:bookmarkStart w:id="51" w:name="_Toc31190"/>
      <w:bookmarkStart w:id="52" w:name="_Toc11107"/>
      <w:r>
        <w:rPr>
          <w:rFonts w:hint="eastAsia" w:ascii="仿宋" w:hAnsi="仿宋" w:eastAsia="仿宋" w:cs="仿宋"/>
          <w:b/>
          <w:color w:val="000000" w:themeColor="text1"/>
          <w:sz w:val="30"/>
          <w:szCs w:val="30"/>
          <w:highlight w:val="none"/>
          <w14:textFill>
            <w14:solidFill>
              <w14:schemeClr w14:val="tx1"/>
            </w14:solidFill>
          </w14:textFill>
        </w:rPr>
        <w:t>第三部分</w:t>
      </w:r>
      <w:bookmarkEnd w:id="49"/>
      <w:bookmarkEnd w:id="50"/>
      <w:bookmarkEnd w:id="51"/>
      <w:r>
        <w:rPr>
          <w:rFonts w:hint="eastAsia" w:ascii="仿宋" w:hAnsi="仿宋" w:eastAsia="仿宋" w:cs="仿宋"/>
          <w:b/>
          <w:color w:val="000000" w:themeColor="text1"/>
          <w:sz w:val="30"/>
          <w:szCs w:val="30"/>
          <w:highlight w:val="none"/>
          <w14:textFill>
            <w14:solidFill>
              <w14:schemeClr w14:val="tx1"/>
            </w14:solidFill>
          </w14:textFill>
        </w:rPr>
        <w:t xml:space="preserve">  采购需求</w:t>
      </w:r>
      <w:bookmarkEnd w:id="52"/>
    </w:p>
    <w:p w14:paraId="1044BFB0">
      <w:pPr>
        <w:pStyle w:val="5"/>
        <w:spacing w:before="120" w:after="120" w:line="360" w:lineRule="auto"/>
        <w:rPr>
          <w:rFonts w:hint="eastAsia" w:ascii="仿宋" w:hAnsi="仿宋" w:eastAsia="仿宋" w:cs="仿宋"/>
          <w:b/>
          <w:bCs/>
          <w:color w:val="auto"/>
          <w:sz w:val="24"/>
          <w:szCs w:val="24"/>
          <w:highlight w:val="none"/>
          <w:shd w:val="clear" w:color="auto" w:fill="auto"/>
        </w:rPr>
      </w:pPr>
      <w:bookmarkStart w:id="53" w:name="_Toc19441"/>
      <w:bookmarkStart w:id="54" w:name="_Toc16521"/>
      <w:bookmarkStart w:id="55" w:name="_Toc2544"/>
      <w:bookmarkStart w:id="56" w:name="_Toc29464"/>
      <w:bookmarkStart w:id="57" w:name="_Toc12471"/>
      <w:bookmarkStart w:id="58" w:name="_Toc306304665"/>
      <w:bookmarkStart w:id="59" w:name="_Toc203558307"/>
      <w:bookmarkStart w:id="60" w:name="_Toc194983818"/>
      <w:bookmarkStart w:id="61" w:name="_Toc342633574"/>
      <w:r>
        <w:rPr>
          <w:rFonts w:hint="eastAsia" w:ascii="仿宋" w:hAnsi="仿宋" w:eastAsia="仿宋" w:cs="仿宋"/>
          <w:b/>
          <w:bCs/>
          <w:color w:val="auto"/>
          <w:sz w:val="24"/>
          <w:szCs w:val="24"/>
          <w:highlight w:val="none"/>
          <w:shd w:val="clear" w:color="auto" w:fill="auto"/>
        </w:rPr>
        <w:t>一、项目概况</w:t>
      </w:r>
      <w:bookmarkEnd w:id="53"/>
      <w:bookmarkEnd w:id="54"/>
      <w:bookmarkEnd w:id="55"/>
      <w:bookmarkEnd w:id="56"/>
      <w:r>
        <w:rPr>
          <w:rFonts w:hint="eastAsia" w:ascii="仿宋" w:hAnsi="仿宋" w:eastAsia="仿宋" w:cs="仿宋"/>
          <w:b/>
          <w:bCs/>
          <w:color w:val="auto"/>
          <w:sz w:val="24"/>
          <w:szCs w:val="24"/>
          <w:highlight w:val="none"/>
          <w:shd w:val="clear" w:color="auto" w:fill="auto"/>
        </w:rPr>
        <w:t xml:space="preserve"> </w:t>
      </w:r>
    </w:p>
    <w:p w14:paraId="46B44694">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1、项目名称：</w:t>
      </w:r>
      <w:r>
        <w:rPr>
          <w:rFonts w:hint="eastAsia" w:ascii="仿宋" w:hAnsi="仿宋" w:eastAsia="仿宋" w:cs="仿宋"/>
          <w:color w:val="auto"/>
          <w:sz w:val="24"/>
          <w:szCs w:val="24"/>
          <w:highlight w:val="none"/>
          <w:lang w:eastAsia="zh-CN"/>
        </w:rPr>
        <w:t>钱塘区图书馆202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年纸质流通图书采购</w:t>
      </w:r>
      <w:r>
        <w:rPr>
          <w:rFonts w:hint="eastAsia" w:ascii="仿宋" w:hAnsi="仿宋" w:eastAsia="仿宋" w:cs="仿宋"/>
          <w:color w:val="auto"/>
          <w:sz w:val="24"/>
          <w:szCs w:val="24"/>
          <w:highlight w:val="none"/>
          <w:shd w:val="clear" w:color="auto" w:fill="auto"/>
          <w:lang w:val="en-US" w:eastAsia="zh-CN"/>
        </w:rPr>
        <w:t>。</w:t>
      </w:r>
    </w:p>
    <w:p w14:paraId="750DB3FE">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2、项目工作内容：</w:t>
      </w:r>
    </w:p>
    <w:p w14:paraId="103261D7">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提供202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年度</w:t>
      </w:r>
      <w:r>
        <w:rPr>
          <w:rFonts w:hint="eastAsia" w:ascii="仿宋" w:hAnsi="仿宋" w:eastAsia="仿宋" w:cs="仿宋"/>
          <w:color w:val="auto"/>
          <w:sz w:val="24"/>
          <w:szCs w:val="24"/>
          <w:highlight w:val="none"/>
          <w:lang w:val="en-US" w:eastAsia="zh-CN"/>
        </w:rPr>
        <w:t>钱塘</w:t>
      </w:r>
      <w:r>
        <w:rPr>
          <w:rFonts w:hint="eastAsia" w:ascii="仿宋" w:hAnsi="仿宋" w:eastAsia="仿宋" w:cs="仿宋"/>
          <w:color w:val="auto"/>
          <w:sz w:val="24"/>
          <w:szCs w:val="24"/>
          <w:highlight w:val="none"/>
        </w:rPr>
        <w:t>区图书馆纸质图书，</w:t>
      </w:r>
      <w:r>
        <w:rPr>
          <w:rFonts w:hint="eastAsia" w:ascii="仿宋" w:hAnsi="仿宋" w:eastAsia="仿宋" w:cs="仿宋"/>
          <w:color w:val="auto"/>
          <w:sz w:val="24"/>
          <w:szCs w:val="24"/>
          <w:highlight w:val="none"/>
          <w:lang w:val="en-US" w:eastAsia="zh-CN"/>
        </w:rPr>
        <w:t>规模约4万册，</w:t>
      </w:r>
      <w:r>
        <w:rPr>
          <w:rFonts w:hint="eastAsia" w:ascii="仿宋" w:hAnsi="仿宋" w:eastAsia="仿宋" w:cs="仿宋"/>
          <w:color w:val="auto"/>
          <w:sz w:val="24"/>
          <w:szCs w:val="24"/>
          <w:highlight w:val="none"/>
        </w:rPr>
        <w:t>包括中文纸质图书供应和相关服务（包括图书出版书目提供、订单处理、图书配送和退换、图书编目加工、图书整理上架及售后等其他相关服务）</w:t>
      </w:r>
      <w:r>
        <w:rPr>
          <w:rFonts w:hint="eastAsia" w:ascii="仿宋" w:hAnsi="仿宋" w:eastAsia="仿宋" w:cs="仿宋"/>
          <w:color w:val="auto"/>
          <w:sz w:val="24"/>
          <w:szCs w:val="24"/>
          <w:highlight w:val="none"/>
          <w:lang w:eastAsia="zh-CN"/>
        </w:rPr>
        <w:t>。</w:t>
      </w:r>
    </w:p>
    <w:p w14:paraId="0A109207">
      <w:pPr>
        <w:tabs>
          <w:tab w:val="left" w:pos="0"/>
        </w:tabs>
        <w:adjustRightInd w:val="0"/>
        <w:snapToGrid w:val="0"/>
        <w:spacing w:line="360" w:lineRule="auto"/>
        <w:ind w:firstLine="480" w:firstLineChars="200"/>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3、合同期限：</w:t>
      </w:r>
      <w:r>
        <w:rPr>
          <w:rFonts w:hint="eastAsia" w:ascii="仿宋" w:hAnsi="仿宋" w:eastAsia="仿宋" w:cs="仿宋"/>
          <w:color w:val="auto"/>
          <w:sz w:val="24"/>
          <w:szCs w:val="24"/>
          <w:highlight w:val="none"/>
        </w:rPr>
        <w:t>供货期为自合同签订之日起至202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年12月31日。合同有效期满后，未到货的图书，供应商有继续送货的义务，并履行相应服务要求</w:t>
      </w:r>
      <w:r>
        <w:rPr>
          <w:rFonts w:hint="eastAsia" w:ascii="仿宋" w:hAnsi="仿宋" w:eastAsia="仿宋" w:cs="仿宋"/>
          <w:color w:val="auto"/>
          <w:sz w:val="24"/>
          <w:highlight w:val="none"/>
          <w:shd w:val="clear" w:color="auto" w:fill="auto"/>
          <w:lang w:val="en-US" w:eastAsia="zh-CN"/>
        </w:rPr>
        <w:t>。</w:t>
      </w:r>
    </w:p>
    <w:p w14:paraId="522B4931">
      <w:pPr>
        <w:tabs>
          <w:tab w:val="left" w:pos="0"/>
        </w:tabs>
        <w:adjustRightInd w:val="0"/>
        <w:snapToGrid w:val="0"/>
        <w:spacing w:line="360" w:lineRule="auto"/>
        <w:ind w:firstLine="480" w:firstLineChars="200"/>
        <w:rPr>
          <w:rFonts w:hint="eastAsia" w:ascii="仿宋" w:hAnsi="仿宋" w:eastAsia="仿宋" w:cs="仿宋"/>
          <w:color w:val="auto"/>
          <w:kern w:val="2"/>
          <w:sz w:val="24"/>
          <w:szCs w:val="24"/>
          <w:highlight w:val="none"/>
          <w:shd w:val="clear" w:color="auto" w:fill="auto"/>
          <w:lang w:eastAsia="zh-CN"/>
        </w:rPr>
      </w:pPr>
      <w:r>
        <w:rPr>
          <w:rFonts w:hint="eastAsia" w:ascii="仿宋" w:hAnsi="仿宋" w:eastAsia="仿宋" w:cs="仿宋"/>
          <w:snapToGrid w:val="0"/>
          <w:color w:val="auto"/>
          <w:kern w:val="0"/>
          <w:sz w:val="24"/>
          <w:szCs w:val="24"/>
          <w:highlight w:val="none"/>
          <w:shd w:val="clear" w:color="auto" w:fill="auto"/>
          <w:lang w:val="en-US" w:eastAsia="zh-CN"/>
        </w:rPr>
        <w:t>4、投标时的证明材料要确保真实有效。如核实虚假的，采购人有权向监管部门反映，取消该投标人的中标资格并追究其法律责任。</w:t>
      </w:r>
    </w:p>
    <w:p w14:paraId="632CA34B">
      <w:pPr>
        <w:pStyle w:val="5"/>
        <w:spacing w:before="120" w:after="120" w:line="360" w:lineRule="auto"/>
        <w:rPr>
          <w:rFonts w:hint="eastAsia" w:ascii="仿宋" w:hAnsi="仿宋" w:eastAsia="仿宋" w:cs="仿宋"/>
          <w:b/>
          <w:bCs/>
          <w:color w:val="auto"/>
          <w:sz w:val="24"/>
          <w:szCs w:val="24"/>
          <w:highlight w:val="none"/>
          <w:shd w:val="clear" w:color="auto" w:fill="auto"/>
          <w:lang w:val="en-US" w:eastAsia="zh-CN"/>
        </w:rPr>
      </w:pPr>
      <w:bookmarkStart w:id="62" w:name="_Toc18007"/>
      <w:bookmarkStart w:id="63" w:name="_Toc28869"/>
      <w:bookmarkStart w:id="64" w:name="_Toc6020"/>
      <w:bookmarkStart w:id="65" w:name="_Toc28354"/>
      <w:r>
        <w:rPr>
          <w:rFonts w:hint="eastAsia" w:ascii="仿宋" w:hAnsi="仿宋" w:eastAsia="仿宋" w:cs="仿宋"/>
          <w:b/>
          <w:bCs/>
          <w:color w:val="auto"/>
          <w:sz w:val="24"/>
          <w:szCs w:val="24"/>
          <w:highlight w:val="none"/>
          <w:shd w:val="clear" w:color="auto" w:fill="auto"/>
          <w:lang w:val="en-US" w:eastAsia="zh-CN"/>
        </w:rPr>
        <w:t>二</w:t>
      </w:r>
      <w:r>
        <w:rPr>
          <w:rFonts w:hint="eastAsia" w:ascii="仿宋" w:hAnsi="仿宋" w:eastAsia="仿宋" w:cs="仿宋"/>
          <w:b/>
          <w:bCs/>
          <w:color w:val="auto"/>
          <w:sz w:val="24"/>
          <w:szCs w:val="24"/>
          <w:highlight w:val="none"/>
          <w:shd w:val="clear" w:color="auto" w:fill="auto"/>
          <w:lang w:eastAsia="zh-CN"/>
        </w:rPr>
        <w:t>、</w:t>
      </w:r>
      <w:r>
        <w:rPr>
          <w:rFonts w:hint="eastAsia" w:ascii="仿宋" w:hAnsi="仿宋" w:eastAsia="仿宋" w:cs="仿宋"/>
          <w:b/>
          <w:bCs/>
          <w:color w:val="auto"/>
          <w:sz w:val="24"/>
          <w:szCs w:val="24"/>
          <w:highlight w:val="none"/>
          <w:shd w:val="clear" w:color="auto" w:fill="auto"/>
          <w:lang w:val="en-US" w:eastAsia="zh-CN"/>
        </w:rPr>
        <w:t>采购内容</w:t>
      </w:r>
      <w:bookmarkEnd w:id="62"/>
      <w:bookmarkEnd w:id="63"/>
      <w:bookmarkEnd w:id="64"/>
      <w:bookmarkEnd w:id="65"/>
    </w:p>
    <w:p w14:paraId="413600F4">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cs="仿宋"/>
          <w:b/>
          <w:bCs/>
          <w:color w:val="auto"/>
          <w:sz w:val="24"/>
          <w:szCs w:val="24"/>
          <w:highlight w:val="none"/>
          <w:lang w:val="en-US" w:eastAsia="zh-CN"/>
        </w:rPr>
      </w:pPr>
      <w:bookmarkStart w:id="66" w:name="_Toc19549"/>
      <w:bookmarkStart w:id="67" w:name="_Toc14809"/>
      <w:r>
        <w:rPr>
          <w:rFonts w:hint="eastAsia" w:ascii="仿宋" w:hAnsi="仿宋" w:eastAsia="仿宋" w:cs="仿宋"/>
          <w:b/>
          <w:bCs/>
          <w:color w:val="auto"/>
          <w:sz w:val="24"/>
          <w:szCs w:val="24"/>
          <w:highlight w:val="none"/>
          <w:lang w:val="en-US" w:eastAsia="zh-CN"/>
        </w:rPr>
        <w:t>（一）现场情况</w:t>
      </w:r>
      <w:bookmarkEnd w:id="66"/>
      <w:bookmarkEnd w:id="67"/>
    </w:p>
    <w:p w14:paraId="5ADA7727">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图书需求地点包括：钱塘区图书馆、义盛社区图书室、新元社区图书室、白杨职工文体中心领潮书屋等。具体地点应服从采购人要求，并确保图书上架。</w:t>
      </w:r>
    </w:p>
    <w:p w14:paraId="182C385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cs="仿宋"/>
          <w:b/>
          <w:bCs/>
          <w:color w:val="auto"/>
          <w:sz w:val="24"/>
          <w:szCs w:val="24"/>
          <w:highlight w:val="none"/>
          <w:lang w:val="en-US" w:eastAsia="zh-CN"/>
        </w:rPr>
      </w:pPr>
      <w:bookmarkStart w:id="68" w:name="_Toc27798"/>
      <w:bookmarkStart w:id="69" w:name="_Toc20467"/>
      <w:r>
        <w:rPr>
          <w:rFonts w:hint="eastAsia" w:ascii="仿宋" w:hAnsi="仿宋" w:eastAsia="仿宋" w:cs="仿宋"/>
          <w:b/>
          <w:bCs/>
          <w:color w:val="auto"/>
          <w:sz w:val="24"/>
          <w:szCs w:val="24"/>
          <w:highlight w:val="none"/>
          <w:lang w:val="en-US" w:eastAsia="zh-CN"/>
        </w:rPr>
        <w:t>（二）技术标准、规范</w:t>
      </w:r>
      <w:bookmarkEnd w:id="68"/>
      <w:bookmarkEnd w:id="69"/>
    </w:p>
    <w:p w14:paraId="742B1541">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1.国家规定的标准及规范，按最新的标准及规范执行。</w:t>
      </w:r>
    </w:p>
    <w:p w14:paraId="4FE120E7">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2.行业标准及规范，按最新的标准及规范执行。</w:t>
      </w:r>
    </w:p>
    <w:p w14:paraId="09EBA5CB">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3.与图书编目加工有关的材料设备质量应符合中华人民共和国及品牌所在</w:t>
      </w:r>
      <w:r>
        <w:rPr>
          <w:rFonts w:hint="eastAsia" w:ascii="仿宋" w:hAnsi="仿宋" w:eastAsia="仿宋" w:cs="仿宋"/>
          <w:color w:val="auto"/>
          <w:sz w:val="24"/>
          <w:szCs w:val="24"/>
          <w:highlight w:val="none"/>
          <w:shd w:val="clear" w:color="auto" w:fill="auto"/>
          <w:lang w:val="en-US" w:eastAsia="zh-CN"/>
        </w:rPr>
        <w:t>地</w:t>
      </w:r>
      <w:r>
        <w:rPr>
          <w:rFonts w:hint="eastAsia" w:ascii="仿宋" w:hAnsi="仿宋" w:eastAsia="仿宋" w:cs="仿宋"/>
          <w:color w:val="auto"/>
          <w:sz w:val="24"/>
          <w:szCs w:val="24"/>
          <w:highlight w:val="none"/>
          <w:shd w:val="clear" w:color="auto" w:fill="auto"/>
          <w:lang w:eastAsia="zh-CN"/>
        </w:rPr>
        <w:t>的有关质量标准，上述标准如有不一致，执行两者中更严格的标准。</w:t>
      </w:r>
    </w:p>
    <w:p w14:paraId="44BF075D">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4.其它相关标准及规范，按最新的标准及规范执行。</w:t>
      </w:r>
    </w:p>
    <w:p w14:paraId="2433577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cs="仿宋"/>
          <w:b/>
          <w:bCs/>
          <w:color w:val="auto"/>
          <w:sz w:val="24"/>
          <w:szCs w:val="24"/>
          <w:highlight w:val="none"/>
          <w:lang w:val="en-US" w:eastAsia="zh-CN"/>
        </w:rPr>
      </w:pPr>
      <w:bookmarkStart w:id="70" w:name="_Toc22112"/>
      <w:bookmarkStart w:id="71" w:name="_Toc14230"/>
      <w:r>
        <w:rPr>
          <w:rFonts w:hint="eastAsia" w:ascii="仿宋" w:hAnsi="仿宋" w:eastAsia="仿宋" w:cs="仿宋"/>
          <w:b/>
          <w:bCs/>
          <w:color w:val="auto"/>
          <w:sz w:val="24"/>
          <w:szCs w:val="24"/>
          <w:highlight w:val="none"/>
          <w:lang w:val="en-US" w:eastAsia="zh-CN"/>
        </w:rPr>
        <w:t>（三）工作范围</w:t>
      </w:r>
      <w:bookmarkEnd w:id="70"/>
      <w:bookmarkEnd w:id="71"/>
    </w:p>
    <w:p w14:paraId="7C4ADD4D">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各投标人须按国家有关标准及规范完成以下工作：</w:t>
      </w:r>
    </w:p>
    <w:p w14:paraId="58B092E5">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1.完成所有产品供货；</w:t>
      </w:r>
    </w:p>
    <w:p w14:paraId="6C8265CF">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2.履行所有编目、运输、上架、售后等规定服务；</w:t>
      </w:r>
    </w:p>
    <w:p w14:paraId="0D7194B0">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3.产品及服务须达到招标文件规定的质量标准及使用要求。</w:t>
      </w:r>
    </w:p>
    <w:p w14:paraId="1EB51818">
      <w:pPr>
        <w:pStyle w:val="5"/>
        <w:spacing w:before="120" w:after="120" w:line="360" w:lineRule="auto"/>
        <w:rPr>
          <w:rFonts w:hint="eastAsia" w:ascii="仿宋" w:hAnsi="仿宋" w:eastAsia="仿宋" w:cs="仿宋"/>
          <w:b/>
          <w:bCs/>
          <w:color w:val="auto"/>
          <w:sz w:val="24"/>
          <w:szCs w:val="24"/>
          <w:highlight w:val="none"/>
          <w:shd w:val="clear" w:color="auto" w:fill="auto"/>
          <w:lang w:val="en-US" w:eastAsia="zh-CN"/>
        </w:rPr>
      </w:pPr>
      <w:bookmarkStart w:id="72" w:name="_Toc20270"/>
      <w:r>
        <w:rPr>
          <w:rFonts w:hint="eastAsia" w:ascii="仿宋" w:hAnsi="仿宋" w:eastAsia="仿宋" w:cs="仿宋"/>
          <w:b/>
          <w:bCs/>
          <w:color w:val="auto"/>
          <w:sz w:val="24"/>
          <w:szCs w:val="24"/>
          <w:highlight w:val="none"/>
          <w:shd w:val="clear" w:color="auto" w:fill="auto"/>
          <w:lang w:val="en-US" w:eastAsia="zh-CN"/>
        </w:rPr>
        <w:t>三、采购要求</w:t>
      </w:r>
      <w:bookmarkEnd w:id="72"/>
    </w:p>
    <w:p w14:paraId="4F1E268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cs="仿宋"/>
          <w:b/>
          <w:bCs/>
          <w:color w:val="auto"/>
          <w:sz w:val="24"/>
          <w:szCs w:val="24"/>
          <w:highlight w:val="none"/>
          <w:lang w:val="en-US" w:eastAsia="zh-CN"/>
        </w:rPr>
      </w:pPr>
      <w:bookmarkStart w:id="73" w:name="_Toc14300"/>
      <w:bookmarkStart w:id="74" w:name="_Toc19888"/>
      <w:r>
        <w:rPr>
          <w:rFonts w:hint="eastAsia" w:ascii="仿宋" w:hAnsi="仿宋" w:eastAsia="仿宋" w:cs="仿宋"/>
          <w:b/>
          <w:bCs/>
          <w:color w:val="auto"/>
          <w:sz w:val="24"/>
          <w:szCs w:val="24"/>
          <w:highlight w:val="none"/>
          <w:lang w:val="en-US" w:eastAsia="zh-CN"/>
        </w:rPr>
        <w:t>（一）采购对象</w:t>
      </w:r>
      <w:bookmarkEnd w:id="73"/>
      <w:bookmarkEnd w:id="74"/>
    </w:p>
    <w:p w14:paraId="24A81D99">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1.本次主要采购内容为 2024年及之后国内出版或发行的纸质图书(含部分国内出版的外文图书，不含中等学校以下教材教辅书)，具体图书品目按采购人要求提供。其中，至少包含如下图书:</w:t>
      </w:r>
    </w:p>
    <w:p w14:paraId="4D6B56C4">
      <w:pPr>
        <w:tabs>
          <w:tab w:val="left" w:pos="0"/>
        </w:tabs>
        <w:adjustRightInd w:val="0"/>
        <w:snapToGrid w:val="0"/>
        <w:spacing w:line="360" w:lineRule="auto"/>
        <w:ind w:firstLine="480" w:firstLineChars="200"/>
        <w:rPr>
          <w:rFonts w:hint="default"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怎样坚持党的文化领导权(人民日报出版社)书号9787511586322。</w:t>
      </w:r>
    </w:p>
    <w:p w14:paraId="14273F86">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2.包括国内图书的出版信息提供、订单处理、图书配送、上架及退换等售后服务、编目加工等。</w:t>
      </w:r>
    </w:p>
    <w:p w14:paraId="4F94AFF8">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3.钱塘区图书馆依据本馆文献资源建设情况，中标供应商必须承诺满足采购单位提出的图书采购需求（如急需、特需图书等）、荐购服务、加工服务等。</w:t>
      </w:r>
    </w:p>
    <w:p w14:paraId="1FF6D47E">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cs="仿宋"/>
          <w:b/>
          <w:bCs/>
          <w:color w:val="auto"/>
          <w:sz w:val="24"/>
          <w:szCs w:val="24"/>
          <w:highlight w:val="none"/>
          <w:lang w:val="en-US" w:eastAsia="zh-CN"/>
        </w:rPr>
      </w:pPr>
      <w:bookmarkStart w:id="75" w:name="_Toc13592"/>
      <w:bookmarkStart w:id="76" w:name="_Toc10668"/>
      <w:r>
        <w:rPr>
          <w:rFonts w:hint="eastAsia" w:ascii="仿宋" w:hAnsi="仿宋" w:eastAsia="仿宋" w:cs="仿宋"/>
          <w:b/>
          <w:bCs/>
          <w:color w:val="auto"/>
          <w:sz w:val="24"/>
          <w:szCs w:val="24"/>
          <w:highlight w:val="none"/>
          <w:lang w:val="en-US" w:eastAsia="zh-CN"/>
        </w:rPr>
        <w:t>（二）基本要求</w:t>
      </w:r>
      <w:bookmarkEnd w:id="75"/>
      <w:bookmarkEnd w:id="76"/>
    </w:p>
    <w:p w14:paraId="21AC7D14">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1、供应商为国内图书经营单位，有从事图书经销和数据加工业务的专业人员，有为公共图书馆供应纸质中文图书的经验。</w:t>
      </w:r>
    </w:p>
    <w:p w14:paraId="3228B8DF">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目前采购人使用杭州市全市统一的Interlib图书馆集群系统（图创），供应商可直接对接使用。供应商应能提供规范的新书征订书目数据和机读编目数据，并且其数据须完全符合采购人图书集成管理系统的格式及运行要求，提供的所有数据都能在采购方的各系统无障碍的使用。</w:t>
      </w:r>
    </w:p>
    <w:p w14:paraId="75913CE4">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3、书目预订部分：供应商通过自有供货渠道组织预订书目，提供EXCEL新书目录及相同的MARC数据，并按中图法分类排序进行提供。</w:t>
      </w:r>
    </w:p>
    <w:p w14:paraId="7916645F">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自选订购部分：采购单位根据读者需求提供给供应商书单，供应商应有能力及时按采购单位书单提供图书。</w:t>
      </w:r>
    </w:p>
    <w:p w14:paraId="182C02A5">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4、供应商图书来源渠道较广，经营图书品种多，质量好，性价比高，并具备提供近两年新书的能力。</w:t>
      </w:r>
    </w:p>
    <w:p w14:paraId="1C13CDCD">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5、供应商能提供符合国家财税法律规定要求的售书发票。</w:t>
      </w:r>
    </w:p>
    <w:p w14:paraId="56721437">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6、供应商应保证全年的到书率不低于98%。</w:t>
      </w:r>
    </w:p>
    <w:p w14:paraId="0F5293F5">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7、本次订购图书根据招标人要求须加工录入杭州市图书馆系统钱塘新区图书馆账号下，并根据要求配送至采购人指定地点。</w:t>
      </w:r>
    </w:p>
    <w:p w14:paraId="102A8A6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cs="仿宋"/>
          <w:b/>
          <w:bCs/>
          <w:color w:val="auto"/>
          <w:sz w:val="24"/>
          <w:szCs w:val="24"/>
          <w:highlight w:val="none"/>
          <w:lang w:val="en-US" w:eastAsia="zh-CN"/>
        </w:rPr>
      </w:pPr>
      <w:bookmarkStart w:id="77" w:name="_Toc25096"/>
      <w:bookmarkStart w:id="78" w:name="_Toc15624"/>
      <w:r>
        <w:rPr>
          <w:rFonts w:hint="eastAsia" w:ascii="仿宋" w:hAnsi="仿宋" w:eastAsia="仿宋" w:cs="仿宋"/>
          <w:b/>
          <w:bCs/>
          <w:color w:val="auto"/>
          <w:sz w:val="24"/>
          <w:szCs w:val="24"/>
          <w:highlight w:val="none"/>
          <w:lang w:val="en-US" w:eastAsia="zh-CN"/>
        </w:rPr>
        <w:t>（三）服务要求</w:t>
      </w:r>
      <w:bookmarkEnd w:id="77"/>
      <w:bookmarkEnd w:id="78"/>
    </w:p>
    <w:p w14:paraId="5EA1E070">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到货率与到货周期：现书采购自采购人提交订单之日起2周内到书不低于85%，1个月到书率达到98%以上；期货采购2个月到书率80%以上，6个月到书率达到90%以上。现货选购在1个月内、期货选购在3个月内必须提交不能供货的图书品种的清单与原因，以便采购单位决定是否撤订；连续三批次不提供缺货清单与原因的，采购单位有权取消供货商的供货资格。</w:t>
      </w:r>
    </w:p>
    <w:p w14:paraId="1B8B4B27">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书目信息服务要求：供应商提供的征订数据必须以Marc格式文件提供。Marc格式的采访数据应包括如下项目：订购号（征订号）、ISBN号、书名、著者、出版社、出版时间、丛书名、单价、页码、尺寸、内容提要和一级分类号等信息；提供的到馆图书编目数据必须以Marc格式文件提供。Marc格式的编目数据应规范、完整。6字段的分类、主题标引都应按中图法（最新版本）和分类主题词表（2版）详尽著录。</w:t>
      </w:r>
    </w:p>
    <w:p w14:paraId="52825C3F">
      <w:pPr>
        <w:pStyle w:val="1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3、图书订单要求：</w:t>
      </w:r>
    </w:p>
    <w:p w14:paraId="55756C3A">
      <w:pPr>
        <w:pStyle w:val="1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采购单位选定所需图书，汇成订单书目后传送给供应商。所有图书的品种和复本数量均由采购单位决定。对于定购价格与实际价格有较大出入的，或者复本量过大的，或者单册价格昂贵的（﹥人民币100元）且复本大于3册的，或者特殊版本（活页、64及以下开本、随书配送光盘磁带另外收费的）以及其他特殊情况的，须经采购单位确认后安排采购。</w:t>
      </w:r>
    </w:p>
    <w:p w14:paraId="0FF631BA">
      <w:pPr>
        <w:pStyle w:val="1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供应商严格按采购单位确认的订单配送图书，不得自行搭配和追加非采购单位确认订购的品种或复本。图书品种、复本数量和随书光盘/磁盘/磁带等与订单不符时，无论是否已作前期加工，供应商必须无条件负责退换。</w:t>
      </w:r>
    </w:p>
    <w:p w14:paraId="05AA0099">
      <w:pPr>
        <w:pStyle w:val="1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3）特需图书要求：采购单位自行组织的急需或专题采购目录（不限于2024年出版图书），供应商不能拒绝，不能低于最低订到率和到货率，否则视为不具备履行本项目基本服务能力，将被取消供货资格并被没收履约保证金。供应商不得以任何理由拒绝完成采购单位按工作规范提出的修改任务，采购单位对此种修改不承担任何费用。</w:t>
      </w:r>
    </w:p>
    <w:p w14:paraId="36FE11BE">
      <w:pPr>
        <w:pStyle w:val="1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4.图书采购方式要求：</w:t>
      </w:r>
    </w:p>
    <w:p w14:paraId="7144E9CD">
      <w:pPr>
        <w:pStyle w:val="1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（1）现货采购。供货方提供最新出版和上市的图书清单给采购方以供采购单位选购，清单格式要求为标准的、能为采购方系统接收的数据。</w:t>
      </w:r>
    </w:p>
    <w:p w14:paraId="17E44FDF">
      <w:pPr>
        <w:pStyle w:val="1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（2）现场采购。采购单位直接在供货方书店(库)、书市等现场选订。供货方应为采购方提供相应的技术与设备等支持。</w:t>
      </w:r>
    </w:p>
    <w:p w14:paraId="7B3559B4">
      <w:pPr>
        <w:pStyle w:val="1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（3）现书采购。供货方提供最新出版和上市的图书样书给采购方选购，初选样书后，能立即提供相应图书的编目数据。</w:t>
      </w:r>
    </w:p>
    <w:p w14:paraId="49D4E7D5">
      <w:pPr>
        <w:pStyle w:val="1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4）特需采购。主要指急需图书采购和专题图书采购，并送达采购单位指定地点。急需图书指供货方在三个工作日内提供符合要求的图书，供货方不得推诿。专题图书采购指采购方根据馆藏发展要求所指定的特定图书，供货方提供相应图书信息和编目数据。</w:t>
      </w:r>
    </w:p>
    <w:p w14:paraId="20D3B586">
      <w:pPr>
        <w:pStyle w:val="1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5）其它形式的采购。对大部头多卷(辑)图书，可选其中有代表性的（如首末卷）样本并附有关书面资料送选，供货方无现书但有出版发行信息的，以目录或其它合适的形式送选。对采购方随日常订单报订的要求补缺的图书（主要为多卷，连续性出版的图书），供货商应积极组织采购，并定期反馈补缺结果。</w:t>
      </w:r>
    </w:p>
    <w:p w14:paraId="4FC95ABD">
      <w:pPr>
        <w:pStyle w:val="1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5、图书质量要求：</w:t>
      </w:r>
    </w:p>
    <w:p w14:paraId="20E3D8A4">
      <w:pPr>
        <w:pStyle w:val="1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供应商须保证所有供应图书为未经使用的正版图书，保证所供应图书的版本与进书来源合法，并对所供应的图书版本、知识产权、进货来源承担相应的法律责任。一经发现提供盗版图书，立即取消供货资格，并无条件负责退货。</w:t>
      </w:r>
    </w:p>
    <w:p w14:paraId="4F395D4F">
      <w:pPr>
        <w:pStyle w:val="1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供应商送交到采购人的图书不能有任何质量问题，并剔除内容有色情、暴力、恐怖等不适合读者或装帧形式为小开本、活页等不适合流通管理的图书。若验收时发现有污染、图文不清、缺页、倒装、缺附件等不合格的图书和明显不适宜采购单位收藏的图书，一律予以退换，退换费用由供应商承担。</w:t>
      </w:r>
    </w:p>
    <w:p w14:paraId="502FFD13">
      <w:pPr>
        <w:pStyle w:val="1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（3）投标人对所供应图书质量进行承诺。（包括承诺所供图书为正式出版物、承诺无污染破损、承诺采访书目为当年全国的书目信息，完整准确等内容）</w:t>
      </w:r>
    </w:p>
    <w:p w14:paraId="436FCBD8">
      <w:pPr>
        <w:pStyle w:val="1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6、图书运输要求：</w:t>
      </w:r>
    </w:p>
    <w:p w14:paraId="3BC4C7EB">
      <w:pPr>
        <w:pStyle w:val="1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（1）对于采购单位提交的采购订单，供货商应积极组织采购，优先保证供货，保证达到到货率与到货周期的要求。供货商不得擅自取消采购单位的采购订单，一经发现立即终止协议供货合同。</w:t>
      </w:r>
    </w:p>
    <w:p w14:paraId="20B52ABD">
      <w:pPr>
        <w:pStyle w:val="1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（2）多卷书、分册图书必须配齐方可发货，不可分多次配送，杜绝类似下册已配送而上册未配送的情况发生。</w:t>
      </w:r>
    </w:p>
    <w:p w14:paraId="533B48A6">
      <w:pPr>
        <w:pStyle w:val="1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3）供应商应对发送的图书并按采购单位要求提供指定地点的免费送书上门服务和图书整理上架服务，为此所发生的费用全部由供应商承担。在发送图书之前，供应商应预先用电话通知，以便采购单位准备接货。图书在到达采购单位指定所在地前发生的不可预见的风险均由供应商负责。</w:t>
      </w:r>
    </w:p>
    <w:p w14:paraId="5631BB2E">
      <w:pPr>
        <w:pStyle w:val="1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4）送达的货物（图书）须采用防水包装纸打包，进行防湿和防破装卸要求的包装。中标人应及时、定期送货，送交采购单位的图书应有汇总清单，内容包括此批图书的种数、册数和金额，汇总清单上需盖有与付款发票上相同的财务章。每包应附有发货清单，内容包括包号、征订号、书名、册数等，以便采购单位收到图书后及时清点验收。清单须经图书馆指定人员签收。</w:t>
      </w:r>
    </w:p>
    <w:p w14:paraId="11E8936C">
      <w:pPr>
        <w:pStyle w:val="1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7、图书加工细则要求：供应商提供到馆图书的全加工服务，包括：加盖馆藏章，加贴磁条，粘贴条形码、粘贴书标，加贴芯片，书标、条码加贴胶带纸，数据录入，馆藏分配，所有图书整理分类并上架。所产生的劳务费用由供应商承担。</w:t>
      </w:r>
    </w:p>
    <w:p w14:paraId="59B954F7">
      <w:pPr>
        <w:pStyle w:val="1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加盖馆藏章：图书需加盖馆藏章2处，在图书题名页上空白处的中间位置（条码上方）和图书正中页各一处。馆藏章需横向加盖，要求位置端正。</w:t>
      </w:r>
    </w:p>
    <w:p w14:paraId="40964F4A">
      <w:pPr>
        <w:pStyle w:val="1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加贴磁条：图书需加贴防盗磁条1处，可在书的任一页加贴，但要求将磁条嵌入书缝内，做到隐蔽从而达到防盗效果。对页数较多的图书要加贴两根以上的磁条。</w:t>
      </w:r>
    </w:p>
    <w:p w14:paraId="291C4251">
      <w:pPr>
        <w:pStyle w:val="1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粘贴条形码：图书需黏贴条形码2处，在图书题名页下中间位置和图书封底页各一处，且图书封底页的条形码需加贴胶带纸加固。</w:t>
      </w:r>
    </w:p>
    <w:p w14:paraId="59FB0A8C">
      <w:pPr>
        <w:pStyle w:val="19"/>
        <w:rPr>
          <w:rFonts w:hint="default"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粘贴书标：书标贴在书脊上距底端2.5厘米处，书脊处需加贴胶带纸固定。儿童书需要加贴书标在图书封底页右上角靠近书脊处，需加贴胶带纸固定。</w:t>
      </w:r>
    </w:p>
    <w:p w14:paraId="2138553F">
      <w:pPr>
        <w:pStyle w:val="1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粘贴视觉盘点标签：视觉盘点标签贴在书标上距底端5厘米处。</w:t>
      </w:r>
    </w:p>
    <w:p w14:paraId="047CA72C">
      <w:pPr>
        <w:pStyle w:val="1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加贴FRID芯片：图书芯片贴在图书最后一页。</w:t>
      </w:r>
    </w:p>
    <w:p w14:paraId="6DFFD8CE">
      <w:pPr>
        <w:pStyle w:val="1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图书上架：需根据采购人要求划分好全馆图书分类区域，并根据中图法分类规则完成图书整理上架工作。</w:t>
      </w:r>
    </w:p>
    <w:p w14:paraId="0562DDA7">
      <w:pPr>
        <w:pStyle w:val="1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响应时间：接到全加工通知后 15 分钟内响应，1 个工作日内即可安排工作人员到馆。</w:t>
      </w:r>
    </w:p>
    <w:p w14:paraId="26957B8E">
      <w:pPr>
        <w:pStyle w:val="1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服务评价：要求加工有专业的、固定的人员，全加工服务差错率低于 1‰，在使用过程中若出现错误，中标人应在 1 个工作日内负责修改。</w:t>
      </w:r>
    </w:p>
    <w:p w14:paraId="7067BE47">
      <w:pPr>
        <w:pStyle w:val="1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8.到馆加工服务要求：</w:t>
      </w:r>
    </w:p>
    <w:p w14:paraId="135C916F">
      <w:pPr>
        <w:pStyle w:val="1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（1）服务基本要求</w:t>
      </w:r>
    </w:p>
    <w:p w14:paraId="63B9938A">
      <w:pPr>
        <w:pStyle w:val="1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①服务能力。供应商必须具备图书著录及标引的能力，按照采购单位规定的工作流程进行加工服务，达到采购单位的质量标准和业务规范。</w:t>
      </w:r>
    </w:p>
    <w:p w14:paraId="1B73B2D9">
      <w:pPr>
        <w:pStyle w:val="1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②服务方式。为确保图书数据质量，供应商须安排人员到采购单位指定地点提供驻馆加工服务。本项内容允许分包，投标文件中须提供分包单位的相关信息。</w:t>
      </w:r>
    </w:p>
    <w:p w14:paraId="5B28C257">
      <w:pPr>
        <w:pStyle w:val="1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③服务内容。包括图书验收辅助、盖章、套录及修改数据、取索书号、增加馆藏记录、贴条形码、打贴书标、贴书标保护膜等。</w:t>
      </w:r>
    </w:p>
    <w:p w14:paraId="485AF24F">
      <w:pPr>
        <w:pStyle w:val="1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④相关辅助设备及材料。中标单位应准备图书加工所需的工作电脑（须符合采购方图书馆集群管理系统的安装运行要求）及条形码阅读器等硬件设施和《中国图书馆分类法（第五版）》等工作用书，提供条形码、书标及书标保护膜、特定需求标识标签、RFID芯片满足采购方现行加工质量标准、使用情况等（采购方目前使用的是UPM芯片）及注册转换设备、书标打印机，并负责安装图书馆集群管理系统及相关工作软件。</w:t>
      </w:r>
    </w:p>
    <w:p w14:paraId="157A6D80">
      <w:pPr>
        <w:pStyle w:val="1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⑤工作地点与时间。中标单位进入采购单位指定场地现场加工图书。中标单位派驻人员在采购方指定场地工作，原则上按采购单位工作时间安排工作。派驻人员必须遵守采购方的相关管理制度，若有违规问题发生，由中标单位负责。中标单位在节假日期间，采购方协调相关人员尽量保证中标单位在指定场地的正常工作。</w:t>
      </w:r>
    </w:p>
    <w:p w14:paraId="26CB3DF7">
      <w:pPr>
        <w:pStyle w:val="1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（2）加工人员要求</w:t>
      </w:r>
    </w:p>
    <w:p w14:paraId="2DF6A531">
      <w:pPr>
        <w:pStyle w:val="1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①采购单位将对中标单位到馆加工人员进行业务能力考核，不能满足要求者不能到馆加工。派驻人员须经过采购单位业务资格考核，合格后方可上岗工作。</w:t>
      </w:r>
    </w:p>
    <w:p w14:paraId="5449C8B4">
      <w:pPr>
        <w:pStyle w:val="1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②中标单位安排的加工人员数量应与向采购单位提供馆藏加工的工作量需求相匹配，须指定一名固定联系人，负责与采购方进行相关事项的沟通联系。加工人员有较强的责任心，根据要求对图书数据进行查询、复核、个性化修改及制作等。</w:t>
      </w:r>
    </w:p>
    <w:p w14:paraId="30A5B2D6">
      <w:pPr>
        <w:pStyle w:val="1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③中标单位加工人员和联系人须报备采购方。中标单位应保证派驻工作人员相对固定，人员变动应事先征求采购方意见，未经采购单位同意不得任意变动。如确需变动，必须提前一个月告知采购单位。</w:t>
      </w:r>
    </w:p>
    <w:p w14:paraId="303067B5">
      <w:pPr>
        <w:pStyle w:val="1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④在合同期内，派驻人员应服从采购方工作任务安排和日常考勤制度。如有派驻人员专业技术水平、工作能力不能胜任采购方要求，或出现重大责任事故的，采购方有权要求中标单位予以更换，中标单位应无条件进行更换。如有派驻人员缺勤需提前一天告知采购方，中标单位应及时选派其他符合采购方要求的人员顶替，避免图书积压影响采购方工作进度。</w:t>
      </w:r>
    </w:p>
    <w:p w14:paraId="02028B40">
      <w:pPr>
        <w:pStyle w:val="1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（3）加工人员培训</w:t>
      </w:r>
    </w:p>
    <w:p w14:paraId="0583898A">
      <w:pPr>
        <w:pStyle w:val="1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①采购单位向中标单位提供图书加工规范培训，合同初期开展中标单位派驻加工人员的培训。</w:t>
      </w:r>
    </w:p>
    <w:p w14:paraId="5587B101">
      <w:pPr>
        <w:pStyle w:val="1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②中标单位后续变动的人员，需保证其有从事本项工作相应的资质与能力，并须经过采购方业务资格认证考核合格后方可上岗工作。</w:t>
      </w:r>
    </w:p>
    <w:p w14:paraId="220CB3B8">
      <w:pPr>
        <w:pStyle w:val="1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（4）加工业务标准及规范</w:t>
      </w:r>
    </w:p>
    <w:p w14:paraId="10517144">
      <w:pPr>
        <w:pStyle w:val="1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①图书数据参照标准包括《普通图书著录规则 GB/T 3792.2-2006》《中国机读书目格式 GB/T 33286-2016》《文献分类标引规则GB/T 32153-2015 》《文献主题标引规则 GB/T 3860-2009》《中国文献编目规则（第二版）》《中国图书馆分类法（第五版）》及其使用手册，全国图书馆联合编目中心《中文书目数据制作》相关要求。</w:t>
      </w:r>
    </w:p>
    <w:p w14:paraId="6A9F86AD">
      <w:pPr>
        <w:pStyle w:val="1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②中标单位应根据上述标准及采购单位所制定的相关细则等规定对中文图书进行验收辅助（包括拆包、核对到货清单）、物理加工(包括盖章、贴条形码、贴书标、贴书标保护膜等)、图书典藏（查重、数据套录及修改、馆藏地分配、索书号编制、打书标等）、册送等工作。数据质量应当符合采购方要求。</w:t>
      </w:r>
    </w:p>
    <w:p w14:paraId="544C2A22">
      <w:pPr>
        <w:pStyle w:val="1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③中标单位制作的图书数据由采购方审校人员进行校对、审核，差错率不得高于3%（差错率计算公式为：差错率=错误数据条数/被抽查的馆藏数据条数*100%）。差错率高于8%，则扣减10%的加工服务费。连续3次合格率低于92%，采购方有权提前终止合同。</w:t>
      </w:r>
    </w:p>
    <w:p w14:paraId="7053349E">
      <w:pPr>
        <w:pStyle w:val="1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④中标单位需严格按照采购方典藏规范和工作流程进行操作。典藏工作准确率应达到92%以上。如中标单位未达到此准确率，采购单位有权酌情扣减加工服务费。</w:t>
      </w:r>
    </w:p>
    <w:p w14:paraId="4DDD512B">
      <w:pPr>
        <w:pStyle w:val="1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⑤中标单位需严格按照采购方加工规范及工作流程进行操作。文献加工处理时间要求在实体文献到馆后20个工作日内完成册送。</w:t>
      </w:r>
    </w:p>
    <w:p w14:paraId="51870249">
      <w:pPr>
        <w:pStyle w:val="1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⑥加工业务要求由采购方根据现行业务规则规定编写，如遇相关规定调整，中标单位亦同步调整，以采购方最新业务要求为准。采购方对加工工作各项规范及要求拥有最终解释权和修改权。</w:t>
      </w:r>
    </w:p>
    <w:p w14:paraId="0A36BC45">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9、供应商送交采购人的图书应有汇总清单，内容包括此批图书的种数、册数和金额，汇总清单上需盖有与付款发票上相同的财务章。每包应附有清单，内容包括包号、征订号、书名、册数等，以便采购人收到图书后及时清点验收。</w:t>
      </w:r>
    </w:p>
    <w:p w14:paraId="105E5617">
      <w:pPr>
        <w:tabs>
          <w:tab w:val="left" w:pos="0"/>
        </w:tabs>
        <w:adjustRightInd w:val="0"/>
        <w:snapToGrid w:val="0"/>
        <w:spacing w:line="360" w:lineRule="auto"/>
        <w:ind w:firstLine="480" w:firstLineChars="200"/>
        <w:rPr>
          <w:rFonts w:hint="eastAsia" w:ascii="仿宋" w:hAnsi="仿宋" w:eastAsia="仿宋" w:cs="仿宋"/>
          <w:highlight w:val="none"/>
          <w:lang w:val="en-US" w:eastAsia="zh-CN"/>
        </w:rPr>
      </w:pPr>
      <w:r>
        <w:rPr>
          <w:rFonts w:hint="eastAsia" w:ascii="仿宋" w:hAnsi="仿宋" w:eastAsia="仿宋" w:cs="仿宋"/>
          <w:color w:val="auto"/>
          <w:sz w:val="24"/>
          <w:szCs w:val="24"/>
          <w:highlight w:val="none"/>
          <w:shd w:val="clear" w:color="auto" w:fill="auto"/>
          <w:lang w:val="en-US" w:eastAsia="zh-CN"/>
        </w:rPr>
        <w:t>10、供应商应在收到订单后，在合同有效期前完成订单的采购、全加工和配送。若在合同有效期前不能到货的图书，应列出清单，并向采购人说明原因。除推迟出版或发生影响协议履行的不可抗力事情外，若不能按时供货的图书种数或册数超过订购数的20%即可认定中标人不具备供货条件，采购人有权根据实际情况是否继续征订或者提前终止合同。为尽可能消除因供应商不能按协议规定要求供货所造成的影响，采购人有权采取相应的补救措施（如直接向出版商邮购图书），由此给采购人造成的各项损失或增加的各项费用（如折扣损失、邮费、数据费、加工费）等均由违约的供应商承担。</w:t>
      </w:r>
    </w:p>
    <w:p w14:paraId="1C937730">
      <w:pPr>
        <w:pStyle w:val="1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11、本次供货需同步提供杭州市“一键借阅”线上借书平台服务，负责钱塘区图书馆“一键借阅”线上借书服务。</w:t>
      </w:r>
    </w:p>
    <w:p w14:paraId="43CA4133">
      <w:pPr>
        <w:pStyle w:val="5"/>
        <w:spacing w:before="120" w:after="120" w:line="360" w:lineRule="auto"/>
        <w:rPr>
          <w:rFonts w:hint="eastAsia" w:ascii="仿宋" w:hAnsi="仿宋" w:eastAsia="仿宋" w:cs="仿宋"/>
          <w:b/>
          <w:bCs/>
          <w:color w:val="auto"/>
          <w:sz w:val="24"/>
          <w:szCs w:val="24"/>
          <w:highlight w:val="none"/>
          <w:shd w:val="clear" w:color="auto" w:fill="auto"/>
          <w:lang w:val="en-US" w:eastAsia="zh-CN"/>
        </w:rPr>
      </w:pPr>
      <w:bookmarkStart w:id="79" w:name="_Toc28619"/>
      <w:bookmarkStart w:id="80" w:name="_Toc30190"/>
      <w:bookmarkStart w:id="81" w:name="_Toc2403"/>
      <w:bookmarkStart w:id="82" w:name="_Toc9278"/>
      <w:r>
        <w:rPr>
          <w:rFonts w:hint="eastAsia" w:ascii="仿宋" w:hAnsi="仿宋" w:eastAsia="仿宋" w:cs="仿宋"/>
          <w:b/>
          <w:bCs/>
          <w:color w:val="auto"/>
          <w:sz w:val="24"/>
          <w:szCs w:val="24"/>
          <w:highlight w:val="none"/>
          <w:shd w:val="clear" w:color="auto" w:fill="auto"/>
          <w:lang w:val="en-US" w:eastAsia="zh-CN"/>
        </w:rPr>
        <w:t>四、其他响应要求</w:t>
      </w:r>
      <w:bookmarkEnd w:id="79"/>
      <w:bookmarkEnd w:id="80"/>
      <w:bookmarkEnd w:id="81"/>
      <w:bookmarkEnd w:id="82"/>
    </w:p>
    <w:p w14:paraId="78240FF3">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(一)编目数据</w:t>
      </w:r>
    </w:p>
    <w:p w14:paraId="591C2350">
      <w:pPr>
        <w:tabs>
          <w:tab w:val="left" w:pos="0"/>
        </w:tabs>
        <w:adjustRightInd w:val="0"/>
        <w:snapToGrid w:val="0"/>
        <w:spacing w:line="360" w:lineRule="auto"/>
        <w:ind w:firstLine="480" w:firstLineChars="200"/>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1、投标人应确保</w:t>
      </w:r>
      <w:r>
        <w:rPr>
          <w:rFonts w:hint="eastAsia" w:ascii="仿宋" w:hAnsi="仿宋" w:eastAsia="仿宋" w:cs="仿宋"/>
          <w:color w:val="auto"/>
          <w:kern w:val="0"/>
          <w:sz w:val="24"/>
          <w:szCs w:val="24"/>
          <w:highlight w:val="none"/>
          <w:shd w:val="clear" w:color="auto" w:fill="auto"/>
          <w:lang w:val="en-US"/>
        </w:rPr>
        <w:t>编目数据的质量符合</w:t>
      </w:r>
      <w:r>
        <w:rPr>
          <w:rFonts w:hint="eastAsia" w:ascii="仿宋" w:hAnsi="仿宋" w:eastAsia="仿宋" w:cs="仿宋"/>
          <w:color w:val="auto"/>
          <w:kern w:val="0"/>
          <w:sz w:val="24"/>
          <w:szCs w:val="24"/>
          <w:highlight w:val="none"/>
          <w:shd w:val="clear" w:color="auto" w:fill="auto"/>
          <w:lang w:val="en-US" w:eastAsia="zh-CN"/>
        </w:rPr>
        <w:t>采购人</w:t>
      </w:r>
      <w:r>
        <w:rPr>
          <w:rFonts w:hint="eastAsia" w:ascii="仿宋" w:hAnsi="仿宋" w:eastAsia="仿宋" w:cs="仿宋"/>
          <w:color w:val="auto"/>
          <w:kern w:val="0"/>
          <w:sz w:val="24"/>
          <w:szCs w:val="24"/>
          <w:highlight w:val="none"/>
          <w:shd w:val="clear" w:color="auto" w:fill="auto"/>
          <w:lang w:val="en-US"/>
        </w:rPr>
        <w:t>要求</w:t>
      </w:r>
      <w:r>
        <w:rPr>
          <w:rFonts w:hint="eastAsia" w:ascii="仿宋" w:hAnsi="仿宋" w:eastAsia="仿宋" w:cs="仿宋"/>
          <w:color w:val="auto"/>
          <w:kern w:val="0"/>
          <w:sz w:val="24"/>
          <w:szCs w:val="24"/>
          <w:highlight w:val="none"/>
          <w:shd w:val="clear" w:color="auto" w:fill="auto"/>
          <w:lang w:val="en-US" w:eastAsia="zh-CN"/>
        </w:rPr>
        <w:t>（国家要求、采购人图书</w:t>
      </w:r>
      <w:r>
        <w:rPr>
          <w:rFonts w:hint="eastAsia" w:ascii="仿宋" w:hAnsi="仿宋" w:eastAsia="仿宋" w:cs="仿宋"/>
          <w:color w:val="auto"/>
          <w:sz w:val="24"/>
          <w:szCs w:val="24"/>
          <w:highlight w:val="none"/>
          <w:shd w:val="clear" w:color="auto" w:fill="auto"/>
          <w:lang w:val="en-US" w:eastAsia="zh-CN"/>
        </w:rPr>
        <w:t>Interlib图书馆集群系统</w:t>
      </w:r>
      <w:r>
        <w:rPr>
          <w:rFonts w:hint="eastAsia" w:ascii="仿宋" w:hAnsi="仿宋" w:eastAsia="仿宋" w:cs="仿宋"/>
          <w:color w:val="auto"/>
          <w:kern w:val="0"/>
          <w:sz w:val="24"/>
          <w:szCs w:val="24"/>
          <w:highlight w:val="none"/>
          <w:shd w:val="clear" w:color="auto" w:fill="auto"/>
          <w:lang w:val="en-US" w:eastAsia="zh-CN"/>
        </w:rPr>
        <w:t>的格式及运行要求等），提供的所有数据都能在采购方的各系统无障碍的使用</w:t>
      </w:r>
      <w:r>
        <w:rPr>
          <w:rFonts w:hint="eastAsia" w:ascii="仿宋" w:hAnsi="仿宋" w:eastAsia="仿宋" w:cs="仿宋"/>
          <w:color w:val="auto"/>
          <w:kern w:val="0"/>
          <w:sz w:val="24"/>
          <w:szCs w:val="24"/>
          <w:highlight w:val="none"/>
          <w:shd w:val="clear" w:color="auto" w:fill="auto"/>
          <w:lang w:val="en-US"/>
        </w:rPr>
        <w:t>，与到馆图书的</w:t>
      </w:r>
      <w:r>
        <w:rPr>
          <w:rFonts w:hint="eastAsia" w:ascii="仿宋" w:hAnsi="仿宋" w:eastAsia="仿宋" w:cs="仿宋"/>
          <w:color w:val="auto"/>
          <w:kern w:val="0"/>
          <w:sz w:val="24"/>
          <w:szCs w:val="24"/>
          <w:highlight w:val="none"/>
          <w:shd w:val="clear" w:color="auto" w:fill="auto"/>
          <w:lang w:val="en-US" w:eastAsia="zh-CN"/>
        </w:rPr>
        <w:t>可以</w:t>
      </w:r>
      <w:r>
        <w:rPr>
          <w:rFonts w:hint="eastAsia" w:ascii="仿宋" w:hAnsi="仿宋" w:eastAsia="仿宋" w:cs="仿宋"/>
          <w:color w:val="auto"/>
          <w:kern w:val="0"/>
          <w:sz w:val="24"/>
          <w:szCs w:val="24"/>
          <w:highlight w:val="none"/>
          <w:shd w:val="clear" w:color="auto" w:fill="auto"/>
          <w:lang w:val="en-US"/>
        </w:rPr>
        <w:t>匹配，不漏发、错发</w:t>
      </w:r>
      <w:r>
        <w:rPr>
          <w:rFonts w:hint="eastAsia" w:ascii="仿宋" w:hAnsi="仿宋" w:eastAsia="仿宋" w:cs="仿宋"/>
          <w:color w:val="auto"/>
          <w:kern w:val="0"/>
          <w:sz w:val="24"/>
          <w:szCs w:val="24"/>
          <w:highlight w:val="none"/>
          <w:shd w:val="clear" w:color="auto" w:fill="auto"/>
          <w:lang w:val="en-US" w:eastAsia="zh-CN"/>
        </w:rPr>
        <w:t>。</w:t>
      </w:r>
      <w:r>
        <w:rPr>
          <w:rFonts w:hint="eastAsia" w:ascii="仿宋" w:hAnsi="仿宋" w:eastAsia="仿宋" w:cs="仿宋"/>
          <w:color w:val="auto"/>
          <w:kern w:val="0"/>
          <w:sz w:val="24"/>
          <w:szCs w:val="24"/>
          <w:highlight w:val="none"/>
          <w:shd w:val="clear" w:color="auto" w:fill="auto"/>
          <w:lang w:val="en-US"/>
        </w:rPr>
        <w:t>投标文件中需出具确保编目数据质量符合</w:t>
      </w:r>
      <w:r>
        <w:rPr>
          <w:rFonts w:hint="eastAsia" w:ascii="仿宋" w:hAnsi="仿宋" w:eastAsia="仿宋" w:cs="仿宋"/>
          <w:color w:val="auto"/>
          <w:kern w:val="0"/>
          <w:sz w:val="24"/>
          <w:szCs w:val="24"/>
          <w:highlight w:val="none"/>
          <w:shd w:val="clear" w:color="auto" w:fill="auto"/>
          <w:lang w:val="en-US" w:eastAsia="zh-CN"/>
        </w:rPr>
        <w:t>采购人</w:t>
      </w:r>
      <w:r>
        <w:rPr>
          <w:rFonts w:hint="eastAsia" w:ascii="仿宋" w:hAnsi="仿宋" w:eastAsia="仿宋" w:cs="仿宋"/>
          <w:color w:val="auto"/>
          <w:kern w:val="0"/>
          <w:sz w:val="24"/>
          <w:szCs w:val="24"/>
          <w:highlight w:val="none"/>
          <w:shd w:val="clear" w:color="auto" w:fill="auto"/>
          <w:lang w:val="en-US"/>
        </w:rPr>
        <w:t>要求的保障方案</w:t>
      </w:r>
    </w:p>
    <w:p w14:paraId="479DA23D">
      <w:pPr>
        <w:tabs>
          <w:tab w:val="left" w:pos="0"/>
        </w:tabs>
        <w:adjustRightInd w:val="0"/>
        <w:snapToGrid w:val="0"/>
        <w:spacing w:line="360" w:lineRule="auto"/>
        <w:ind w:firstLine="480" w:firstLineChars="200"/>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2、投标人还应与</w:t>
      </w:r>
      <w:r>
        <w:rPr>
          <w:rFonts w:hint="eastAsia" w:ascii="仿宋" w:hAnsi="仿宋" w:eastAsia="仿宋" w:cs="仿宋"/>
          <w:color w:val="auto"/>
          <w:kern w:val="0"/>
          <w:sz w:val="24"/>
          <w:szCs w:val="24"/>
          <w:highlight w:val="none"/>
          <w:shd w:val="clear" w:color="auto" w:fill="auto"/>
          <w:lang w:val="en-US"/>
        </w:rPr>
        <w:t>公共图书馆联网编目</w:t>
      </w:r>
      <w:r>
        <w:rPr>
          <w:rFonts w:hint="eastAsia" w:ascii="仿宋" w:hAnsi="仿宋" w:eastAsia="仿宋" w:cs="仿宋"/>
          <w:color w:val="auto"/>
          <w:kern w:val="0"/>
          <w:sz w:val="24"/>
          <w:szCs w:val="24"/>
          <w:highlight w:val="none"/>
          <w:shd w:val="clear" w:color="auto" w:fill="auto"/>
          <w:lang w:val="en-US" w:eastAsia="zh-CN"/>
        </w:rPr>
        <w:t>。投标文件中出具完整且可行的实施方案。</w:t>
      </w:r>
    </w:p>
    <w:p w14:paraId="190185CF">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(二)文献与数据安全要求</w:t>
      </w:r>
    </w:p>
    <w:p w14:paraId="5A3DA7F8">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中标单位应确保采购方工作现场实体文献与书目数据的安全。合同期内，因中标单位原因造成采购方文献损坏或遗失，采购方有权向中标单位提出索赔。中标单位在采购单位业务系统中的操作，必须合乎要求与规范。合同期内，中标单位套录、编制的书目数据版权归采购方所有。不经允许，中标单位不得以任何名义泄露采购方的所有数据，不得以任何名义提供给采购方以外的第三方使用。如有违约，采购单位有权追究中标单位的法律责任。中标单位需赔偿同版本或更新版新书，无法赔偿原版图书的按浙图办〔2018〕25号进行赔偿。</w:t>
      </w:r>
    </w:p>
    <w:p w14:paraId="3896A2D9">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中标单位在采购方业务系统中的操作，必须合乎要求与规范。合同期内，中标单位套录、编制的书目数据版权归采购方所有。不经允许，中标单位不得以任何名义泄露采购方的所有数据，不得以任何名义提供给采购方以外的第三方使用。如有违约，采购方有权追究中标单位的法律责任。</w:t>
      </w:r>
    </w:p>
    <w:p w14:paraId="5D426AC6">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3.中标单位如委托第三方提供加工服务时，上述要求同时对其适用。</w:t>
      </w:r>
    </w:p>
    <w:p w14:paraId="2C3BFE8A">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（三）图书保存要求</w:t>
      </w:r>
    </w:p>
    <w:p w14:paraId="7F7C217B">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1.场地要求：如采购人处短期内因故无法及时收存图书的，需由中标单位无偿提供专门的场所进行图书保存，并承担保管责任。</w:t>
      </w:r>
    </w:p>
    <w:p w14:paraId="48166A9A">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2.保存要求：中标单位需配置本单位专业工作人员进行相关工作，保证图书保存的完整性。</w:t>
      </w:r>
    </w:p>
    <w:p w14:paraId="2D16DA42">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（四）售后服务要求</w:t>
      </w:r>
    </w:p>
    <w:p w14:paraId="258728A8">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1.订单反馈</w:t>
      </w:r>
    </w:p>
    <w:p w14:paraId="5D51DBED">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对订单调整的反馈。供货方在接到采购人要求调整订单的要求后，应在二天内将该调整订单的数据（包括已送图书及未送图书）形成电子表格传送到采购人。</w:t>
      </w:r>
    </w:p>
    <w:p w14:paraId="5365BAF1">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对采购人提交的订单，在合同期内未能供货的，供货商应定期提供未配送图书品种清单，并说明未能供货原因，供货商不得擅自中止供货。</w:t>
      </w:r>
    </w:p>
    <w:p w14:paraId="684A7B66">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现货品种1个月内未能配送的须主动提供未到货清单，以便采购方决定是否撤订，不能供货图书必须每1个月进行一次反馈。连续二批次不提供缺货清单与原因的，采购方有权取消供货商的供货资格。</w:t>
      </w:r>
    </w:p>
    <w:p w14:paraId="26F6FB3B">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供货商须于供货期结束前一周提供详细的自评报告，包括但不限于服务期间订购种数、册数、总码洋、总实价、不能供货品种数量、仍在执行中的订购品种数量，仍在执行中的采购品种须附清单及预估价等。</w:t>
      </w:r>
    </w:p>
    <w:p w14:paraId="2F71C7D6">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2.退换货</w:t>
      </w:r>
    </w:p>
    <w:p w14:paraId="3148D54A">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对采购人预订的图书品种，供货商在组织货源前对已预订的图书进行查重。对于采购人误订的图书，供货商应予以退货。若送交的图书污损、破损、图文不清、缺页、倒页、缺附件等质量不合格的图书，一律予以退换，不能以已加工为理由拒绝。供货商应保证送交的图书为正版，凡有版权问题的应无条件予以退回，问题严重的招标方有权终止采购协议。</w:t>
      </w:r>
    </w:p>
    <w:p w14:paraId="67A23A4B">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（五）服务承诺</w:t>
      </w:r>
    </w:p>
    <w:p w14:paraId="15CCF7DC">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1、投标人承诺：按采购文件的规定，满足采购人提出的所有技术要求和服务要求。</w:t>
      </w:r>
    </w:p>
    <w:p w14:paraId="06579A99">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2、投标人承诺：采购人在浙江省享受最优惠图书馆待遇，即在合同期内，供应商如果给予浙江省杭州市其他图书馆更优惠的待遇，应立即通知采购人同时享有。</w:t>
      </w:r>
    </w:p>
    <w:p w14:paraId="32B6458B">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3、投标人承诺：</w:t>
      </w:r>
      <w:r>
        <w:rPr>
          <w:rFonts w:hint="eastAsia" w:ascii="仿宋" w:hAnsi="仿宋" w:eastAsia="仿宋" w:cs="仿宋"/>
          <w:color w:val="auto"/>
          <w:kern w:val="0"/>
          <w:sz w:val="24"/>
          <w:szCs w:val="24"/>
          <w:highlight w:val="none"/>
          <w:shd w:val="clear" w:color="auto" w:fill="auto"/>
          <w:lang w:val="en-US"/>
        </w:rPr>
        <w:t>其他文献</w:t>
      </w:r>
      <w:r>
        <w:rPr>
          <w:rFonts w:hint="eastAsia" w:ascii="仿宋" w:hAnsi="仿宋" w:eastAsia="仿宋" w:cs="仿宋"/>
          <w:color w:val="auto"/>
          <w:kern w:val="0"/>
          <w:sz w:val="24"/>
          <w:szCs w:val="24"/>
          <w:highlight w:val="none"/>
          <w:shd w:val="clear" w:color="auto" w:fill="auto"/>
          <w:lang w:val="en-US" w:eastAsia="zh-CN"/>
        </w:rPr>
        <w:t>也可提供</w:t>
      </w:r>
      <w:r>
        <w:rPr>
          <w:rFonts w:hint="eastAsia" w:ascii="仿宋" w:hAnsi="仿宋" w:eastAsia="仿宋" w:cs="仿宋"/>
          <w:color w:val="auto"/>
          <w:kern w:val="0"/>
          <w:sz w:val="24"/>
          <w:szCs w:val="24"/>
          <w:highlight w:val="none"/>
          <w:shd w:val="clear" w:color="auto" w:fill="auto"/>
          <w:lang w:val="en-US"/>
        </w:rPr>
        <w:t>加工服务</w:t>
      </w:r>
      <w:r>
        <w:rPr>
          <w:rFonts w:hint="eastAsia" w:ascii="仿宋" w:hAnsi="仿宋" w:eastAsia="仿宋" w:cs="仿宋"/>
          <w:color w:val="auto"/>
          <w:kern w:val="0"/>
          <w:sz w:val="24"/>
          <w:szCs w:val="24"/>
          <w:highlight w:val="none"/>
          <w:shd w:val="clear" w:color="auto" w:fill="auto"/>
          <w:lang w:val="en-US" w:eastAsia="zh-CN"/>
        </w:rPr>
        <w:t>，包括</w:t>
      </w:r>
      <w:r>
        <w:rPr>
          <w:rFonts w:hint="eastAsia" w:ascii="仿宋" w:hAnsi="仿宋" w:eastAsia="仿宋" w:cs="仿宋"/>
          <w:color w:val="auto"/>
          <w:kern w:val="0"/>
          <w:sz w:val="24"/>
          <w:szCs w:val="24"/>
          <w:highlight w:val="none"/>
          <w:shd w:val="clear" w:color="auto" w:fill="auto"/>
          <w:lang w:val="en-US"/>
        </w:rPr>
        <w:t>能够</w:t>
      </w:r>
      <w:r>
        <w:rPr>
          <w:rFonts w:hint="eastAsia" w:ascii="仿宋" w:hAnsi="仿宋" w:eastAsia="仿宋" w:cs="仿宋"/>
          <w:color w:val="auto"/>
          <w:kern w:val="0"/>
          <w:sz w:val="24"/>
          <w:szCs w:val="24"/>
          <w:highlight w:val="none"/>
          <w:shd w:val="clear" w:color="auto" w:fill="auto"/>
          <w:lang w:val="en-US" w:eastAsia="zh-CN"/>
        </w:rPr>
        <w:t>对图书馆收到的</w:t>
      </w:r>
      <w:r>
        <w:rPr>
          <w:rFonts w:hint="eastAsia" w:ascii="仿宋" w:hAnsi="仿宋" w:eastAsia="仿宋" w:cs="仿宋"/>
          <w:color w:val="auto"/>
          <w:kern w:val="0"/>
          <w:sz w:val="24"/>
          <w:szCs w:val="24"/>
          <w:highlight w:val="none"/>
          <w:shd w:val="clear" w:color="auto" w:fill="auto"/>
          <w:lang w:val="en-US"/>
        </w:rPr>
        <w:t>捐赠图</w:t>
      </w:r>
      <w:r>
        <w:rPr>
          <w:rFonts w:hint="eastAsia" w:ascii="仿宋" w:hAnsi="仿宋" w:eastAsia="仿宋" w:cs="仿宋"/>
          <w:color w:val="auto"/>
          <w:sz w:val="24"/>
          <w:szCs w:val="24"/>
          <w:highlight w:val="none"/>
          <w:shd w:val="clear" w:color="auto" w:fill="auto"/>
          <w:lang w:val="en-US" w:eastAsia="zh-CN"/>
        </w:rPr>
        <w:t>书全加工或者收到的捐赠期刊全加工服务。</w:t>
      </w:r>
    </w:p>
    <w:p w14:paraId="00636368">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4、投标人承诺：按采购人，在规定时间、按规定要求完成图书上架</w:t>
      </w:r>
    </w:p>
    <w:p w14:paraId="1AEF32A6">
      <w:pPr>
        <w:pStyle w:val="19"/>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5、投标人可根据自身经验，</w:t>
      </w:r>
      <w:r>
        <w:rPr>
          <w:rFonts w:hint="eastAsia" w:ascii="仿宋" w:hAnsi="仿宋" w:eastAsia="仿宋" w:cs="仿宋"/>
          <w:color w:val="auto"/>
          <w:kern w:val="0"/>
          <w:sz w:val="24"/>
          <w:szCs w:val="24"/>
          <w:highlight w:val="none"/>
          <w:shd w:val="clear" w:color="auto" w:fill="auto"/>
          <w:lang w:val="en-US" w:eastAsia="zh-CN"/>
        </w:rPr>
        <w:t>在采购需求基础上</w:t>
      </w:r>
      <w:r>
        <w:rPr>
          <w:rFonts w:hint="eastAsia" w:ascii="仿宋" w:hAnsi="仿宋" w:eastAsia="仿宋" w:cs="仿宋"/>
          <w:color w:val="auto"/>
          <w:kern w:val="0"/>
          <w:sz w:val="24"/>
          <w:szCs w:val="24"/>
          <w:highlight w:val="none"/>
          <w:shd w:val="clear" w:color="auto" w:fill="auto"/>
          <w:lang w:val="en-US"/>
        </w:rPr>
        <w:t>提供其它特色服务，或合理化建议</w:t>
      </w:r>
      <w:r>
        <w:rPr>
          <w:rFonts w:hint="eastAsia" w:ascii="仿宋" w:hAnsi="仿宋" w:eastAsia="仿宋" w:cs="仿宋"/>
          <w:color w:val="auto"/>
          <w:kern w:val="0"/>
          <w:sz w:val="24"/>
          <w:szCs w:val="24"/>
          <w:highlight w:val="none"/>
          <w:shd w:val="clear" w:color="auto" w:fill="auto"/>
          <w:lang w:val="en-US" w:eastAsia="zh-CN"/>
        </w:rPr>
        <w:t>（应与本项目相关，例如图书的采购、供应、加工、保管、运送及各种伴随服务，项目开展过程中的应急措施等等）。</w:t>
      </w:r>
    </w:p>
    <w:p w14:paraId="7CF2B6BA">
      <w:pPr>
        <w:pStyle w:val="19"/>
        <w:rPr>
          <w:rFonts w:hint="default"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（七）根据采购人要求，提供特藏文献资源服务。投标文件中提供特藏文献建设方案。</w:t>
      </w:r>
    </w:p>
    <w:p w14:paraId="3C75C59E">
      <w:pPr>
        <w:pStyle w:val="5"/>
        <w:spacing w:before="120" w:after="120" w:line="360" w:lineRule="auto"/>
        <w:rPr>
          <w:rFonts w:hint="eastAsia" w:ascii="仿宋" w:hAnsi="仿宋" w:eastAsia="仿宋" w:cs="仿宋"/>
          <w:b/>
          <w:bCs/>
          <w:color w:val="auto"/>
          <w:sz w:val="24"/>
          <w:szCs w:val="24"/>
          <w:highlight w:val="none"/>
          <w:shd w:val="clear" w:color="auto" w:fill="auto"/>
          <w:lang w:val="en-US" w:eastAsia="zh-CN"/>
        </w:rPr>
      </w:pPr>
      <w:bookmarkStart w:id="83" w:name="_Toc2730"/>
      <w:bookmarkStart w:id="84" w:name="_Toc13136"/>
      <w:bookmarkStart w:id="85" w:name="_Toc25412"/>
      <w:bookmarkStart w:id="86" w:name="_Toc30605"/>
      <w:r>
        <w:rPr>
          <w:rFonts w:hint="eastAsia" w:ascii="仿宋" w:hAnsi="仿宋" w:eastAsia="仿宋" w:cs="仿宋"/>
          <w:b/>
          <w:bCs/>
          <w:color w:val="auto"/>
          <w:sz w:val="24"/>
          <w:szCs w:val="24"/>
          <w:highlight w:val="none"/>
          <w:shd w:val="clear" w:color="auto" w:fill="auto"/>
          <w:lang w:val="en-US" w:eastAsia="zh-CN"/>
        </w:rPr>
        <w:t>五、商务要求</w:t>
      </w:r>
      <w:bookmarkEnd w:id="83"/>
      <w:bookmarkEnd w:id="84"/>
      <w:bookmarkEnd w:id="85"/>
      <w:bookmarkEnd w:id="86"/>
    </w:p>
    <w:p w14:paraId="78601C35">
      <w:pPr>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（一）投标报价</w:t>
      </w:r>
    </w:p>
    <w:p w14:paraId="32309843">
      <w:pPr>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w:t>
      </w:r>
      <w:r>
        <w:rPr>
          <w:rFonts w:hint="eastAsia" w:ascii="仿宋" w:hAnsi="仿宋" w:eastAsia="仿宋" w:cs="仿宋"/>
          <w:color w:val="auto"/>
          <w:sz w:val="24"/>
          <w:szCs w:val="24"/>
          <w:highlight w:val="none"/>
          <w:shd w:val="clear" w:color="auto" w:fill="auto"/>
        </w:rPr>
        <w:t>本项目</w:t>
      </w:r>
      <w:r>
        <w:rPr>
          <w:rFonts w:hint="eastAsia" w:ascii="仿宋" w:hAnsi="仿宋" w:eastAsia="仿宋" w:cs="仿宋"/>
          <w:color w:val="auto"/>
          <w:sz w:val="24"/>
          <w:szCs w:val="24"/>
          <w:highlight w:val="none"/>
          <w:shd w:val="clear" w:color="auto" w:fill="auto"/>
          <w:lang w:val="en-US" w:eastAsia="zh-CN"/>
        </w:rPr>
        <w:t>综合单价包干。报价已包含了</w:t>
      </w:r>
      <w:r>
        <w:rPr>
          <w:rFonts w:hint="eastAsia" w:ascii="仿宋" w:hAnsi="仿宋" w:eastAsia="仿宋" w:cs="仿宋"/>
          <w:color w:val="auto"/>
          <w:sz w:val="24"/>
          <w:szCs w:val="24"/>
          <w:highlight w:val="none"/>
          <w:shd w:val="clear" w:color="auto" w:fill="auto"/>
          <w:lang w:eastAsia="zh-CN"/>
        </w:rPr>
        <w:t>供货商需</w:t>
      </w:r>
      <w:r>
        <w:rPr>
          <w:rFonts w:hint="eastAsia" w:ascii="仿宋" w:hAnsi="仿宋" w:eastAsia="仿宋" w:cs="仿宋"/>
          <w:color w:val="auto"/>
          <w:sz w:val="24"/>
          <w:szCs w:val="24"/>
          <w:highlight w:val="none"/>
          <w:shd w:val="clear" w:color="auto" w:fill="auto"/>
          <w:lang w:val="en-US" w:eastAsia="zh-CN"/>
        </w:rPr>
        <w:t>承担的</w:t>
      </w:r>
      <w:r>
        <w:rPr>
          <w:rFonts w:hint="eastAsia" w:ascii="仿宋" w:hAnsi="仿宋" w:eastAsia="仿宋" w:cs="仿宋"/>
          <w:color w:val="auto"/>
          <w:sz w:val="24"/>
          <w:szCs w:val="24"/>
          <w:highlight w:val="none"/>
          <w:shd w:val="clear" w:color="auto" w:fill="auto"/>
          <w:lang w:eastAsia="zh-CN"/>
        </w:rPr>
        <w:t>图书购买费、途中运输费、装卸费、馆藏加工费、RFID芯片、磁条、数据、图书保管费、图书退换货、售后服务、图书信息提供、税费等一切费用可能涉及的各项费用。</w:t>
      </w:r>
    </w:p>
    <w:p w14:paraId="3B8DF3D4">
      <w:pPr>
        <w:adjustRightInd w:val="0"/>
        <w:snapToGrid w:val="0"/>
        <w:spacing w:line="360" w:lineRule="auto"/>
        <w:ind w:firstLine="482" w:firstLineChars="200"/>
        <w:jc w:val="left"/>
        <w:rPr>
          <w:rFonts w:hint="eastAsia" w:ascii="仿宋" w:hAnsi="仿宋" w:eastAsia="仿宋" w:cs="仿宋"/>
          <w:b w:val="0"/>
          <w:bCs w:val="0"/>
          <w:snapToGrid w:val="0"/>
          <w:color w:val="auto"/>
          <w:kern w:val="0"/>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2、</w:t>
      </w:r>
      <w:r>
        <w:rPr>
          <w:rFonts w:hint="eastAsia" w:ascii="仿宋" w:hAnsi="仿宋" w:eastAsia="仿宋" w:cs="仿宋"/>
          <w:b/>
          <w:bCs/>
          <w:snapToGrid w:val="0"/>
          <w:color w:val="auto"/>
          <w:kern w:val="0"/>
          <w:sz w:val="24"/>
          <w:szCs w:val="24"/>
          <w:highlight w:val="none"/>
          <w:shd w:val="clear" w:color="auto" w:fill="auto"/>
          <w:lang w:val="en-US" w:eastAsia="zh-CN"/>
        </w:rPr>
        <w:t>本项目采用费率方式报价。即投标人根据采购要求自行考虑相关因素，以图书定价为依据，填报费率（%）。</w:t>
      </w:r>
    </w:p>
    <w:p w14:paraId="74532A4E">
      <w:pPr>
        <w:adjustRightInd w:val="0"/>
        <w:snapToGrid w:val="0"/>
        <w:spacing w:line="360" w:lineRule="auto"/>
        <w:ind w:firstLine="480" w:firstLineChars="200"/>
        <w:jc w:val="left"/>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snapToGrid w:val="0"/>
          <w:color w:val="auto"/>
          <w:kern w:val="0"/>
          <w:sz w:val="24"/>
          <w:szCs w:val="24"/>
          <w:highlight w:val="none"/>
          <w:shd w:val="clear" w:color="auto" w:fill="auto"/>
        </w:rPr>
        <w:t>在合同执行期内，</w:t>
      </w:r>
      <w:r>
        <w:rPr>
          <w:rFonts w:hint="eastAsia" w:ascii="仿宋" w:hAnsi="仿宋" w:eastAsia="仿宋" w:cs="仿宋"/>
          <w:b w:val="0"/>
          <w:bCs w:val="0"/>
          <w:snapToGrid w:val="0"/>
          <w:color w:val="auto"/>
          <w:kern w:val="0"/>
          <w:sz w:val="24"/>
          <w:szCs w:val="24"/>
          <w:highlight w:val="none"/>
          <w:shd w:val="clear" w:color="auto" w:fill="auto"/>
          <w:lang w:val="en-US" w:eastAsia="zh-CN"/>
        </w:rPr>
        <w:t>费率</w:t>
      </w:r>
      <w:r>
        <w:rPr>
          <w:rFonts w:hint="eastAsia" w:ascii="仿宋" w:hAnsi="仿宋" w:eastAsia="仿宋" w:cs="仿宋"/>
          <w:b w:val="0"/>
          <w:bCs w:val="0"/>
          <w:snapToGrid w:val="0"/>
          <w:color w:val="auto"/>
          <w:kern w:val="0"/>
          <w:sz w:val="24"/>
          <w:szCs w:val="24"/>
          <w:highlight w:val="none"/>
          <w:shd w:val="clear" w:color="auto" w:fill="auto"/>
        </w:rPr>
        <w:t>固定不变，因各种原因而导致费用的增减，采购人均不考虑补偿</w:t>
      </w:r>
      <w:r>
        <w:rPr>
          <w:rFonts w:hint="eastAsia" w:ascii="仿宋" w:hAnsi="仿宋" w:eastAsia="仿宋" w:cs="仿宋"/>
          <w:b w:val="0"/>
          <w:bCs w:val="0"/>
          <w:snapToGrid w:val="0"/>
          <w:color w:val="auto"/>
          <w:kern w:val="0"/>
          <w:sz w:val="24"/>
          <w:szCs w:val="24"/>
          <w:highlight w:val="none"/>
          <w:shd w:val="clear" w:color="auto" w:fill="auto"/>
          <w:lang w:eastAsia="zh-CN"/>
        </w:rPr>
        <w:t>。</w:t>
      </w:r>
      <w:r>
        <w:rPr>
          <w:rFonts w:hint="eastAsia" w:ascii="仿宋" w:hAnsi="仿宋" w:eastAsia="仿宋" w:cs="仿宋"/>
          <w:b w:val="0"/>
          <w:bCs w:val="0"/>
          <w:snapToGrid w:val="0"/>
          <w:color w:val="auto"/>
          <w:kern w:val="0"/>
          <w:sz w:val="24"/>
          <w:szCs w:val="24"/>
          <w:highlight w:val="none"/>
          <w:shd w:val="clear" w:color="auto" w:fill="auto"/>
        </w:rPr>
        <w:t>结算</w:t>
      </w:r>
      <w:r>
        <w:rPr>
          <w:rFonts w:hint="eastAsia" w:ascii="仿宋" w:hAnsi="仿宋" w:eastAsia="仿宋" w:cs="仿宋"/>
          <w:b w:val="0"/>
          <w:bCs w:val="0"/>
          <w:snapToGrid w:val="0"/>
          <w:color w:val="auto"/>
          <w:kern w:val="0"/>
          <w:sz w:val="24"/>
          <w:szCs w:val="24"/>
          <w:highlight w:val="none"/>
          <w:shd w:val="clear" w:color="auto" w:fill="auto"/>
          <w:lang w:val="en-US" w:eastAsia="zh-CN"/>
        </w:rPr>
        <w:t>合同款时，以图书定价为依据，按照中标费率（%），计算书款</w:t>
      </w:r>
      <w:r>
        <w:rPr>
          <w:rFonts w:hint="eastAsia" w:ascii="仿宋" w:hAnsi="仿宋" w:eastAsia="仿宋" w:cs="仿宋"/>
          <w:b w:val="0"/>
          <w:bCs w:val="0"/>
          <w:snapToGrid w:val="0"/>
          <w:color w:val="auto"/>
          <w:kern w:val="0"/>
          <w:sz w:val="24"/>
          <w:szCs w:val="24"/>
          <w:highlight w:val="none"/>
          <w:shd w:val="clear" w:color="auto" w:fill="auto"/>
        </w:rPr>
        <w:t>总价</w:t>
      </w:r>
      <w:r>
        <w:rPr>
          <w:rFonts w:hint="eastAsia" w:ascii="仿宋" w:hAnsi="仿宋" w:eastAsia="仿宋" w:cs="仿宋"/>
          <w:b w:val="0"/>
          <w:bCs w:val="0"/>
          <w:snapToGrid w:val="0"/>
          <w:color w:val="auto"/>
          <w:kern w:val="0"/>
          <w:sz w:val="24"/>
          <w:szCs w:val="24"/>
          <w:highlight w:val="none"/>
          <w:shd w:val="clear" w:color="auto" w:fill="auto"/>
          <w:lang w:eastAsia="zh-CN"/>
        </w:rPr>
        <w:t>。</w:t>
      </w:r>
    </w:p>
    <w:p w14:paraId="225EAC90">
      <w:pPr>
        <w:numPr>
          <w:ilvl w:val="0"/>
          <w:numId w:val="4"/>
        </w:numPr>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合同</w:t>
      </w:r>
      <w:r>
        <w:rPr>
          <w:rFonts w:hint="eastAsia" w:ascii="仿宋" w:hAnsi="仿宋" w:eastAsia="仿宋" w:cs="仿宋"/>
          <w:color w:val="auto"/>
          <w:sz w:val="24"/>
          <w:szCs w:val="24"/>
          <w:highlight w:val="none"/>
          <w:shd w:val="clear" w:color="auto" w:fill="auto"/>
          <w:lang w:val="en-US" w:eastAsia="zh-CN"/>
        </w:rPr>
        <w:t>支付金额的上限为预算金额130万元。中标人有义务提醒采购人合同费用的实时统计情况，以免工作量超限价。</w:t>
      </w:r>
    </w:p>
    <w:p w14:paraId="06A8544C">
      <w:pPr>
        <w:adjustRightInd w:val="0"/>
        <w:snapToGrid w:val="0"/>
        <w:spacing w:line="360" w:lineRule="auto"/>
        <w:ind w:firstLine="482" w:firstLineChars="200"/>
        <w:jc w:val="left"/>
        <w:rPr>
          <w:rFonts w:hint="eastAsia" w:ascii="仿宋" w:hAnsi="仿宋" w:eastAsia="仿宋" w:cs="仿宋"/>
          <w:b/>
          <w:bCs/>
          <w:snapToGrid w:val="0"/>
          <w:color w:val="auto"/>
          <w:kern w:val="0"/>
          <w:sz w:val="24"/>
          <w:szCs w:val="24"/>
          <w:highlight w:val="none"/>
          <w:shd w:val="clear" w:color="auto" w:fill="auto"/>
          <w:lang w:val="en-US" w:eastAsia="zh-CN"/>
        </w:rPr>
      </w:pPr>
      <w:r>
        <w:rPr>
          <w:rFonts w:hint="eastAsia" w:ascii="仿宋" w:hAnsi="仿宋" w:eastAsia="仿宋" w:cs="仿宋"/>
          <w:b/>
          <w:bCs/>
          <w:snapToGrid w:val="0"/>
          <w:color w:val="auto"/>
          <w:kern w:val="0"/>
          <w:sz w:val="24"/>
          <w:szCs w:val="24"/>
          <w:highlight w:val="none"/>
          <w:shd w:val="clear" w:color="auto" w:fill="auto"/>
          <w:lang w:val="en-US" w:eastAsia="zh-CN"/>
        </w:rPr>
        <w:t>4、</w:t>
      </w:r>
      <w:r>
        <w:rPr>
          <w:rFonts w:hint="eastAsia" w:ascii="仿宋" w:hAnsi="仿宋" w:eastAsia="仿宋" w:cs="仿宋"/>
          <w:b/>
          <w:bCs/>
          <w:snapToGrid w:val="0"/>
          <w:color w:val="auto"/>
          <w:kern w:val="0"/>
          <w:sz w:val="24"/>
          <w:szCs w:val="24"/>
          <w:highlight w:val="none"/>
          <w:shd w:val="clear" w:color="auto" w:fill="auto"/>
          <w:lang w:val="zh-CN" w:eastAsia="zh-CN"/>
        </w:rPr>
        <w:t>特别说明：投标人报价低于本项目预算50%的（</w:t>
      </w:r>
      <w:r>
        <w:rPr>
          <w:rFonts w:hint="eastAsia" w:ascii="仿宋" w:hAnsi="仿宋" w:eastAsia="仿宋" w:cs="仿宋"/>
          <w:b/>
          <w:bCs/>
          <w:snapToGrid w:val="0"/>
          <w:color w:val="auto"/>
          <w:kern w:val="0"/>
          <w:sz w:val="24"/>
          <w:szCs w:val="24"/>
          <w:highlight w:val="none"/>
          <w:shd w:val="clear" w:color="auto" w:fill="auto"/>
          <w:lang w:val="en-US" w:eastAsia="zh-CN"/>
        </w:rPr>
        <w:t>报价费率低于50%的</w:t>
      </w:r>
      <w:r>
        <w:rPr>
          <w:rFonts w:hint="eastAsia" w:ascii="仿宋" w:hAnsi="仿宋" w:eastAsia="仿宋" w:cs="仿宋"/>
          <w:b/>
          <w:bCs/>
          <w:snapToGrid w:val="0"/>
          <w:color w:val="auto"/>
          <w:kern w:val="0"/>
          <w:sz w:val="24"/>
          <w:szCs w:val="24"/>
          <w:highlight w:val="none"/>
          <w:shd w:val="clear" w:color="auto" w:fill="auto"/>
          <w:lang w:val="zh-CN" w:eastAsia="zh-CN"/>
        </w:rPr>
        <w:t>），应当在报价文件中详细阐述不影响</w:t>
      </w:r>
      <w:r>
        <w:rPr>
          <w:rFonts w:hint="eastAsia" w:ascii="仿宋" w:hAnsi="仿宋" w:eastAsia="仿宋" w:cs="仿宋"/>
          <w:b/>
          <w:bCs/>
          <w:snapToGrid w:val="0"/>
          <w:color w:val="auto"/>
          <w:kern w:val="0"/>
          <w:sz w:val="24"/>
          <w:szCs w:val="24"/>
          <w:highlight w:val="none"/>
          <w:shd w:val="clear" w:color="auto" w:fill="auto"/>
          <w:lang w:val="en-US" w:eastAsia="zh-CN"/>
        </w:rPr>
        <w:t>供货/</w:t>
      </w:r>
      <w:r>
        <w:rPr>
          <w:rFonts w:hint="eastAsia" w:ascii="仿宋" w:hAnsi="仿宋" w:eastAsia="仿宋" w:cs="仿宋"/>
          <w:b/>
          <w:bCs/>
          <w:snapToGrid w:val="0"/>
          <w:color w:val="auto"/>
          <w:kern w:val="0"/>
          <w:sz w:val="24"/>
          <w:szCs w:val="24"/>
          <w:highlight w:val="none"/>
          <w:shd w:val="clear" w:color="auto" w:fill="auto"/>
          <w:lang w:val="zh-CN" w:eastAsia="zh-CN"/>
        </w:rPr>
        <w:t>服务质量或者诚信履约的具体原因。</w:t>
      </w:r>
    </w:p>
    <w:p w14:paraId="783E9E69">
      <w:pPr>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（二）履约担保：无。</w:t>
      </w:r>
    </w:p>
    <w:p w14:paraId="52A49A97">
      <w:pPr>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（三）合同款支付</w:t>
      </w:r>
    </w:p>
    <w:p w14:paraId="22C6B960">
      <w:pPr>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1、预付款</w:t>
      </w:r>
    </w:p>
    <w:p w14:paraId="0325DDE7">
      <w:pPr>
        <w:pStyle w:val="3"/>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合同生效后具备实施条件5个工作日内</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向</w:t>
      </w:r>
      <w:r>
        <w:rPr>
          <w:rFonts w:hint="eastAsia" w:ascii="仿宋" w:hAnsi="仿宋" w:eastAsia="仿宋" w:cs="仿宋"/>
          <w:color w:val="auto"/>
          <w:sz w:val="24"/>
          <w:highlight w:val="none"/>
          <w:lang w:val="en-US" w:eastAsia="zh-CN"/>
        </w:rPr>
        <w:t>中标人</w:t>
      </w:r>
      <w:r>
        <w:rPr>
          <w:rFonts w:hint="eastAsia" w:ascii="仿宋" w:hAnsi="仿宋" w:eastAsia="仿宋" w:cs="仿宋"/>
          <w:color w:val="auto"/>
          <w:sz w:val="24"/>
          <w:highlight w:val="none"/>
        </w:rPr>
        <w:t>支付</w:t>
      </w:r>
      <w:r>
        <w:rPr>
          <w:rFonts w:hint="eastAsia" w:ascii="仿宋" w:hAnsi="仿宋" w:eastAsia="仿宋" w:cs="仿宋"/>
          <w:color w:val="auto"/>
          <w:sz w:val="24"/>
          <w:highlight w:val="none"/>
          <w:lang w:val="en-US" w:eastAsia="zh-CN"/>
        </w:rPr>
        <w:t>暂定合同总价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即项目预算</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作为预付款</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shd w:val="clear" w:color="auto" w:fill="auto"/>
          <w:lang w:val="en-US" w:eastAsia="zh-CN"/>
        </w:rPr>
        <w:t>（中标人为大型企业的，预付款按此要求执行）</w:t>
      </w:r>
    </w:p>
    <w:p w14:paraId="3041A468">
      <w:pPr>
        <w:pStyle w:val="3"/>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支付了预付款的，采购人有权要求中标人提供预付款金额等额的且不可撤销的预付款保函。预付款金额可抵扣合同款；</w:t>
      </w:r>
    </w:p>
    <w:p w14:paraId="2D776BBA">
      <w:pPr>
        <w:pStyle w:val="3"/>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在签订合同时，中标人明确表示无需预付款或者主动要求降低预付款比例的，可不适用预付款相关规定。</w:t>
      </w:r>
    </w:p>
    <w:p w14:paraId="00791457">
      <w:pPr>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2、付款方式</w:t>
      </w:r>
    </w:p>
    <w:p w14:paraId="4BF04593">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结算：项目结算金额=采购图书码洋*费率</w:t>
      </w:r>
      <w:r>
        <w:rPr>
          <w:rFonts w:hint="eastAsia" w:ascii="仿宋" w:hAnsi="仿宋" w:eastAsia="仿宋" w:cs="仿宋"/>
          <w:b w:val="0"/>
          <w:bCs w:val="0"/>
          <w:snapToGrid w:val="0"/>
          <w:color w:val="auto"/>
          <w:kern w:val="0"/>
          <w:sz w:val="24"/>
          <w:szCs w:val="24"/>
          <w:highlight w:val="none"/>
          <w:shd w:val="clear" w:color="auto" w:fill="auto"/>
          <w:lang w:val="en-US" w:eastAsia="zh-CN"/>
        </w:rPr>
        <w:t>（%）</w:t>
      </w:r>
      <w:r>
        <w:rPr>
          <w:rFonts w:hint="eastAsia" w:ascii="仿宋" w:hAnsi="仿宋" w:eastAsia="仿宋" w:cs="仿宋"/>
          <w:color w:val="auto"/>
          <w:sz w:val="24"/>
          <w:szCs w:val="24"/>
          <w:highlight w:val="none"/>
          <w:shd w:val="clear" w:color="auto" w:fill="auto"/>
          <w:lang w:val="en-US" w:eastAsia="zh-CN"/>
        </w:rPr>
        <w:t>。全部货物（图书）交付并通过验收后，向中标人一次性支付剩余款项。结算之前要先同业务联系人联系，核实发票的抬头、格式，标明码洋、销售折扣、实洋、图书种、册等内容。并附带总清单、详细清单。</w:t>
      </w:r>
    </w:p>
    <w:p w14:paraId="2D69C867">
      <w:pPr>
        <w:tabs>
          <w:tab w:val="left" w:pos="0"/>
        </w:tabs>
        <w:adjustRightInd w:val="0"/>
        <w:snapToGrid w:val="0"/>
        <w:spacing w:line="360" w:lineRule="auto"/>
        <w:ind w:firstLine="480" w:firstLineChars="200"/>
        <w:rPr>
          <w:rFonts w:hint="default"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说明：</w:t>
      </w:r>
      <w:r>
        <w:rPr>
          <w:rFonts w:hint="eastAsia" w:ascii="仿宋" w:hAnsi="仿宋" w:eastAsia="仿宋" w:cs="仿宋"/>
          <w:color w:val="auto"/>
          <w:sz w:val="24"/>
          <w:szCs w:val="24"/>
          <w:highlight w:val="none"/>
          <w:lang w:val="en-US" w:eastAsia="zh-CN"/>
        </w:rPr>
        <w:t>付款前，</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必须提供给</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相应</w:t>
      </w:r>
      <w:r>
        <w:rPr>
          <w:rFonts w:hint="eastAsia" w:ascii="仿宋" w:hAnsi="仿宋" w:eastAsia="仿宋" w:cs="仿宋"/>
          <w:color w:val="auto"/>
          <w:sz w:val="24"/>
          <w:szCs w:val="24"/>
          <w:highlight w:val="none"/>
          <w:lang w:val="en-US" w:eastAsia="zh-CN"/>
        </w:rPr>
        <w:t>款项</w:t>
      </w:r>
      <w:r>
        <w:rPr>
          <w:rFonts w:hint="eastAsia" w:ascii="仿宋" w:hAnsi="仿宋" w:eastAsia="仿宋" w:cs="仿宋"/>
          <w:color w:val="auto"/>
          <w:sz w:val="24"/>
          <w:szCs w:val="24"/>
          <w:highlight w:val="none"/>
        </w:rPr>
        <w:t>一致的全额、正规、合法、有效的发票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采购人自收到中标人</w:t>
      </w:r>
      <w:r>
        <w:rPr>
          <w:rFonts w:hint="eastAsia" w:ascii="仿宋" w:hAnsi="仿宋" w:eastAsia="仿宋" w:cs="仿宋"/>
          <w:color w:val="auto"/>
          <w:sz w:val="24"/>
          <w:szCs w:val="24"/>
          <w:highlight w:val="none"/>
          <w:lang w:val="en-US" w:eastAsia="zh-CN"/>
        </w:rPr>
        <w:t>支付申请及发票的5</w:t>
      </w:r>
      <w:r>
        <w:rPr>
          <w:rFonts w:hint="eastAsia" w:ascii="仿宋" w:hAnsi="仿宋" w:eastAsia="仿宋" w:cs="仿宋"/>
          <w:color w:val="auto"/>
          <w:sz w:val="24"/>
          <w:szCs w:val="24"/>
          <w:highlight w:val="none"/>
        </w:rPr>
        <w:t>个工作日内</w:t>
      </w:r>
      <w:r>
        <w:rPr>
          <w:rFonts w:hint="eastAsia" w:ascii="仿宋" w:hAnsi="仿宋" w:eastAsia="仿宋" w:cs="仿宋"/>
          <w:color w:val="auto"/>
          <w:sz w:val="24"/>
          <w:szCs w:val="24"/>
          <w:highlight w:val="none"/>
          <w:lang w:eastAsia="zh-CN"/>
        </w:rPr>
        <w:t>支付相应款项。</w:t>
      </w:r>
    </w:p>
    <w:p w14:paraId="21E56C16">
      <w:pPr>
        <w:pStyle w:val="5"/>
        <w:spacing w:before="120" w:after="120" w:line="360" w:lineRule="auto"/>
        <w:rPr>
          <w:rFonts w:hint="eastAsia" w:ascii="仿宋" w:hAnsi="仿宋" w:eastAsia="仿宋" w:cs="仿宋"/>
          <w:b/>
          <w:bCs/>
          <w:color w:val="auto"/>
          <w:sz w:val="24"/>
          <w:szCs w:val="24"/>
          <w:highlight w:val="none"/>
          <w:shd w:val="clear" w:color="auto" w:fill="auto"/>
          <w:lang w:val="en-US" w:eastAsia="zh-CN"/>
        </w:rPr>
      </w:pPr>
      <w:bookmarkStart w:id="87" w:name="_Toc4297"/>
      <w:bookmarkStart w:id="88" w:name="_Toc21100"/>
      <w:bookmarkStart w:id="89" w:name="_Toc8222"/>
      <w:bookmarkStart w:id="90" w:name="_Toc26611"/>
      <w:r>
        <w:rPr>
          <w:rFonts w:hint="eastAsia" w:ascii="仿宋" w:hAnsi="仿宋" w:eastAsia="仿宋" w:cs="仿宋"/>
          <w:b/>
          <w:bCs/>
          <w:color w:val="auto"/>
          <w:sz w:val="24"/>
          <w:szCs w:val="24"/>
          <w:highlight w:val="none"/>
          <w:shd w:val="clear" w:color="auto" w:fill="auto"/>
          <w:lang w:val="en-US" w:eastAsia="zh-CN"/>
        </w:rPr>
        <w:t>七、验收</w:t>
      </w:r>
      <w:bookmarkEnd w:id="87"/>
      <w:bookmarkEnd w:id="88"/>
      <w:bookmarkEnd w:id="89"/>
      <w:bookmarkEnd w:id="90"/>
    </w:p>
    <w:p w14:paraId="296261AE">
      <w:pPr>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（一）交付验收</w:t>
      </w:r>
    </w:p>
    <w:p w14:paraId="384717AF">
      <w:pPr>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采购人对中标人送交的图书依据招标文件上的要求标准进行验收。验收不合格的，采购人不予接收。</w:t>
      </w:r>
    </w:p>
    <w:p w14:paraId="36814B95">
      <w:pPr>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（二）履约验收</w:t>
      </w:r>
    </w:p>
    <w:p w14:paraId="4E8255C5">
      <w:pPr>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lang w:val="zh-CN" w:eastAsia="zh-CN"/>
        </w:rPr>
      </w:pPr>
      <w:r>
        <w:rPr>
          <w:rFonts w:hint="eastAsia" w:ascii="仿宋" w:hAnsi="仿宋" w:eastAsia="仿宋" w:cs="仿宋"/>
          <w:color w:val="auto"/>
          <w:sz w:val="24"/>
          <w:szCs w:val="24"/>
          <w:highlight w:val="none"/>
          <w:shd w:val="clear" w:color="auto" w:fill="auto"/>
          <w:lang w:val="en-US" w:eastAsia="zh-CN"/>
        </w:rPr>
        <w:t>1、</w:t>
      </w:r>
      <w:r>
        <w:rPr>
          <w:rFonts w:hint="eastAsia" w:ascii="仿宋" w:hAnsi="仿宋" w:eastAsia="仿宋" w:cs="仿宋"/>
          <w:color w:val="auto"/>
          <w:sz w:val="24"/>
          <w:szCs w:val="24"/>
          <w:highlight w:val="none"/>
          <w:shd w:val="clear" w:color="auto" w:fill="auto"/>
          <w:lang w:val="zh-CN" w:eastAsia="zh-CN"/>
        </w:rPr>
        <w:t>本项目</w:t>
      </w:r>
      <w:r>
        <w:rPr>
          <w:rFonts w:hint="eastAsia" w:ascii="仿宋" w:hAnsi="仿宋" w:eastAsia="仿宋" w:cs="仿宋"/>
          <w:color w:val="auto"/>
          <w:sz w:val="24"/>
          <w:szCs w:val="24"/>
          <w:highlight w:val="none"/>
          <w:shd w:val="clear" w:color="auto" w:fill="auto"/>
          <w:lang w:val="en-US" w:eastAsia="zh-CN"/>
        </w:rPr>
        <w:t>组织</w:t>
      </w:r>
      <w:r>
        <w:rPr>
          <w:rFonts w:hint="eastAsia" w:ascii="仿宋" w:hAnsi="仿宋" w:eastAsia="仿宋" w:cs="仿宋"/>
          <w:color w:val="auto"/>
          <w:sz w:val="24"/>
          <w:szCs w:val="24"/>
          <w:highlight w:val="none"/>
          <w:shd w:val="clear" w:color="auto" w:fill="auto"/>
          <w:lang w:val="zh-CN" w:eastAsia="zh-CN"/>
        </w:rPr>
        <w:t>履约验收，验收合格的情况作为项目支付的依据。</w:t>
      </w:r>
    </w:p>
    <w:p w14:paraId="7C191047">
      <w:pPr>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lang w:val="zh-CN" w:eastAsia="zh-CN"/>
        </w:rPr>
      </w:pPr>
      <w:r>
        <w:rPr>
          <w:rFonts w:hint="eastAsia" w:ascii="仿宋" w:hAnsi="仿宋" w:eastAsia="仿宋" w:cs="仿宋"/>
          <w:color w:val="auto"/>
          <w:sz w:val="24"/>
          <w:szCs w:val="24"/>
          <w:highlight w:val="none"/>
          <w:shd w:val="clear" w:color="auto" w:fill="auto"/>
          <w:lang w:val="zh-CN" w:eastAsia="zh-CN"/>
        </w:rPr>
        <w:t>验收依据：①采购文件确定的技术指标或者服务要求；②投标文件承诺、询标回复；③服务合同、甲方制定的考核标准。未进行相应约定的，应当符合国家强制性规定、政策要求、安全标准、行业或企业有关标准等。</w:t>
      </w:r>
    </w:p>
    <w:p w14:paraId="3B826335">
      <w:pPr>
        <w:adjustRightInd w:val="0"/>
        <w:snapToGrid w:val="0"/>
        <w:spacing w:line="360" w:lineRule="auto"/>
        <w:ind w:firstLine="480" w:firstLineChars="200"/>
        <w:jc w:val="left"/>
        <w:rPr>
          <w:rFonts w:hint="eastAsia" w:ascii="仿宋" w:hAnsi="仿宋" w:eastAsia="仿宋" w:cs="仿宋"/>
          <w:snapToGrid w:val="0"/>
          <w:color w:val="auto"/>
          <w:kern w:val="0"/>
          <w:sz w:val="24"/>
          <w:szCs w:val="24"/>
          <w:highlight w:val="none"/>
          <w:shd w:val="clear" w:color="auto" w:fill="auto"/>
          <w:lang w:val="zh-CN"/>
        </w:rPr>
      </w:pPr>
      <w:r>
        <w:rPr>
          <w:rFonts w:hint="eastAsia" w:ascii="仿宋" w:hAnsi="仿宋" w:eastAsia="仿宋" w:cs="仿宋"/>
          <w:color w:val="auto"/>
          <w:sz w:val="24"/>
          <w:szCs w:val="24"/>
          <w:highlight w:val="none"/>
          <w:shd w:val="clear" w:color="auto" w:fill="auto"/>
          <w:lang w:val="en-US" w:eastAsia="zh-CN"/>
        </w:rPr>
        <w:t>2、本项目的验收标准：采购人订单及中标人交付清单；中标人服务内容及总结</w:t>
      </w:r>
      <w:r>
        <w:rPr>
          <w:rFonts w:hint="eastAsia" w:ascii="仿宋" w:hAnsi="仿宋" w:eastAsia="仿宋" w:cs="仿宋"/>
          <w:color w:val="auto"/>
          <w:sz w:val="24"/>
          <w:szCs w:val="24"/>
          <w:highlight w:val="none"/>
          <w:shd w:val="clear" w:color="auto" w:fill="auto"/>
          <w:lang w:val="zh-CN" w:eastAsia="zh-CN"/>
        </w:rPr>
        <w:t>（</w:t>
      </w:r>
      <w:r>
        <w:rPr>
          <w:rFonts w:hint="eastAsia" w:ascii="仿宋" w:hAnsi="仿宋" w:eastAsia="仿宋" w:cs="仿宋"/>
          <w:color w:val="auto"/>
          <w:sz w:val="24"/>
          <w:szCs w:val="24"/>
          <w:highlight w:val="none"/>
          <w:shd w:val="clear" w:color="auto" w:fill="auto"/>
          <w:lang w:val="en-US" w:eastAsia="zh-CN"/>
        </w:rPr>
        <w:t>中标人应</w:t>
      </w:r>
      <w:r>
        <w:rPr>
          <w:rFonts w:hint="eastAsia" w:ascii="仿宋" w:hAnsi="仿宋" w:eastAsia="仿宋" w:cs="仿宋"/>
          <w:color w:val="auto"/>
          <w:sz w:val="24"/>
          <w:szCs w:val="24"/>
          <w:highlight w:val="none"/>
          <w:shd w:val="clear" w:color="auto" w:fill="auto"/>
          <w:lang w:val="zh-CN" w:eastAsia="zh-CN"/>
        </w:rPr>
        <w:t>提交的</w:t>
      </w:r>
      <w:r>
        <w:rPr>
          <w:rFonts w:hint="eastAsia" w:ascii="仿宋" w:hAnsi="仿宋" w:eastAsia="仿宋" w:cs="仿宋"/>
          <w:color w:val="auto"/>
          <w:sz w:val="24"/>
          <w:szCs w:val="24"/>
          <w:highlight w:val="none"/>
          <w:shd w:val="clear" w:color="auto" w:fill="auto"/>
          <w:lang w:val="en-US" w:eastAsia="zh-CN"/>
        </w:rPr>
        <w:t>服务过程</w:t>
      </w:r>
      <w:r>
        <w:rPr>
          <w:rFonts w:hint="eastAsia" w:ascii="仿宋" w:hAnsi="仿宋" w:eastAsia="仿宋" w:cs="仿宋"/>
          <w:color w:val="auto"/>
          <w:sz w:val="24"/>
          <w:szCs w:val="24"/>
          <w:highlight w:val="none"/>
          <w:shd w:val="clear" w:color="auto" w:fill="auto"/>
          <w:lang w:val="zh-CN" w:eastAsia="zh-CN"/>
        </w:rPr>
        <w:t>照片、总结等资料）。</w:t>
      </w:r>
      <w:r>
        <w:rPr>
          <w:rFonts w:hint="eastAsia" w:ascii="仿宋" w:hAnsi="仿宋" w:eastAsia="仿宋" w:cs="仿宋"/>
          <w:color w:val="auto"/>
          <w:sz w:val="24"/>
          <w:szCs w:val="24"/>
          <w:highlight w:val="none"/>
          <w:shd w:val="clear" w:color="auto" w:fill="auto"/>
          <w:lang w:val="en-US" w:eastAsia="zh-CN"/>
        </w:rPr>
        <w:t>要求台账记录清晰完整、</w:t>
      </w:r>
      <w:r>
        <w:rPr>
          <w:rFonts w:hint="eastAsia" w:ascii="仿宋" w:hAnsi="仿宋" w:eastAsia="仿宋" w:cs="仿宋"/>
          <w:color w:val="auto"/>
          <w:sz w:val="24"/>
          <w:szCs w:val="24"/>
          <w:highlight w:val="none"/>
          <w:shd w:val="clear" w:color="auto" w:fill="auto"/>
          <w:lang w:val="zh-CN" w:eastAsia="zh-CN"/>
        </w:rPr>
        <w:t>质量反馈表良好、材料完备。</w:t>
      </w:r>
    </w:p>
    <w:p w14:paraId="10F8A711">
      <w:pPr>
        <w:pStyle w:val="5"/>
        <w:spacing w:before="120" w:after="120" w:line="360" w:lineRule="auto"/>
        <w:rPr>
          <w:rFonts w:hint="eastAsia" w:ascii="仿宋" w:hAnsi="仿宋" w:eastAsia="仿宋" w:cs="仿宋"/>
          <w:color w:val="auto"/>
          <w:sz w:val="24"/>
          <w:szCs w:val="24"/>
          <w:highlight w:val="none"/>
          <w:shd w:val="clear" w:color="auto" w:fill="auto"/>
          <w:lang w:val="en-US" w:eastAsia="zh-CN"/>
        </w:rPr>
      </w:pPr>
      <w:bookmarkStart w:id="91" w:name="_Toc25836"/>
      <w:bookmarkStart w:id="92" w:name="_Toc13330"/>
      <w:bookmarkStart w:id="93" w:name="_Toc13452"/>
      <w:bookmarkStart w:id="94" w:name="_Toc7778"/>
      <w:r>
        <w:rPr>
          <w:rFonts w:hint="eastAsia" w:ascii="仿宋" w:hAnsi="仿宋" w:eastAsia="仿宋" w:cs="仿宋"/>
          <w:color w:val="auto"/>
          <w:sz w:val="24"/>
          <w:szCs w:val="24"/>
          <w:highlight w:val="none"/>
          <w:shd w:val="clear" w:color="auto" w:fill="auto"/>
          <w:lang w:val="en-US" w:eastAsia="zh-CN"/>
        </w:rPr>
        <w:t>八</w:t>
      </w:r>
      <w:r>
        <w:rPr>
          <w:rFonts w:hint="eastAsia" w:ascii="仿宋" w:hAnsi="仿宋" w:eastAsia="仿宋" w:cs="仿宋"/>
          <w:color w:val="auto"/>
          <w:sz w:val="24"/>
          <w:szCs w:val="24"/>
          <w:highlight w:val="none"/>
          <w:shd w:val="clear" w:color="auto" w:fill="auto"/>
          <w:lang w:val="zh-CN"/>
        </w:rPr>
        <w:t>、其他</w:t>
      </w:r>
      <w:bookmarkEnd w:id="91"/>
      <w:bookmarkEnd w:id="92"/>
      <w:r>
        <w:rPr>
          <w:rFonts w:hint="eastAsia" w:ascii="仿宋" w:hAnsi="仿宋" w:eastAsia="仿宋" w:cs="仿宋"/>
          <w:color w:val="auto"/>
          <w:sz w:val="24"/>
          <w:szCs w:val="24"/>
          <w:highlight w:val="none"/>
          <w:shd w:val="clear" w:color="auto" w:fill="auto"/>
          <w:lang w:val="en-US" w:eastAsia="zh-CN"/>
        </w:rPr>
        <w:t>投标要求</w:t>
      </w:r>
      <w:bookmarkEnd w:id="93"/>
      <w:bookmarkEnd w:id="94"/>
    </w:p>
    <w:p w14:paraId="78E1CB2F">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（一）投标人要求</w:t>
      </w:r>
    </w:p>
    <w:p w14:paraId="1067AE4F">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1、为确保项目的顺利实施，投标人应有类似的</w:t>
      </w:r>
      <w:r>
        <w:rPr>
          <w:rFonts w:hint="eastAsia" w:ascii="仿宋" w:hAnsi="仿宋" w:eastAsia="仿宋" w:cs="仿宋"/>
          <w:color w:val="auto"/>
          <w:kern w:val="0"/>
          <w:sz w:val="24"/>
          <w:szCs w:val="24"/>
          <w:highlight w:val="none"/>
          <w:shd w:val="clear" w:color="auto" w:fill="auto"/>
          <w:lang w:val="en-US"/>
        </w:rPr>
        <w:t>公共图书馆供应图书</w:t>
      </w:r>
      <w:r>
        <w:rPr>
          <w:rFonts w:hint="eastAsia" w:ascii="仿宋" w:hAnsi="仿宋" w:eastAsia="仿宋" w:cs="仿宋"/>
          <w:color w:val="auto"/>
          <w:kern w:val="0"/>
          <w:sz w:val="24"/>
          <w:szCs w:val="24"/>
          <w:highlight w:val="none"/>
          <w:shd w:val="clear" w:color="auto" w:fill="auto"/>
          <w:lang w:val="en-US" w:eastAsia="zh-CN"/>
        </w:rPr>
        <w:t>供货业绩</w:t>
      </w:r>
      <w:r>
        <w:rPr>
          <w:rFonts w:hint="eastAsia" w:ascii="仿宋" w:hAnsi="仿宋" w:eastAsia="仿宋" w:cs="仿宋"/>
          <w:snapToGrid w:val="0"/>
          <w:color w:val="auto"/>
          <w:kern w:val="0"/>
          <w:sz w:val="24"/>
          <w:szCs w:val="24"/>
          <w:highlight w:val="none"/>
          <w:shd w:val="clear" w:color="auto" w:fill="auto"/>
          <w:lang w:val="en-US" w:eastAsia="zh-CN"/>
        </w:rPr>
        <w:t>经验。</w:t>
      </w:r>
    </w:p>
    <w:p w14:paraId="2F7B7D69">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2、投标人应能提供快速的服务响应，具有较强的项目管理、技术服务和组织实施能力。</w:t>
      </w:r>
    </w:p>
    <w:p w14:paraId="284752E0">
      <w:pPr>
        <w:pStyle w:val="19"/>
        <w:rPr>
          <w:rFonts w:hint="eastAsia" w:ascii="仿宋" w:hAnsi="仿宋" w:eastAsia="仿宋" w:cs="仿宋"/>
          <w:color w:val="auto"/>
          <w:sz w:val="24"/>
          <w:highlight w:val="none"/>
          <w:lang w:eastAsia="zh-CN"/>
        </w:rPr>
      </w:pPr>
      <w:r>
        <w:rPr>
          <w:rFonts w:hint="eastAsia" w:ascii="仿宋" w:hAnsi="仿宋" w:eastAsia="仿宋" w:cs="仿宋"/>
          <w:snapToGrid w:val="0"/>
          <w:color w:val="auto"/>
          <w:kern w:val="0"/>
          <w:sz w:val="24"/>
          <w:szCs w:val="24"/>
          <w:highlight w:val="none"/>
          <w:shd w:val="clear" w:color="auto" w:fill="auto"/>
          <w:lang w:val="en-US" w:eastAsia="zh-CN"/>
        </w:rPr>
        <w:t>3、</w:t>
      </w: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val="en-US" w:eastAsia="zh-CN"/>
        </w:rPr>
        <w:t>具有有效</w:t>
      </w:r>
      <w:r>
        <w:rPr>
          <w:rFonts w:hint="eastAsia" w:ascii="仿宋" w:hAnsi="仿宋" w:eastAsia="仿宋" w:cs="仿宋"/>
          <w:color w:val="auto"/>
          <w:sz w:val="24"/>
          <w:highlight w:val="none"/>
        </w:rPr>
        <w:t>质量管理体系</w:t>
      </w:r>
      <w:r>
        <w:rPr>
          <w:rFonts w:hint="eastAsia" w:ascii="仿宋" w:hAnsi="仿宋" w:eastAsia="仿宋" w:cs="仿宋"/>
          <w:color w:val="auto"/>
          <w:sz w:val="24"/>
          <w:highlight w:val="none"/>
          <w:lang w:val="en-US" w:eastAsia="zh-CN"/>
        </w:rPr>
        <w:t>认证</w:t>
      </w:r>
      <w:r>
        <w:rPr>
          <w:rFonts w:hint="eastAsia" w:ascii="仿宋" w:hAnsi="仿宋" w:eastAsia="仿宋" w:cs="仿宋"/>
          <w:color w:val="auto"/>
          <w:sz w:val="24"/>
          <w:highlight w:val="none"/>
        </w:rPr>
        <w:t>、环境管理体系认证、</w:t>
      </w:r>
      <w:r>
        <w:rPr>
          <w:rFonts w:hint="eastAsia" w:ascii="仿宋" w:hAnsi="仿宋" w:eastAsia="仿宋" w:cs="仿宋"/>
          <w:color w:val="auto"/>
          <w:sz w:val="24"/>
          <w:highlight w:val="none"/>
          <w:lang w:val="en-US" w:eastAsia="zh-CN"/>
        </w:rPr>
        <w:t>中国</w:t>
      </w:r>
      <w:r>
        <w:rPr>
          <w:rFonts w:hint="eastAsia" w:ascii="仿宋" w:hAnsi="仿宋" w:eastAsia="仿宋" w:cs="仿宋"/>
          <w:color w:val="auto"/>
          <w:sz w:val="24"/>
          <w:highlight w:val="none"/>
        </w:rPr>
        <w:t>职业健康安全管理体系认证</w:t>
      </w:r>
      <w:r>
        <w:rPr>
          <w:rFonts w:hint="eastAsia" w:ascii="仿宋" w:hAnsi="仿宋" w:eastAsia="仿宋" w:cs="仿宋"/>
          <w:color w:val="auto"/>
          <w:sz w:val="24"/>
          <w:highlight w:val="none"/>
          <w:lang w:eastAsia="zh-CN"/>
        </w:rPr>
        <w:t>。</w:t>
      </w:r>
    </w:p>
    <w:p w14:paraId="07068190">
      <w:pPr>
        <w:pStyle w:val="19"/>
        <w:rPr>
          <w:rFonts w:hint="eastAsia" w:ascii="仿宋" w:hAnsi="仿宋" w:eastAsia="仿宋" w:cs="仿宋"/>
          <w:snapToGrid/>
          <w:color w:val="auto"/>
          <w:kern w:val="2"/>
          <w:sz w:val="24"/>
          <w:szCs w:val="20"/>
          <w:highlight w:val="none"/>
          <w:shd w:val="clear" w:color="auto" w:fill="auto"/>
          <w:lang w:val="en-US" w:eastAsia="zh-CN"/>
        </w:rPr>
      </w:pPr>
      <w:r>
        <w:rPr>
          <w:rFonts w:hint="eastAsia" w:ascii="仿宋" w:hAnsi="仿宋" w:eastAsia="仿宋" w:cs="仿宋"/>
          <w:color w:val="auto"/>
          <w:sz w:val="24"/>
          <w:highlight w:val="none"/>
          <w:lang w:val="en-US" w:eastAsia="zh-CN"/>
        </w:rPr>
        <w:t>4、投标人应</w:t>
      </w:r>
      <w:r>
        <w:rPr>
          <w:rFonts w:hint="eastAsia" w:ascii="仿宋" w:hAnsi="仿宋" w:eastAsia="仿宋" w:cs="仿宋"/>
          <w:snapToGrid/>
          <w:color w:val="auto"/>
          <w:kern w:val="2"/>
          <w:sz w:val="24"/>
          <w:szCs w:val="20"/>
          <w:highlight w:val="none"/>
          <w:shd w:val="clear" w:color="auto" w:fill="auto"/>
          <w:lang w:val="en-US" w:eastAsia="zh-CN"/>
        </w:rPr>
        <w:t>有合适的采购渠道，其中有供书保障的各类出版社数量至少100家，建议300家以上。投标时可提供合作的出版社清单，并承担真实有效的责任；出版社应至少包含“三、采购要求”、“（一）采购对象”中列出的出版物出版社。</w:t>
      </w:r>
    </w:p>
    <w:p w14:paraId="758EAE0E">
      <w:pPr>
        <w:pStyle w:val="19"/>
        <w:rPr>
          <w:rFonts w:hint="eastAsia" w:ascii="仿宋" w:hAnsi="仿宋" w:eastAsia="仿宋" w:cs="仿宋"/>
          <w:snapToGrid/>
          <w:color w:val="auto"/>
          <w:kern w:val="2"/>
          <w:sz w:val="24"/>
          <w:szCs w:val="20"/>
          <w:highlight w:val="none"/>
          <w:shd w:val="clear" w:color="auto" w:fill="auto"/>
          <w:lang w:val="en-US" w:eastAsia="zh-CN"/>
        </w:rPr>
      </w:pPr>
      <w:r>
        <w:rPr>
          <w:rFonts w:hint="eastAsia" w:ascii="仿宋" w:hAnsi="仿宋" w:eastAsia="仿宋" w:cs="仿宋"/>
          <w:snapToGrid/>
          <w:color w:val="auto"/>
          <w:kern w:val="2"/>
          <w:sz w:val="24"/>
          <w:szCs w:val="20"/>
          <w:highlight w:val="none"/>
          <w:shd w:val="clear" w:color="auto" w:fill="auto"/>
          <w:lang w:val="en-US" w:eastAsia="zh-CN"/>
        </w:rPr>
        <w:t>5、本项目图书，投标人可提供图书现采服务（即直接线下采购方式），也可提供公共图书馆网上借书悦借服务平台（可实现类似服务内容即可）、</w:t>
      </w:r>
      <w:r>
        <w:rPr>
          <w:rFonts w:hint="eastAsia" w:ascii="仿宋" w:hAnsi="仿宋" w:eastAsia="仿宋" w:cs="仿宋"/>
          <w:color w:val="auto"/>
          <w:kern w:val="0"/>
          <w:sz w:val="24"/>
          <w:szCs w:val="24"/>
          <w:highlight w:val="none"/>
          <w:shd w:val="clear" w:color="auto" w:fill="auto"/>
          <w:lang w:val="en-US" w:eastAsia="zh-CN"/>
        </w:rPr>
        <w:t>以及杭州市“一键借阅”平台线上借书服务</w:t>
      </w:r>
      <w:r>
        <w:rPr>
          <w:rFonts w:hint="eastAsia" w:ascii="仿宋" w:hAnsi="仿宋" w:eastAsia="仿宋" w:cs="仿宋"/>
          <w:snapToGrid/>
          <w:color w:val="auto"/>
          <w:kern w:val="2"/>
          <w:sz w:val="24"/>
          <w:szCs w:val="20"/>
          <w:highlight w:val="none"/>
          <w:shd w:val="clear" w:color="auto" w:fill="auto"/>
          <w:lang w:val="en-US" w:eastAsia="zh-CN"/>
        </w:rPr>
        <w:t>。</w:t>
      </w:r>
    </w:p>
    <w:p w14:paraId="1D112F4B">
      <w:pPr>
        <w:adjustRightInd w:val="0"/>
        <w:snapToGrid w:val="0"/>
        <w:spacing w:line="360" w:lineRule="auto"/>
        <w:ind w:firstLine="480" w:firstLineChars="200"/>
        <w:rPr>
          <w:rFonts w:hint="eastAsia" w:ascii="仿宋" w:hAnsi="仿宋" w:eastAsia="仿宋" w:cs="仿宋"/>
          <w:snapToGrid w:val="0"/>
          <w:color w:val="auto"/>
          <w:kern w:val="0"/>
          <w:sz w:val="24"/>
          <w:highlight w:val="none"/>
          <w:shd w:val="clear" w:color="auto" w:fill="auto"/>
          <w:lang w:val="en-US" w:eastAsia="zh-CN"/>
        </w:rPr>
      </w:pPr>
      <w:r>
        <w:rPr>
          <w:rFonts w:hint="eastAsia" w:ascii="仿宋" w:hAnsi="仿宋" w:eastAsia="仿宋" w:cs="仿宋"/>
          <w:snapToGrid w:val="0"/>
          <w:color w:val="auto"/>
          <w:kern w:val="0"/>
          <w:sz w:val="24"/>
          <w:highlight w:val="none"/>
          <w:shd w:val="clear" w:color="auto" w:fill="auto"/>
          <w:lang w:eastAsia="zh-CN"/>
        </w:rPr>
        <w:t>（</w:t>
      </w:r>
      <w:r>
        <w:rPr>
          <w:rFonts w:hint="eastAsia" w:ascii="仿宋" w:hAnsi="仿宋" w:eastAsia="仿宋" w:cs="仿宋"/>
          <w:snapToGrid w:val="0"/>
          <w:color w:val="auto"/>
          <w:kern w:val="0"/>
          <w:sz w:val="24"/>
          <w:highlight w:val="none"/>
          <w:shd w:val="clear" w:color="auto" w:fill="auto"/>
          <w:lang w:val="en-US" w:eastAsia="zh-CN"/>
        </w:rPr>
        <w:t>二</w:t>
      </w:r>
      <w:r>
        <w:rPr>
          <w:rFonts w:hint="eastAsia" w:ascii="仿宋" w:hAnsi="仿宋" w:eastAsia="仿宋" w:cs="仿宋"/>
          <w:snapToGrid w:val="0"/>
          <w:color w:val="auto"/>
          <w:kern w:val="0"/>
          <w:sz w:val="24"/>
          <w:highlight w:val="none"/>
          <w:shd w:val="clear" w:color="auto" w:fill="auto"/>
          <w:lang w:eastAsia="zh-CN"/>
        </w:rPr>
        <w:t>）</w:t>
      </w:r>
      <w:r>
        <w:rPr>
          <w:rFonts w:hint="eastAsia" w:ascii="仿宋" w:hAnsi="仿宋" w:eastAsia="仿宋" w:cs="仿宋"/>
          <w:snapToGrid w:val="0"/>
          <w:color w:val="auto"/>
          <w:kern w:val="0"/>
          <w:sz w:val="24"/>
          <w:highlight w:val="none"/>
          <w:shd w:val="clear" w:color="auto" w:fill="auto"/>
          <w:lang w:val="en-US" w:eastAsia="zh-CN"/>
        </w:rPr>
        <w:t>项目团队要求</w:t>
      </w:r>
    </w:p>
    <w:p w14:paraId="03527C7A">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zh-CN"/>
        </w:rPr>
      </w:pPr>
      <w:r>
        <w:rPr>
          <w:rFonts w:hint="eastAsia" w:ascii="仿宋" w:hAnsi="仿宋" w:eastAsia="仿宋" w:cs="仿宋"/>
          <w:snapToGrid w:val="0"/>
          <w:color w:val="auto"/>
          <w:kern w:val="0"/>
          <w:sz w:val="24"/>
          <w:szCs w:val="24"/>
          <w:highlight w:val="none"/>
          <w:shd w:val="clear" w:color="auto" w:fill="auto"/>
          <w:lang w:val="en-US" w:eastAsia="zh-CN"/>
        </w:rPr>
        <w:t>1、投标人为本项目组建项目团队，</w:t>
      </w:r>
      <w:r>
        <w:rPr>
          <w:rFonts w:hint="eastAsia" w:ascii="仿宋" w:hAnsi="仿宋" w:eastAsia="仿宋" w:cs="仿宋"/>
          <w:snapToGrid w:val="0"/>
          <w:color w:val="auto"/>
          <w:kern w:val="0"/>
          <w:sz w:val="24"/>
          <w:highlight w:val="none"/>
          <w:lang w:val="zh-CN"/>
        </w:rPr>
        <w:t>要求服务人员数量充足、团队职责分明、经验丰富、执行力强，</w:t>
      </w:r>
      <w:r>
        <w:rPr>
          <w:rFonts w:hint="eastAsia" w:ascii="仿宋" w:hAnsi="仿宋" w:eastAsia="仿宋" w:cs="仿宋"/>
          <w:snapToGrid w:val="0"/>
          <w:color w:val="auto"/>
          <w:kern w:val="0"/>
          <w:sz w:val="24"/>
          <w:highlight w:val="none"/>
          <w:lang w:val="en-US" w:eastAsia="zh-CN"/>
        </w:rPr>
        <w:t>同时</w:t>
      </w:r>
      <w:r>
        <w:rPr>
          <w:rFonts w:hint="eastAsia" w:ascii="仿宋" w:hAnsi="仿宋" w:eastAsia="仿宋" w:cs="仿宋"/>
          <w:snapToGrid w:val="0"/>
          <w:color w:val="auto"/>
          <w:kern w:val="0"/>
          <w:sz w:val="24"/>
          <w:highlight w:val="none"/>
          <w:lang w:val="zh-CN"/>
        </w:rPr>
        <w:t>能合理有效整合资源，达到良好的</w:t>
      </w:r>
      <w:r>
        <w:rPr>
          <w:rFonts w:hint="eastAsia" w:ascii="仿宋" w:hAnsi="仿宋" w:eastAsia="仿宋" w:cs="仿宋"/>
          <w:snapToGrid w:val="0"/>
          <w:color w:val="auto"/>
          <w:kern w:val="0"/>
          <w:sz w:val="24"/>
          <w:highlight w:val="none"/>
          <w:lang w:val="en-US" w:eastAsia="zh-CN"/>
        </w:rPr>
        <w:t>服务</w:t>
      </w:r>
      <w:r>
        <w:rPr>
          <w:rFonts w:hint="eastAsia" w:ascii="仿宋" w:hAnsi="仿宋" w:eastAsia="仿宋" w:cs="仿宋"/>
          <w:snapToGrid w:val="0"/>
          <w:color w:val="auto"/>
          <w:kern w:val="0"/>
          <w:sz w:val="24"/>
          <w:highlight w:val="none"/>
          <w:lang w:val="zh-CN"/>
        </w:rPr>
        <w:t>效果。（</w:t>
      </w:r>
      <w:r>
        <w:rPr>
          <w:rFonts w:hint="eastAsia" w:ascii="仿宋" w:hAnsi="仿宋" w:eastAsia="仿宋" w:cs="仿宋"/>
          <w:b w:val="0"/>
          <w:bCs/>
          <w:color w:val="auto"/>
          <w:kern w:val="0"/>
          <w:sz w:val="24"/>
          <w:szCs w:val="24"/>
          <w:highlight w:val="none"/>
          <w:shd w:val="clear" w:color="auto" w:fill="auto"/>
        </w:rPr>
        <w:t>项目团队成员需提供</w:t>
      </w:r>
      <w:r>
        <w:rPr>
          <w:rFonts w:hint="eastAsia" w:ascii="仿宋" w:hAnsi="仿宋" w:eastAsia="仿宋" w:cs="仿宋"/>
          <w:b w:val="0"/>
          <w:bCs/>
          <w:color w:val="auto"/>
          <w:kern w:val="0"/>
          <w:sz w:val="24"/>
          <w:szCs w:val="24"/>
          <w:highlight w:val="none"/>
          <w:shd w:val="clear" w:color="auto" w:fill="auto"/>
          <w:lang w:val="en-US" w:eastAsia="zh-CN"/>
        </w:rPr>
        <w:t>姓名、身份证号码，并提供距</w:t>
      </w:r>
      <w:r>
        <w:rPr>
          <w:rFonts w:hint="eastAsia" w:ascii="仿宋" w:hAnsi="仿宋" w:eastAsia="仿宋" w:cs="仿宋"/>
          <w:b w:val="0"/>
          <w:bCs/>
          <w:color w:val="auto"/>
          <w:kern w:val="0"/>
          <w:sz w:val="24"/>
          <w:szCs w:val="24"/>
          <w:highlight w:val="none"/>
          <w:shd w:val="clear" w:color="auto" w:fill="auto"/>
        </w:rPr>
        <w:t>投标截止时间最近3个月</w:t>
      </w:r>
      <w:r>
        <w:rPr>
          <w:rFonts w:hint="eastAsia" w:ascii="仿宋" w:hAnsi="仿宋" w:eastAsia="仿宋" w:cs="仿宋"/>
          <w:b w:val="0"/>
          <w:bCs/>
          <w:color w:val="auto"/>
          <w:kern w:val="0"/>
          <w:sz w:val="24"/>
          <w:szCs w:val="24"/>
          <w:highlight w:val="none"/>
          <w:shd w:val="clear" w:color="auto" w:fill="auto"/>
          <w:lang w:val="en-US" w:eastAsia="zh-CN"/>
        </w:rPr>
        <w:t>内</w:t>
      </w:r>
      <w:r>
        <w:rPr>
          <w:rFonts w:hint="eastAsia" w:ascii="仿宋" w:hAnsi="仿宋" w:eastAsia="仿宋" w:cs="仿宋"/>
          <w:b w:val="0"/>
          <w:bCs/>
          <w:color w:val="auto"/>
          <w:kern w:val="0"/>
          <w:sz w:val="24"/>
          <w:szCs w:val="24"/>
          <w:highlight w:val="none"/>
          <w:shd w:val="clear" w:color="auto" w:fill="auto"/>
        </w:rPr>
        <w:t>任意</w:t>
      </w:r>
      <w:r>
        <w:rPr>
          <w:rFonts w:hint="eastAsia" w:ascii="仿宋" w:hAnsi="仿宋" w:eastAsia="仿宋" w:cs="仿宋"/>
          <w:b w:val="0"/>
          <w:bCs/>
          <w:color w:val="auto"/>
          <w:kern w:val="0"/>
          <w:sz w:val="24"/>
          <w:szCs w:val="24"/>
          <w:highlight w:val="none"/>
          <w:shd w:val="clear" w:color="auto" w:fill="auto"/>
          <w:lang w:val="en-US" w:eastAsia="zh-CN"/>
        </w:rPr>
        <w:t>时间出具</w:t>
      </w:r>
      <w:r>
        <w:rPr>
          <w:rFonts w:hint="eastAsia" w:ascii="仿宋" w:hAnsi="仿宋" w:eastAsia="仿宋" w:cs="仿宋"/>
          <w:b w:val="0"/>
          <w:bCs/>
          <w:color w:val="auto"/>
          <w:kern w:val="0"/>
          <w:sz w:val="24"/>
          <w:szCs w:val="24"/>
          <w:highlight w:val="none"/>
          <w:shd w:val="clear" w:color="auto" w:fill="auto"/>
        </w:rPr>
        <w:t>的社保缴纳证明，否则</w:t>
      </w:r>
      <w:r>
        <w:rPr>
          <w:rFonts w:hint="eastAsia" w:ascii="仿宋" w:hAnsi="仿宋" w:eastAsia="仿宋" w:cs="仿宋"/>
          <w:b w:val="0"/>
          <w:bCs/>
          <w:color w:val="auto"/>
          <w:kern w:val="0"/>
          <w:sz w:val="24"/>
          <w:szCs w:val="24"/>
          <w:highlight w:val="none"/>
          <w:shd w:val="clear" w:color="auto" w:fill="auto"/>
          <w:lang w:val="en-US" w:eastAsia="zh-CN"/>
        </w:rPr>
        <w:t>评审时</w:t>
      </w:r>
      <w:r>
        <w:rPr>
          <w:rFonts w:hint="eastAsia" w:ascii="仿宋" w:hAnsi="仿宋" w:eastAsia="仿宋" w:cs="仿宋"/>
          <w:b w:val="0"/>
          <w:bCs/>
          <w:color w:val="auto"/>
          <w:kern w:val="0"/>
          <w:sz w:val="24"/>
          <w:szCs w:val="24"/>
          <w:highlight w:val="none"/>
          <w:shd w:val="clear" w:color="auto" w:fill="auto"/>
        </w:rPr>
        <w:t>人员</w:t>
      </w:r>
      <w:r>
        <w:rPr>
          <w:rFonts w:hint="eastAsia" w:ascii="仿宋" w:hAnsi="仿宋" w:eastAsia="仿宋" w:cs="仿宋"/>
          <w:b w:val="0"/>
          <w:bCs/>
          <w:color w:val="auto"/>
          <w:kern w:val="0"/>
          <w:sz w:val="24"/>
          <w:szCs w:val="24"/>
          <w:highlight w:val="none"/>
          <w:shd w:val="clear" w:color="auto" w:fill="auto"/>
          <w:lang w:val="en-US" w:eastAsia="zh-CN"/>
        </w:rPr>
        <w:t>不予认可</w:t>
      </w:r>
      <w:r>
        <w:rPr>
          <w:rFonts w:hint="eastAsia" w:ascii="仿宋" w:hAnsi="仿宋" w:eastAsia="仿宋" w:cs="仿宋"/>
          <w:b w:val="0"/>
          <w:bCs/>
          <w:color w:val="auto"/>
          <w:kern w:val="0"/>
          <w:sz w:val="24"/>
          <w:szCs w:val="24"/>
          <w:highlight w:val="none"/>
          <w:shd w:val="clear" w:color="auto" w:fill="auto"/>
        </w:rPr>
        <w:t>。如社保证明为网上打印，可只提供盖有电子章的打印页</w:t>
      </w:r>
      <w:r>
        <w:rPr>
          <w:rFonts w:hint="eastAsia" w:ascii="仿宋" w:hAnsi="仿宋" w:eastAsia="仿宋" w:cs="仿宋"/>
          <w:snapToGrid w:val="0"/>
          <w:color w:val="auto"/>
          <w:kern w:val="0"/>
          <w:sz w:val="24"/>
          <w:highlight w:val="none"/>
          <w:lang w:val="zh-CN"/>
        </w:rPr>
        <w:t>）</w:t>
      </w:r>
    </w:p>
    <w:p w14:paraId="424E91A6">
      <w:pPr>
        <w:adjustRightInd w:val="0"/>
        <w:snapToGrid w:val="0"/>
        <w:spacing w:line="360" w:lineRule="auto"/>
        <w:ind w:firstLine="480" w:firstLineChars="200"/>
        <w:rPr>
          <w:rFonts w:hint="eastAsia" w:ascii="仿宋" w:hAnsi="仿宋" w:eastAsia="仿宋" w:cs="仿宋"/>
          <w:bCs/>
          <w:snapToGrid/>
          <w:color w:val="auto"/>
          <w:kern w:val="0"/>
          <w:sz w:val="24"/>
          <w:highlight w:val="none"/>
          <w:shd w:val="clear" w:color="auto" w:fill="auto"/>
          <w:lang w:val="en-US" w:eastAsia="zh-CN"/>
        </w:rPr>
      </w:pPr>
      <w:r>
        <w:rPr>
          <w:rFonts w:hint="eastAsia" w:ascii="仿宋" w:hAnsi="仿宋" w:eastAsia="仿宋" w:cs="仿宋"/>
          <w:bCs/>
          <w:snapToGrid/>
          <w:color w:val="auto"/>
          <w:kern w:val="0"/>
          <w:sz w:val="24"/>
          <w:highlight w:val="none"/>
          <w:shd w:val="clear" w:color="auto" w:fill="auto"/>
          <w:lang w:val="en-US" w:eastAsia="zh-CN"/>
        </w:rPr>
        <w:t>2、项目团队如下：</w:t>
      </w:r>
    </w:p>
    <w:p w14:paraId="199AD27A">
      <w:pPr>
        <w:adjustRightInd w:val="0"/>
        <w:snapToGrid w:val="0"/>
        <w:spacing w:line="360" w:lineRule="auto"/>
        <w:ind w:firstLine="480" w:firstLineChars="200"/>
        <w:rPr>
          <w:rFonts w:hint="eastAsia" w:ascii="仿宋" w:hAnsi="仿宋" w:eastAsia="仿宋" w:cs="仿宋"/>
          <w:bCs/>
          <w:color w:val="auto"/>
          <w:kern w:val="0"/>
          <w:sz w:val="24"/>
          <w:szCs w:val="24"/>
          <w:highlight w:val="none"/>
          <w:shd w:val="clear" w:color="auto" w:fill="auto"/>
          <w:lang w:val="en-US" w:eastAsia="zh-CN"/>
        </w:rPr>
      </w:pPr>
      <w:r>
        <w:rPr>
          <w:rFonts w:hint="eastAsia" w:ascii="仿宋" w:hAnsi="仿宋" w:eastAsia="仿宋" w:cs="仿宋"/>
          <w:bCs/>
          <w:snapToGrid/>
          <w:color w:val="auto"/>
          <w:kern w:val="0"/>
          <w:sz w:val="24"/>
          <w:highlight w:val="none"/>
          <w:shd w:val="clear" w:color="auto" w:fill="auto"/>
          <w:lang w:val="en-US" w:eastAsia="zh-CN"/>
        </w:rPr>
        <w:t>（1）项目团队指派项目负责人1名，具备</w:t>
      </w:r>
      <w:r>
        <w:rPr>
          <w:rFonts w:hint="eastAsia" w:ascii="仿宋" w:hAnsi="仿宋" w:eastAsia="仿宋" w:cs="仿宋"/>
          <w:bCs/>
          <w:color w:val="auto"/>
          <w:kern w:val="0"/>
          <w:sz w:val="24"/>
          <w:szCs w:val="24"/>
          <w:highlight w:val="none"/>
          <w:shd w:val="clear" w:color="auto" w:fill="auto"/>
          <w:lang w:val="en-US"/>
        </w:rPr>
        <w:t>中级</w:t>
      </w:r>
      <w:r>
        <w:rPr>
          <w:rFonts w:hint="eastAsia" w:ascii="仿宋" w:hAnsi="仿宋" w:eastAsia="仿宋" w:cs="仿宋"/>
          <w:bCs/>
          <w:color w:val="auto"/>
          <w:kern w:val="0"/>
          <w:sz w:val="24"/>
          <w:szCs w:val="24"/>
          <w:highlight w:val="none"/>
          <w:shd w:val="clear" w:color="auto" w:fill="auto"/>
          <w:lang w:val="en-US" w:eastAsia="zh-CN"/>
        </w:rPr>
        <w:t>或</w:t>
      </w:r>
      <w:r>
        <w:rPr>
          <w:rFonts w:hint="eastAsia" w:ascii="仿宋" w:hAnsi="仿宋" w:eastAsia="仿宋" w:cs="仿宋"/>
          <w:bCs/>
          <w:color w:val="auto"/>
          <w:kern w:val="0"/>
          <w:sz w:val="24"/>
          <w:szCs w:val="24"/>
          <w:highlight w:val="none"/>
          <w:shd w:val="clear" w:color="auto" w:fill="auto"/>
          <w:lang w:val="en-US"/>
        </w:rPr>
        <w:t>以上出版专业技术人员职称</w:t>
      </w:r>
      <w:r>
        <w:rPr>
          <w:rFonts w:hint="eastAsia" w:ascii="仿宋" w:hAnsi="仿宋" w:eastAsia="仿宋" w:cs="仿宋"/>
          <w:bCs/>
          <w:color w:val="auto"/>
          <w:kern w:val="0"/>
          <w:sz w:val="24"/>
          <w:szCs w:val="24"/>
          <w:highlight w:val="none"/>
          <w:shd w:val="clear" w:color="auto" w:fill="auto"/>
          <w:lang w:val="en-US" w:eastAsia="zh-CN"/>
        </w:rPr>
        <w:t>（人社部门颁发，以人社部发〔2021〕10号为准）。</w:t>
      </w:r>
    </w:p>
    <w:p w14:paraId="54911BE5">
      <w:pPr>
        <w:adjustRightInd w:val="0"/>
        <w:snapToGrid w:val="0"/>
        <w:spacing w:line="360" w:lineRule="auto"/>
        <w:ind w:firstLine="480" w:firstLineChars="200"/>
        <w:rPr>
          <w:rFonts w:hint="eastAsia" w:ascii="仿宋" w:hAnsi="仿宋" w:eastAsia="仿宋" w:cs="仿宋"/>
          <w:bCs/>
          <w:snapToGrid/>
          <w:color w:val="auto"/>
          <w:kern w:val="0"/>
          <w:sz w:val="24"/>
          <w:highlight w:val="none"/>
          <w:shd w:val="clear" w:color="auto" w:fill="auto"/>
          <w:lang w:val="en-US" w:eastAsia="zh-CN"/>
        </w:rPr>
      </w:pPr>
      <w:r>
        <w:rPr>
          <w:rFonts w:hint="eastAsia" w:ascii="仿宋" w:hAnsi="仿宋" w:eastAsia="仿宋" w:cs="仿宋"/>
          <w:bCs/>
          <w:snapToGrid/>
          <w:color w:val="auto"/>
          <w:kern w:val="0"/>
          <w:sz w:val="24"/>
          <w:highlight w:val="none"/>
          <w:shd w:val="clear" w:color="auto" w:fill="auto"/>
          <w:lang w:val="en-US" w:eastAsia="zh-CN"/>
        </w:rPr>
        <w:t>（2）除项目负责人外，项目团队应有发行人员、编目人员，建议具备</w:t>
      </w:r>
      <w:r>
        <w:rPr>
          <w:rFonts w:hint="eastAsia" w:ascii="仿宋" w:hAnsi="仿宋" w:eastAsia="仿宋" w:cs="仿宋"/>
          <w:bCs/>
          <w:color w:val="auto"/>
          <w:kern w:val="0"/>
          <w:sz w:val="24"/>
          <w:szCs w:val="24"/>
          <w:highlight w:val="none"/>
          <w:shd w:val="clear" w:color="auto" w:fill="auto"/>
          <w:lang w:val="en-US"/>
        </w:rPr>
        <w:t>出版专业技术人员职称</w:t>
      </w:r>
      <w:r>
        <w:rPr>
          <w:rFonts w:hint="eastAsia" w:ascii="仿宋" w:hAnsi="仿宋" w:eastAsia="仿宋" w:cs="仿宋"/>
          <w:bCs/>
          <w:color w:val="auto"/>
          <w:kern w:val="0"/>
          <w:sz w:val="24"/>
          <w:szCs w:val="24"/>
          <w:highlight w:val="none"/>
          <w:shd w:val="clear" w:color="auto" w:fill="auto"/>
          <w:lang w:val="en-US" w:eastAsia="zh-CN"/>
        </w:rPr>
        <w:t>（同上）</w:t>
      </w:r>
      <w:r>
        <w:rPr>
          <w:rFonts w:hint="eastAsia" w:ascii="仿宋" w:hAnsi="仿宋" w:eastAsia="仿宋" w:cs="仿宋"/>
          <w:bCs/>
          <w:snapToGrid/>
          <w:color w:val="auto"/>
          <w:kern w:val="0"/>
          <w:sz w:val="24"/>
          <w:highlight w:val="none"/>
          <w:shd w:val="clear" w:color="auto" w:fill="auto"/>
          <w:lang w:val="en-US" w:eastAsia="zh-CN"/>
        </w:rPr>
        <w:t>。</w:t>
      </w:r>
    </w:p>
    <w:p w14:paraId="4B84308A">
      <w:pPr>
        <w:adjustRightInd w:val="0"/>
        <w:snapToGrid w:val="0"/>
        <w:spacing w:line="360" w:lineRule="auto"/>
        <w:ind w:firstLine="480" w:firstLineChars="200"/>
        <w:rPr>
          <w:rFonts w:hint="eastAsia" w:ascii="仿宋" w:hAnsi="仿宋" w:eastAsia="仿宋" w:cs="仿宋"/>
          <w:bCs/>
          <w:color w:val="auto"/>
          <w:kern w:val="0"/>
          <w:sz w:val="24"/>
          <w:highlight w:val="none"/>
          <w:shd w:val="clear" w:color="auto" w:fill="auto"/>
          <w:lang w:val="en-US"/>
        </w:rPr>
      </w:pPr>
      <w:r>
        <w:rPr>
          <w:rFonts w:hint="eastAsia" w:ascii="仿宋" w:hAnsi="仿宋" w:eastAsia="仿宋" w:cs="仿宋"/>
          <w:bCs/>
          <w:snapToGrid/>
          <w:color w:val="auto"/>
          <w:kern w:val="0"/>
          <w:sz w:val="24"/>
          <w:highlight w:val="none"/>
          <w:shd w:val="clear" w:color="auto" w:fill="auto"/>
          <w:lang w:val="en-US" w:eastAsia="zh-CN"/>
        </w:rPr>
        <w:t>（3）根据服务内容及要求，加工、派送、账目、库管、客服等等岗位有合理配置的人员。</w:t>
      </w:r>
    </w:p>
    <w:p w14:paraId="5139CCFF">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bCs/>
          <w:snapToGrid/>
          <w:color w:val="auto"/>
          <w:kern w:val="0"/>
          <w:sz w:val="24"/>
          <w:highlight w:val="none"/>
          <w:shd w:val="clear" w:color="auto" w:fill="auto"/>
          <w:lang w:val="en-US" w:eastAsia="zh-CN"/>
        </w:rPr>
        <w:t>4、在项目实施过程中，服务团队应能够与采购人及时沟通，并充分尊重采购方意见，配合采购人完成相关工作直至项目完成。</w:t>
      </w:r>
    </w:p>
    <w:p w14:paraId="12A5B0E9">
      <w:pPr>
        <w:pStyle w:val="5"/>
        <w:spacing w:before="120" w:after="120" w:line="360" w:lineRule="auto"/>
        <w:rPr>
          <w:rFonts w:hint="eastAsia" w:ascii="仿宋" w:hAnsi="仿宋" w:eastAsia="仿宋" w:cs="仿宋"/>
          <w:sz w:val="24"/>
          <w:szCs w:val="24"/>
          <w:highlight w:val="none"/>
        </w:rPr>
      </w:pPr>
      <w:bookmarkStart w:id="95" w:name="_Toc18318"/>
      <w:r>
        <w:rPr>
          <w:rFonts w:hint="eastAsia" w:ascii="仿宋" w:hAnsi="仿宋" w:eastAsia="仿宋" w:cs="仿宋"/>
          <w:sz w:val="24"/>
          <w:szCs w:val="24"/>
          <w:highlight w:val="none"/>
          <w:lang w:val="en-US" w:eastAsia="zh-CN"/>
        </w:rPr>
        <w:t>九</w:t>
      </w:r>
      <w:r>
        <w:rPr>
          <w:rFonts w:hint="eastAsia" w:ascii="仿宋" w:hAnsi="仿宋" w:eastAsia="仿宋" w:cs="仿宋"/>
          <w:sz w:val="24"/>
          <w:szCs w:val="24"/>
          <w:highlight w:val="none"/>
        </w:rPr>
        <w:t>、其他说明</w:t>
      </w:r>
      <w:bookmarkEnd w:id="95"/>
    </w:p>
    <w:p w14:paraId="62B1F8B0">
      <w:pPr>
        <w:pStyle w:val="3"/>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1、分包和转包</w:t>
      </w:r>
    </w:p>
    <w:p w14:paraId="59D2D584">
      <w:pPr>
        <w:pStyle w:val="3"/>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（1）投标人不得将本合同范围的服务转包由其他单位承担；也不得未经采购人</w:t>
      </w:r>
      <w:r>
        <w:rPr>
          <w:rFonts w:hint="eastAsia" w:ascii="仿宋" w:hAnsi="仿宋" w:eastAsia="仿宋" w:cs="仿宋"/>
          <w:color w:val="auto"/>
          <w:sz w:val="24"/>
          <w:szCs w:val="24"/>
          <w:highlight w:val="none"/>
          <w:lang w:val="en-US" w:eastAsia="zh-CN"/>
        </w:rPr>
        <w:t>或任务下达方</w:t>
      </w:r>
      <w:r>
        <w:rPr>
          <w:rFonts w:hint="eastAsia" w:ascii="仿宋" w:hAnsi="仿宋" w:eastAsia="仿宋" w:cs="仿宋"/>
          <w:color w:val="auto"/>
          <w:sz w:val="24"/>
          <w:highlight w:val="none"/>
          <w:lang w:val="en-US" w:eastAsia="zh-CN"/>
        </w:rPr>
        <w:t xml:space="preserve">同意擅自部分内容分包给其他单位承担；如有违反以上情形，采购人有权解除合同，并追究中标人的违约责任。 </w:t>
      </w:r>
    </w:p>
    <w:p w14:paraId="59D36237">
      <w:pPr>
        <w:pStyle w:val="3"/>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（2）享受《政府采购促进中小企业发展管理办法》的通知（财库〔2020〕46 号）的规定扶持政策获得政府采购合同的，小微企业不得将合同分包给大中型企业，中型企业不得将合同分包给大型企业。  </w:t>
      </w:r>
    </w:p>
    <w:p w14:paraId="4A79D451">
      <w:pPr>
        <w:adjustRightInd w:val="0"/>
        <w:snapToGrid w:val="0"/>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lang w:val="en-US" w:eastAsia="zh-CN"/>
        </w:rPr>
        <w:t>2、</w:t>
      </w:r>
      <w:r>
        <w:rPr>
          <w:rFonts w:hint="eastAsia" w:ascii="仿宋" w:hAnsi="仿宋" w:eastAsia="仿宋" w:cs="仿宋"/>
          <w:snapToGrid w:val="0"/>
          <w:color w:val="auto"/>
          <w:kern w:val="0"/>
          <w:sz w:val="24"/>
          <w:highlight w:val="none"/>
        </w:rPr>
        <w:t>投标时的证明材料要确保真实有效。如核实虚假的，采购人有权向监管部门反映，取消该投标人的中标资格并追究其法律责任。</w:t>
      </w:r>
    </w:p>
    <w:p w14:paraId="21DA0995">
      <w:pPr>
        <w:pStyle w:val="2"/>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评审结束后、合同签订前，采购人或采购代理机构将核查如下资料，供应商务必按要求提交相关材料。</w:t>
      </w:r>
    </w:p>
    <w:p w14:paraId="7B46A59E">
      <w:pPr>
        <w:pStyle w:val="2"/>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（1）资料收件人：唐稳；联系方式：0571-81061825；地址：杭州市西湖区文三路90号东部软件园一号楼319室。</w:t>
      </w:r>
    </w:p>
    <w:p w14:paraId="107FBF0E">
      <w:pPr>
        <w:pStyle w:val="2"/>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（2）可以通过快递方式送达，也可以直接送达。</w:t>
      </w:r>
    </w:p>
    <w:p w14:paraId="4792E003">
      <w:pPr>
        <w:adjustRightInd w:val="0"/>
        <w:snapToGrid w:val="0"/>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shd w:val="clear" w:color="auto" w:fill="auto"/>
          <w:lang w:val="en-US" w:eastAsia="zh-CN"/>
        </w:rPr>
        <w:t>（3）资料清单：业绩合同原件，人员证书原件。</w:t>
      </w:r>
    </w:p>
    <w:p w14:paraId="310825F2">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zh-CN"/>
        </w:rPr>
      </w:pPr>
      <w:r>
        <w:rPr>
          <w:rFonts w:hint="eastAsia" w:ascii="仿宋" w:hAnsi="仿宋" w:eastAsia="仿宋" w:cs="仿宋"/>
          <w:snapToGrid w:val="0"/>
          <w:color w:val="auto"/>
          <w:kern w:val="0"/>
          <w:sz w:val="24"/>
          <w:highlight w:val="none"/>
          <w:lang w:val="en-US" w:eastAsia="zh-CN"/>
        </w:rPr>
        <w:t>3</w:t>
      </w:r>
      <w:r>
        <w:rPr>
          <w:rFonts w:hint="eastAsia" w:ascii="仿宋" w:hAnsi="仿宋" w:eastAsia="仿宋" w:cs="仿宋"/>
          <w:snapToGrid w:val="0"/>
          <w:color w:val="auto"/>
          <w:kern w:val="0"/>
          <w:sz w:val="24"/>
          <w:highlight w:val="none"/>
        </w:rPr>
        <w:t>、</w:t>
      </w:r>
      <w:r>
        <w:rPr>
          <w:rFonts w:hint="eastAsia" w:ascii="仿宋" w:hAnsi="仿宋" w:eastAsia="仿宋" w:cs="仿宋"/>
          <w:snapToGrid w:val="0"/>
          <w:color w:val="auto"/>
          <w:kern w:val="0"/>
          <w:sz w:val="24"/>
          <w:highlight w:val="none"/>
          <w:lang w:val="zh-CN"/>
        </w:rPr>
        <w:t>未尽事宜可进一步参阅合同条款、</w:t>
      </w:r>
      <w:r>
        <w:rPr>
          <w:rFonts w:hint="eastAsia" w:ascii="仿宋" w:hAnsi="仿宋" w:eastAsia="仿宋" w:cs="仿宋"/>
          <w:snapToGrid w:val="0"/>
          <w:color w:val="auto"/>
          <w:kern w:val="0"/>
          <w:sz w:val="24"/>
          <w:highlight w:val="none"/>
        </w:rPr>
        <w:t>招标文件其他内容、</w:t>
      </w:r>
      <w:r>
        <w:rPr>
          <w:rFonts w:hint="eastAsia" w:ascii="仿宋" w:hAnsi="仿宋" w:eastAsia="仿宋" w:cs="仿宋"/>
          <w:snapToGrid w:val="0"/>
          <w:color w:val="auto"/>
          <w:kern w:val="0"/>
          <w:sz w:val="24"/>
          <w:highlight w:val="none"/>
          <w:lang w:val="zh-CN"/>
        </w:rPr>
        <w:t>相关附件。</w:t>
      </w:r>
    </w:p>
    <w:p w14:paraId="15A5759E">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textAlignment w:val="auto"/>
        <w:outlineLvl w:val="9"/>
        <w:rPr>
          <w:rFonts w:hint="eastAsia" w:ascii="仿宋" w:hAnsi="仿宋" w:eastAsia="仿宋" w:cs="仿宋"/>
          <w:b/>
          <w:i w:val="0"/>
          <w:iCs w:val="0"/>
          <w:color w:val="auto"/>
          <w:sz w:val="24"/>
          <w:szCs w:val="24"/>
          <w:highlight w:val="none"/>
          <w:lang w:val="en-US" w:eastAsia="zh-CN"/>
        </w:rPr>
      </w:pPr>
    </w:p>
    <w:p w14:paraId="3DB2053E">
      <w:pPr>
        <w:adjustRightInd w:val="0"/>
        <w:snapToGrid w:val="0"/>
        <w:spacing w:line="360" w:lineRule="auto"/>
        <w:ind w:firstLine="420" w:firstLineChars="200"/>
        <w:rPr>
          <w:rFonts w:hint="eastAsia" w:ascii="仿宋" w:hAnsi="仿宋" w:eastAsia="仿宋" w:cs="仿宋"/>
          <w:highlight w:val="none"/>
        </w:rPr>
        <w:sectPr>
          <w:headerReference r:id="rId5" w:type="default"/>
          <w:footerReference r:id="rId6" w:type="default"/>
          <w:type w:val="continuous"/>
          <w:pgSz w:w="11850" w:h="16783"/>
          <w:pgMar w:top="1247" w:right="1588" w:bottom="1089" w:left="1588" w:header="851" w:footer="992" w:gutter="0"/>
          <w:cols w:space="720" w:num="1"/>
          <w:docGrid w:linePitch="312" w:charSpace="0"/>
        </w:sectPr>
      </w:pPr>
    </w:p>
    <w:p w14:paraId="0AC73D3C">
      <w:pPr>
        <w:adjustRightInd w:val="0"/>
        <w:snapToGrid w:val="0"/>
        <w:spacing w:line="360" w:lineRule="auto"/>
        <w:ind w:firstLine="420" w:firstLineChars="200"/>
        <w:rPr>
          <w:rFonts w:hint="eastAsia" w:ascii="仿宋" w:hAnsi="仿宋" w:eastAsia="仿宋" w:cs="仿宋"/>
          <w:highlight w:val="none"/>
        </w:rPr>
      </w:pPr>
    </w:p>
    <w:bookmarkEnd w:id="57"/>
    <w:bookmarkEnd w:id="58"/>
    <w:bookmarkEnd w:id="59"/>
    <w:bookmarkEnd w:id="60"/>
    <w:p w14:paraId="24022EB0">
      <w:pPr>
        <w:adjustRightInd w:val="0"/>
        <w:snapToGrid w:val="0"/>
        <w:spacing w:before="120" w:beforeLines="50" w:after="120" w:afterLines="50" w:line="360" w:lineRule="auto"/>
        <w:jc w:val="center"/>
        <w:outlineLvl w:val="0"/>
        <w:rPr>
          <w:rFonts w:hint="eastAsia" w:ascii="仿宋" w:hAnsi="仿宋" w:eastAsia="仿宋" w:cs="仿宋"/>
          <w:b/>
          <w:color w:val="000000" w:themeColor="text1"/>
          <w:sz w:val="30"/>
          <w:szCs w:val="30"/>
          <w:highlight w:val="none"/>
          <w14:textFill>
            <w14:solidFill>
              <w14:schemeClr w14:val="tx1"/>
            </w14:solidFill>
          </w14:textFill>
        </w:rPr>
      </w:pPr>
      <w:bookmarkStart w:id="96" w:name="_Toc25398"/>
      <w:bookmarkStart w:id="97" w:name="_Toc14349"/>
      <w:r>
        <w:rPr>
          <w:rFonts w:hint="eastAsia" w:ascii="仿宋" w:hAnsi="仿宋" w:eastAsia="仿宋" w:cs="仿宋"/>
          <w:b/>
          <w:color w:val="000000" w:themeColor="text1"/>
          <w:sz w:val="30"/>
          <w:szCs w:val="30"/>
          <w:highlight w:val="none"/>
          <w14:textFill>
            <w14:solidFill>
              <w14:schemeClr w14:val="tx1"/>
            </w14:solidFill>
          </w14:textFill>
        </w:rPr>
        <w:t>第四部分  评标办法</w:t>
      </w:r>
      <w:bookmarkEnd w:id="96"/>
      <w:bookmarkEnd w:id="97"/>
    </w:p>
    <w:p w14:paraId="29D1337F">
      <w:pPr>
        <w:pStyle w:val="5"/>
        <w:snapToGrid w:val="0"/>
        <w:spacing w:before="120" w:beforeLines="50" w:after="120" w:afterLines="50" w:line="360" w:lineRule="auto"/>
        <w:rPr>
          <w:rFonts w:hint="eastAsia" w:ascii="仿宋" w:hAnsi="仿宋" w:eastAsia="仿宋" w:cs="仿宋"/>
          <w:sz w:val="24"/>
          <w:szCs w:val="24"/>
          <w:highlight w:val="none"/>
        </w:rPr>
      </w:pPr>
      <w:bookmarkStart w:id="98" w:name="_Toc16598"/>
      <w:bookmarkStart w:id="99" w:name="_Toc11969"/>
      <w:r>
        <w:rPr>
          <w:rFonts w:hint="eastAsia" w:ascii="仿宋" w:hAnsi="仿宋" w:eastAsia="仿宋" w:cs="仿宋"/>
          <w:sz w:val="24"/>
          <w:szCs w:val="24"/>
          <w:highlight w:val="none"/>
        </w:rPr>
        <w:t>评标办法前附表</w:t>
      </w:r>
      <w:bookmarkEnd w:id="98"/>
      <w:bookmarkEnd w:id="99"/>
    </w:p>
    <w:p w14:paraId="613A7CA7">
      <w:pPr>
        <w:pStyle w:val="3"/>
        <w:adjustRightInd w:val="0"/>
        <w:snapToGrid w:val="0"/>
        <w:spacing w:line="360" w:lineRule="auto"/>
        <w:ind w:firstLine="420" w:firstLineChars="200"/>
        <w:rPr>
          <w:rFonts w:hint="eastAsia" w:ascii="仿宋" w:hAnsi="仿宋" w:eastAsia="仿宋" w:cs="仿宋"/>
          <w:highlight w:val="none"/>
        </w:rPr>
      </w:pPr>
    </w:p>
    <w:tbl>
      <w:tblPr>
        <w:tblStyle w:val="45"/>
        <w:tblW w:w="9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5797"/>
        <w:gridCol w:w="1080"/>
        <w:gridCol w:w="892"/>
        <w:gridCol w:w="1485"/>
      </w:tblGrid>
      <w:tr w14:paraId="64CB8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54" w:type="dxa"/>
            <w:noWrap w:val="0"/>
            <w:vAlign w:val="center"/>
          </w:tcPr>
          <w:p w14:paraId="2EBDAFF9">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5797" w:type="dxa"/>
            <w:noWrap w:val="0"/>
            <w:vAlign w:val="center"/>
          </w:tcPr>
          <w:p w14:paraId="3FFD1EDF">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评分因素</w:t>
            </w:r>
          </w:p>
        </w:tc>
        <w:tc>
          <w:tcPr>
            <w:tcW w:w="1080" w:type="dxa"/>
            <w:noWrap w:val="0"/>
            <w:vAlign w:val="center"/>
          </w:tcPr>
          <w:p w14:paraId="6BF2E2EA">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892" w:type="dxa"/>
            <w:noWrap w:val="0"/>
            <w:vAlign w:val="center"/>
          </w:tcPr>
          <w:p w14:paraId="14433829">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主观分/客观分属性</w:t>
            </w:r>
          </w:p>
        </w:tc>
        <w:tc>
          <w:tcPr>
            <w:tcW w:w="1485" w:type="dxa"/>
            <w:noWrap w:val="0"/>
            <w:vAlign w:val="center"/>
          </w:tcPr>
          <w:p w14:paraId="74F9963B">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投标文件中评标标准相应的商务技术资料目录</w:t>
            </w:r>
            <w:r>
              <w:rPr>
                <w:rFonts w:hint="eastAsia" w:ascii="仿宋" w:hAnsi="仿宋" w:eastAsia="仿宋" w:cs="仿宋"/>
                <w:color w:val="auto"/>
                <w:sz w:val="24"/>
                <w:highlight w:val="none"/>
                <w:shd w:val="clear" w:color="auto" w:fill="FFFFFF"/>
              </w:rPr>
              <w:t>*</w:t>
            </w:r>
          </w:p>
        </w:tc>
      </w:tr>
      <w:tr w14:paraId="5E237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54" w:type="dxa"/>
            <w:noWrap w:val="0"/>
            <w:vAlign w:val="center"/>
          </w:tcPr>
          <w:p w14:paraId="1D4A6369">
            <w:pPr>
              <w:adjustRightInd w:val="0"/>
              <w:snapToGrid w:val="0"/>
              <w:jc w:val="center"/>
              <w:rPr>
                <w:rFonts w:hint="eastAsia" w:ascii="仿宋" w:hAnsi="仿宋" w:eastAsia="仿宋" w:cs="仿宋"/>
                <w:bCs/>
                <w:color w:val="auto"/>
                <w:sz w:val="24"/>
                <w:highlight w:val="none"/>
              </w:rPr>
            </w:pPr>
            <w:r>
              <w:rPr>
                <w:rFonts w:hint="eastAsia" w:ascii="仿宋" w:hAnsi="仿宋" w:eastAsia="仿宋" w:cs="仿宋"/>
                <w:b w:val="0"/>
                <w:bCs/>
                <w:color w:val="auto"/>
                <w:sz w:val="24"/>
                <w:szCs w:val="24"/>
                <w:highlight w:val="none"/>
                <w:shd w:val="clear" w:color="auto" w:fill="auto"/>
              </w:rPr>
              <w:t>1</w:t>
            </w:r>
          </w:p>
        </w:tc>
        <w:tc>
          <w:tcPr>
            <w:tcW w:w="5797" w:type="dxa"/>
            <w:noWrap w:val="0"/>
            <w:vAlign w:val="center"/>
          </w:tcPr>
          <w:p w14:paraId="05CB1E74">
            <w:pPr>
              <w:snapToGrid w:val="0"/>
              <w:rPr>
                <w:rFonts w:hint="eastAsia" w:ascii="仿宋" w:hAnsi="仿宋" w:eastAsia="仿宋" w:cs="仿宋"/>
                <w:bCs/>
                <w:color w:val="auto"/>
                <w:kern w:val="0"/>
                <w:sz w:val="24"/>
                <w:highlight w:val="none"/>
              </w:rPr>
            </w:pPr>
            <w:r>
              <w:rPr>
                <w:rFonts w:hint="eastAsia" w:ascii="仿宋" w:hAnsi="仿宋" w:eastAsia="仿宋" w:cs="仿宋"/>
                <w:b w:val="0"/>
                <w:bCs/>
                <w:color w:val="auto"/>
                <w:kern w:val="0"/>
                <w:sz w:val="24"/>
                <w:szCs w:val="24"/>
                <w:highlight w:val="none"/>
                <w:shd w:val="clear" w:color="auto" w:fill="auto"/>
                <w:lang w:val="en-US" w:eastAsia="zh-CN"/>
              </w:rPr>
              <w:t>投标人资信能力评价</w:t>
            </w:r>
          </w:p>
        </w:tc>
        <w:tc>
          <w:tcPr>
            <w:tcW w:w="1080" w:type="dxa"/>
            <w:noWrap w:val="0"/>
            <w:vAlign w:val="center"/>
          </w:tcPr>
          <w:p w14:paraId="7FFFF2FB">
            <w:pPr>
              <w:adjustRightInd w:val="0"/>
              <w:snapToGrid w:val="0"/>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w:t>
            </w:r>
          </w:p>
        </w:tc>
        <w:tc>
          <w:tcPr>
            <w:tcW w:w="892" w:type="dxa"/>
            <w:noWrap w:val="0"/>
            <w:vAlign w:val="center"/>
          </w:tcPr>
          <w:p w14:paraId="55A69048">
            <w:pPr>
              <w:adjustRightInd w:val="0"/>
              <w:snapToGrid w:val="0"/>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w:t>
            </w:r>
          </w:p>
        </w:tc>
        <w:tc>
          <w:tcPr>
            <w:tcW w:w="1485" w:type="dxa"/>
            <w:noWrap w:val="0"/>
            <w:vAlign w:val="center"/>
          </w:tcPr>
          <w:p w14:paraId="2B5B6AA9">
            <w:pPr>
              <w:adjustRightInd w:val="0"/>
              <w:snapToGrid w:val="0"/>
              <w:jc w:val="center"/>
              <w:rPr>
                <w:rFonts w:hint="eastAsia" w:ascii="仿宋" w:hAnsi="仿宋" w:eastAsia="仿宋" w:cs="仿宋"/>
                <w:b/>
                <w:color w:val="auto"/>
                <w:sz w:val="24"/>
                <w:highlight w:val="none"/>
              </w:rPr>
            </w:pPr>
          </w:p>
        </w:tc>
      </w:tr>
      <w:tr w14:paraId="1C520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4" w:type="dxa"/>
            <w:noWrap w:val="0"/>
            <w:vAlign w:val="center"/>
          </w:tcPr>
          <w:p w14:paraId="713D7652">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shd w:val="clear" w:color="auto" w:fill="auto"/>
              </w:rPr>
              <w:t>1.1</w:t>
            </w:r>
          </w:p>
        </w:tc>
        <w:tc>
          <w:tcPr>
            <w:tcW w:w="5797" w:type="dxa"/>
            <w:noWrap w:val="0"/>
            <w:vAlign w:val="center"/>
          </w:tcPr>
          <w:p w14:paraId="381616E8">
            <w:pPr>
              <w:snapToGrid w:val="0"/>
              <w:rPr>
                <w:rFonts w:hint="eastAsia" w:ascii="仿宋" w:hAnsi="仿宋" w:eastAsia="仿宋" w:cs="仿宋"/>
                <w:color w:val="auto"/>
                <w:kern w:val="0"/>
                <w:sz w:val="24"/>
                <w:szCs w:val="24"/>
                <w:highlight w:val="none"/>
                <w:shd w:val="clear" w:color="auto" w:fill="auto"/>
                <w:lang w:val="en-US"/>
              </w:rPr>
            </w:pPr>
            <w:r>
              <w:rPr>
                <w:rFonts w:hint="eastAsia" w:ascii="仿宋" w:hAnsi="仿宋" w:eastAsia="仿宋" w:cs="仿宋"/>
                <w:color w:val="auto"/>
                <w:kern w:val="0"/>
                <w:sz w:val="24"/>
                <w:szCs w:val="24"/>
                <w:highlight w:val="none"/>
                <w:shd w:val="clear" w:color="auto" w:fill="auto"/>
                <w:lang w:val="en-US" w:eastAsia="zh-CN"/>
              </w:rPr>
              <w:t>2022年1月1日以来（以合同签署时间为准），投标人承接</w:t>
            </w:r>
            <w:r>
              <w:rPr>
                <w:rFonts w:hint="eastAsia" w:ascii="仿宋" w:hAnsi="仿宋" w:eastAsia="仿宋" w:cs="仿宋"/>
                <w:color w:val="auto"/>
                <w:kern w:val="0"/>
                <w:sz w:val="24"/>
                <w:szCs w:val="24"/>
                <w:highlight w:val="none"/>
                <w:shd w:val="clear" w:color="auto" w:fill="auto"/>
                <w:lang w:val="en-US"/>
              </w:rPr>
              <w:t>的</w:t>
            </w:r>
            <w:r>
              <w:rPr>
                <w:rFonts w:hint="eastAsia" w:ascii="仿宋" w:hAnsi="仿宋" w:eastAsia="仿宋" w:cs="仿宋"/>
                <w:color w:val="auto"/>
                <w:kern w:val="0"/>
                <w:sz w:val="24"/>
                <w:szCs w:val="24"/>
                <w:highlight w:val="none"/>
                <w:shd w:val="clear" w:color="auto" w:fill="auto"/>
                <w:lang w:val="en-US" w:eastAsia="zh-CN"/>
              </w:rPr>
              <w:t>类似</w:t>
            </w:r>
            <w:r>
              <w:rPr>
                <w:rFonts w:hint="eastAsia" w:ascii="仿宋" w:hAnsi="仿宋" w:eastAsia="仿宋" w:cs="仿宋"/>
                <w:color w:val="auto"/>
                <w:kern w:val="0"/>
                <w:sz w:val="24"/>
                <w:szCs w:val="24"/>
                <w:highlight w:val="none"/>
                <w:shd w:val="clear" w:color="auto" w:fill="auto"/>
                <w:lang w:val="en-US"/>
              </w:rPr>
              <w:t>项目，每提供1例得</w:t>
            </w:r>
            <w:r>
              <w:rPr>
                <w:rFonts w:hint="eastAsia" w:ascii="仿宋" w:hAnsi="仿宋" w:eastAsia="仿宋" w:cs="仿宋"/>
                <w:color w:val="auto"/>
                <w:kern w:val="0"/>
                <w:sz w:val="24"/>
                <w:szCs w:val="24"/>
                <w:highlight w:val="none"/>
                <w:shd w:val="clear" w:color="auto" w:fill="auto"/>
                <w:lang w:val="en-US" w:eastAsia="zh-CN"/>
              </w:rPr>
              <w:t>1.5</w:t>
            </w:r>
            <w:r>
              <w:rPr>
                <w:rFonts w:hint="eastAsia" w:ascii="仿宋" w:hAnsi="仿宋" w:eastAsia="仿宋" w:cs="仿宋"/>
                <w:color w:val="auto"/>
                <w:kern w:val="0"/>
                <w:sz w:val="24"/>
                <w:szCs w:val="24"/>
                <w:highlight w:val="none"/>
                <w:shd w:val="clear" w:color="auto" w:fill="auto"/>
                <w:lang w:val="en-US"/>
              </w:rPr>
              <w:t>分，最高得</w:t>
            </w:r>
            <w:r>
              <w:rPr>
                <w:rFonts w:hint="eastAsia" w:ascii="仿宋" w:hAnsi="仿宋" w:eastAsia="仿宋" w:cs="仿宋"/>
                <w:color w:val="auto"/>
                <w:kern w:val="0"/>
                <w:sz w:val="24"/>
                <w:szCs w:val="24"/>
                <w:highlight w:val="none"/>
                <w:shd w:val="clear" w:color="auto" w:fill="auto"/>
                <w:lang w:val="en-US" w:eastAsia="zh-CN"/>
              </w:rPr>
              <w:t>3</w:t>
            </w:r>
            <w:r>
              <w:rPr>
                <w:rFonts w:hint="eastAsia" w:ascii="仿宋" w:hAnsi="仿宋" w:eastAsia="仿宋" w:cs="仿宋"/>
                <w:color w:val="auto"/>
                <w:kern w:val="0"/>
                <w:sz w:val="24"/>
                <w:szCs w:val="24"/>
                <w:highlight w:val="none"/>
                <w:shd w:val="clear" w:color="auto" w:fill="auto"/>
                <w:lang w:val="en-US"/>
              </w:rPr>
              <w:t>分</w:t>
            </w:r>
          </w:p>
          <w:p w14:paraId="4EC48743">
            <w:pPr>
              <w:snapToGrid w:val="0"/>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shd w:val="clear" w:color="auto" w:fill="auto"/>
                <w:lang w:val="en-US" w:eastAsia="zh-CN"/>
              </w:rPr>
              <w:t>说明：①类似项目系指</w:t>
            </w:r>
            <w:r>
              <w:rPr>
                <w:rFonts w:hint="eastAsia" w:ascii="仿宋" w:hAnsi="仿宋" w:eastAsia="仿宋" w:cs="仿宋"/>
                <w:color w:val="auto"/>
                <w:kern w:val="0"/>
                <w:sz w:val="24"/>
                <w:szCs w:val="24"/>
                <w:highlight w:val="none"/>
                <w:shd w:val="clear" w:color="auto" w:fill="auto"/>
                <w:lang w:val="en-US"/>
              </w:rPr>
              <w:t>公共图书馆供应图书</w:t>
            </w:r>
            <w:r>
              <w:rPr>
                <w:rFonts w:hint="eastAsia" w:ascii="仿宋" w:hAnsi="仿宋" w:eastAsia="仿宋" w:cs="仿宋"/>
                <w:color w:val="auto"/>
                <w:kern w:val="0"/>
                <w:sz w:val="24"/>
                <w:szCs w:val="24"/>
                <w:highlight w:val="none"/>
                <w:shd w:val="clear" w:color="auto" w:fill="auto"/>
                <w:lang w:val="en-US" w:eastAsia="zh-CN"/>
              </w:rPr>
              <w:t>；②</w:t>
            </w:r>
            <w:r>
              <w:rPr>
                <w:rFonts w:hint="eastAsia" w:ascii="仿宋" w:hAnsi="仿宋" w:eastAsia="仿宋" w:cs="仿宋"/>
                <w:color w:val="auto"/>
                <w:kern w:val="0"/>
                <w:sz w:val="24"/>
                <w:szCs w:val="24"/>
                <w:highlight w:val="none"/>
                <w:shd w:val="clear" w:color="auto" w:fill="auto"/>
                <w:lang w:val="en-US"/>
              </w:rPr>
              <w:t>提供此类项目合同复印件或中标证明。</w:t>
            </w:r>
          </w:p>
        </w:tc>
        <w:tc>
          <w:tcPr>
            <w:tcW w:w="1080" w:type="dxa"/>
            <w:noWrap w:val="0"/>
            <w:vAlign w:val="center"/>
          </w:tcPr>
          <w:p w14:paraId="644E5BAA">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892" w:type="dxa"/>
            <w:noWrap w:val="0"/>
            <w:vAlign w:val="center"/>
          </w:tcPr>
          <w:p w14:paraId="4E6EA719">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1485" w:type="dxa"/>
            <w:noWrap w:val="0"/>
            <w:vAlign w:val="center"/>
          </w:tcPr>
          <w:p w14:paraId="30F340A7">
            <w:pPr>
              <w:adjustRightInd w:val="0"/>
              <w:snapToGrid w:val="0"/>
              <w:jc w:val="center"/>
              <w:rPr>
                <w:rFonts w:hint="eastAsia" w:ascii="仿宋" w:hAnsi="仿宋" w:eastAsia="仿宋" w:cs="仿宋"/>
                <w:color w:val="auto"/>
                <w:sz w:val="24"/>
                <w:highlight w:val="none"/>
              </w:rPr>
            </w:pPr>
          </w:p>
        </w:tc>
      </w:tr>
      <w:tr w14:paraId="518C5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14:paraId="1DB73A48">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shd w:val="clear" w:color="auto" w:fill="auto"/>
                <w:lang w:val="en-US" w:eastAsia="zh-CN"/>
              </w:rPr>
              <w:t>1.2</w:t>
            </w:r>
          </w:p>
        </w:tc>
        <w:tc>
          <w:tcPr>
            <w:tcW w:w="5797" w:type="dxa"/>
            <w:noWrap w:val="0"/>
            <w:vAlign w:val="center"/>
          </w:tcPr>
          <w:p w14:paraId="4A50821B">
            <w:pPr>
              <w:snapToGrid w:val="0"/>
              <w:rPr>
                <w:rFonts w:hint="eastAsia" w:ascii="仿宋" w:hAnsi="仿宋" w:eastAsia="仿宋" w:cs="仿宋"/>
                <w:color w:val="auto"/>
                <w:kern w:val="0"/>
                <w:sz w:val="24"/>
                <w:szCs w:val="24"/>
                <w:highlight w:val="none"/>
                <w:shd w:val="clear" w:color="auto" w:fill="auto"/>
                <w:lang w:val="en-US"/>
              </w:rPr>
            </w:pPr>
            <w:r>
              <w:rPr>
                <w:rFonts w:hint="eastAsia" w:ascii="仿宋" w:hAnsi="仿宋" w:eastAsia="仿宋" w:cs="仿宋"/>
                <w:color w:val="auto"/>
                <w:sz w:val="24"/>
                <w:highlight w:val="none"/>
              </w:rPr>
              <w:t>投标人</w:t>
            </w:r>
            <w:bookmarkStart w:id="329" w:name="_GoBack"/>
            <w:r>
              <w:rPr>
                <w:rFonts w:hint="eastAsia" w:ascii="仿宋" w:hAnsi="仿宋" w:eastAsia="仿宋" w:cs="仿宋"/>
                <w:color w:val="auto"/>
                <w:sz w:val="24"/>
                <w:highlight w:val="none"/>
                <w:lang w:val="en-US" w:eastAsia="zh-CN"/>
              </w:rPr>
              <w:t>有有效</w:t>
            </w:r>
            <w:bookmarkEnd w:id="329"/>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质量管理体系、环境</w:t>
            </w:r>
            <w:r>
              <w:rPr>
                <w:rFonts w:hint="eastAsia" w:ascii="仿宋" w:hAnsi="仿宋" w:eastAsia="仿宋" w:cs="仿宋"/>
                <w:color w:val="auto"/>
                <w:sz w:val="24"/>
                <w:highlight w:val="none"/>
                <w:lang w:val="en-US" w:eastAsia="zh-CN"/>
              </w:rPr>
              <w:t>管理体系</w:t>
            </w:r>
            <w:r>
              <w:rPr>
                <w:rFonts w:hint="eastAsia" w:ascii="仿宋" w:hAnsi="仿宋" w:eastAsia="仿宋" w:cs="仿宋"/>
                <w:color w:val="auto"/>
                <w:sz w:val="24"/>
                <w:highlight w:val="none"/>
              </w:rPr>
              <w:t>认证、</w:t>
            </w:r>
            <w:r>
              <w:rPr>
                <w:rFonts w:hint="eastAsia" w:ascii="仿宋" w:hAnsi="仿宋" w:eastAsia="仿宋" w:cs="仿宋"/>
                <w:color w:val="auto"/>
                <w:sz w:val="24"/>
                <w:highlight w:val="none"/>
                <w:lang w:val="en-US" w:eastAsia="zh-CN"/>
              </w:rPr>
              <w:t>中国</w:t>
            </w:r>
            <w:r>
              <w:rPr>
                <w:rFonts w:hint="eastAsia" w:ascii="仿宋" w:hAnsi="仿宋" w:eastAsia="仿宋" w:cs="仿宋"/>
                <w:color w:val="auto"/>
                <w:sz w:val="24"/>
                <w:highlight w:val="none"/>
              </w:rPr>
              <w:t>职业健康安全管理体系认证</w:t>
            </w:r>
            <w:r>
              <w:rPr>
                <w:rFonts w:hint="eastAsia" w:ascii="仿宋" w:hAnsi="仿宋" w:eastAsia="仿宋" w:cs="仿宋"/>
                <w:color w:val="auto"/>
                <w:kern w:val="0"/>
                <w:sz w:val="24"/>
                <w:szCs w:val="24"/>
                <w:highlight w:val="none"/>
                <w:shd w:val="clear" w:color="auto" w:fill="auto"/>
                <w:lang w:val="en-US"/>
              </w:rPr>
              <w:t>的，每有一</w:t>
            </w:r>
            <w:r>
              <w:rPr>
                <w:rFonts w:hint="eastAsia" w:ascii="仿宋" w:hAnsi="仿宋" w:eastAsia="仿宋" w:cs="仿宋"/>
                <w:color w:val="auto"/>
                <w:kern w:val="0"/>
                <w:sz w:val="24"/>
                <w:szCs w:val="24"/>
                <w:highlight w:val="none"/>
                <w:shd w:val="clear" w:color="auto" w:fill="auto"/>
                <w:lang w:val="en-US" w:eastAsia="zh-CN"/>
              </w:rPr>
              <w:t>种</w:t>
            </w:r>
            <w:r>
              <w:rPr>
                <w:rFonts w:hint="eastAsia" w:ascii="仿宋" w:hAnsi="仿宋" w:eastAsia="仿宋" w:cs="仿宋"/>
                <w:color w:val="auto"/>
                <w:kern w:val="0"/>
                <w:sz w:val="24"/>
                <w:szCs w:val="24"/>
                <w:highlight w:val="none"/>
                <w:shd w:val="clear" w:color="auto" w:fill="auto"/>
                <w:lang w:val="en-US"/>
              </w:rPr>
              <w:t>得1分，最多得3分。</w:t>
            </w:r>
          </w:p>
          <w:p w14:paraId="4EFE94CE">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szCs w:val="24"/>
                <w:highlight w:val="none"/>
                <w:shd w:val="clear" w:color="auto" w:fill="auto"/>
                <w:lang w:val="en-US" w:eastAsia="zh-CN"/>
              </w:rPr>
              <w:t>说明：①提供证书的复印件或扫描件，认证范围与本项目相关；②</w:t>
            </w:r>
            <w:r>
              <w:rPr>
                <w:rFonts w:hint="eastAsia" w:ascii="仿宋" w:hAnsi="仿宋" w:eastAsia="仿宋" w:cs="仿宋"/>
                <w:bCs/>
                <w:color w:val="auto"/>
                <w:sz w:val="24"/>
                <w:highlight w:val="none"/>
                <w:lang w:val="en-US" w:eastAsia="zh-CN"/>
              </w:rPr>
              <w:t>证书有效性将由评标委员会在评标当天，在国家认证认可信息公共服务平台查询，查询显示状态应为“有效”</w:t>
            </w:r>
            <w:r>
              <w:rPr>
                <w:rFonts w:hint="eastAsia" w:ascii="仿宋" w:hAnsi="仿宋" w:eastAsia="仿宋" w:cs="仿宋"/>
                <w:color w:val="auto"/>
                <w:kern w:val="0"/>
                <w:sz w:val="24"/>
                <w:szCs w:val="24"/>
                <w:highlight w:val="none"/>
                <w:shd w:val="clear" w:color="auto" w:fill="auto"/>
                <w:lang w:val="en-US"/>
              </w:rPr>
              <w:t>。</w:t>
            </w:r>
          </w:p>
        </w:tc>
        <w:tc>
          <w:tcPr>
            <w:tcW w:w="1080" w:type="dxa"/>
            <w:noWrap w:val="0"/>
            <w:vAlign w:val="center"/>
          </w:tcPr>
          <w:p w14:paraId="79E8A53A">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892" w:type="dxa"/>
            <w:noWrap w:val="0"/>
            <w:vAlign w:val="center"/>
          </w:tcPr>
          <w:p w14:paraId="1D716655">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1485" w:type="dxa"/>
            <w:noWrap w:val="0"/>
            <w:vAlign w:val="center"/>
          </w:tcPr>
          <w:p w14:paraId="00A04ABE">
            <w:pPr>
              <w:adjustRightInd w:val="0"/>
              <w:snapToGrid w:val="0"/>
              <w:jc w:val="center"/>
              <w:rPr>
                <w:rFonts w:hint="eastAsia" w:ascii="仿宋" w:hAnsi="仿宋" w:eastAsia="仿宋" w:cs="仿宋"/>
                <w:color w:val="auto"/>
                <w:sz w:val="24"/>
                <w:highlight w:val="none"/>
              </w:rPr>
            </w:pPr>
          </w:p>
        </w:tc>
      </w:tr>
      <w:tr w14:paraId="19519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54" w:type="dxa"/>
            <w:noWrap w:val="0"/>
            <w:vAlign w:val="center"/>
          </w:tcPr>
          <w:p w14:paraId="496559D8">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shd w:val="clear" w:color="auto" w:fill="auto"/>
                <w:lang w:val="en-US" w:eastAsia="zh-CN"/>
              </w:rPr>
              <w:t>2</w:t>
            </w:r>
          </w:p>
        </w:tc>
        <w:tc>
          <w:tcPr>
            <w:tcW w:w="5797" w:type="dxa"/>
            <w:noWrap w:val="0"/>
            <w:vAlign w:val="center"/>
          </w:tcPr>
          <w:p w14:paraId="589F0FED">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szCs w:val="24"/>
                <w:highlight w:val="none"/>
                <w:shd w:val="clear" w:color="auto" w:fill="auto"/>
                <w:lang w:val="en-US" w:eastAsia="zh-CN"/>
              </w:rPr>
              <w:t>项目团队情况。</w:t>
            </w:r>
            <w:r>
              <w:rPr>
                <w:rFonts w:hint="eastAsia" w:ascii="仿宋" w:hAnsi="仿宋" w:eastAsia="仿宋" w:cs="仿宋"/>
                <w:b w:val="0"/>
                <w:bCs/>
                <w:color w:val="auto"/>
                <w:kern w:val="0"/>
                <w:sz w:val="24"/>
                <w:szCs w:val="24"/>
                <w:highlight w:val="none"/>
                <w:shd w:val="clear" w:color="auto" w:fill="auto"/>
              </w:rPr>
              <w:t>项目团队成员需提供</w:t>
            </w:r>
            <w:r>
              <w:rPr>
                <w:rFonts w:hint="eastAsia" w:ascii="仿宋" w:hAnsi="仿宋" w:eastAsia="仿宋" w:cs="仿宋"/>
                <w:b w:val="0"/>
                <w:bCs/>
                <w:color w:val="auto"/>
                <w:kern w:val="0"/>
                <w:sz w:val="24"/>
                <w:szCs w:val="24"/>
                <w:highlight w:val="none"/>
                <w:shd w:val="clear" w:color="auto" w:fill="auto"/>
                <w:lang w:val="en-US" w:eastAsia="zh-CN"/>
              </w:rPr>
              <w:t>姓名、身份证号码，并提供距</w:t>
            </w:r>
            <w:r>
              <w:rPr>
                <w:rFonts w:hint="eastAsia" w:ascii="仿宋" w:hAnsi="仿宋" w:eastAsia="仿宋" w:cs="仿宋"/>
                <w:b w:val="0"/>
                <w:bCs/>
                <w:color w:val="auto"/>
                <w:kern w:val="0"/>
                <w:sz w:val="24"/>
                <w:szCs w:val="24"/>
                <w:highlight w:val="none"/>
                <w:shd w:val="clear" w:color="auto" w:fill="auto"/>
              </w:rPr>
              <w:t>投标截止时间最近3个月</w:t>
            </w:r>
            <w:r>
              <w:rPr>
                <w:rFonts w:hint="eastAsia" w:ascii="仿宋" w:hAnsi="仿宋" w:eastAsia="仿宋" w:cs="仿宋"/>
                <w:b w:val="0"/>
                <w:bCs/>
                <w:color w:val="auto"/>
                <w:kern w:val="0"/>
                <w:sz w:val="24"/>
                <w:szCs w:val="24"/>
                <w:highlight w:val="none"/>
                <w:shd w:val="clear" w:color="auto" w:fill="auto"/>
                <w:lang w:val="en-US" w:eastAsia="zh-CN"/>
              </w:rPr>
              <w:t>内</w:t>
            </w:r>
            <w:r>
              <w:rPr>
                <w:rFonts w:hint="eastAsia" w:ascii="仿宋" w:hAnsi="仿宋" w:eastAsia="仿宋" w:cs="仿宋"/>
                <w:b w:val="0"/>
                <w:bCs/>
                <w:color w:val="auto"/>
                <w:kern w:val="0"/>
                <w:sz w:val="24"/>
                <w:szCs w:val="24"/>
                <w:highlight w:val="none"/>
                <w:shd w:val="clear" w:color="auto" w:fill="auto"/>
              </w:rPr>
              <w:t>任意</w:t>
            </w:r>
            <w:r>
              <w:rPr>
                <w:rFonts w:hint="eastAsia" w:ascii="仿宋" w:hAnsi="仿宋" w:eastAsia="仿宋" w:cs="仿宋"/>
                <w:b w:val="0"/>
                <w:bCs/>
                <w:color w:val="auto"/>
                <w:kern w:val="0"/>
                <w:sz w:val="24"/>
                <w:szCs w:val="24"/>
                <w:highlight w:val="none"/>
                <w:shd w:val="clear" w:color="auto" w:fill="auto"/>
                <w:lang w:val="en-US" w:eastAsia="zh-CN"/>
              </w:rPr>
              <w:t>时间出具</w:t>
            </w:r>
            <w:r>
              <w:rPr>
                <w:rFonts w:hint="eastAsia" w:ascii="仿宋" w:hAnsi="仿宋" w:eastAsia="仿宋" w:cs="仿宋"/>
                <w:b w:val="0"/>
                <w:bCs/>
                <w:color w:val="auto"/>
                <w:kern w:val="0"/>
                <w:sz w:val="24"/>
                <w:szCs w:val="24"/>
                <w:highlight w:val="none"/>
                <w:shd w:val="clear" w:color="auto" w:fill="auto"/>
              </w:rPr>
              <w:t>的社保缴纳证明，否则</w:t>
            </w:r>
            <w:r>
              <w:rPr>
                <w:rFonts w:hint="eastAsia" w:ascii="仿宋" w:hAnsi="仿宋" w:eastAsia="仿宋" w:cs="仿宋"/>
                <w:b w:val="0"/>
                <w:bCs/>
                <w:color w:val="auto"/>
                <w:kern w:val="0"/>
                <w:sz w:val="24"/>
                <w:szCs w:val="24"/>
                <w:highlight w:val="none"/>
                <w:shd w:val="clear" w:color="auto" w:fill="auto"/>
                <w:lang w:val="en-US" w:eastAsia="zh-CN"/>
              </w:rPr>
              <w:t>评审时</w:t>
            </w:r>
            <w:r>
              <w:rPr>
                <w:rFonts w:hint="eastAsia" w:ascii="仿宋" w:hAnsi="仿宋" w:eastAsia="仿宋" w:cs="仿宋"/>
                <w:b w:val="0"/>
                <w:bCs/>
                <w:color w:val="auto"/>
                <w:kern w:val="0"/>
                <w:sz w:val="24"/>
                <w:szCs w:val="24"/>
                <w:highlight w:val="none"/>
                <w:shd w:val="clear" w:color="auto" w:fill="auto"/>
              </w:rPr>
              <w:t>人员</w:t>
            </w:r>
            <w:r>
              <w:rPr>
                <w:rFonts w:hint="eastAsia" w:ascii="仿宋" w:hAnsi="仿宋" w:eastAsia="仿宋" w:cs="仿宋"/>
                <w:b w:val="0"/>
                <w:bCs/>
                <w:color w:val="auto"/>
                <w:kern w:val="0"/>
                <w:sz w:val="24"/>
                <w:szCs w:val="24"/>
                <w:highlight w:val="none"/>
                <w:shd w:val="clear" w:color="auto" w:fill="auto"/>
                <w:lang w:val="en-US" w:eastAsia="zh-CN"/>
              </w:rPr>
              <w:t>不予认可。</w:t>
            </w:r>
            <w:r>
              <w:rPr>
                <w:rFonts w:hint="eastAsia" w:ascii="仿宋" w:hAnsi="仿宋" w:eastAsia="仿宋" w:cs="仿宋"/>
                <w:b w:val="0"/>
                <w:bCs/>
                <w:color w:val="auto"/>
                <w:kern w:val="0"/>
                <w:sz w:val="24"/>
                <w:szCs w:val="24"/>
                <w:highlight w:val="none"/>
                <w:shd w:val="clear" w:color="auto" w:fill="auto"/>
              </w:rPr>
              <w:t>如社保证明为网上打印，可只提供盖有电子章的打印页</w:t>
            </w:r>
          </w:p>
        </w:tc>
        <w:tc>
          <w:tcPr>
            <w:tcW w:w="1080" w:type="dxa"/>
            <w:noWrap w:val="0"/>
            <w:vAlign w:val="center"/>
          </w:tcPr>
          <w:p w14:paraId="00246556">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highlight w:val="none"/>
                <w:lang w:val="en-US" w:eastAsia="zh-CN"/>
              </w:rPr>
              <w:t>/</w:t>
            </w:r>
          </w:p>
        </w:tc>
        <w:tc>
          <w:tcPr>
            <w:tcW w:w="892" w:type="dxa"/>
            <w:noWrap w:val="0"/>
            <w:vAlign w:val="center"/>
          </w:tcPr>
          <w:p w14:paraId="71E89018">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1485" w:type="dxa"/>
            <w:noWrap w:val="0"/>
            <w:vAlign w:val="center"/>
          </w:tcPr>
          <w:p w14:paraId="3DAB0822">
            <w:pPr>
              <w:adjustRightInd w:val="0"/>
              <w:snapToGrid w:val="0"/>
              <w:jc w:val="center"/>
              <w:rPr>
                <w:rFonts w:hint="eastAsia" w:ascii="仿宋" w:hAnsi="仿宋" w:eastAsia="仿宋" w:cs="仿宋"/>
                <w:color w:val="auto"/>
                <w:sz w:val="24"/>
                <w:highlight w:val="none"/>
              </w:rPr>
            </w:pPr>
          </w:p>
        </w:tc>
      </w:tr>
      <w:tr w14:paraId="03D28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54" w:type="dxa"/>
            <w:noWrap w:val="0"/>
            <w:vAlign w:val="center"/>
          </w:tcPr>
          <w:p w14:paraId="12C6F7AB">
            <w:pPr>
              <w:adjustRightInd w:val="0"/>
              <w:snapToGrid w:val="0"/>
              <w:jc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24"/>
                <w:szCs w:val="24"/>
                <w:highlight w:val="none"/>
                <w:shd w:val="clear" w:color="auto" w:fill="auto"/>
                <w:lang w:val="en-US" w:eastAsia="zh-CN"/>
              </w:rPr>
              <w:t>2.1</w:t>
            </w:r>
          </w:p>
        </w:tc>
        <w:tc>
          <w:tcPr>
            <w:tcW w:w="5797" w:type="dxa"/>
            <w:noWrap w:val="0"/>
            <w:vAlign w:val="center"/>
          </w:tcPr>
          <w:p w14:paraId="24D0A112">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szCs w:val="24"/>
                <w:highlight w:val="none"/>
                <w:shd w:val="clear" w:color="auto" w:fill="auto"/>
                <w:lang w:val="en-US" w:eastAsia="zh-CN"/>
              </w:rPr>
              <w:t>项目负责人</w:t>
            </w:r>
            <w:r>
              <w:rPr>
                <w:rFonts w:hint="eastAsia" w:ascii="仿宋" w:hAnsi="仿宋" w:eastAsia="仿宋" w:cs="仿宋"/>
                <w:bCs/>
                <w:snapToGrid/>
                <w:color w:val="auto"/>
                <w:kern w:val="0"/>
                <w:sz w:val="24"/>
                <w:highlight w:val="none"/>
                <w:shd w:val="clear" w:color="auto" w:fill="auto"/>
                <w:lang w:val="en-US" w:eastAsia="zh-CN"/>
              </w:rPr>
              <w:t>具备</w:t>
            </w:r>
            <w:r>
              <w:rPr>
                <w:rFonts w:hint="eastAsia" w:ascii="仿宋" w:hAnsi="仿宋" w:eastAsia="仿宋" w:cs="仿宋"/>
                <w:bCs/>
                <w:color w:val="auto"/>
                <w:kern w:val="0"/>
                <w:sz w:val="24"/>
                <w:szCs w:val="24"/>
                <w:highlight w:val="none"/>
                <w:shd w:val="clear" w:color="auto" w:fill="auto"/>
                <w:lang w:val="en-US"/>
              </w:rPr>
              <w:t>中级</w:t>
            </w:r>
            <w:r>
              <w:rPr>
                <w:rFonts w:hint="eastAsia" w:ascii="仿宋" w:hAnsi="仿宋" w:eastAsia="仿宋" w:cs="仿宋"/>
                <w:bCs/>
                <w:color w:val="auto"/>
                <w:kern w:val="0"/>
                <w:sz w:val="24"/>
                <w:szCs w:val="24"/>
                <w:highlight w:val="none"/>
                <w:shd w:val="clear" w:color="auto" w:fill="auto"/>
                <w:lang w:val="en-US" w:eastAsia="zh-CN"/>
              </w:rPr>
              <w:t>或</w:t>
            </w:r>
            <w:r>
              <w:rPr>
                <w:rFonts w:hint="eastAsia" w:ascii="仿宋" w:hAnsi="仿宋" w:eastAsia="仿宋" w:cs="仿宋"/>
                <w:bCs/>
                <w:color w:val="auto"/>
                <w:kern w:val="0"/>
                <w:sz w:val="24"/>
                <w:szCs w:val="24"/>
                <w:highlight w:val="none"/>
                <w:shd w:val="clear" w:color="auto" w:fill="auto"/>
                <w:lang w:val="en-US"/>
              </w:rPr>
              <w:t>以上出版专业技术人员职称</w:t>
            </w:r>
            <w:r>
              <w:rPr>
                <w:rFonts w:hint="eastAsia" w:ascii="仿宋" w:hAnsi="仿宋" w:eastAsia="仿宋" w:cs="仿宋"/>
                <w:bCs/>
                <w:color w:val="auto"/>
                <w:kern w:val="0"/>
                <w:sz w:val="24"/>
                <w:szCs w:val="24"/>
                <w:highlight w:val="none"/>
                <w:shd w:val="clear" w:color="auto" w:fill="auto"/>
                <w:lang w:val="en-US" w:eastAsia="zh-CN"/>
              </w:rPr>
              <w:t>（人社部门颁发，以人社部发〔2021〕10号为准）</w:t>
            </w:r>
            <w:r>
              <w:rPr>
                <w:rFonts w:hint="eastAsia" w:ascii="仿宋" w:hAnsi="仿宋" w:eastAsia="仿宋" w:cs="仿宋"/>
                <w:color w:val="auto"/>
                <w:kern w:val="0"/>
                <w:sz w:val="24"/>
                <w:szCs w:val="24"/>
                <w:highlight w:val="none"/>
                <w:shd w:val="clear" w:color="auto" w:fill="auto"/>
                <w:lang w:val="en-US" w:eastAsia="zh-CN"/>
              </w:rPr>
              <w:t>，满足得2分，不满足不得分。</w:t>
            </w:r>
          </w:p>
        </w:tc>
        <w:tc>
          <w:tcPr>
            <w:tcW w:w="1080" w:type="dxa"/>
            <w:noWrap w:val="0"/>
            <w:vAlign w:val="center"/>
          </w:tcPr>
          <w:p w14:paraId="5821F41D">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892" w:type="dxa"/>
            <w:noWrap w:val="0"/>
            <w:vAlign w:val="center"/>
          </w:tcPr>
          <w:p w14:paraId="753D72F1">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1485" w:type="dxa"/>
            <w:noWrap w:val="0"/>
            <w:vAlign w:val="center"/>
          </w:tcPr>
          <w:p w14:paraId="3CA9BF47">
            <w:pPr>
              <w:adjustRightInd w:val="0"/>
              <w:snapToGrid w:val="0"/>
              <w:jc w:val="center"/>
              <w:rPr>
                <w:rFonts w:hint="eastAsia" w:ascii="仿宋" w:hAnsi="仿宋" w:eastAsia="仿宋" w:cs="仿宋"/>
                <w:color w:val="auto"/>
                <w:sz w:val="24"/>
                <w:highlight w:val="none"/>
              </w:rPr>
            </w:pPr>
          </w:p>
        </w:tc>
      </w:tr>
      <w:tr w14:paraId="56F1F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54" w:type="dxa"/>
            <w:noWrap w:val="0"/>
            <w:vAlign w:val="center"/>
          </w:tcPr>
          <w:p w14:paraId="1BD5113D">
            <w:pPr>
              <w:adjustRightInd w:val="0"/>
              <w:snapToGrid w:val="0"/>
              <w:jc w:val="center"/>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2.2</w:t>
            </w:r>
          </w:p>
        </w:tc>
        <w:tc>
          <w:tcPr>
            <w:tcW w:w="5797" w:type="dxa"/>
            <w:noWrap w:val="0"/>
            <w:vAlign w:val="center"/>
          </w:tcPr>
          <w:p w14:paraId="64C762CA">
            <w:pPr>
              <w:snapToGrid w:val="0"/>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团队人员数量5人以上（不足10人）1分，10人以上（不足20人）2分，20人以上3分。</w:t>
            </w:r>
          </w:p>
        </w:tc>
        <w:tc>
          <w:tcPr>
            <w:tcW w:w="1080" w:type="dxa"/>
            <w:noWrap w:val="0"/>
            <w:vAlign w:val="center"/>
          </w:tcPr>
          <w:p w14:paraId="7A606415">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892" w:type="dxa"/>
            <w:noWrap w:val="0"/>
            <w:vAlign w:val="center"/>
          </w:tcPr>
          <w:p w14:paraId="2D8E3257">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1485" w:type="dxa"/>
            <w:noWrap w:val="0"/>
            <w:vAlign w:val="center"/>
          </w:tcPr>
          <w:p w14:paraId="3EC0D043">
            <w:pPr>
              <w:adjustRightInd w:val="0"/>
              <w:snapToGrid w:val="0"/>
              <w:jc w:val="center"/>
              <w:rPr>
                <w:rFonts w:hint="eastAsia" w:ascii="仿宋" w:hAnsi="仿宋" w:eastAsia="仿宋" w:cs="仿宋"/>
                <w:color w:val="auto"/>
                <w:sz w:val="24"/>
                <w:highlight w:val="none"/>
              </w:rPr>
            </w:pPr>
          </w:p>
        </w:tc>
      </w:tr>
      <w:tr w14:paraId="7E781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654" w:type="dxa"/>
            <w:noWrap w:val="0"/>
            <w:vAlign w:val="center"/>
          </w:tcPr>
          <w:p w14:paraId="22076E88">
            <w:pPr>
              <w:adjustRightInd w:val="0"/>
              <w:snapToGrid w:val="0"/>
              <w:jc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24"/>
                <w:szCs w:val="24"/>
                <w:highlight w:val="none"/>
                <w:shd w:val="clear" w:color="auto" w:fill="auto"/>
                <w:lang w:val="en-US" w:eastAsia="zh-CN"/>
              </w:rPr>
              <w:t>2.3</w:t>
            </w:r>
          </w:p>
        </w:tc>
        <w:tc>
          <w:tcPr>
            <w:tcW w:w="5797" w:type="dxa"/>
            <w:noWrap w:val="0"/>
            <w:vAlign w:val="center"/>
          </w:tcPr>
          <w:p w14:paraId="17993450">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szCs w:val="24"/>
                <w:highlight w:val="none"/>
                <w:shd w:val="clear" w:color="auto" w:fill="auto"/>
                <w:lang w:val="en-US" w:eastAsia="zh-CN"/>
              </w:rPr>
              <w:t>除项目负责人外，项目团队成员中有人员具有</w:t>
            </w:r>
            <w:r>
              <w:rPr>
                <w:rFonts w:hint="eastAsia" w:ascii="仿宋" w:hAnsi="仿宋" w:eastAsia="仿宋" w:cs="仿宋"/>
                <w:bCs/>
                <w:color w:val="auto"/>
                <w:kern w:val="0"/>
                <w:sz w:val="24"/>
                <w:szCs w:val="24"/>
                <w:highlight w:val="none"/>
                <w:shd w:val="clear" w:color="auto" w:fill="auto"/>
                <w:lang w:val="en-US"/>
              </w:rPr>
              <w:t>中级</w:t>
            </w:r>
            <w:r>
              <w:rPr>
                <w:rFonts w:hint="eastAsia" w:ascii="仿宋" w:hAnsi="仿宋" w:eastAsia="仿宋" w:cs="仿宋"/>
                <w:bCs/>
                <w:color w:val="auto"/>
                <w:kern w:val="0"/>
                <w:sz w:val="24"/>
                <w:szCs w:val="24"/>
                <w:highlight w:val="none"/>
                <w:shd w:val="clear" w:color="auto" w:fill="auto"/>
                <w:lang w:val="en-US" w:eastAsia="zh-CN"/>
              </w:rPr>
              <w:t>或</w:t>
            </w:r>
            <w:r>
              <w:rPr>
                <w:rFonts w:hint="eastAsia" w:ascii="仿宋" w:hAnsi="仿宋" w:eastAsia="仿宋" w:cs="仿宋"/>
                <w:bCs/>
                <w:color w:val="auto"/>
                <w:kern w:val="0"/>
                <w:sz w:val="24"/>
                <w:szCs w:val="24"/>
                <w:highlight w:val="none"/>
                <w:shd w:val="clear" w:color="auto" w:fill="auto"/>
                <w:lang w:val="en-US"/>
              </w:rPr>
              <w:t>以上出版专业技术人员职称</w:t>
            </w:r>
            <w:r>
              <w:rPr>
                <w:rFonts w:hint="eastAsia" w:ascii="仿宋" w:hAnsi="仿宋" w:eastAsia="仿宋" w:cs="仿宋"/>
                <w:color w:val="auto"/>
                <w:kern w:val="0"/>
                <w:sz w:val="24"/>
                <w:szCs w:val="24"/>
                <w:highlight w:val="none"/>
                <w:shd w:val="clear" w:color="auto" w:fill="auto"/>
                <w:lang w:val="en-US" w:eastAsia="zh-CN"/>
              </w:rPr>
              <w:t>，每个得1分，最多3分</w:t>
            </w:r>
            <w:r>
              <w:rPr>
                <w:rFonts w:hint="eastAsia" w:ascii="仿宋" w:hAnsi="仿宋" w:eastAsia="仿宋" w:cs="仿宋"/>
                <w:bCs/>
                <w:color w:val="auto"/>
                <w:kern w:val="0"/>
                <w:sz w:val="24"/>
                <w:szCs w:val="24"/>
                <w:highlight w:val="none"/>
                <w:shd w:val="clear" w:color="auto" w:fill="auto"/>
                <w:lang w:val="en-US" w:eastAsia="zh-CN"/>
              </w:rPr>
              <w:t>（人社部门颁发，以人社部发〔2021〕10号为准）</w:t>
            </w:r>
            <w:r>
              <w:rPr>
                <w:rFonts w:hint="eastAsia" w:ascii="仿宋" w:hAnsi="仿宋" w:eastAsia="仿宋" w:cs="仿宋"/>
                <w:color w:val="auto"/>
                <w:kern w:val="0"/>
                <w:sz w:val="24"/>
                <w:szCs w:val="24"/>
                <w:highlight w:val="none"/>
                <w:shd w:val="clear" w:color="auto" w:fill="auto"/>
                <w:lang w:val="en-US" w:eastAsia="zh-CN"/>
              </w:rPr>
              <w:t>。</w:t>
            </w:r>
          </w:p>
        </w:tc>
        <w:tc>
          <w:tcPr>
            <w:tcW w:w="1080" w:type="dxa"/>
            <w:noWrap w:val="0"/>
            <w:vAlign w:val="center"/>
          </w:tcPr>
          <w:p w14:paraId="3E6642FB">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892" w:type="dxa"/>
            <w:noWrap w:val="0"/>
            <w:vAlign w:val="center"/>
          </w:tcPr>
          <w:p w14:paraId="0A878CC9">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1485" w:type="dxa"/>
            <w:noWrap w:val="0"/>
            <w:vAlign w:val="center"/>
          </w:tcPr>
          <w:p w14:paraId="4F53BA39">
            <w:pPr>
              <w:adjustRightInd w:val="0"/>
              <w:snapToGrid w:val="0"/>
              <w:jc w:val="center"/>
              <w:rPr>
                <w:rFonts w:hint="eastAsia" w:ascii="仿宋" w:hAnsi="仿宋" w:eastAsia="仿宋" w:cs="仿宋"/>
                <w:color w:val="auto"/>
                <w:sz w:val="24"/>
                <w:highlight w:val="none"/>
              </w:rPr>
            </w:pPr>
          </w:p>
        </w:tc>
      </w:tr>
      <w:tr w14:paraId="0E99F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54" w:type="dxa"/>
            <w:noWrap w:val="0"/>
            <w:vAlign w:val="center"/>
          </w:tcPr>
          <w:p w14:paraId="5781EAA3">
            <w:pPr>
              <w:adjustRightInd w:val="0"/>
              <w:snapToGrid w:val="0"/>
              <w:jc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24"/>
                <w:szCs w:val="24"/>
                <w:highlight w:val="none"/>
                <w:shd w:val="clear" w:color="auto" w:fill="auto"/>
                <w:lang w:val="en-US" w:eastAsia="zh-CN"/>
              </w:rPr>
              <w:t>3</w:t>
            </w:r>
          </w:p>
        </w:tc>
        <w:tc>
          <w:tcPr>
            <w:tcW w:w="5797" w:type="dxa"/>
            <w:noWrap w:val="0"/>
            <w:vAlign w:val="center"/>
          </w:tcPr>
          <w:p w14:paraId="47FFA0BA">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szCs w:val="24"/>
                <w:highlight w:val="none"/>
                <w:shd w:val="clear" w:color="auto" w:fill="auto"/>
                <w:lang w:val="en-US" w:eastAsia="zh-CN"/>
              </w:rPr>
              <w:t>纸质图书采购渠道。有供书保障的各类出版社数量，超过300家（含）得5分；超过200家（含）不足300家得3分；超过100家（含）不足200家得1分，低于100家不得分。提供合作的出版社清单，并承担真实有效的责任；</w:t>
            </w:r>
            <w:r>
              <w:rPr>
                <w:rFonts w:hint="eastAsia" w:ascii="仿宋" w:hAnsi="仿宋" w:eastAsia="仿宋" w:cs="仿宋"/>
                <w:snapToGrid/>
                <w:color w:val="auto"/>
                <w:kern w:val="2"/>
                <w:sz w:val="24"/>
                <w:szCs w:val="20"/>
                <w:highlight w:val="none"/>
                <w:shd w:val="clear" w:color="auto" w:fill="auto"/>
                <w:lang w:val="en-US" w:eastAsia="zh-CN"/>
              </w:rPr>
              <w:t>出版社应至少包含“三、采购要求”、“（一）采购对象”中列出的出版物出版社。</w:t>
            </w:r>
          </w:p>
        </w:tc>
        <w:tc>
          <w:tcPr>
            <w:tcW w:w="1080" w:type="dxa"/>
            <w:noWrap w:val="0"/>
            <w:vAlign w:val="center"/>
          </w:tcPr>
          <w:p w14:paraId="68E0BF1D">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892" w:type="dxa"/>
            <w:noWrap w:val="0"/>
            <w:vAlign w:val="center"/>
          </w:tcPr>
          <w:p w14:paraId="4A3CF236">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客观分</w:t>
            </w:r>
          </w:p>
        </w:tc>
        <w:tc>
          <w:tcPr>
            <w:tcW w:w="1485" w:type="dxa"/>
            <w:noWrap w:val="0"/>
            <w:vAlign w:val="center"/>
          </w:tcPr>
          <w:p w14:paraId="25E59867">
            <w:pPr>
              <w:adjustRightInd w:val="0"/>
              <w:snapToGrid w:val="0"/>
              <w:jc w:val="center"/>
              <w:rPr>
                <w:rFonts w:hint="eastAsia" w:ascii="仿宋" w:hAnsi="仿宋" w:eastAsia="仿宋" w:cs="仿宋"/>
                <w:color w:val="auto"/>
                <w:sz w:val="24"/>
                <w:highlight w:val="none"/>
              </w:rPr>
            </w:pPr>
          </w:p>
        </w:tc>
      </w:tr>
      <w:tr w14:paraId="4D652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54" w:type="dxa"/>
            <w:noWrap w:val="0"/>
            <w:vAlign w:val="center"/>
          </w:tcPr>
          <w:p w14:paraId="38FFDECC">
            <w:pPr>
              <w:adjustRightInd w:val="0"/>
              <w:snapToGrid w:val="0"/>
              <w:jc w:val="center"/>
              <w:rPr>
                <w:rFonts w:hint="eastAsia" w:ascii="仿宋" w:hAnsi="仿宋" w:eastAsia="仿宋" w:cs="仿宋"/>
                <w:color w:val="auto"/>
                <w:sz w:val="16"/>
                <w:szCs w:val="16"/>
                <w:highlight w:val="none"/>
                <w:lang w:val="en-US" w:eastAsia="zh-CN"/>
              </w:rPr>
            </w:pPr>
            <w:r>
              <w:rPr>
                <w:rFonts w:hint="eastAsia" w:ascii="仿宋" w:hAnsi="仿宋" w:eastAsia="仿宋" w:cs="仿宋"/>
                <w:b w:val="0"/>
                <w:bCs/>
                <w:color w:val="auto"/>
                <w:sz w:val="24"/>
                <w:szCs w:val="24"/>
                <w:highlight w:val="none"/>
                <w:shd w:val="clear" w:color="auto" w:fill="auto"/>
                <w:lang w:val="en-US" w:eastAsia="zh-CN"/>
              </w:rPr>
              <w:t>4</w:t>
            </w:r>
          </w:p>
        </w:tc>
        <w:tc>
          <w:tcPr>
            <w:tcW w:w="5797" w:type="dxa"/>
            <w:noWrap w:val="0"/>
            <w:vAlign w:val="center"/>
          </w:tcPr>
          <w:p w14:paraId="1478ADD2">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szCs w:val="24"/>
                <w:highlight w:val="none"/>
                <w:shd w:val="clear" w:color="auto" w:fill="auto"/>
                <w:lang w:val="en-US" w:eastAsia="zh-CN"/>
              </w:rPr>
              <w:t>图书采购方式</w:t>
            </w:r>
          </w:p>
        </w:tc>
        <w:tc>
          <w:tcPr>
            <w:tcW w:w="1080" w:type="dxa"/>
            <w:noWrap w:val="0"/>
            <w:vAlign w:val="center"/>
          </w:tcPr>
          <w:p w14:paraId="24A9D172">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892" w:type="dxa"/>
            <w:noWrap w:val="0"/>
            <w:vAlign w:val="center"/>
          </w:tcPr>
          <w:p w14:paraId="3F5C62AD">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w:t>
            </w:r>
          </w:p>
        </w:tc>
        <w:tc>
          <w:tcPr>
            <w:tcW w:w="1485" w:type="dxa"/>
            <w:noWrap w:val="0"/>
            <w:vAlign w:val="center"/>
          </w:tcPr>
          <w:p w14:paraId="515AC374">
            <w:pPr>
              <w:adjustRightInd w:val="0"/>
              <w:snapToGrid w:val="0"/>
              <w:jc w:val="center"/>
              <w:rPr>
                <w:rFonts w:hint="eastAsia" w:ascii="仿宋" w:hAnsi="仿宋" w:eastAsia="仿宋" w:cs="仿宋"/>
                <w:color w:val="auto"/>
                <w:sz w:val="24"/>
                <w:highlight w:val="none"/>
              </w:rPr>
            </w:pPr>
          </w:p>
        </w:tc>
      </w:tr>
      <w:tr w14:paraId="72840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54" w:type="dxa"/>
            <w:noWrap w:val="0"/>
            <w:vAlign w:val="center"/>
          </w:tcPr>
          <w:p w14:paraId="0FA6C347">
            <w:pPr>
              <w:adjustRightInd w:val="0"/>
              <w:snapToGrid w:val="0"/>
              <w:jc w:val="center"/>
              <w:rPr>
                <w:rFonts w:hint="eastAsia" w:ascii="仿宋" w:hAnsi="仿宋" w:eastAsia="仿宋" w:cs="仿宋"/>
                <w:b w:val="0"/>
                <w:bCs/>
                <w:color w:val="auto"/>
                <w:sz w:val="24"/>
                <w:szCs w:val="24"/>
                <w:highlight w:val="none"/>
                <w:shd w:val="clear" w:color="auto" w:fill="auto"/>
                <w:lang w:val="en-US" w:eastAsia="zh-CN"/>
              </w:rPr>
            </w:pPr>
            <w:r>
              <w:rPr>
                <w:rFonts w:hint="eastAsia" w:ascii="仿宋" w:hAnsi="仿宋" w:eastAsia="仿宋" w:cs="仿宋"/>
                <w:b w:val="0"/>
                <w:bCs/>
                <w:color w:val="auto"/>
                <w:sz w:val="24"/>
                <w:szCs w:val="24"/>
                <w:highlight w:val="none"/>
                <w:shd w:val="clear" w:color="auto" w:fill="auto"/>
                <w:lang w:val="en-US" w:eastAsia="zh-CN"/>
              </w:rPr>
              <w:t>4.1</w:t>
            </w:r>
          </w:p>
        </w:tc>
        <w:tc>
          <w:tcPr>
            <w:tcW w:w="5797" w:type="dxa"/>
            <w:noWrap w:val="0"/>
            <w:vAlign w:val="center"/>
          </w:tcPr>
          <w:p w14:paraId="4AEAF8C1">
            <w:pPr>
              <w:snapToGrid w:val="0"/>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rPr>
              <w:t>能提供图书现采服务(需</w:t>
            </w:r>
            <w:r>
              <w:rPr>
                <w:rFonts w:hint="eastAsia" w:ascii="仿宋" w:hAnsi="仿宋" w:eastAsia="仿宋" w:cs="仿宋"/>
                <w:color w:val="auto"/>
                <w:kern w:val="0"/>
                <w:sz w:val="24"/>
                <w:szCs w:val="24"/>
                <w:highlight w:val="none"/>
                <w:shd w:val="clear" w:color="auto" w:fill="auto"/>
                <w:lang w:val="en-US" w:eastAsia="zh-CN"/>
              </w:rPr>
              <w:t>提供现采服务现场</w:t>
            </w:r>
            <w:r>
              <w:rPr>
                <w:rFonts w:hint="eastAsia" w:ascii="仿宋" w:hAnsi="仿宋" w:eastAsia="仿宋" w:cs="仿宋"/>
                <w:color w:val="auto"/>
                <w:kern w:val="0"/>
                <w:sz w:val="24"/>
                <w:szCs w:val="24"/>
                <w:highlight w:val="none"/>
                <w:shd w:val="clear" w:color="auto" w:fill="auto"/>
                <w:lang w:val="en-US"/>
              </w:rPr>
              <w:t>照片)</w:t>
            </w:r>
            <w:r>
              <w:rPr>
                <w:rFonts w:hint="eastAsia" w:ascii="仿宋" w:hAnsi="仿宋" w:eastAsia="仿宋" w:cs="仿宋"/>
                <w:color w:val="auto"/>
                <w:kern w:val="0"/>
                <w:sz w:val="24"/>
                <w:szCs w:val="24"/>
                <w:highlight w:val="none"/>
                <w:shd w:val="clear" w:color="auto" w:fill="auto"/>
                <w:lang w:val="en-US" w:eastAsia="zh-CN"/>
              </w:rPr>
              <w:t>的</w:t>
            </w:r>
            <w:r>
              <w:rPr>
                <w:rFonts w:hint="eastAsia" w:ascii="仿宋" w:hAnsi="仿宋" w:eastAsia="仿宋" w:cs="仿宋"/>
                <w:color w:val="auto"/>
                <w:kern w:val="0"/>
                <w:sz w:val="24"/>
                <w:szCs w:val="24"/>
                <w:highlight w:val="none"/>
                <w:shd w:val="clear" w:color="auto" w:fill="auto"/>
                <w:lang w:val="en-US"/>
              </w:rPr>
              <w:t>得</w:t>
            </w:r>
            <w:r>
              <w:rPr>
                <w:rFonts w:hint="eastAsia" w:ascii="仿宋" w:hAnsi="仿宋" w:eastAsia="仿宋" w:cs="仿宋"/>
                <w:color w:val="auto"/>
                <w:kern w:val="0"/>
                <w:sz w:val="24"/>
                <w:szCs w:val="24"/>
                <w:highlight w:val="none"/>
                <w:shd w:val="clear" w:color="auto" w:fill="auto"/>
                <w:lang w:val="en-US" w:eastAsia="zh-CN"/>
              </w:rPr>
              <w:t>5</w:t>
            </w:r>
            <w:r>
              <w:rPr>
                <w:rFonts w:hint="eastAsia" w:ascii="仿宋" w:hAnsi="仿宋" w:eastAsia="仿宋" w:cs="仿宋"/>
                <w:color w:val="auto"/>
                <w:kern w:val="0"/>
                <w:sz w:val="24"/>
                <w:szCs w:val="24"/>
                <w:highlight w:val="none"/>
                <w:shd w:val="clear" w:color="auto" w:fill="auto"/>
                <w:lang w:val="en-US"/>
              </w:rPr>
              <w:t>分</w:t>
            </w:r>
          </w:p>
        </w:tc>
        <w:tc>
          <w:tcPr>
            <w:tcW w:w="1080" w:type="dxa"/>
            <w:noWrap w:val="0"/>
            <w:vAlign w:val="center"/>
          </w:tcPr>
          <w:p w14:paraId="22FAEFB3">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892" w:type="dxa"/>
            <w:noWrap w:val="0"/>
            <w:vAlign w:val="center"/>
          </w:tcPr>
          <w:p w14:paraId="18A31C31">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客观分</w:t>
            </w:r>
          </w:p>
        </w:tc>
        <w:tc>
          <w:tcPr>
            <w:tcW w:w="1485" w:type="dxa"/>
            <w:noWrap w:val="0"/>
            <w:vAlign w:val="center"/>
          </w:tcPr>
          <w:p w14:paraId="13A50A01">
            <w:pPr>
              <w:adjustRightInd w:val="0"/>
              <w:snapToGrid w:val="0"/>
              <w:jc w:val="center"/>
              <w:rPr>
                <w:rFonts w:hint="eastAsia" w:ascii="仿宋" w:hAnsi="仿宋" w:eastAsia="仿宋" w:cs="仿宋"/>
                <w:color w:val="auto"/>
                <w:sz w:val="24"/>
                <w:highlight w:val="none"/>
              </w:rPr>
            </w:pPr>
          </w:p>
        </w:tc>
      </w:tr>
      <w:tr w14:paraId="467B5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54" w:type="dxa"/>
            <w:noWrap w:val="0"/>
            <w:vAlign w:val="center"/>
          </w:tcPr>
          <w:p w14:paraId="23F53AF0">
            <w:pPr>
              <w:adjustRightInd w:val="0"/>
              <w:snapToGrid w:val="0"/>
              <w:jc w:val="center"/>
              <w:rPr>
                <w:rFonts w:hint="eastAsia" w:ascii="仿宋" w:hAnsi="仿宋" w:eastAsia="仿宋" w:cs="仿宋"/>
                <w:b w:val="0"/>
                <w:bCs/>
                <w:color w:val="auto"/>
                <w:sz w:val="24"/>
                <w:szCs w:val="24"/>
                <w:highlight w:val="none"/>
                <w:shd w:val="clear" w:color="auto" w:fill="auto"/>
                <w:lang w:val="en-US" w:eastAsia="zh-CN"/>
              </w:rPr>
            </w:pPr>
            <w:r>
              <w:rPr>
                <w:rFonts w:hint="eastAsia" w:ascii="仿宋" w:hAnsi="仿宋" w:eastAsia="仿宋" w:cs="仿宋"/>
                <w:b w:val="0"/>
                <w:bCs/>
                <w:color w:val="auto"/>
                <w:sz w:val="24"/>
                <w:szCs w:val="24"/>
                <w:highlight w:val="none"/>
                <w:shd w:val="clear" w:color="auto" w:fill="auto"/>
                <w:lang w:val="en-US" w:eastAsia="zh-CN"/>
              </w:rPr>
              <w:t>4.2</w:t>
            </w:r>
          </w:p>
        </w:tc>
        <w:tc>
          <w:tcPr>
            <w:tcW w:w="5797" w:type="dxa"/>
            <w:noWrap w:val="0"/>
            <w:vAlign w:val="center"/>
          </w:tcPr>
          <w:p w14:paraId="447333E2">
            <w:pPr>
              <w:snapToGrid w:val="0"/>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有公共图书馆网上借书悦借服务平台的，得2分（需提供网站截屏；可实现类似服务内容即可）</w:t>
            </w:r>
          </w:p>
        </w:tc>
        <w:tc>
          <w:tcPr>
            <w:tcW w:w="1080" w:type="dxa"/>
            <w:noWrap w:val="0"/>
            <w:vAlign w:val="center"/>
          </w:tcPr>
          <w:p w14:paraId="61BBE987">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892" w:type="dxa"/>
            <w:noWrap w:val="0"/>
            <w:vAlign w:val="center"/>
          </w:tcPr>
          <w:p w14:paraId="41E642F0">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客观分</w:t>
            </w:r>
          </w:p>
        </w:tc>
        <w:tc>
          <w:tcPr>
            <w:tcW w:w="1485" w:type="dxa"/>
            <w:noWrap w:val="0"/>
            <w:vAlign w:val="center"/>
          </w:tcPr>
          <w:p w14:paraId="798DDE57">
            <w:pPr>
              <w:adjustRightInd w:val="0"/>
              <w:snapToGrid w:val="0"/>
              <w:jc w:val="center"/>
              <w:rPr>
                <w:rFonts w:hint="eastAsia" w:ascii="仿宋" w:hAnsi="仿宋" w:eastAsia="仿宋" w:cs="仿宋"/>
                <w:color w:val="auto"/>
                <w:sz w:val="24"/>
                <w:highlight w:val="none"/>
              </w:rPr>
            </w:pPr>
          </w:p>
        </w:tc>
      </w:tr>
      <w:tr w14:paraId="40BAF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54" w:type="dxa"/>
            <w:noWrap w:val="0"/>
            <w:vAlign w:val="center"/>
          </w:tcPr>
          <w:p w14:paraId="1E2E8ADF">
            <w:pPr>
              <w:adjustRightInd w:val="0"/>
              <w:snapToGrid w:val="0"/>
              <w:jc w:val="center"/>
              <w:rPr>
                <w:rFonts w:hint="eastAsia" w:ascii="仿宋" w:hAnsi="仿宋" w:eastAsia="仿宋" w:cs="仿宋"/>
                <w:b w:val="0"/>
                <w:bCs/>
                <w:color w:val="auto"/>
                <w:sz w:val="24"/>
                <w:szCs w:val="24"/>
                <w:highlight w:val="none"/>
                <w:shd w:val="clear" w:color="auto" w:fill="auto"/>
                <w:lang w:val="en-US" w:eastAsia="zh-CN"/>
              </w:rPr>
            </w:pPr>
            <w:r>
              <w:rPr>
                <w:rFonts w:hint="eastAsia" w:ascii="仿宋" w:hAnsi="仿宋" w:eastAsia="仿宋" w:cs="仿宋"/>
                <w:b w:val="0"/>
                <w:bCs/>
                <w:color w:val="auto"/>
                <w:sz w:val="24"/>
                <w:szCs w:val="24"/>
                <w:highlight w:val="none"/>
                <w:shd w:val="clear" w:color="auto" w:fill="auto"/>
                <w:lang w:val="en-US" w:eastAsia="zh-CN"/>
              </w:rPr>
              <w:t>4.3</w:t>
            </w:r>
          </w:p>
        </w:tc>
        <w:tc>
          <w:tcPr>
            <w:tcW w:w="5797" w:type="dxa"/>
            <w:noWrap w:val="0"/>
            <w:vAlign w:val="center"/>
          </w:tcPr>
          <w:p w14:paraId="28A1C0E3">
            <w:pPr>
              <w:snapToGrid w:val="0"/>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能提供杭州市“一键借阅”平台线上借书服务，得3分（服务证明、服务评价等作为证明材料）</w:t>
            </w:r>
          </w:p>
        </w:tc>
        <w:tc>
          <w:tcPr>
            <w:tcW w:w="1080" w:type="dxa"/>
            <w:noWrap w:val="0"/>
            <w:vAlign w:val="center"/>
          </w:tcPr>
          <w:p w14:paraId="4DFDEAC3">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892" w:type="dxa"/>
            <w:noWrap w:val="0"/>
            <w:vAlign w:val="center"/>
          </w:tcPr>
          <w:p w14:paraId="06820FD9">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客观分</w:t>
            </w:r>
          </w:p>
        </w:tc>
        <w:tc>
          <w:tcPr>
            <w:tcW w:w="1485" w:type="dxa"/>
            <w:noWrap w:val="0"/>
            <w:vAlign w:val="center"/>
          </w:tcPr>
          <w:p w14:paraId="675EA8F3">
            <w:pPr>
              <w:adjustRightInd w:val="0"/>
              <w:snapToGrid w:val="0"/>
              <w:jc w:val="center"/>
              <w:rPr>
                <w:rFonts w:hint="eastAsia" w:ascii="仿宋" w:hAnsi="仿宋" w:eastAsia="仿宋" w:cs="仿宋"/>
                <w:color w:val="auto"/>
                <w:sz w:val="24"/>
                <w:highlight w:val="none"/>
              </w:rPr>
            </w:pPr>
          </w:p>
        </w:tc>
      </w:tr>
      <w:tr w14:paraId="1E0A9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54" w:type="dxa"/>
            <w:noWrap w:val="0"/>
            <w:vAlign w:val="center"/>
          </w:tcPr>
          <w:p w14:paraId="394AD32F">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shd w:val="clear" w:color="auto" w:fill="auto"/>
                <w:lang w:val="en-US" w:eastAsia="zh-CN"/>
              </w:rPr>
              <w:t>5</w:t>
            </w:r>
          </w:p>
        </w:tc>
        <w:tc>
          <w:tcPr>
            <w:tcW w:w="5797" w:type="dxa"/>
            <w:noWrap w:val="0"/>
            <w:vAlign w:val="center"/>
          </w:tcPr>
          <w:p w14:paraId="5CE2C75C">
            <w:pPr>
              <w:snapToGrid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shd w:val="clear" w:color="auto" w:fill="auto"/>
                <w:lang w:val="en-US"/>
              </w:rPr>
              <w:t>图书质量</w:t>
            </w:r>
            <w:r>
              <w:rPr>
                <w:rFonts w:hint="eastAsia" w:ascii="仿宋" w:hAnsi="仿宋" w:eastAsia="仿宋" w:cs="仿宋"/>
                <w:color w:val="auto"/>
                <w:kern w:val="0"/>
                <w:sz w:val="24"/>
                <w:szCs w:val="24"/>
                <w:highlight w:val="none"/>
                <w:shd w:val="clear" w:color="auto" w:fill="auto"/>
                <w:lang w:val="en-US" w:eastAsia="zh-CN"/>
              </w:rPr>
              <w:t>情况</w:t>
            </w:r>
          </w:p>
        </w:tc>
        <w:tc>
          <w:tcPr>
            <w:tcW w:w="1080" w:type="dxa"/>
            <w:noWrap w:val="0"/>
            <w:vAlign w:val="center"/>
          </w:tcPr>
          <w:p w14:paraId="07E09F15">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w:t>
            </w:r>
          </w:p>
        </w:tc>
        <w:tc>
          <w:tcPr>
            <w:tcW w:w="892" w:type="dxa"/>
            <w:noWrap w:val="0"/>
            <w:vAlign w:val="center"/>
          </w:tcPr>
          <w:p w14:paraId="7222A027">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w:t>
            </w:r>
          </w:p>
        </w:tc>
        <w:tc>
          <w:tcPr>
            <w:tcW w:w="1485" w:type="dxa"/>
            <w:noWrap w:val="0"/>
            <w:vAlign w:val="center"/>
          </w:tcPr>
          <w:p w14:paraId="44CF2D49">
            <w:pPr>
              <w:adjustRightInd w:val="0"/>
              <w:snapToGrid w:val="0"/>
              <w:jc w:val="center"/>
              <w:rPr>
                <w:rFonts w:hint="eastAsia" w:ascii="仿宋" w:hAnsi="仿宋" w:eastAsia="仿宋" w:cs="仿宋"/>
                <w:color w:val="auto"/>
                <w:sz w:val="24"/>
                <w:highlight w:val="none"/>
              </w:rPr>
            </w:pPr>
          </w:p>
        </w:tc>
      </w:tr>
      <w:tr w14:paraId="10DF0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54" w:type="dxa"/>
            <w:noWrap w:val="0"/>
            <w:vAlign w:val="center"/>
          </w:tcPr>
          <w:p w14:paraId="1F1BA01C">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shd w:val="clear" w:color="auto" w:fill="auto"/>
                <w:lang w:val="en-US" w:eastAsia="zh-CN"/>
              </w:rPr>
              <w:t>5.1</w:t>
            </w:r>
          </w:p>
        </w:tc>
        <w:tc>
          <w:tcPr>
            <w:tcW w:w="5797" w:type="dxa"/>
            <w:noWrap w:val="0"/>
            <w:vAlign w:val="center"/>
          </w:tcPr>
          <w:p w14:paraId="09DEDCF9">
            <w:pPr>
              <w:snapToGrid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shd w:val="clear" w:color="auto" w:fill="auto"/>
                <w:lang w:val="en-US" w:eastAsia="zh-CN"/>
              </w:rPr>
              <w:t>承诺所供图书为正式出版物得2分</w:t>
            </w:r>
          </w:p>
        </w:tc>
        <w:tc>
          <w:tcPr>
            <w:tcW w:w="1080" w:type="dxa"/>
            <w:noWrap w:val="0"/>
            <w:vAlign w:val="center"/>
          </w:tcPr>
          <w:p w14:paraId="40FE40FD">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w:t>
            </w:r>
          </w:p>
        </w:tc>
        <w:tc>
          <w:tcPr>
            <w:tcW w:w="892" w:type="dxa"/>
            <w:noWrap w:val="0"/>
            <w:vAlign w:val="center"/>
          </w:tcPr>
          <w:p w14:paraId="706F514E">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客观分</w:t>
            </w:r>
          </w:p>
        </w:tc>
        <w:tc>
          <w:tcPr>
            <w:tcW w:w="1485" w:type="dxa"/>
            <w:noWrap w:val="0"/>
            <w:vAlign w:val="center"/>
          </w:tcPr>
          <w:p w14:paraId="0AA26EB6">
            <w:pPr>
              <w:adjustRightInd w:val="0"/>
              <w:snapToGrid w:val="0"/>
              <w:jc w:val="center"/>
              <w:rPr>
                <w:rFonts w:hint="eastAsia" w:ascii="仿宋" w:hAnsi="仿宋" w:eastAsia="仿宋" w:cs="仿宋"/>
                <w:color w:val="auto"/>
                <w:sz w:val="24"/>
                <w:highlight w:val="none"/>
              </w:rPr>
            </w:pPr>
          </w:p>
        </w:tc>
      </w:tr>
      <w:tr w14:paraId="67B02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54" w:type="dxa"/>
            <w:noWrap w:val="0"/>
            <w:vAlign w:val="center"/>
          </w:tcPr>
          <w:p w14:paraId="37DB6E78">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shd w:val="clear" w:color="auto" w:fill="auto"/>
                <w:lang w:val="en-US" w:eastAsia="zh-CN"/>
              </w:rPr>
              <w:t>5.2</w:t>
            </w:r>
          </w:p>
        </w:tc>
        <w:tc>
          <w:tcPr>
            <w:tcW w:w="5797" w:type="dxa"/>
            <w:noWrap w:val="0"/>
            <w:vAlign w:val="center"/>
          </w:tcPr>
          <w:p w14:paraId="701460B7">
            <w:pPr>
              <w:snapToGrid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shd w:val="clear" w:color="auto" w:fill="auto"/>
                <w:lang w:val="en-US" w:eastAsia="zh-CN"/>
              </w:rPr>
              <w:t>承诺无污染破损得2分</w:t>
            </w:r>
          </w:p>
        </w:tc>
        <w:tc>
          <w:tcPr>
            <w:tcW w:w="1080" w:type="dxa"/>
            <w:noWrap w:val="0"/>
            <w:vAlign w:val="center"/>
          </w:tcPr>
          <w:p w14:paraId="3678C4EB">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w:t>
            </w:r>
          </w:p>
        </w:tc>
        <w:tc>
          <w:tcPr>
            <w:tcW w:w="892" w:type="dxa"/>
            <w:noWrap w:val="0"/>
            <w:vAlign w:val="center"/>
          </w:tcPr>
          <w:p w14:paraId="0E7FFB84">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客观分</w:t>
            </w:r>
          </w:p>
        </w:tc>
        <w:tc>
          <w:tcPr>
            <w:tcW w:w="1485" w:type="dxa"/>
            <w:noWrap w:val="0"/>
            <w:vAlign w:val="center"/>
          </w:tcPr>
          <w:p w14:paraId="055C1191">
            <w:pPr>
              <w:adjustRightInd w:val="0"/>
              <w:snapToGrid w:val="0"/>
              <w:jc w:val="center"/>
              <w:rPr>
                <w:rFonts w:hint="eastAsia" w:ascii="仿宋" w:hAnsi="仿宋" w:eastAsia="仿宋" w:cs="仿宋"/>
                <w:color w:val="auto"/>
                <w:sz w:val="24"/>
                <w:highlight w:val="none"/>
              </w:rPr>
            </w:pPr>
          </w:p>
        </w:tc>
      </w:tr>
      <w:tr w14:paraId="0DE4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54" w:type="dxa"/>
            <w:noWrap w:val="0"/>
            <w:vAlign w:val="center"/>
          </w:tcPr>
          <w:p w14:paraId="75B9944E">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b w:val="0"/>
                <w:bCs/>
                <w:color w:val="auto"/>
                <w:sz w:val="24"/>
                <w:szCs w:val="24"/>
                <w:highlight w:val="none"/>
                <w:shd w:val="clear" w:color="auto" w:fill="auto"/>
                <w:lang w:val="en-US" w:eastAsia="zh-CN"/>
              </w:rPr>
              <w:t>5.3</w:t>
            </w:r>
          </w:p>
        </w:tc>
        <w:tc>
          <w:tcPr>
            <w:tcW w:w="5797" w:type="dxa"/>
            <w:noWrap w:val="0"/>
            <w:vAlign w:val="center"/>
          </w:tcPr>
          <w:p w14:paraId="3FCFA542">
            <w:pPr>
              <w:snapToGrid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shd w:val="clear" w:color="auto" w:fill="auto"/>
                <w:lang w:val="en-US" w:eastAsia="zh-CN"/>
              </w:rPr>
              <w:t>承诺采访书目为当年全国的书目信息，完整准确得2分</w:t>
            </w:r>
          </w:p>
        </w:tc>
        <w:tc>
          <w:tcPr>
            <w:tcW w:w="1080" w:type="dxa"/>
            <w:noWrap w:val="0"/>
            <w:vAlign w:val="center"/>
          </w:tcPr>
          <w:p w14:paraId="7E1B4D55">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w:t>
            </w:r>
          </w:p>
        </w:tc>
        <w:tc>
          <w:tcPr>
            <w:tcW w:w="892" w:type="dxa"/>
            <w:noWrap w:val="0"/>
            <w:vAlign w:val="center"/>
          </w:tcPr>
          <w:p w14:paraId="6AC4F6F7">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客观分</w:t>
            </w:r>
          </w:p>
        </w:tc>
        <w:tc>
          <w:tcPr>
            <w:tcW w:w="1485" w:type="dxa"/>
            <w:noWrap w:val="0"/>
            <w:vAlign w:val="center"/>
          </w:tcPr>
          <w:p w14:paraId="05BBE2DE">
            <w:pPr>
              <w:adjustRightInd w:val="0"/>
              <w:snapToGrid w:val="0"/>
              <w:jc w:val="center"/>
              <w:rPr>
                <w:rFonts w:hint="eastAsia" w:ascii="仿宋" w:hAnsi="仿宋" w:eastAsia="仿宋" w:cs="仿宋"/>
                <w:color w:val="auto"/>
                <w:sz w:val="24"/>
                <w:highlight w:val="none"/>
              </w:rPr>
            </w:pPr>
          </w:p>
        </w:tc>
      </w:tr>
      <w:tr w14:paraId="54996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54" w:type="dxa"/>
            <w:noWrap w:val="0"/>
            <w:vAlign w:val="center"/>
          </w:tcPr>
          <w:p w14:paraId="4C131578">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b w:val="0"/>
                <w:bCs/>
                <w:color w:val="auto"/>
                <w:sz w:val="24"/>
                <w:szCs w:val="24"/>
                <w:highlight w:val="none"/>
                <w:shd w:val="clear" w:color="auto" w:fill="auto"/>
                <w:lang w:val="en-US" w:eastAsia="zh-CN"/>
              </w:rPr>
              <w:t>6</w:t>
            </w:r>
          </w:p>
        </w:tc>
        <w:tc>
          <w:tcPr>
            <w:tcW w:w="5797" w:type="dxa"/>
            <w:noWrap w:val="0"/>
            <w:vAlign w:val="center"/>
          </w:tcPr>
          <w:p w14:paraId="4F530FB0">
            <w:pPr>
              <w:snapToGrid w:val="0"/>
              <w:rPr>
                <w:rFonts w:hint="default"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编目加工服务。提供专业的编目加工服务方案，包括服务流程、服务效率、服务专业性、服务可靠性等。完整性、项目匹配性好得5分；完整性、项目匹配性较好得4分；完整性、项目匹配性一般得3分；有方案但针对性不佳得2分；有较大欠缺得1分；其余不得分。</w:t>
            </w:r>
          </w:p>
        </w:tc>
        <w:tc>
          <w:tcPr>
            <w:tcW w:w="1080" w:type="dxa"/>
            <w:noWrap w:val="0"/>
            <w:vAlign w:val="center"/>
          </w:tcPr>
          <w:p w14:paraId="2A6CED21">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892" w:type="dxa"/>
            <w:noWrap w:val="0"/>
            <w:vAlign w:val="center"/>
          </w:tcPr>
          <w:p w14:paraId="58D91953">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主观分</w:t>
            </w:r>
          </w:p>
        </w:tc>
        <w:tc>
          <w:tcPr>
            <w:tcW w:w="1485" w:type="dxa"/>
            <w:noWrap w:val="0"/>
            <w:vAlign w:val="center"/>
          </w:tcPr>
          <w:p w14:paraId="0F4C72D1">
            <w:pPr>
              <w:adjustRightInd w:val="0"/>
              <w:snapToGrid w:val="0"/>
              <w:jc w:val="center"/>
              <w:rPr>
                <w:rFonts w:hint="eastAsia" w:ascii="仿宋" w:hAnsi="仿宋" w:eastAsia="仿宋" w:cs="仿宋"/>
                <w:color w:val="auto"/>
                <w:sz w:val="24"/>
                <w:highlight w:val="none"/>
              </w:rPr>
            </w:pPr>
          </w:p>
        </w:tc>
      </w:tr>
      <w:tr w14:paraId="36CD6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54" w:type="dxa"/>
            <w:noWrap w:val="0"/>
            <w:vAlign w:val="center"/>
          </w:tcPr>
          <w:p w14:paraId="3F0B14BD">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shd w:val="clear" w:color="auto" w:fill="auto"/>
                <w:lang w:val="en-US" w:eastAsia="zh-CN"/>
              </w:rPr>
              <w:t>7</w:t>
            </w:r>
          </w:p>
        </w:tc>
        <w:tc>
          <w:tcPr>
            <w:tcW w:w="5797" w:type="dxa"/>
            <w:noWrap w:val="0"/>
            <w:vAlign w:val="center"/>
          </w:tcPr>
          <w:p w14:paraId="645DF2B4">
            <w:pPr>
              <w:snapToGrid w:val="0"/>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提供到书率保障方案。提供确保到书率98%以上的方案及相关措施，并确保可信度、可行性。完整性、可行性好得3分；完整性、可行性较好得2分；完整性、可行性一般得1分；其余不得分</w:t>
            </w:r>
          </w:p>
        </w:tc>
        <w:tc>
          <w:tcPr>
            <w:tcW w:w="1080" w:type="dxa"/>
            <w:noWrap w:val="0"/>
            <w:vAlign w:val="center"/>
          </w:tcPr>
          <w:p w14:paraId="372DA035">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w:t>
            </w:r>
          </w:p>
        </w:tc>
        <w:tc>
          <w:tcPr>
            <w:tcW w:w="892" w:type="dxa"/>
            <w:noWrap w:val="0"/>
            <w:vAlign w:val="center"/>
          </w:tcPr>
          <w:p w14:paraId="1DB28DDA">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主观分</w:t>
            </w:r>
          </w:p>
        </w:tc>
        <w:tc>
          <w:tcPr>
            <w:tcW w:w="1485" w:type="dxa"/>
            <w:noWrap w:val="0"/>
            <w:vAlign w:val="center"/>
          </w:tcPr>
          <w:p w14:paraId="2D43A9BE">
            <w:pPr>
              <w:adjustRightInd w:val="0"/>
              <w:snapToGrid w:val="0"/>
              <w:jc w:val="center"/>
              <w:rPr>
                <w:rFonts w:hint="eastAsia" w:ascii="仿宋" w:hAnsi="仿宋" w:eastAsia="仿宋" w:cs="仿宋"/>
                <w:color w:val="auto"/>
                <w:sz w:val="24"/>
                <w:highlight w:val="none"/>
              </w:rPr>
            </w:pPr>
          </w:p>
        </w:tc>
      </w:tr>
      <w:tr w14:paraId="46C03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54" w:type="dxa"/>
            <w:noWrap w:val="0"/>
            <w:vAlign w:val="center"/>
          </w:tcPr>
          <w:p w14:paraId="752534AB">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shd w:val="clear" w:color="auto" w:fill="auto"/>
                <w:lang w:val="en-US" w:eastAsia="zh-CN"/>
              </w:rPr>
              <w:t>8</w:t>
            </w:r>
          </w:p>
        </w:tc>
        <w:tc>
          <w:tcPr>
            <w:tcW w:w="5797" w:type="dxa"/>
            <w:noWrap w:val="0"/>
            <w:vAlign w:val="center"/>
          </w:tcPr>
          <w:p w14:paraId="508E8093">
            <w:pPr>
              <w:snapToGrid w:val="0"/>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根据图书借阅服务提供馆外借阅服务方案。提供专业的加工、借阅服务方案，包括服务流程、服务效率等。完整性、项目匹配性好得5分；完整性、项目匹配性较好得4分；完整性、项目匹配性一般得3分；有方案但针对性不佳得2分；有较大欠缺得1分；其余不得分。</w:t>
            </w:r>
          </w:p>
        </w:tc>
        <w:tc>
          <w:tcPr>
            <w:tcW w:w="1080" w:type="dxa"/>
            <w:noWrap w:val="0"/>
            <w:vAlign w:val="center"/>
          </w:tcPr>
          <w:p w14:paraId="6AEF0A5C">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5</w:t>
            </w:r>
          </w:p>
        </w:tc>
        <w:tc>
          <w:tcPr>
            <w:tcW w:w="892" w:type="dxa"/>
            <w:noWrap w:val="0"/>
            <w:vAlign w:val="center"/>
          </w:tcPr>
          <w:p w14:paraId="04DEE8C3">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主观分</w:t>
            </w:r>
          </w:p>
        </w:tc>
        <w:tc>
          <w:tcPr>
            <w:tcW w:w="1485" w:type="dxa"/>
            <w:noWrap w:val="0"/>
            <w:vAlign w:val="center"/>
          </w:tcPr>
          <w:p w14:paraId="29CEEDB9">
            <w:pPr>
              <w:adjustRightInd w:val="0"/>
              <w:snapToGrid w:val="0"/>
              <w:jc w:val="center"/>
              <w:rPr>
                <w:rFonts w:hint="eastAsia" w:ascii="仿宋" w:hAnsi="仿宋" w:eastAsia="仿宋" w:cs="仿宋"/>
                <w:color w:val="auto"/>
                <w:sz w:val="24"/>
                <w:highlight w:val="none"/>
              </w:rPr>
            </w:pPr>
          </w:p>
        </w:tc>
      </w:tr>
      <w:tr w14:paraId="7B49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54" w:type="dxa"/>
            <w:noWrap w:val="0"/>
            <w:vAlign w:val="center"/>
          </w:tcPr>
          <w:p w14:paraId="4A3D5972">
            <w:pPr>
              <w:adjustRightInd w:val="0"/>
              <w:snapToGrid w:val="0"/>
              <w:jc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24"/>
                <w:szCs w:val="24"/>
                <w:highlight w:val="none"/>
                <w:shd w:val="clear" w:color="auto" w:fill="auto"/>
                <w:lang w:val="en-US" w:eastAsia="zh-CN"/>
              </w:rPr>
              <w:t>9</w:t>
            </w:r>
          </w:p>
        </w:tc>
        <w:tc>
          <w:tcPr>
            <w:tcW w:w="5797" w:type="dxa"/>
            <w:noWrap w:val="0"/>
            <w:vAlign w:val="center"/>
          </w:tcPr>
          <w:p w14:paraId="0F944A4F">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szCs w:val="24"/>
                <w:highlight w:val="none"/>
                <w:shd w:val="clear" w:color="auto" w:fill="auto"/>
                <w:lang w:val="en-US"/>
              </w:rPr>
              <w:t>对图书订单的处理</w:t>
            </w:r>
            <w:r>
              <w:rPr>
                <w:rFonts w:hint="eastAsia" w:ascii="仿宋" w:hAnsi="仿宋" w:eastAsia="仿宋" w:cs="仿宋"/>
                <w:color w:val="auto"/>
                <w:kern w:val="0"/>
                <w:sz w:val="24"/>
                <w:szCs w:val="24"/>
                <w:highlight w:val="none"/>
                <w:shd w:val="clear" w:color="auto" w:fill="auto"/>
                <w:lang w:val="en-US" w:eastAsia="zh-CN"/>
              </w:rPr>
              <w:t>及反馈方案</w:t>
            </w:r>
          </w:p>
        </w:tc>
        <w:tc>
          <w:tcPr>
            <w:tcW w:w="1080" w:type="dxa"/>
            <w:noWrap w:val="0"/>
            <w:vAlign w:val="center"/>
          </w:tcPr>
          <w:p w14:paraId="639EBDFB">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w:t>
            </w:r>
          </w:p>
        </w:tc>
        <w:tc>
          <w:tcPr>
            <w:tcW w:w="892" w:type="dxa"/>
            <w:noWrap w:val="0"/>
            <w:vAlign w:val="center"/>
          </w:tcPr>
          <w:p w14:paraId="2FE3A8FC">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w:t>
            </w:r>
          </w:p>
        </w:tc>
        <w:tc>
          <w:tcPr>
            <w:tcW w:w="1485" w:type="dxa"/>
            <w:noWrap w:val="0"/>
            <w:vAlign w:val="center"/>
          </w:tcPr>
          <w:p w14:paraId="1AD0FD72">
            <w:pPr>
              <w:adjustRightInd w:val="0"/>
              <w:snapToGrid w:val="0"/>
              <w:jc w:val="center"/>
              <w:rPr>
                <w:rFonts w:hint="eastAsia" w:ascii="仿宋" w:hAnsi="仿宋" w:eastAsia="仿宋" w:cs="仿宋"/>
                <w:color w:val="auto"/>
                <w:sz w:val="24"/>
                <w:highlight w:val="none"/>
              </w:rPr>
            </w:pPr>
          </w:p>
        </w:tc>
      </w:tr>
      <w:tr w14:paraId="76C08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54" w:type="dxa"/>
            <w:noWrap w:val="0"/>
            <w:vAlign w:val="center"/>
          </w:tcPr>
          <w:p w14:paraId="15B0B724">
            <w:pPr>
              <w:adjustRightInd w:val="0"/>
              <w:snapToGrid w:val="0"/>
              <w:jc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24"/>
                <w:szCs w:val="24"/>
                <w:highlight w:val="none"/>
                <w:shd w:val="clear" w:color="auto" w:fill="auto"/>
                <w:lang w:val="en-US" w:eastAsia="zh-CN"/>
              </w:rPr>
              <w:t>9.1</w:t>
            </w:r>
          </w:p>
        </w:tc>
        <w:tc>
          <w:tcPr>
            <w:tcW w:w="5797" w:type="dxa"/>
            <w:noWrap w:val="0"/>
            <w:vAlign w:val="center"/>
          </w:tcPr>
          <w:p w14:paraId="4B51CC81">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szCs w:val="24"/>
                <w:highlight w:val="none"/>
                <w:shd w:val="clear" w:color="auto" w:fill="auto"/>
                <w:lang w:val="en-US"/>
              </w:rPr>
              <w:t>对采购方自备书目的采购能力，及自定较窄主题采购的快速响应能力</w:t>
            </w:r>
            <w:r>
              <w:rPr>
                <w:rFonts w:hint="eastAsia" w:ascii="仿宋" w:hAnsi="仿宋" w:eastAsia="仿宋" w:cs="仿宋"/>
                <w:color w:val="auto"/>
                <w:kern w:val="0"/>
                <w:sz w:val="24"/>
                <w:szCs w:val="24"/>
                <w:highlight w:val="none"/>
                <w:shd w:val="clear" w:color="auto" w:fill="auto"/>
                <w:lang w:val="en-US" w:eastAsia="zh-CN"/>
              </w:rPr>
              <w:t>。提供服务方案并确保可信度、可行性。完整性、可行性好得2分；完整性、可行性一般得1分；其余不得分</w:t>
            </w:r>
          </w:p>
        </w:tc>
        <w:tc>
          <w:tcPr>
            <w:tcW w:w="1080" w:type="dxa"/>
            <w:noWrap w:val="0"/>
            <w:vAlign w:val="center"/>
          </w:tcPr>
          <w:p w14:paraId="404387A7">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w:t>
            </w:r>
          </w:p>
        </w:tc>
        <w:tc>
          <w:tcPr>
            <w:tcW w:w="892" w:type="dxa"/>
            <w:noWrap w:val="0"/>
            <w:vAlign w:val="center"/>
          </w:tcPr>
          <w:p w14:paraId="78F899B1">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主观分</w:t>
            </w:r>
          </w:p>
        </w:tc>
        <w:tc>
          <w:tcPr>
            <w:tcW w:w="1485" w:type="dxa"/>
            <w:noWrap w:val="0"/>
            <w:vAlign w:val="center"/>
          </w:tcPr>
          <w:p w14:paraId="57BEF2B1">
            <w:pPr>
              <w:adjustRightInd w:val="0"/>
              <w:snapToGrid w:val="0"/>
              <w:jc w:val="center"/>
              <w:rPr>
                <w:rFonts w:hint="eastAsia" w:ascii="仿宋" w:hAnsi="仿宋" w:eastAsia="仿宋" w:cs="仿宋"/>
                <w:color w:val="auto"/>
                <w:sz w:val="24"/>
                <w:highlight w:val="none"/>
              </w:rPr>
            </w:pPr>
          </w:p>
        </w:tc>
      </w:tr>
      <w:tr w14:paraId="2DF5F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54" w:type="dxa"/>
            <w:noWrap w:val="0"/>
            <w:vAlign w:val="center"/>
          </w:tcPr>
          <w:p w14:paraId="1217C49C">
            <w:pPr>
              <w:adjustRightInd w:val="0"/>
              <w:snapToGrid w:val="0"/>
              <w:jc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24"/>
                <w:szCs w:val="24"/>
                <w:highlight w:val="none"/>
                <w:shd w:val="clear" w:color="auto" w:fill="auto"/>
                <w:lang w:val="en-US" w:eastAsia="zh-CN"/>
              </w:rPr>
              <w:t>9.2</w:t>
            </w:r>
          </w:p>
        </w:tc>
        <w:tc>
          <w:tcPr>
            <w:tcW w:w="5797" w:type="dxa"/>
            <w:noWrap w:val="0"/>
            <w:vAlign w:val="center"/>
          </w:tcPr>
          <w:p w14:paraId="4451C73F">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szCs w:val="24"/>
                <w:highlight w:val="none"/>
                <w:shd w:val="clear" w:color="auto" w:fill="auto"/>
                <w:lang w:val="en-US"/>
              </w:rPr>
              <w:t>对已订清单因情况变化，采购方要求调整订单的反应能力（承诺完全根据采购方要求调整</w:t>
            </w:r>
            <w:r>
              <w:rPr>
                <w:rFonts w:hint="eastAsia" w:ascii="仿宋" w:hAnsi="仿宋" w:eastAsia="仿宋" w:cs="仿宋"/>
                <w:color w:val="auto"/>
                <w:kern w:val="0"/>
                <w:sz w:val="24"/>
                <w:szCs w:val="24"/>
                <w:highlight w:val="none"/>
                <w:shd w:val="clear" w:color="auto" w:fill="auto"/>
                <w:lang w:val="en-US" w:eastAsia="zh-CN"/>
              </w:rPr>
              <w:t>），提供服务方案并确保可信度、可行性。完整性、可行性好得2分；完整性、可行性一般得1分；其余不得分</w:t>
            </w:r>
          </w:p>
        </w:tc>
        <w:tc>
          <w:tcPr>
            <w:tcW w:w="1080" w:type="dxa"/>
            <w:noWrap w:val="0"/>
            <w:vAlign w:val="center"/>
          </w:tcPr>
          <w:p w14:paraId="7C8935BB">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w:t>
            </w:r>
          </w:p>
        </w:tc>
        <w:tc>
          <w:tcPr>
            <w:tcW w:w="892" w:type="dxa"/>
            <w:noWrap w:val="0"/>
            <w:vAlign w:val="center"/>
          </w:tcPr>
          <w:p w14:paraId="1A553BF4">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主观分</w:t>
            </w:r>
          </w:p>
        </w:tc>
        <w:tc>
          <w:tcPr>
            <w:tcW w:w="1485" w:type="dxa"/>
            <w:noWrap w:val="0"/>
            <w:vAlign w:val="center"/>
          </w:tcPr>
          <w:p w14:paraId="7305A92D">
            <w:pPr>
              <w:adjustRightInd w:val="0"/>
              <w:snapToGrid w:val="0"/>
              <w:jc w:val="center"/>
              <w:rPr>
                <w:rFonts w:hint="eastAsia" w:ascii="仿宋" w:hAnsi="仿宋" w:eastAsia="仿宋" w:cs="仿宋"/>
                <w:color w:val="auto"/>
                <w:sz w:val="24"/>
                <w:highlight w:val="none"/>
              </w:rPr>
            </w:pPr>
          </w:p>
        </w:tc>
      </w:tr>
      <w:tr w14:paraId="3EF0A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54" w:type="dxa"/>
            <w:noWrap w:val="0"/>
            <w:vAlign w:val="center"/>
          </w:tcPr>
          <w:p w14:paraId="31BC9D9C">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shd w:val="clear" w:color="auto" w:fill="auto"/>
                <w:lang w:val="en-US" w:eastAsia="zh-CN"/>
              </w:rPr>
              <w:t>9.3</w:t>
            </w:r>
          </w:p>
        </w:tc>
        <w:tc>
          <w:tcPr>
            <w:tcW w:w="5797" w:type="dxa"/>
            <w:noWrap w:val="0"/>
            <w:vAlign w:val="center"/>
          </w:tcPr>
          <w:p w14:paraId="09FCBB53">
            <w:pPr>
              <w:snapToGrid w:val="0"/>
              <w:rPr>
                <w:rFonts w:hint="eastAsia" w:ascii="仿宋" w:hAnsi="仿宋" w:eastAsia="仿宋" w:cs="仿宋"/>
                <w:bCs/>
                <w:color w:val="auto"/>
                <w:sz w:val="24"/>
                <w:highlight w:val="none"/>
                <w:lang w:val="en-US" w:eastAsia="zh-CN"/>
              </w:rPr>
            </w:pPr>
            <w:r>
              <w:rPr>
                <w:rFonts w:hint="eastAsia" w:ascii="仿宋" w:hAnsi="仿宋" w:eastAsia="仿宋" w:cs="仿宋"/>
                <w:color w:val="auto"/>
                <w:kern w:val="0"/>
                <w:sz w:val="24"/>
                <w:szCs w:val="24"/>
                <w:highlight w:val="none"/>
                <w:shd w:val="clear" w:color="auto" w:fill="auto"/>
                <w:lang w:val="en-US"/>
              </w:rPr>
              <w:t>对采购方已预订，但不能及时到货的图书，或取消出版的图书信息及时予以反馈</w:t>
            </w:r>
            <w:r>
              <w:rPr>
                <w:rFonts w:hint="eastAsia" w:ascii="仿宋" w:hAnsi="仿宋" w:eastAsia="仿宋" w:cs="仿宋"/>
                <w:color w:val="auto"/>
                <w:kern w:val="0"/>
                <w:sz w:val="24"/>
                <w:szCs w:val="24"/>
                <w:highlight w:val="none"/>
                <w:shd w:val="clear" w:color="auto" w:fill="auto"/>
                <w:lang w:val="en-US" w:eastAsia="zh-CN"/>
              </w:rPr>
              <w:t>，提供服务方案并确保可信度、可行性。完整性、可行性好得2分；完整性、可行性一般得1分；其余不得分</w:t>
            </w:r>
          </w:p>
        </w:tc>
        <w:tc>
          <w:tcPr>
            <w:tcW w:w="1080" w:type="dxa"/>
            <w:noWrap w:val="0"/>
            <w:vAlign w:val="center"/>
          </w:tcPr>
          <w:p w14:paraId="31112DAE">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w:t>
            </w:r>
          </w:p>
        </w:tc>
        <w:tc>
          <w:tcPr>
            <w:tcW w:w="892" w:type="dxa"/>
            <w:noWrap w:val="0"/>
            <w:vAlign w:val="center"/>
          </w:tcPr>
          <w:p w14:paraId="3EB6F56E">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主观分</w:t>
            </w:r>
          </w:p>
        </w:tc>
        <w:tc>
          <w:tcPr>
            <w:tcW w:w="1485" w:type="dxa"/>
            <w:noWrap w:val="0"/>
            <w:vAlign w:val="center"/>
          </w:tcPr>
          <w:p w14:paraId="15E24266">
            <w:pPr>
              <w:adjustRightInd w:val="0"/>
              <w:snapToGrid w:val="0"/>
              <w:jc w:val="center"/>
              <w:rPr>
                <w:rFonts w:hint="eastAsia" w:ascii="仿宋" w:hAnsi="仿宋" w:eastAsia="仿宋" w:cs="仿宋"/>
                <w:color w:val="auto"/>
                <w:sz w:val="24"/>
                <w:highlight w:val="none"/>
              </w:rPr>
            </w:pPr>
          </w:p>
        </w:tc>
      </w:tr>
      <w:tr w14:paraId="371A8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54" w:type="dxa"/>
            <w:noWrap w:val="0"/>
            <w:vAlign w:val="center"/>
          </w:tcPr>
          <w:p w14:paraId="54578DAF">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shd w:val="clear" w:color="auto" w:fill="auto"/>
                <w:lang w:val="en-US" w:eastAsia="zh-CN"/>
              </w:rPr>
              <w:t>9.4</w:t>
            </w:r>
          </w:p>
        </w:tc>
        <w:tc>
          <w:tcPr>
            <w:tcW w:w="5797" w:type="dxa"/>
            <w:noWrap w:val="0"/>
            <w:vAlign w:val="center"/>
          </w:tcPr>
          <w:p w14:paraId="0C2A07E1">
            <w:pPr>
              <w:snapToGrid w:val="0"/>
              <w:rPr>
                <w:rFonts w:hint="eastAsia" w:ascii="仿宋" w:hAnsi="仿宋" w:eastAsia="仿宋" w:cs="仿宋"/>
                <w:bCs/>
                <w:color w:val="auto"/>
                <w:sz w:val="24"/>
                <w:highlight w:val="none"/>
                <w:lang w:val="en-US" w:eastAsia="zh-CN"/>
              </w:rPr>
            </w:pPr>
            <w:r>
              <w:rPr>
                <w:rFonts w:hint="eastAsia" w:ascii="仿宋" w:hAnsi="仿宋" w:eastAsia="仿宋" w:cs="仿宋"/>
                <w:color w:val="auto"/>
                <w:kern w:val="0"/>
                <w:sz w:val="24"/>
                <w:szCs w:val="24"/>
                <w:highlight w:val="none"/>
                <w:shd w:val="clear" w:color="auto" w:fill="auto"/>
                <w:lang w:val="en-US"/>
              </w:rPr>
              <w:t>对因质量问题、与要求不符、与预订不符等退书的处理态度及速度</w:t>
            </w:r>
            <w:r>
              <w:rPr>
                <w:rFonts w:hint="eastAsia" w:ascii="仿宋" w:hAnsi="仿宋" w:eastAsia="仿宋" w:cs="仿宋"/>
                <w:color w:val="auto"/>
                <w:kern w:val="0"/>
                <w:sz w:val="24"/>
                <w:szCs w:val="24"/>
                <w:highlight w:val="none"/>
                <w:shd w:val="clear" w:color="auto" w:fill="auto"/>
                <w:lang w:val="en-US" w:eastAsia="zh-CN"/>
              </w:rPr>
              <w:t>。提供服务方案并确保可信度、可行性。完整性、可行性好得2分；完整性、可行性一般得1分；其余不得分</w:t>
            </w:r>
          </w:p>
        </w:tc>
        <w:tc>
          <w:tcPr>
            <w:tcW w:w="1080" w:type="dxa"/>
            <w:noWrap w:val="0"/>
            <w:vAlign w:val="center"/>
          </w:tcPr>
          <w:p w14:paraId="43A81648">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w:t>
            </w:r>
          </w:p>
        </w:tc>
        <w:tc>
          <w:tcPr>
            <w:tcW w:w="892" w:type="dxa"/>
            <w:noWrap w:val="0"/>
            <w:vAlign w:val="center"/>
          </w:tcPr>
          <w:p w14:paraId="729DE0BA">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主观分</w:t>
            </w:r>
          </w:p>
        </w:tc>
        <w:tc>
          <w:tcPr>
            <w:tcW w:w="1485" w:type="dxa"/>
            <w:noWrap w:val="0"/>
            <w:vAlign w:val="center"/>
          </w:tcPr>
          <w:p w14:paraId="7F31ED83">
            <w:pPr>
              <w:adjustRightInd w:val="0"/>
              <w:snapToGrid w:val="0"/>
              <w:jc w:val="center"/>
              <w:rPr>
                <w:rFonts w:hint="eastAsia" w:ascii="仿宋" w:hAnsi="仿宋" w:eastAsia="仿宋" w:cs="仿宋"/>
                <w:color w:val="auto"/>
                <w:sz w:val="24"/>
                <w:highlight w:val="none"/>
              </w:rPr>
            </w:pPr>
          </w:p>
        </w:tc>
      </w:tr>
      <w:tr w14:paraId="460D0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54" w:type="dxa"/>
            <w:noWrap w:val="0"/>
            <w:vAlign w:val="center"/>
          </w:tcPr>
          <w:p w14:paraId="7E2D9F69">
            <w:pPr>
              <w:adjustRightInd w:val="0"/>
              <w:snapToGrid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shd w:val="clear" w:color="auto" w:fill="auto"/>
                <w:lang w:val="en-US" w:eastAsia="zh-CN"/>
              </w:rPr>
              <w:t>10</w:t>
            </w:r>
          </w:p>
        </w:tc>
        <w:tc>
          <w:tcPr>
            <w:tcW w:w="5797" w:type="dxa"/>
            <w:noWrap w:val="0"/>
            <w:vAlign w:val="center"/>
          </w:tcPr>
          <w:p w14:paraId="07975EA4">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shd w:val="clear" w:color="auto" w:fill="auto"/>
                <w:lang w:val="en-US" w:eastAsia="zh-CN"/>
              </w:rPr>
              <w:t>特藏文献建设方案。提供特藏文献资源服务，能够提供具有特色的特藏文献建设方案，包括并不仅限于古籍善本与珍本、地方与民族文献、革命历史文献、特种载体和机构专藏文献等。</w:t>
            </w:r>
            <w:r>
              <w:rPr>
                <w:rFonts w:hint="eastAsia" w:ascii="仿宋" w:hAnsi="仿宋" w:eastAsia="仿宋" w:cs="仿宋"/>
                <w:color w:val="auto"/>
                <w:kern w:val="0"/>
                <w:sz w:val="24"/>
                <w:szCs w:val="24"/>
                <w:highlight w:val="none"/>
                <w:shd w:val="clear" w:color="auto" w:fill="auto"/>
                <w:lang w:val="en-US" w:eastAsia="zh-CN"/>
              </w:rPr>
              <w:t>完整性、项目匹配性好得5分；完整性、项目匹配性较好得4分；完整性、项目匹配性一般得3分；有方案但针对性不佳得2分；有较大欠缺得1分；其余不得分。</w:t>
            </w:r>
          </w:p>
        </w:tc>
        <w:tc>
          <w:tcPr>
            <w:tcW w:w="1080" w:type="dxa"/>
            <w:noWrap w:val="0"/>
            <w:vAlign w:val="center"/>
          </w:tcPr>
          <w:p w14:paraId="71F8FD89">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highlight w:val="none"/>
                <w:lang w:val="en-US" w:eastAsia="zh-CN"/>
              </w:rPr>
              <w:t>5</w:t>
            </w:r>
          </w:p>
        </w:tc>
        <w:tc>
          <w:tcPr>
            <w:tcW w:w="892" w:type="dxa"/>
            <w:noWrap w:val="0"/>
            <w:vAlign w:val="center"/>
          </w:tcPr>
          <w:p w14:paraId="3EA8A5C8">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主观分</w:t>
            </w:r>
          </w:p>
        </w:tc>
        <w:tc>
          <w:tcPr>
            <w:tcW w:w="1485" w:type="dxa"/>
            <w:noWrap w:val="0"/>
            <w:vAlign w:val="center"/>
          </w:tcPr>
          <w:p w14:paraId="3640A3C2">
            <w:pPr>
              <w:adjustRightInd w:val="0"/>
              <w:snapToGrid w:val="0"/>
              <w:jc w:val="center"/>
              <w:rPr>
                <w:rFonts w:hint="eastAsia" w:ascii="仿宋" w:hAnsi="仿宋" w:eastAsia="仿宋" w:cs="仿宋"/>
                <w:color w:val="auto"/>
                <w:sz w:val="24"/>
                <w:highlight w:val="none"/>
              </w:rPr>
            </w:pPr>
          </w:p>
        </w:tc>
      </w:tr>
      <w:tr w14:paraId="77C85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54" w:type="dxa"/>
            <w:noWrap w:val="0"/>
            <w:vAlign w:val="center"/>
          </w:tcPr>
          <w:p w14:paraId="4F248486">
            <w:pPr>
              <w:adjustRightInd w:val="0"/>
              <w:snapToGrid w:val="0"/>
              <w:jc w:val="center"/>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11</w:t>
            </w:r>
          </w:p>
        </w:tc>
        <w:tc>
          <w:tcPr>
            <w:tcW w:w="5797" w:type="dxa"/>
            <w:noWrap w:val="0"/>
            <w:vAlign w:val="center"/>
          </w:tcPr>
          <w:p w14:paraId="38160AE8">
            <w:pPr>
              <w:snapToGrid w:val="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投标人应负责图书包装及运输，确保到馆图书的包装符合运输和方便装卸，确保及时运送搬运到指定地点，提供图书包装及运输方案，根据方案的完整性，与采购需求的匹配性进行评价。完整性、可行性好得3分；完整性、可行性较好得2分；完整性、可行性一般得1分；其余不得分</w:t>
            </w:r>
          </w:p>
        </w:tc>
        <w:tc>
          <w:tcPr>
            <w:tcW w:w="1080" w:type="dxa"/>
            <w:noWrap w:val="0"/>
            <w:vAlign w:val="center"/>
          </w:tcPr>
          <w:p w14:paraId="01F0377B">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892" w:type="dxa"/>
            <w:noWrap w:val="0"/>
            <w:vAlign w:val="center"/>
          </w:tcPr>
          <w:p w14:paraId="57BE760F">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主观分</w:t>
            </w:r>
          </w:p>
        </w:tc>
        <w:tc>
          <w:tcPr>
            <w:tcW w:w="1485" w:type="dxa"/>
            <w:noWrap w:val="0"/>
            <w:vAlign w:val="center"/>
          </w:tcPr>
          <w:p w14:paraId="29FA8372">
            <w:pPr>
              <w:adjustRightInd w:val="0"/>
              <w:snapToGrid w:val="0"/>
              <w:jc w:val="center"/>
              <w:rPr>
                <w:rFonts w:hint="eastAsia" w:ascii="仿宋" w:hAnsi="仿宋" w:eastAsia="仿宋" w:cs="仿宋"/>
                <w:color w:val="auto"/>
                <w:sz w:val="24"/>
                <w:highlight w:val="none"/>
              </w:rPr>
            </w:pPr>
          </w:p>
        </w:tc>
      </w:tr>
      <w:tr w14:paraId="330DD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54" w:type="dxa"/>
            <w:noWrap w:val="0"/>
            <w:vAlign w:val="center"/>
          </w:tcPr>
          <w:p w14:paraId="386BC156">
            <w:pPr>
              <w:adjustRightInd w:val="0"/>
              <w:snapToGrid w:val="0"/>
              <w:jc w:val="center"/>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12</w:t>
            </w:r>
          </w:p>
        </w:tc>
        <w:tc>
          <w:tcPr>
            <w:tcW w:w="5797" w:type="dxa"/>
            <w:noWrap w:val="0"/>
            <w:vAlign w:val="center"/>
          </w:tcPr>
          <w:p w14:paraId="423CA5F0">
            <w:pPr>
              <w:snapToGrid w:val="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提供其他文献加工服务：能够提供捐赠图书全加工或者期刊全加工其中一项的，得 1.5 分；在此基础上，能同时提供捐赠图书全加工和期刊全加工两项服务的，得 3 分</w:t>
            </w:r>
          </w:p>
        </w:tc>
        <w:tc>
          <w:tcPr>
            <w:tcW w:w="1080" w:type="dxa"/>
            <w:noWrap w:val="0"/>
            <w:vAlign w:val="center"/>
          </w:tcPr>
          <w:p w14:paraId="53238A8E">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892" w:type="dxa"/>
            <w:noWrap w:val="0"/>
            <w:vAlign w:val="center"/>
          </w:tcPr>
          <w:p w14:paraId="3C3D187B">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客观分</w:t>
            </w:r>
          </w:p>
        </w:tc>
        <w:tc>
          <w:tcPr>
            <w:tcW w:w="1485" w:type="dxa"/>
            <w:noWrap w:val="0"/>
            <w:vAlign w:val="center"/>
          </w:tcPr>
          <w:p w14:paraId="6D919ABA">
            <w:pPr>
              <w:adjustRightInd w:val="0"/>
              <w:snapToGrid w:val="0"/>
              <w:jc w:val="center"/>
              <w:rPr>
                <w:rFonts w:hint="eastAsia" w:ascii="仿宋" w:hAnsi="仿宋" w:eastAsia="仿宋" w:cs="仿宋"/>
                <w:color w:val="auto"/>
                <w:sz w:val="24"/>
                <w:highlight w:val="none"/>
              </w:rPr>
            </w:pPr>
          </w:p>
        </w:tc>
      </w:tr>
      <w:tr w14:paraId="1026C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54" w:type="dxa"/>
            <w:noWrap w:val="0"/>
            <w:vAlign w:val="center"/>
          </w:tcPr>
          <w:p w14:paraId="3586C944">
            <w:pPr>
              <w:adjustRightInd w:val="0"/>
              <w:snapToGrid w:val="0"/>
              <w:jc w:val="center"/>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13</w:t>
            </w:r>
          </w:p>
        </w:tc>
        <w:tc>
          <w:tcPr>
            <w:tcW w:w="5797" w:type="dxa"/>
            <w:noWrap w:val="0"/>
            <w:vAlign w:val="center"/>
          </w:tcPr>
          <w:p w14:paraId="4F6C31ED">
            <w:pPr>
              <w:snapToGrid w:val="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在采购需求基础上提供其它特色服务，或合理化建议，得到专家认可且有实际意义的，每项1分，最多3分。（应与本项目相关，例如图书的采购、供应、加工、保管、运送及各种伴随服务，项目开展过程中的应急措施等等；评标委员会根据自身意见主观评价）</w:t>
            </w:r>
          </w:p>
        </w:tc>
        <w:tc>
          <w:tcPr>
            <w:tcW w:w="1080" w:type="dxa"/>
            <w:noWrap w:val="0"/>
            <w:vAlign w:val="center"/>
          </w:tcPr>
          <w:p w14:paraId="5BABF591">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892" w:type="dxa"/>
            <w:noWrap w:val="0"/>
            <w:vAlign w:val="center"/>
          </w:tcPr>
          <w:p w14:paraId="079E1E39">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主观分</w:t>
            </w:r>
          </w:p>
        </w:tc>
        <w:tc>
          <w:tcPr>
            <w:tcW w:w="1485" w:type="dxa"/>
            <w:noWrap w:val="0"/>
            <w:vAlign w:val="center"/>
          </w:tcPr>
          <w:p w14:paraId="664BD160">
            <w:pPr>
              <w:adjustRightInd w:val="0"/>
              <w:snapToGrid w:val="0"/>
              <w:jc w:val="center"/>
              <w:rPr>
                <w:rFonts w:hint="eastAsia" w:ascii="仿宋" w:hAnsi="仿宋" w:eastAsia="仿宋" w:cs="仿宋"/>
                <w:color w:val="auto"/>
                <w:sz w:val="24"/>
                <w:highlight w:val="none"/>
              </w:rPr>
            </w:pPr>
          </w:p>
        </w:tc>
      </w:tr>
      <w:tr w14:paraId="26BBA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jc w:val="center"/>
        </w:trPr>
        <w:tc>
          <w:tcPr>
            <w:tcW w:w="654" w:type="dxa"/>
            <w:noWrap w:val="0"/>
            <w:vAlign w:val="center"/>
          </w:tcPr>
          <w:p w14:paraId="126C029A">
            <w:pPr>
              <w:adjustRightInd w:val="0"/>
              <w:snapToGrid w:val="0"/>
              <w:jc w:val="center"/>
              <w:rPr>
                <w:rFonts w:hint="default"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报价部分</w:t>
            </w:r>
          </w:p>
        </w:tc>
        <w:tc>
          <w:tcPr>
            <w:tcW w:w="5797" w:type="dxa"/>
            <w:noWrap w:val="0"/>
            <w:vAlign w:val="center"/>
          </w:tcPr>
          <w:p w14:paraId="22A6505F">
            <w:pPr>
              <w:snapToGrid w:val="0"/>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有效投标报价的最低价作为评标基准价，其最低报价为满分；按［投标报价得分=（评标基准价/投标报价）*权重］的计算公式计算。</w:t>
            </w:r>
          </w:p>
          <w:p w14:paraId="033B5FC9">
            <w:pPr>
              <w:snapToGrid w:val="0"/>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评标过程中，不得去掉报价中的最高报价和最低报价。</w:t>
            </w:r>
          </w:p>
          <w:p w14:paraId="0568D21D">
            <w:pPr>
              <w:snapToGrid w:val="0"/>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因落实政府采购政策需要进行价格调整的，以调整后的价格计算评标基准价和投标报价。（因专门面向中小企业，价格调整在本次项目不适用）</w:t>
            </w:r>
          </w:p>
        </w:tc>
        <w:tc>
          <w:tcPr>
            <w:tcW w:w="1080" w:type="dxa"/>
            <w:noWrap w:val="0"/>
            <w:vAlign w:val="center"/>
          </w:tcPr>
          <w:p w14:paraId="784C4A83">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30</w:t>
            </w:r>
          </w:p>
        </w:tc>
        <w:tc>
          <w:tcPr>
            <w:tcW w:w="892" w:type="dxa"/>
            <w:noWrap w:val="0"/>
            <w:vAlign w:val="center"/>
          </w:tcPr>
          <w:p w14:paraId="0745ACC0">
            <w:pPr>
              <w:adjustRightInd w:val="0"/>
              <w:snapToGrid w:val="0"/>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统一计算</w:t>
            </w:r>
          </w:p>
        </w:tc>
        <w:tc>
          <w:tcPr>
            <w:tcW w:w="1485" w:type="dxa"/>
            <w:noWrap w:val="0"/>
            <w:vAlign w:val="center"/>
          </w:tcPr>
          <w:p w14:paraId="5B560F02">
            <w:pPr>
              <w:adjustRightInd w:val="0"/>
              <w:snapToGrid w:val="0"/>
              <w:jc w:val="center"/>
              <w:rPr>
                <w:rFonts w:hint="eastAsia" w:ascii="仿宋" w:hAnsi="仿宋" w:eastAsia="仿宋" w:cs="仿宋"/>
                <w:color w:val="auto"/>
                <w:sz w:val="24"/>
                <w:highlight w:val="none"/>
              </w:rPr>
            </w:pPr>
          </w:p>
        </w:tc>
      </w:tr>
      <w:tr w14:paraId="16271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51" w:type="dxa"/>
            <w:gridSpan w:val="2"/>
            <w:noWrap w:val="0"/>
            <w:vAlign w:val="center"/>
          </w:tcPr>
          <w:p w14:paraId="020CE51D">
            <w:pPr>
              <w:snapToGrid w:val="0"/>
              <w:jc w:val="center"/>
              <w:rPr>
                <w:rFonts w:hint="default"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合计</w:t>
            </w:r>
          </w:p>
        </w:tc>
        <w:tc>
          <w:tcPr>
            <w:tcW w:w="1080" w:type="dxa"/>
            <w:noWrap w:val="0"/>
            <w:vAlign w:val="center"/>
          </w:tcPr>
          <w:p w14:paraId="6BA50009">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100</w:t>
            </w:r>
          </w:p>
        </w:tc>
        <w:tc>
          <w:tcPr>
            <w:tcW w:w="892" w:type="dxa"/>
            <w:noWrap w:val="0"/>
            <w:vAlign w:val="center"/>
          </w:tcPr>
          <w:p w14:paraId="454B7569">
            <w:pPr>
              <w:adjustRightInd w:val="0"/>
              <w:snapToGrid w:val="0"/>
              <w:jc w:val="center"/>
              <w:rPr>
                <w:rFonts w:hint="eastAsia" w:ascii="仿宋" w:hAnsi="仿宋" w:eastAsia="仿宋" w:cs="仿宋"/>
                <w:bCs/>
                <w:color w:val="auto"/>
                <w:sz w:val="24"/>
                <w:highlight w:val="none"/>
                <w:lang w:val="en-US" w:eastAsia="zh-CN"/>
              </w:rPr>
            </w:pPr>
          </w:p>
        </w:tc>
        <w:tc>
          <w:tcPr>
            <w:tcW w:w="1485" w:type="dxa"/>
            <w:noWrap w:val="0"/>
            <w:vAlign w:val="center"/>
          </w:tcPr>
          <w:p w14:paraId="2142BD63">
            <w:pPr>
              <w:adjustRightInd w:val="0"/>
              <w:snapToGrid w:val="0"/>
              <w:jc w:val="center"/>
              <w:rPr>
                <w:rFonts w:hint="eastAsia" w:ascii="仿宋" w:hAnsi="仿宋" w:eastAsia="仿宋" w:cs="仿宋"/>
                <w:color w:val="auto"/>
                <w:sz w:val="24"/>
                <w:highlight w:val="none"/>
              </w:rPr>
            </w:pPr>
          </w:p>
        </w:tc>
      </w:tr>
    </w:tbl>
    <w:p w14:paraId="15DD6465">
      <w:pPr>
        <w:pStyle w:val="19"/>
        <w:ind w:left="0" w:leftChars="0" w:firstLine="0" w:firstLineChars="0"/>
        <w:rPr>
          <w:rFonts w:hint="eastAsia" w:ascii="仿宋" w:hAnsi="仿宋" w:eastAsia="仿宋" w:cs="仿宋"/>
          <w:highlight w:val="none"/>
        </w:rPr>
      </w:pPr>
    </w:p>
    <w:p w14:paraId="33FA56B6">
      <w:pPr>
        <w:pStyle w:val="3"/>
        <w:rPr>
          <w:rFonts w:hint="eastAsia" w:ascii="仿宋" w:hAnsi="仿宋" w:eastAsia="仿宋" w:cs="仿宋"/>
          <w:b/>
          <w:sz w:val="32"/>
          <w:highlight w:val="none"/>
        </w:rPr>
      </w:pPr>
      <w:r>
        <w:rPr>
          <w:rFonts w:hint="eastAsia" w:ascii="仿宋" w:hAnsi="仿宋" w:eastAsia="仿宋" w:cs="仿宋"/>
          <w:sz w:val="20"/>
          <w:szCs w:val="20"/>
          <w:highlight w:val="none"/>
          <w:shd w:val="clear" w:color="auto" w:fill="FFFFFF"/>
        </w:rPr>
        <w:t> *</w:t>
      </w:r>
      <w:r>
        <w:rPr>
          <w:rFonts w:hint="eastAsia" w:ascii="仿宋" w:hAnsi="仿宋" w:eastAsia="仿宋" w:cs="仿宋"/>
          <w:b/>
          <w:sz w:val="24"/>
          <w:highlight w:val="none"/>
        </w:rPr>
        <w:t>备注：</w:t>
      </w:r>
      <w:r>
        <w:rPr>
          <w:rFonts w:hint="eastAsia" w:ascii="仿宋" w:hAnsi="仿宋" w:eastAsia="仿宋" w:cs="仿宋"/>
          <w:sz w:val="24"/>
          <w:highlight w:val="none"/>
        </w:rPr>
        <w:t>投标人编制投标文件（商务技术文件部分）时，建议按此目录（序号和内容）提供评标标准相应的商务技术资料。 </w:t>
      </w:r>
    </w:p>
    <w:p w14:paraId="2BE3EAAE">
      <w:pPr>
        <w:rPr>
          <w:rFonts w:hint="eastAsia" w:ascii="仿宋" w:hAnsi="仿宋" w:eastAsia="仿宋" w:cs="仿宋"/>
          <w:b/>
          <w:sz w:val="32"/>
          <w:highlight w:val="none"/>
        </w:rPr>
      </w:pPr>
    </w:p>
    <w:p w14:paraId="015B2C75">
      <w:pPr>
        <w:numPr>
          <w:ilvl w:val="0"/>
          <w:numId w:val="5"/>
        </w:numPr>
        <w:adjustRightInd w:val="0"/>
        <w:snapToGrid w:val="0"/>
        <w:spacing w:before="120" w:beforeLines="50" w:after="120" w:afterLines="50" w:line="360" w:lineRule="auto"/>
        <w:ind w:firstLine="0"/>
        <w:jc w:val="left"/>
        <w:outlineLvl w:val="1"/>
        <w:rPr>
          <w:rFonts w:hint="eastAsia" w:ascii="仿宋" w:hAnsi="仿宋" w:eastAsia="仿宋" w:cs="仿宋"/>
          <w:b/>
          <w:sz w:val="28"/>
          <w:szCs w:val="28"/>
          <w:highlight w:val="none"/>
        </w:rPr>
      </w:pPr>
      <w:bookmarkStart w:id="100" w:name="_Toc9192"/>
      <w:r>
        <w:rPr>
          <w:rFonts w:hint="eastAsia" w:ascii="仿宋" w:hAnsi="仿宋" w:eastAsia="仿宋" w:cs="仿宋"/>
          <w:sz w:val="24"/>
          <w:highlight w:val="none"/>
        </w:rPr>
        <w:br w:type="page"/>
      </w:r>
      <w:bookmarkEnd w:id="100"/>
      <w:bookmarkStart w:id="101" w:name="_Toc14163"/>
      <w:bookmarkStart w:id="102" w:name="_Toc28508"/>
      <w:bookmarkStart w:id="103" w:name="_Toc19686"/>
      <w:r>
        <w:rPr>
          <w:rFonts w:hint="eastAsia" w:ascii="仿宋" w:hAnsi="仿宋" w:eastAsia="仿宋" w:cs="仿宋"/>
          <w:b/>
          <w:sz w:val="28"/>
          <w:szCs w:val="28"/>
          <w:highlight w:val="none"/>
        </w:rPr>
        <w:t>评标方法</w:t>
      </w:r>
      <w:bookmarkEnd w:id="101"/>
      <w:bookmarkEnd w:id="102"/>
      <w:bookmarkEnd w:id="103"/>
    </w:p>
    <w:p w14:paraId="16DF3E9E">
      <w:pPr>
        <w:numPr>
          <w:ilvl w:val="0"/>
          <w:numId w:val="6"/>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b/>
          <w:color w:val="000000" w:themeColor="text1"/>
          <w:kern w:val="0"/>
          <w:sz w:val="24"/>
          <w:highlight w:val="none"/>
          <w14:textFill>
            <w14:solidFill>
              <w14:schemeClr w14:val="tx1"/>
            </w14:solidFill>
          </w14:textFill>
        </w:rPr>
        <w:t>本项目采用综合评分法。</w:t>
      </w:r>
      <w:r>
        <w:rPr>
          <w:rFonts w:hint="eastAsia" w:ascii="仿宋" w:hAnsi="仿宋" w:eastAsia="仿宋" w:cs="仿宋"/>
          <w:color w:val="000000" w:themeColor="text1"/>
          <w:kern w:val="0"/>
          <w:sz w:val="24"/>
          <w:highlight w:val="none"/>
          <w14:textFill>
            <w14:solidFill>
              <w14:schemeClr w14:val="tx1"/>
            </w14:solidFill>
          </w14:textFill>
        </w:rPr>
        <w:t>综合评分法，是指投标文件</w:t>
      </w:r>
      <w:r>
        <w:rPr>
          <w:rFonts w:hint="eastAsia" w:ascii="仿宋" w:hAnsi="仿宋" w:eastAsia="仿宋" w:cs="仿宋"/>
          <w:kern w:val="0"/>
          <w:sz w:val="24"/>
          <w:highlight w:val="none"/>
        </w:rPr>
        <w:t>满足招标文件全部实质性要求，且按照评审因素的量化指标评审得分最高的投标人为中标候选人的评标方法。</w:t>
      </w:r>
    </w:p>
    <w:p w14:paraId="51F62B4B">
      <w:pPr>
        <w:numPr>
          <w:ilvl w:val="0"/>
          <w:numId w:val="5"/>
        </w:numPr>
        <w:adjustRightInd w:val="0"/>
        <w:snapToGrid w:val="0"/>
        <w:spacing w:before="120" w:beforeLines="50" w:after="120" w:afterLines="50" w:line="360" w:lineRule="auto"/>
        <w:ind w:firstLine="0"/>
        <w:jc w:val="left"/>
        <w:outlineLvl w:val="1"/>
        <w:rPr>
          <w:rFonts w:hint="eastAsia" w:ascii="仿宋" w:hAnsi="仿宋" w:eastAsia="仿宋" w:cs="仿宋"/>
          <w:b/>
          <w:sz w:val="28"/>
          <w:szCs w:val="28"/>
          <w:highlight w:val="none"/>
        </w:rPr>
      </w:pPr>
      <w:bookmarkStart w:id="104" w:name="_Toc25354"/>
      <w:bookmarkStart w:id="105" w:name="_Toc5897"/>
      <w:bookmarkStart w:id="106" w:name="_Toc19233"/>
      <w:bookmarkStart w:id="107" w:name="_Toc9518"/>
      <w:bookmarkStart w:id="108" w:name="_Toc9220"/>
      <w:r>
        <w:rPr>
          <w:rFonts w:hint="eastAsia" w:ascii="仿宋" w:hAnsi="仿宋" w:eastAsia="仿宋" w:cs="仿宋"/>
          <w:b/>
          <w:sz w:val="28"/>
          <w:szCs w:val="28"/>
          <w:highlight w:val="none"/>
        </w:rPr>
        <w:t>评标标准</w:t>
      </w:r>
      <w:bookmarkEnd w:id="104"/>
      <w:bookmarkEnd w:id="105"/>
      <w:bookmarkEnd w:id="106"/>
      <w:bookmarkEnd w:id="107"/>
      <w:bookmarkEnd w:id="108"/>
    </w:p>
    <w:p w14:paraId="0038EEE3">
      <w:pPr>
        <w:numPr>
          <w:ilvl w:val="0"/>
          <w:numId w:val="6"/>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b/>
          <w:bCs/>
          <w:kern w:val="0"/>
          <w:sz w:val="24"/>
          <w:highlight w:val="none"/>
        </w:rPr>
        <w:t>评标标准：</w:t>
      </w:r>
      <w:r>
        <w:rPr>
          <w:rFonts w:hint="eastAsia" w:ascii="仿宋" w:hAnsi="仿宋" w:eastAsia="仿宋" w:cs="仿宋"/>
          <w:kern w:val="0"/>
          <w:sz w:val="24"/>
          <w:highlight w:val="none"/>
        </w:rPr>
        <w:t>见评标办法前附表。</w:t>
      </w:r>
    </w:p>
    <w:p w14:paraId="6D486ABA">
      <w:pPr>
        <w:numPr>
          <w:ilvl w:val="0"/>
          <w:numId w:val="5"/>
        </w:numPr>
        <w:adjustRightInd w:val="0"/>
        <w:snapToGrid w:val="0"/>
        <w:spacing w:before="120" w:beforeLines="50" w:after="120" w:afterLines="50" w:line="360" w:lineRule="auto"/>
        <w:ind w:firstLine="0"/>
        <w:jc w:val="left"/>
        <w:outlineLvl w:val="1"/>
        <w:rPr>
          <w:rFonts w:hint="eastAsia" w:ascii="仿宋" w:hAnsi="仿宋" w:eastAsia="仿宋" w:cs="仿宋"/>
          <w:b/>
          <w:sz w:val="28"/>
          <w:szCs w:val="28"/>
          <w:highlight w:val="none"/>
        </w:rPr>
      </w:pPr>
      <w:bookmarkStart w:id="109" w:name="_Toc10741"/>
      <w:bookmarkStart w:id="110" w:name="_Toc4050"/>
      <w:bookmarkStart w:id="111" w:name="_Toc1897"/>
      <w:bookmarkStart w:id="112" w:name="_Toc26738"/>
      <w:bookmarkStart w:id="113" w:name="_Toc17122"/>
      <w:r>
        <w:rPr>
          <w:rFonts w:hint="eastAsia" w:ascii="仿宋" w:hAnsi="仿宋" w:eastAsia="仿宋" w:cs="仿宋"/>
          <w:b/>
          <w:sz w:val="28"/>
          <w:szCs w:val="28"/>
          <w:highlight w:val="none"/>
        </w:rPr>
        <w:t>评标程序</w:t>
      </w:r>
      <w:bookmarkEnd w:id="109"/>
      <w:bookmarkEnd w:id="110"/>
      <w:bookmarkEnd w:id="111"/>
      <w:bookmarkEnd w:id="112"/>
      <w:bookmarkEnd w:id="113"/>
    </w:p>
    <w:p w14:paraId="28DBA6FD">
      <w:pPr>
        <w:numPr>
          <w:ilvl w:val="1"/>
          <w:numId w:val="7"/>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b/>
          <w:bCs/>
          <w:kern w:val="0"/>
          <w:sz w:val="24"/>
          <w:highlight w:val="none"/>
        </w:rPr>
        <w:t>符合性审查。</w:t>
      </w:r>
      <w:r>
        <w:rPr>
          <w:rFonts w:hint="eastAsia" w:ascii="仿宋" w:hAnsi="仿宋" w:eastAsia="仿宋" w:cs="仿宋"/>
          <w:kern w:val="0"/>
          <w:sz w:val="24"/>
          <w:highlight w:val="none"/>
        </w:rPr>
        <w:t>评标委员会应当对符合资格的投标人的投标文件进行符合性审查，以确定其是否满足招标文件的实质性要求。不满足招标文件的实质性要求的，投标无效。</w:t>
      </w:r>
    </w:p>
    <w:p w14:paraId="3ED7A864">
      <w:pPr>
        <w:numPr>
          <w:ilvl w:val="1"/>
          <w:numId w:val="7"/>
        </w:numPr>
        <w:tabs>
          <w:tab w:val="left" w:pos="210"/>
        </w:tabs>
        <w:spacing w:line="360" w:lineRule="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比较与评价。</w:t>
      </w:r>
      <w:r>
        <w:rPr>
          <w:rFonts w:hint="eastAsia" w:ascii="仿宋" w:hAnsi="仿宋" w:eastAsia="仿宋" w:cs="仿宋"/>
          <w:kern w:val="0"/>
          <w:sz w:val="24"/>
          <w:highlight w:val="none"/>
        </w:rPr>
        <w:t>评标委员会应当按照招标文件中规定的评标方法和标准，对符合性审查合格的投标文件进行商务和技术评估，综合比较与评价。</w:t>
      </w:r>
    </w:p>
    <w:p w14:paraId="2D0FE6D2">
      <w:pPr>
        <w:numPr>
          <w:ilvl w:val="1"/>
          <w:numId w:val="7"/>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b/>
          <w:bCs/>
          <w:kern w:val="0"/>
          <w:sz w:val="24"/>
          <w:highlight w:val="none"/>
        </w:rPr>
        <w:t>汇总商务技术得分。</w:t>
      </w:r>
      <w:r>
        <w:rPr>
          <w:rFonts w:hint="eastAsia" w:ascii="仿宋" w:hAnsi="仿宋" w:eastAsia="仿宋" w:cs="仿宋"/>
          <w:kern w:val="0"/>
          <w:sz w:val="24"/>
          <w:highlight w:val="none"/>
        </w:rPr>
        <w:t>评标委员会各成员应当独立对每个投标人的商务和技术文件进行评价，并汇总商务技术得分情况。</w:t>
      </w:r>
    </w:p>
    <w:p w14:paraId="34E55253">
      <w:pPr>
        <w:tabs>
          <w:tab w:val="left" w:pos="210"/>
        </w:tabs>
        <w:spacing w:line="360" w:lineRule="auto"/>
        <w:ind w:firstLine="480" w:firstLineChars="200"/>
        <w:rPr>
          <w:rFonts w:hint="eastAsia" w:ascii="仿宋" w:hAnsi="仿宋" w:eastAsia="仿宋" w:cs="仿宋"/>
          <w:b/>
          <w:bCs/>
          <w:kern w:val="0"/>
          <w:sz w:val="24"/>
          <w:highlight w:val="none"/>
        </w:rPr>
      </w:pPr>
      <w:r>
        <w:rPr>
          <w:rFonts w:hint="eastAsia" w:ascii="仿宋" w:hAnsi="仿宋" w:eastAsia="仿宋" w:cs="仿宋"/>
          <w:kern w:val="0"/>
          <w:sz w:val="24"/>
          <w:highlight w:val="none"/>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14:paraId="069013F9">
      <w:pPr>
        <w:numPr>
          <w:ilvl w:val="1"/>
          <w:numId w:val="7"/>
        </w:numPr>
        <w:tabs>
          <w:tab w:val="left" w:pos="210"/>
        </w:tabs>
        <w:spacing w:line="360" w:lineRule="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报价评审。</w:t>
      </w:r>
    </w:p>
    <w:p w14:paraId="2008929A">
      <w:pPr>
        <w:numPr>
          <w:ilvl w:val="2"/>
          <w:numId w:val="7"/>
        </w:numPr>
        <w:tabs>
          <w:tab w:val="left" w:pos="210"/>
        </w:tabs>
        <w:spacing w:line="360" w:lineRule="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投标文件报价出现前后不一致的，按照下列规定修正：</w:t>
      </w:r>
    </w:p>
    <w:p w14:paraId="76DAFD7E">
      <w:pPr>
        <w:numPr>
          <w:ilvl w:val="3"/>
          <w:numId w:val="7"/>
        </w:numPr>
        <w:tabs>
          <w:tab w:val="left" w:pos="210"/>
          <w:tab w:val="left" w:pos="1050"/>
        </w:tabs>
        <w:spacing w:line="360" w:lineRule="auto"/>
        <w:ind w:left="1050" w:hanging="1050"/>
        <w:rPr>
          <w:rFonts w:hint="eastAsia" w:ascii="仿宋" w:hAnsi="仿宋" w:eastAsia="仿宋" w:cs="仿宋"/>
          <w:kern w:val="0"/>
          <w:sz w:val="24"/>
          <w:highlight w:val="none"/>
        </w:rPr>
      </w:pPr>
      <w:r>
        <w:rPr>
          <w:rFonts w:hint="eastAsia" w:ascii="仿宋" w:hAnsi="仿宋" w:eastAsia="仿宋" w:cs="仿宋"/>
          <w:kern w:val="0"/>
          <w:sz w:val="24"/>
          <w:highlight w:val="none"/>
        </w:rPr>
        <w:t>投标文件中开标一览表(报价表)内容与投标文件中相应内容不一致的，以开标一览表(报价表)为准;</w:t>
      </w:r>
    </w:p>
    <w:p w14:paraId="44F8D378">
      <w:pPr>
        <w:numPr>
          <w:ilvl w:val="3"/>
          <w:numId w:val="7"/>
        </w:numPr>
        <w:tabs>
          <w:tab w:val="left" w:pos="210"/>
          <w:tab w:val="left" w:pos="1050"/>
        </w:tabs>
        <w:spacing w:line="360" w:lineRule="auto"/>
        <w:ind w:left="1050" w:hanging="1050"/>
        <w:rPr>
          <w:rFonts w:hint="eastAsia" w:ascii="仿宋" w:hAnsi="仿宋" w:eastAsia="仿宋" w:cs="仿宋"/>
          <w:kern w:val="0"/>
          <w:sz w:val="24"/>
          <w:highlight w:val="none"/>
        </w:rPr>
      </w:pPr>
      <w:r>
        <w:rPr>
          <w:rFonts w:hint="eastAsia" w:ascii="仿宋" w:hAnsi="仿宋" w:eastAsia="仿宋" w:cs="仿宋"/>
          <w:kern w:val="0"/>
          <w:sz w:val="24"/>
          <w:highlight w:val="none"/>
        </w:rPr>
        <w:t>大写金额和小写金</w:t>
      </w:r>
      <w:r>
        <w:rPr>
          <w:rFonts w:hint="eastAsia" w:ascii="仿宋" w:hAnsi="仿宋" w:eastAsia="仿宋" w:cs="仿宋"/>
          <w:kern w:val="0"/>
          <w:sz w:val="24"/>
          <w:highlight w:val="none"/>
          <w:lang w:val="en-US" w:eastAsia="zh-CN"/>
        </w:rPr>
        <w:t>.</w:t>
      </w:r>
      <w:r>
        <w:rPr>
          <w:rFonts w:hint="eastAsia" w:ascii="仿宋" w:hAnsi="仿宋" w:eastAsia="仿宋" w:cs="仿宋"/>
          <w:kern w:val="0"/>
          <w:sz w:val="24"/>
          <w:highlight w:val="none"/>
        </w:rPr>
        <w:t>额不一致的，以大写金额为准;</w:t>
      </w:r>
    </w:p>
    <w:p w14:paraId="565D6512">
      <w:pPr>
        <w:numPr>
          <w:ilvl w:val="3"/>
          <w:numId w:val="7"/>
        </w:numPr>
        <w:tabs>
          <w:tab w:val="left" w:pos="210"/>
          <w:tab w:val="left" w:pos="1050"/>
        </w:tabs>
        <w:spacing w:line="360" w:lineRule="auto"/>
        <w:ind w:left="1050" w:hanging="1050"/>
        <w:rPr>
          <w:rFonts w:hint="eastAsia" w:ascii="仿宋" w:hAnsi="仿宋" w:eastAsia="仿宋" w:cs="仿宋"/>
          <w:kern w:val="0"/>
          <w:sz w:val="24"/>
          <w:highlight w:val="none"/>
        </w:rPr>
      </w:pPr>
      <w:r>
        <w:rPr>
          <w:rFonts w:hint="eastAsia" w:ascii="仿宋" w:hAnsi="仿宋" w:eastAsia="仿宋" w:cs="仿宋"/>
          <w:kern w:val="0"/>
          <w:sz w:val="24"/>
          <w:highlight w:val="none"/>
        </w:rPr>
        <w:t>单价金额小数点或者百分比有明显错位的，以开标一览表的总价为准，并修改单价;</w:t>
      </w:r>
    </w:p>
    <w:p w14:paraId="2D09C4FF">
      <w:pPr>
        <w:numPr>
          <w:ilvl w:val="3"/>
          <w:numId w:val="7"/>
        </w:numPr>
        <w:tabs>
          <w:tab w:val="left" w:pos="210"/>
          <w:tab w:val="left" w:pos="1050"/>
        </w:tabs>
        <w:spacing w:line="360" w:lineRule="auto"/>
        <w:ind w:left="1050" w:hanging="1050"/>
        <w:rPr>
          <w:rFonts w:hint="eastAsia" w:ascii="仿宋" w:hAnsi="仿宋" w:eastAsia="仿宋" w:cs="仿宋"/>
          <w:kern w:val="0"/>
          <w:sz w:val="24"/>
          <w:highlight w:val="none"/>
        </w:rPr>
      </w:pPr>
      <w:r>
        <w:rPr>
          <w:rFonts w:hint="eastAsia" w:ascii="仿宋" w:hAnsi="仿宋" w:eastAsia="仿宋" w:cs="仿宋"/>
          <w:kern w:val="0"/>
          <w:sz w:val="24"/>
          <w:highlight w:val="none"/>
        </w:rPr>
        <w:t>总价金额与按单价汇总金额不一致的，以单价金额计算结果为准。</w:t>
      </w:r>
    </w:p>
    <w:p w14:paraId="0E8ADECF">
      <w:pPr>
        <w:numPr>
          <w:ilvl w:val="3"/>
          <w:numId w:val="7"/>
        </w:numPr>
        <w:tabs>
          <w:tab w:val="left" w:pos="210"/>
          <w:tab w:val="left" w:pos="1050"/>
        </w:tabs>
        <w:spacing w:line="360" w:lineRule="auto"/>
        <w:ind w:left="1050" w:hanging="1050"/>
        <w:rPr>
          <w:rFonts w:hint="eastAsia" w:ascii="仿宋" w:hAnsi="仿宋" w:eastAsia="仿宋" w:cs="仿宋"/>
          <w:kern w:val="0"/>
          <w:sz w:val="24"/>
          <w:highlight w:val="none"/>
        </w:rPr>
      </w:pPr>
      <w:r>
        <w:rPr>
          <w:rFonts w:hint="eastAsia" w:ascii="仿宋" w:hAnsi="仿宋" w:eastAsia="仿宋" w:cs="仿宋"/>
          <w:kern w:val="0"/>
          <w:sz w:val="24"/>
          <w:highlight w:val="none"/>
        </w:rPr>
        <w:t>同时出现两种以上不一致的，按照3.4.1规定的顺序修正。修正后的报价按照财政部第87号令 《政府采购货物和服务招标投标管理办法》第五十一条第二款的规定经投标人确认后产生约束力。</w:t>
      </w:r>
    </w:p>
    <w:p w14:paraId="3F8615AE">
      <w:pPr>
        <w:numPr>
          <w:ilvl w:val="2"/>
          <w:numId w:val="7"/>
        </w:numPr>
        <w:tabs>
          <w:tab w:val="left" w:pos="210"/>
        </w:tabs>
        <w:spacing w:line="360" w:lineRule="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投标文件出现不是唯一的、有选择性投标报价的，投标无效。</w:t>
      </w:r>
    </w:p>
    <w:p w14:paraId="01BE888C">
      <w:pPr>
        <w:numPr>
          <w:ilvl w:val="2"/>
          <w:numId w:val="7"/>
        </w:numPr>
        <w:tabs>
          <w:tab w:val="left" w:pos="210"/>
        </w:tabs>
        <w:spacing w:line="360" w:lineRule="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投标报价超过招标文件中规定的预算金额或者最高限价的，投标无效。</w:t>
      </w:r>
    </w:p>
    <w:p w14:paraId="1772262D">
      <w:pPr>
        <w:numPr>
          <w:ilvl w:val="2"/>
          <w:numId w:val="7"/>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36D3E83">
      <w:pPr>
        <w:numPr>
          <w:ilvl w:val="2"/>
          <w:numId w:val="7"/>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kern w:val="0"/>
          <w:sz w:val="24"/>
          <w:highlight w:val="none"/>
        </w:rPr>
        <w:t>10%</w:t>
      </w:r>
      <w:r>
        <w:rPr>
          <w:rFonts w:hint="eastAsia" w:ascii="仿宋" w:hAnsi="仿宋" w:eastAsia="仿宋" w:cs="仿宋"/>
          <w:kern w:val="0"/>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b/>
          <w:bCs/>
          <w:kern w:val="0"/>
          <w:sz w:val="24"/>
          <w:highlight w:val="none"/>
        </w:rPr>
        <w:t>4%</w:t>
      </w:r>
      <w:r>
        <w:rPr>
          <w:rFonts w:hint="eastAsia" w:ascii="仿宋" w:hAnsi="仿宋" w:eastAsia="仿宋" w:cs="仿宋"/>
          <w:kern w:val="0"/>
          <w:sz w:val="24"/>
          <w:highlight w:val="none"/>
        </w:rPr>
        <w:t>的扣除，用扣除后的价格参加评审。组成联合体或者接受分包的小微企业与联合体内其他企业、分包企业之间存在直接控股、管理关系的，不享受价格扣除优惠政策。</w:t>
      </w:r>
    </w:p>
    <w:p w14:paraId="2614AE8B">
      <w:pPr>
        <w:numPr>
          <w:ilvl w:val="1"/>
          <w:numId w:val="7"/>
        </w:numPr>
        <w:tabs>
          <w:tab w:val="left" w:pos="210"/>
        </w:tabs>
        <w:spacing w:line="360" w:lineRule="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排序与推荐。</w:t>
      </w:r>
    </w:p>
    <w:p w14:paraId="2BE92087">
      <w:pPr>
        <w:adjustRightInd w:val="0"/>
        <w:snapToGrid w:val="0"/>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E29FEAE">
      <w:pPr>
        <w:adjustRightInd w:val="0"/>
        <w:snapToGrid w:val="0"/>
        <w:spacing w:line="360" w:lineRule="auto"/>
        <w:ind w:firstLine="482" w:firstLineChars="200"/>
        <w:rPr>
          <w:rFonts w:hint="eastAsia" w:ascii="仿宋" w:hAnsi="仿宋" w:eastAsia="仿宋" w:cs="仿宋"/>
          <w:snapToGrid w:val="0"/>
          <w:kern w:val="28"/>
          <w:sz w:val="24"/>
          <w:highlight w:val="none"/>
        </w:rPr>
      </w:pPr>
      <w:r>
        <w:rPr>
          <w:rFonts w:hint="eastAsia" w:ascii="仿宋" w:hAnsi="仿宋" w:eastAsia="仿宋" w:cs="仿宋"/>
          <w:b/>
          <w:bCs/>
          <w:kern w:val="0"/>
          <w:sz w:val="24"/>
          <w:highlight w:val="none"/>
        </w:rPr>
        <w:t>注：采购文件中未特别说明的，评标委员会推荐的中标候选人数量为1名。</w:t>
      </w:r>
    </w:p>
    <w:p w14:paraId="361ACBD8">
      <w:pPr>
        <w:numPr>
          <w:ilvl w:val="1"/>
          <w:numId w:val="7"/>
        </w:numPr>
        <w:tabs>
          <w:tab w:val="left" w:pos="210"/>
        </w:tabs>
        <w:spacing w:line="360" w:lineRule="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评分时保留小数点后1位小数（客观分有2位小数的可保留2位），计算评分值时保留小数点后2位小数。</w:t>
      </w:r>
    </w:p>
    <w:p w14:paraId="536E7B3A">
      <w:pPr>
        <w:numPr>
          <w:ilvl w:val="1"/>
          <w:numId w:val="7"/>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b/>
          <w:bCs/>
          <w:kern w:val="0"/>
          <w:sz w:val="24"/>
          <w:highlight w:val="none"/>
        </w:rPr>
        <w:t>编写评标报告。</w:t>
      </w:r>
      <w:r>
        <w:rPr>
          <w:rFonts w:hint="eastAsia" w:ascii="仿宋" w:hAnsi="仿宋" w:eastAsia="仿宋" w:cs="仿宋"/>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09823DE">
      <w:pPr>
        <w:numPr>
          <w:ilvl w:val="0"/>
          <w:numId w:val="5"/>
        </w:numPr>
        <w:adjustRightInd w:val="0"/>
        <w:snapToGrid w:val="0"/>
        <w:spacing w:before="120" w:beforeLines="50" w:after="120" w:afterLines="50" w:line="360" w:lineRule="auto"/>
        <w:ind w:firstLine="0"/>
        <w:jc w:val="left"/>
        <w:outlineLvl w:val="1"/>
        <w:rPr>
          <w:rFonts w:hint="eastAsia" w:ascii="仿宋" w:hAnsi="仿宋" w:eastAsia="仿宋" w:cs="仿宋"/>
          <w:b/>
          <w:sz w:val="28"/>
          <w:szCs w:val="28"/>
          <w:highlight w:val="none"/>
        </w:rPr>
      </w:pPr>
      <w:bookmarkStart w:id="114" w:name="_Toc25049"/>
      <w:bookmarkStart w:id="115" w:name="_Toc5821"/>
      <w:bookmarkStart w:id="116" w:name="_Toc14486"/>
      <w:bookmarkStart w:id="117" w:name="_Toc16391"/>
      <w:bookmarkStart w:id="118" w:name="_Toc6871"/>
      <w:r>
        <w:rPr>
          <w:rFonts w:hint="eastAsia" w:ascii="仿宋" w:hAnsi="仿宋" w:eastAsia="仿宋" w:cs="仿宋"/>
          <w:b/>
          <w:sz w:val="28"/>
          <w:szCs w:val="28"/>
          <w:highlight w:val="none"/>
        </w:rPr>
        <w:t>评标中的其他事项</w:t>
      </w:r>
      <w:bookmarkEnd w:id="114"/>
      <w:bookmarkEnd w:id="115"/>
      <w:bookmarkEnd w:id="116"/>
      <w:bookmarkEnd w:id="117"/>
      <w:bookmarkEnd w:id="118"/>
    </w:p>
    <w:p w14:paraId="0D1D63CD">
      <w:pPr>
        <w:numPr>
          <w:ilvl w:val="1"/>
          <w:numId w:val="8"/>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b/>
          <w:bCs/>
          <w:kern w:val="0"/>
          <w:sz w:val="24"/>
          <w:highlight w:val="none"/>
        </w:rPr>
        <w:t>投标人澄清、说明或者补正。</w:t>
      </w:r>
      <w:r>
        <w:rPr>
          <w:rFonts w:hint="eastAsia" w:ascii="仿宋" w:hAnsi="仿宋" w:eastAsia="仿宋" w:cs="仿宋"/>
          <w:kern w:val="0"/>
          <w:sz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36C59FA">
      <w:pPr>
        <w:numPr>
          <w:ilvl w:val="1"/>
          <w:numId w:val="8"/>
        </w:numPr>
        <w:tabs>
          <w:tab w:val="left" w:pos="210"/>
        </w:tabs>
        <w:spacing w:line="360" w:lineRule="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投标无效。有下列情况之一的，投标无效：</w:t>
      </w:r>
    </w:p>
    <w:p w14:paraId="29488C26">
      <w:pPr>
        <w:numPr>
          <w:ilvl w:val="2"/>
          <w:numId w:val="8"/>
        </w:numPr>
        <w:tabs>
          <w:tab w:val="left" w:pos="210"/>
          <w:tab w:val="left" w:pos="840"/>
        </w:tabs>
        <w:spacing w:line="360" w:lineRule="auto"/>
        <w:ind w:left="829" w:hanging="82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投标人不具备招标文件中规定的资格要求的（投标人未提供有效的资格文件的，视为投标人不具备招标文件中规定的资格要求）；</w:t>
      </w:r>
    </w:p>
    <w:p w14:paraId="635CECFA">
      <w:pPr>
        <w:numPr>
          <w:ilvl w:val="2"/>
          <w:numId w:val="8"/>
        </w:numPr>
        <w:tabs>
          <w:tab w:val="left" w:pos="210"/>
          <w:tab w:val="left" w:pos="840"/>
        </w:tabs>
        <w:spacing w:line="360" w:lineRule="auto"/>
        <w:ind w:left="829" w:hanging="82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投标文件未按照招标文件要求签署、盖章的；</w:t>
      </w:r>
    </w:p>
    <w:p w14:paraId="6FF3F67F">
      <w:pPr>
        <w:numPr>
          <w:ilvl w:val="2"/>
          <w:numId w:val="8"/>
        </w:numPr>
        <w:tabs>
          <w:tab w:val="left" w:pos="210"/>
          <w:tab w:val="left" w:pos="840"/>
        </w:tabs>
        <w:spacing w:line="360" w:lineRule="auto"/>
        <w:ind w:left="829" w:hanging="82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采购人拟采购的产品属于政府强制采购的节能产品品目清单范围的，投标人未按招标文件要求提供国家确定的认证机构出具的、处于有效期之内的节能产品认证证书的；</w:t>
      </w:r>
    </w:p>
    <w:p w14:paraId="15111728">
      <w:pPr>
        <w:numPr>
          <w:ilvl w:val="2"/>
          <w:numId w:val="8"/>
        </w:numPr>
        <w:tabs>
          <w:tab w:val="left" w:pos="210"/>
          <w:tab w:val="left" w:pos="840"/>
        </w:tabs>
        <w:spacing w:line="360" w:lineRule="auto"/>
        <w:ind w:left="829" w:hanging="82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投标文件含有采购人不能接受的附加条件的；</w:t>
      </w:r>
    </w:p>
    <w:p w14:paraId="4EABFB81">
      <w:pPr>
        <w:numPr>
          <w:ilvl w:val="2"/>
          <w:numId w:val="8"/>
        </w:numPr>
        <w:tabs>
          <w:tab w:val="left" w:pos="210"/>
          <w:tab w:val="left" w:pos="840"/>
        </w:tabs>
        <w:spacing w:line="360" w:lineRule="auto"/>
        <w:ind w:left="829" w:hanging="82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投标文件中承诺的投标有效期少于招标文件中载明的投标有效期的；</w:t>
      </w:r>
    </w:p>
    <w:p w14:paraId="75EF86A4">
      <w:pPr>
        <w:numPr>
          <w:ilvl w:val="2"/>
          <w:numId w:val="8"/>
        </w:numPr>
        <w:tabs>
          <w:tab w:val="left" w:pos="210"/>
          <w:tab w:val="left" w:pos="840"/>
        </w:tabs>
        <w:spacing w:line="360" w:lineRule="auto"/>
        <w:ind w:left="829" w:hanging="82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投标文件出现不是唯一的、有选择性投标报价的;</w:t>
      </w:r>
    </w:p>
    <w:p w14:paraId="5DB070C7">
      <w:pPr>
        <w:numPr>
          <w:ilvl w:val="2"/>
          <w:numId w:val="8"/>
        </w:numPr>
        <w:tabs>
          <w:tab w:val="left" w:pos="210"/>
          <w:tab w:val="left" w:pos="840"/>
        </w:tabs>
        <w:spacing w:line="360" w:lineRule="auto"/>
        <w:ind w:left="829" w:hanging="82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投标报价超过招标文件中规定的预算金额或者最高限价的;</w:t>
      </w:r>
    </w:p>
    <w:p w14:paraId="60F79350">
      <w:pPr>
        <w:numPr>
          <w:ilvl w:val="2"/>
          <w:numId w:val="8"/>
        </w:numPr>
        <w:tabs>
          <w:tab w:val="left" w:pos="210"/>
          <w:tab w:val="left" w:pos="840"/>
        </w:tabs>
        <w:spacing w:line="360" w:lineRule="auto"/>
        <w:ind w:left="829" w:hanging="82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报价明显低于其他通过符合性审查投标人的报价，有可能影响产品质量或者不能诚信履约的，未能按要求提供书面说明或者提交相关证明材料，不能证明其报价合理性的;投标人对根据修正原则修正后的报价不确认的；</w:t>
      </w:r>
    </w:p>
    <w:p w14:paraId="558D2F64">
      <w:pPr>
        <w:numPr>
          <w:ilvl w:val="2"/>
          <w:numId w:val="8"/>
        </w:numPr>
        <w:tabs>
          <w:tab w:val="left" w:pos="210"/>
          <w:tab w:val="left" w:pos="840"/>
          <w:tab w:val="left" w:pos="1050"/>
          <w:tab w:val="left" w:pos="1260"/>
        </w:tabs>
        <w:spacing w:line="360" w:lineRule="auto"/>
        <w:ind w:left="829" w:hanging="82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投标人提供虚假材料投标的；</w:t>
      </w:r>
    </w:p>
    <w:p w14:paraId="193CE83E">
      <w:pPr>
        <w:numPr>
          <w:ilvl w:val="2"/>
          <w:numId w:val="8"/>
        </w:numPr>
        <w:tabs>
          <w:tab w:val="left" w:pos="210"/>
          <w:tab w:val="left" w:pos="840"/>
          <w:tab w:val="left" w:pos="1050"/>
          <w:tab w:val="left" w:pos="1260"/>
        </w:tabs>
        <w:spacing w:line="360" w:lineRule="auto"/>
        <w:ind w:left="829" w:hanging="82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投标人有恶意串通、妨碍其他投标人的竞争行为、损害采购人或者其他投标人的合法权益情形的；</w:t>
      </w:r>
    </w:p>
    <w:p w14:paraId="54F4754F">
      <w:pPr>
        <w:numPr>
          <w:ilvl w:val="2"/>
          <w:numId w:val="8"/>
        </w:numPr>
        <w:tabs>
          <w:tab w:val="left" w:pos="210"/>
          <w:tab w:val="left" w:pos="840"/>
          <w:tab w:val="left" w:pos="1050"/>
          <w:tab w:val="left" w:pos="1260"/>
        </w:tabs>
        <w:spacing w:line="360" w:lineRule="auto"/>
        <w:ind w:left="1049" w:hanging="104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0CE9F804">
      <w:pPr>
        <w:numPr>
          <w:ilvl w:val="2"/>
          <w:numId w:val="8"/>
        </w:numPr>
        <w:tabs>
          <w:tab w:val="left" w:pos="210"/>
          <w:tab w:val="left" w:pos="840"/>
          <w:tab w:val="left" w:pos="1050"/>
          <w:tab w:val="left" w:pos="1260"/>
        </w:tabs>
        <w:spacing w:line="360" w:lineRule="auto"/>
        <w:ind w:left="1049" w:hanging="104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投标人仅提交备份投标文件，没有在电子交易平台传输递交投标文件的，投标无效；</w:t>
      </w:r>
    </w:p>
    <w:p w14:paraId="649A63CB">
      <w:pPr>
        <w:numPr>
          <w:ilvl w:val="2"/>
          <w:numId w:val="8"/>
        </w:numPr>
        <w:tabs>
          <w:tab w:val="left" w:pos="210"/>
          <w:tab w:val="left" w:pos="840"/>
          <w:tab w:val="left" w:pos="1050"/>
          <w:tab w:val="left" w:pos="1260"/>
        </w:tabs>
        <w:spacing w:line="360" w:lineRule="auto"/>
        <w:ind w:left="1049" w:hanging="104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投标文件不满足招标文件的其它实质性要求的；</w:t>
      </w:r>
    </w:p>
    <w:p w14:paraId="16C2976E">
      <w:pPr>
        <w:numPr>
          <w:ilvl w:val="2"/>
          <w:numId w:val="8"/>
        </w:numPr>
        <w:tabs>
          <w:tab w:val="left" w:pos="210"/>
          <w:tab w:val="left" w:pos="840"/>
          <w:tab w:val="left" w:pos="1050"/>
          <w:tab w:val="left" w:pos="1260"/>
        </w:tabs>
        <w:spacing w:line="360" w:lineRule="auto"/>
        <w:ind w:left="1049" w:hanging="104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法律、法规、规章（适用本市的）及省级以上规范性文件（适用本市的）规定的其他无效情形。</w:t>
      </w:r>
    </w:p>
    <w:p w14:paraId="2497E0B7">
      <w:pPr>
        <w:numPr>
          <w:ilvl w:val="0"/>
          <w:numId w:val="8"/>
        </w:numPr>
        <w:tabs>
          <w:tab w:val="left" w:pos="210"/>
          <w:tab w:val="clear" w:pos="399"/>
        </w:tabs>
        <w:spacing w:line="360" w:lineRule="auto"/>
        <w:rPr>
          <w:rFonts w:hint="eastAsia" w:ascii="仿宋" w:hAnsi="仿宋" w:eastAsia="仿宋" w:cs="仿宋"/>
          <w:kern w:val="0"/>
          <w:sz w:val="24"/>
          <w:highlight w:val="none"/>
        </w:rPr>
      </w:pPr>
      <w:r>
        <w:rPr>
          <w:rFonts w:hint="eastAsia" w:ascii="仿宋" w:hAnsi="仿宋" w:eastAsia="仿宋" w:cs="仿宋"/>
          <w:b/>
          <w:bCs/>
          <w:kern w:val="0"/>
          <w:sz w:val="24"/>
          <w:highlight w:val="none"/>
        </w:rPr>
        <w:t>废标。</w:t>
      </w:r>
      <w:r>
        <w:rPr>
          <w:rFonts w:hint="eastAsia" w:ascii="仿宋" w:hAnsi="仿宋" w:eastAsia="仿宋" w:cs="仿宋"/>
          <w:kern w:val="0"/>
          <w:sz w:val="24"/>
          <w:highlight w:val="none"/>
        </w:rPr>
        <w:t>根据《中华人民共和国政府采购法》第三十六条之规定，在采购中，出现下列情形之一的，应予废标：</w:t>
      </w:r>
    </w:p>
    <w:p w14:paraId="5C86909E">
      <w:pPr>
        <w:numPr>
          <w:ilvl w:val="1"/>
          <w:numId w:val="8"/>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符合专业条件的供应商或者对招标文件作实质响应的供应商不足3家的；</w:t>
      </w:r>
    </w:p>
    <w:p w14:paraId="32605B43">
      <w:pPr>
        <w:numPr>
          <w:ilvl w:val="1"/>
          <w:numId w:val="8"/>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出现影响采购公正的违法、违规行为的；</w:t>
      </w:r>
    </w:p>
    <w:p w14:paraId="0FCAC423">
      <w:pPr>
        <w:numPr>
          <w:ilvl w:val="1"/>
          <w:numId w:val="8"/>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投标人的报价均超过了采购预算，采购人不能支付的；</w:t>
      </w:r>
    </w:p>
    <w:p w14:paraId="5F0351BA">
      <w:pPr>
        <w:numPr>
          <w:ilvl w:val="1"/>
          <w:numId w:val="8"/>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因重大变故，采购任务取消的。</w:t>
      </w:r>
    </w:p>
    <w:p w14:paraId="7A9E205A">
      <w:pPr>
        <w:pStyle w:val="19"/>
        <w:snapToGrid w:val="0"/>
        <w:rPr>
          <w:rFonts w:hint="eastAsia" w:ascii="仿宋" w:hAnsi="仿宋" w:eastAsia="仿宋" w:cs="仿宋"/>
          <w:highlight w:val="none"/>
        </w:rPr>
      </w:pPr>
      <w:r>
        <w:rPr>
          <w:rFonts w:hint="eastAsia" w:ascii="仿宋" w:hAnsi="仿宋" w:eastAsia="仿宋" w:cs="仿宋"/>
          <w:highlight w:val="none"/>
        </w:rPr>
        <w:t>废标后，采购代理机构应当将废标理由通知所有投标人。</w:t>
      </w:r>
    </w:p>
    <w:p w14:paraId="55CF0764">
      <w:pPr>
        <w:numPr>
          <w:ilvl w:val="0"/>
          <w:numId w:val="8"/>
        </w:numPr>
        <w:tabs>
          <w:tab w:val="left" w:pos="210"/>
          <w:tab w:val="clear" w:pos="399"/>
        </w:tabs>
        <w:spacing w:line="360" w:lineRule="auto"/>
        <w:rPr>
          <w:rFonts w:hint="eastAsia" w:ascii="仿宋" w:hAnsi="仿宋" w:eastAsia="仿宋" w:cs="仿宋"/>
          <w:kern w:val="0"/>
          <w:sz w:val="24"/>
          <w:highlight w:val="none"/>
        </w:rPr>
      </w:pPr>
      <w:r>
        <w:rPr>
          <w:rFonts w:hint="eastAsia" w:ascii="仿宋" w:hAnsi="仿宋" w:eastAsia="仿宋" w:cs="仿宋"/>
          <w:b/>
          <w:bCs/>
          <w:kern w:val="0"/>
          <w:sz w:val="24"/>
          <w:highlight w:val="none"/>
        </w:rPr>
        <w:t>修改招标文件，重新组织采购活动。</w:t>
      </w:r>
      <w:r>
        <w:rPr>
          <w:rFonts w:hint="eastAsia" w:ascii="仿宋" w:hAnsi="仿宋" w:eastAsia="仿宋" w:cs="仿宋"/>
          <w:kern w:val="0"/>
          <w:sz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0BF71CD">
      <w:pPr>
        <w:numPr>
          <w:ilvl w:val="0"/>
          <w:numId w:val="8"/>
        </w:numPr>
        <w:tabs>
          <w:tab w:val="left" w:pos="210"/>
          <w:tab w:val="clear" w:pos="399"/>
        </w:tabs>
        <w:spacing w:line="360" w:lineRule="auto"/>
        <w:rPr>
          <w:rFonts w:hint="eastAsia" w:ascii="仿宋" w:hAnsi="仿宋" w:eastAsia="仿宋" w:cs="仿宋"/>
          <w:kern w:val="0"/>
          <w:sz w:val="24"/>
          <w:highlight w:val="none"/>
        </w:rPr>
      </w:pPr>
      <w:r>
        <w:rPr>
          <w:rFonts w:hint="eastAsia" w:ascii="仿宋" w:hAnsi="仿宋" w:eastAsia="仿宋" w:cs="仿宋"/>
          <w:b/>
          <w:bCs/>
          <w:kern w:val="0"/>
          <w:sz w:val="24"/>
          <w:highlight w:val="none"/>
        </w:rPr>
        <w:t>重新开展采购。</w:t>
      </w:r>
      <w:r>
        <w:rPr>
          <w:rFonts w:hint="eastAsia" w:ascii="仿宋" w:hAnsi="仿宋" w:eastAsia="仿宋" w:cs="仿宋"/>
          <w:kern w:val="0"/>
          <w:sz w:val="24"/>
          <w:highlight w:val="none"/>
        </w:rPr>
        <w:t>有政府采购法第七十一条、第七十二条规定的违法行为之一，影响或者可能影响中标、成交结果的，依照下列规定处理：</w:t>
      </w:r>
    </w:p>
    <w:p w14:paraId="23B9FF7D">
      <w:pPr>
        <w:numPr>
          <w:ilvl w:val="1"/>
          <w:numId w:val="9"/>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未确定中标或者中标人的，终止本次政府采购活动，重新开展政府采购活动。</w:t>
      </w:r>
    </w:p>
    <w:p w14:paraId="1302A856">
      <w:pPr>
        <w:numPr>
          <w:ilvl w:val="1"/>
          <w:numId w:val="9"/>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已确定中标或者中标人但尚未签订政府采购合同的，中标或者成交结果无效，从合格的中标或者成交候选人中另行确定中标或者中标人；没有合格的中标或者成交候选人的，重新开展政府采购活动。</w:t>
      </w:r>
    </w:p>
    <w:p w14:paraId="15224131">
      <w:pPr>
        <w:numPr>
          <w:ilvl w:val="1"/>
          <w:numId w:val="9"/>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政府采购合同已签订但尚未履行的，撤销合同，从合格的中标或者成交候选人中另行确定中标或者中标人；没有合格的中标或者成交候选人的，重新开展政府采购活动。</w:t>
      </w:r>
    </w:p>
    <w:p w14:paraId="546E0E86">
      <w:pPr>
        <w:numPr>
          <w:ilvl w:val="1"/>
          <w:numId w:val="9"/>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政府采购合同已经履行，给采购人、供应商造成损失的，由责任人承担赔偿责任。</w:t>
      </w:r>
    </w:p>
    <w:p w14:paraId="434183B2">
      <w:pPr>
        <w:numPr>
          <w:ilvl w:val="1"/>
          <w:numId w:val="9"/>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政府采购当事人有其他违反政府采购法或者政府采购法实施条例等法律法规规定的行为，经改正后仍然影响或者可能影响中标、成交结果或者依法被认定为中标、成交无效的，依照7.1-7.4规定处理。</w:t>
      </w:r>
    </w:p>
    <w:p w14:paraId="7287C36D">
      <w:pPr>
        <w:rPr>
          <w:rFonts w:hint="eastAsia" w:ascii="仿宋" w:hAnsi="仿宋" w:eastAsia="仿宋" w:cs="仿宋"/>
          <w:kern w:val="0"/>
          <w:sz w:val="24"/>
          <w:highlight w:val="none"/>
        </w:rPr>
      </w:pPr>
      <w:r>
        <w:rPr>
          <w:rFonts w:hint="eastAsia" w:ascii="仿宋" w:hAnsi="仿宋" w:eastAsia="仿宋" w:cs="仿宋"/>
          <w:kern w:val="0"/>
          <w:sz w:val="24"/>
          <w:highlight w:val="none"/>
        </w:rPr>
        <w:br w:type="page"/>
      </w:r>
    </w:p>
    <w:bookmarkEnd w:id="61"/>
    <w:p w14:paraId="37D49F9A">
      <w:pPr>
        <w:adjustRightInd w:val="0"/>
        <w:snapToGrid w:val="0"/>
        <w:spacing w:before="120" w:beforeLines="50" w:after="120" w:afterLines="50" w:line="360" w:lineRule="auto"/>
        <w:jc w:val="center"/>
        <w:outlineLvl w:val="0"/>
        <w:rPr>
          <w:rFonts w:hint="eastAsia" w:ascii="仿宋" w:hAnsi="仿宋" w:eastAsia="仿宋" w:cs="仿宋"/>
          <w:sz w:val="36"/>
          <w:highlight w:val="none"/>
        </w:rPr>
      </w:pPr>
      <w:bookmarkStart w:id="119" w:name="_Toc242012824"/>
      <w:bookmarkStart w:id="120" w:name="_Toc19650"/>
      <w:bookmarkStart w:id="121" w:name="_Toc2880"/>
      <w:r>
        <w:rPr>
          <w:rFonts w:hint="eastAsia" w:ascii="仿宋" w:hAnsi="仿宋" w:eastAsia="仿宋" w:cs="仿宋"/>
          <w:b/>
          <w:sz w:val="30"/>
          <w:szCs w:val="30"/>
          <w:highlight w:val="none"/>
        </w:rPr>
        <w:t>第五部分  合同条款</w:t>
      </w:r>
      <w:bookmarkEnd w:id="119"/>
      <w:bookmarkEnd w:id="120"/>
      <w:bookmarkEnd w:id="121"/>
    </w:p>
    <w:p w14:paraId="3FC0BEBE">
      <w:pPr>
        <w:adjustRightInd w:val="0"/>
        <w:snapToGrid w:val="0"/>
        <w:spacing w:line="360" w:lineRule="auto"/>
        <w:ind w:firstLine="420" w:firstLineChars="200"/>
        <w:rPr>
          <w:rFonts w:hint="eastAsia" w:ascii="仿宋" w:hAnsi="仿宋" w:eastAsia="仿宋" w:cs="仿宋"/>
          <w:snapToGrid w:val="0"/>
          <w:kern w:val="0"/>
          <w:szCs w:val="21"/>
          <w:highlight w:val="none"/>
        </w:rPr>
      </w:pPr>
      <w:bookmarkStart w:id="122" w:name="_Hlk534720381"/>
      <w:bookmarkStart w:id="123" w:name="_Toc251566661"/>
      <w:bookmarkStart w:id="124" w:name="_Toc249760790"/>
      <w:r>
        <w:rPr>
          <w:rFonts w:hint="eastAsia" w:ascii="仿宋" w:hAnsi="仿宋" w:eastAsia="仿宋" w:cs="仿宋"/>
          <w:snapToGrid w:val="0"/>
          <w:kern w:val="0"/>
          <w:szCs w:val="21"/>
          <w:highlight w:val="none"/>
        </w:rPr>
        <w:t>合同将由</w:t>
      </w:r>
      <w:r>
        <w:rPr>
          <w:rFonts w:hint="eastAsia" w:ascii="仿宋" w:hAnsi="仿宋" w:eastAsia="仿宋" w:cs="仿宋"/>
          <w:snapToGrid w:val="0"/>
          <w:kern w:val="0"/>
          <w:szCs w:val="21"/>
          <w:highlight w:val="none"/>
          <w:lang w:eastAsia="zh-CN"/>
        </w:rPr>
        <w:t>杭州市钱塘区民政和文化旅游体育局</w:t>
      </w:r>
      <w:r>
        <w:rPr>
          <w:rFonts w:hint="eastAsia" w:ascii="仿宋" w:hAnsi="仿宋" w:eastAsia="仿宋" w:cs="仿宋"/>
          <w:snapToGrid w:val="0"/>
          <w:kern w:val="0"/>
          <w:szCs w:val="21"/>
          <w:highlight w:val="none"/>
        </w:rPr>
        <w:t>（以下简称甲方）与经评审最终确定的项目中标人（以下简称乙方）结合本项目具体情况协商后签订。以下为采购人提出涉及乙方的主要条款，投标人在投标文件中应对其进行确认或拒绝。如投标人在其投标文件中未做拒绝或提出修改要求的，采购人将视作认同。</w:t>
      </w:r>
    </w:p>
    <w:p w14:paraId="61D56361">
      <w:pPr>
        <w:snapToGrid w:val="0"/>
        <w:spacing w:before="120" w:beforeLines="50" w:after="120" w:afterLines="50"/>
        <w:jc w:val="center"/>
        <w:rPr>
          <w:rFonts w:hint="eastAsia" w:ascii="仿宋" w:hAnsi="仿宋" w:eastAsia="仿宋" w:cs="仿宋"/>
          <w:spacing w:val="-6"/>
          <w:highlight w:val="none"/>
        </w:rPr>
        <w:sectPr>
          <w:pgSz w:w="11850" w:h="16783"/>
          <w:pgMar w:top="1247" w:right="1588" w:bottom="1089" w:left="1588" w:header="851" w:footer="992" w:gutter="0"/>
          <w:cols w:space="720" w:num="1"/>
          <w:docGrid w:linePitch="312" w:charSpace="0"/>
        </w:sectPr>
      </w:pPr>
      <w:r>
        <w:rPr>
          <w:rFonts w:hint="eastAsia" w:ascii="仿宋" w:hAnsi="仿宋" w:eastAsia="仿宋" w:cs="仿宋"/>
          <w:spacing w:val="-6"/>
          <w:highlight w:val="none"/>
        </w:rPr>
        <w:t>（本合同为合同样稿）</w:t>
      </w:r>
    </w:p>
    <w:bookmarkEnd w:id="122"/>
    <w:bookmarkEnd w:id="123"/>
    <w:bookmarkEnd w:id="124"/>
    <w:p w14:paraId="38A31A2C">
      <w:pPr>
        <w:adjustRightInd w:val="0"/>
        <w:snapToGrid w:val="0"/>
        <w:spacing w:line="360" w:lineRule="auto"/>
        <w:ind w:firstLine="482" w:firstLineChars="200"/>
        <w:rPr>
          <w:rFonts w:hint="eastAsia" w:ascii="仿宋" w:hAnsi="仿宋" w:eastAsia="仿宋" w:cs="仿宋"/>
          <w:b/>
          <w:bCs/>
          <w:color w:val="auto"/>
          <w:sz w:val="24"/>
          <w:highlight w:val="none"/>
          <w:lang w:val="en-US" w:eastAsia="zh-CN"/>
        </w:rPr>
      </w:pPr>
      <w:bookmarkStart w:id="125" w:name="_Toc251566662"/>
      <w:bookmarkStart w:id="126" w:name="_Toc367274988"/>
      <w:bookmarkStart w:id="127" w:name="_Toc415814139"/>
      <w:bookmarkStart w:id="128" w:name="_Toc295465366"/>
      <w:bookmarkStart w:id="129" w:name="_Toc249760791"/>
      <w:r>
        <w:rPr>
          <w:rFonts w:hint="eastAsia" w:ascii="仿宋" w:hAnsi="仿宋" w:eastAsia="仿宋" w:cs="仿宋"/>
          <w:b/>
          <w:bCs/>
          <w:color w:val="auto"/>
          <w:sz w:val="24"/>
          <w:highlight w:val="none"/>
          <w:lang w:val="en-US" w:eastAsia="zh-CN"/>
        </w:rPr>
        <w:t>合同参考格式</w:t>
      </w:r>
    </w:p>
    <w:p w14:paraId="49B253B8">
      <w:pPr>
        <w:snapToGrid w:val="0"/>
        <w:spacing w:before="120" w:beforeLines="50" w:after="120" w:afterLines="50"/>
        <w:jc w:val="center"/>
        <w:rPr>
          <w:rFonts w:hint="eastAsia" w:ascii="仿宋" w:hAnsi="仿宋" w:eastAsia="仿宋" w:cs="仿宋"/>
          <w:b/>
          <w:color w:val="auto"/>
          <w:sz w:val="32"/>
          <w:szCs w:val="32"/>
          <w:highlight w:val="none"/>
          <w:lang w:val="zh-CN"/>
        </w:rPr>
      </w:pPr>
    </w:p>
    <w:p w14:paraId="3B0FDF9F">
      <w:pPr>
        <w:pStyle w:val="59"/>
        <w:keepNext w:val="0"/>
        <w:keepLines w:val="0"/>
        <w:pageBreakBefore w:val="0"/>
        <w:widowControl w:val="0"/>
        <w:kinsoku/>
        <w:wordWrap/>
        <w:overflowPunct/>
        <w:topLinePunct w:val="0"/>
        <w:autoSpaceDE w:val="0"/>
        <w:autoSpaceDN w:val="0"/>
        <w:bidi w:val="0"/>
        <w:adjustRightInd/>
        <w:snapToGrid w:val="0"/>
        <w:ind w:left="0" w:leftChars="0" w:firstLine="0" w:firstLineChars="0"/>
        <w:jc w:val="center"/>
        <w:textAlignment w:val="auto"/>
        <w:outlineLvl w:val="1"/>
        <w:rPr>
          <w:rFonts w:hint="eastAsia" w:ascii="仿宋" w:hAnsi="仿宋" w:eastAsia="仿宋" w:cs="仿宋"/>
          <w:b/>
          <w:color w:val="auto"/>
          <w:sz w:val="28"/>
          <w:szCs w:val="28"/>
          <w:highlight w:val="none"/>
        </w:rPr>
      </w:pPr>
      <w:bookmarkStart w:id="130" w:name="_Toc23832"/>
      <w:bookmarkStart w:id="131" w:name="_Toc29695"/>
      <w:bookmarkStart w:id="132" w:name="_Toc10022"/>
      <w:r>
        <w:rPr>
          <w:rFonts w:hint="eastAsia" w:ascii="仿宋" w:hAnsi="仿宋" w:eastAsia="仿宋" w:cs="仿宋"/>
          <w:b/>
          <w:color w:val="auto"/>
          <w:sz w:val="28"/>
          <w:szCs w:val="28"/>
          <w:highlight w:val="none"/>
        </w:rPr>
        <w:t>第一部分 合同书</w:t>
      </w:r>
      <w:bookmarkEnd w:id="130"/>
      <w:bookmarkEnd w:id="131"/>
      <w:bookmarkEnd w:id="132"/>
    </w:p>
    <w:p w14:paraId="2613F1E4">
      <w:pPr>
        <w:pStyle w:val="59"/>
        <w:rPr>
          <w:rFonts w:hint="eastAsia" w:ascii="仿宋" w:hAnsi="仿宋" w:eastAsia="仿宋" w:cs="仿宋"/>
          <w:color w:val="auto"/>
          <w:szCs w:val="24"/>
          <w:highlight w:val="none"/>
        </w:rPr>
      </w:pPr>
    </w:p>
    <w:p w14:paraId="3E809BCE">
      <w:pPr>
        <w:spacing w:before="120" w:line="22" w:lineRule="atLeast"/>
        <w:ind w:left="960"/>
        <w:rPr>
          <w:rFonts w:hint="eastAsia" w:ascii="仿宋" w:hAnsi="仿宋" w:eastAsia="仿宋" w:cs="仿宋"/>
          <w:color w:val="auto"/>
          <w:sz w:val="24"/>
          <w:highlight w:val="none"/>
        </w:rPr>
      </w:pPr>
    </w:p>
    <w:p w14:paraId="5308C207">
      <w:pPr>
        <w:spacing w:before="120" w:line="22" w:lineRule="atLeast"/>
        <w:ind w:left="960"/>
        <w:rPr>
          <w:rFonts w:hint="eastAsia" w:ascii="仿宋" w:hAnsi="仿宋" w:eastAsia="仿宋" w:cs="仿宋"/>
          <w:color w:val="auto"/>
          <w:sz w:val="24"/>
          <w:highlight w:val="none"/>
        </w:rPr>
      </w:pPr>
    </w:p>
    <w:p w14:paraId="2F2A7A1C">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项目    </w:t>
      </w:r>
    </w:p>
    <w:p w14:paraId="273C4789">
      <w:pPr>
        <w:pStyle w:val="153"/>
        <w:spacing w:before="120" w:line="22" w:lineRule="atLeast"/>
        <w:rPr>
          <w:rFonts w:hint="eastAsia" w:ascii="仿宋" w:hAnsi="仿宋" w:eastAsia="仿宋" w:cs="仿宋"/>
          <w:color w:val="auto"/>
          <w:szCs w:val="24"/>
          <w:highlight w:val="none"/>
        </w:rPr>
      </w:pPr>
    </w:p>
    <w:p w14:paraId="749001AA">
      <w:pPr>
        <w:pStyle w:val="153"/>
        <w:spacing w:before="120" w:line="22" w:lineRule="atLeast"/>
        <w:rPr>
          <w:rFonts w:hint="eastAsia" w:ascii="仿宋" w:hAnsi="仿宋" w:eastAsia="仿宋" w:cs="仿宋"/>
          <w:color w:val="auto"/>
          <w:szCs w:val="24"/>
          <w:highlight w:val="none"/>
        </w:rPr>
      </w:pPr>
    </w:p>
    <w:p w14:paraId="4D3B8F68">
      <w:pPr>
        <w:rPr>
          <w:rFonts w:hint="eastAsia" w:ascii="仿宋" w:hAnsi="仿宋" w:eastAsia="仿宋" w:cs="仿宋"/>
          <w:color w:val="auto"/>
          <w:sz w:val="24"/>
          <w:highlight w:val="none"/>
        </w:rPr>
      </w:pPr>
    </w:p>
    <w:p w14:paraId="574150D1">
      <w:pPr>
        <w:spacing w:before="120" w:line="22" w:lineRule="atLeast"/>
        <w:ind w:left="960"/>
        <w:rPr>
          <w:rFonts w:hint="eastAsia" w:ascii="仿宋" w:hAnsi="仿宋" w:eastAsia="仿宋" w:cs="仿宋"/>
          <w:color w:val="auto"/>
          <w:sz w:val="24"/>
          <w:highlight w:val="none"/>
        </w:rPr>
      </w:pPr>
    </w:p>
    <w:p w14:paraId="40449919">
      <w:pPr>
        <w:spacing w:before="120" w:line="22" w:lineRule="atLeast"/>
        <w:ind w:left="960"/>
        <w:rPr>
          <w:rFonts w:hint="eastAsia" w:ascii="仿宋" w:hAnsi="仿宋" w:eastAsia="仿宋" w:cs="仿宋"/>
          <w:color w:val="auto"/>
          <w:sz w:val="24"/>
          <w:highlight w:val="none"/>
        </w:rPr>
      </w:pPr>
    </w:p>
    <w:p w14:paraId="1B4CD3E2">
      <w:pPr>
        <w:spacing w:before="120" w:line="22" w:lineRule="atLeast"/>
        <w:ind w:left="960"/>
        <w:rPr>
          <w:rFonts w:hint="eastAsia" w:ascii="仿宋" w:hAnsi="仿宋" w:eastAsia="仿宋" w:cs="仿宋"/>
          <w:color w:val="auto"/>
          <w:sz w:val="24"/>
          <w:highlight w:val="none"/>
        </w:rPr>
      </w:pPr>
    </w:p>
    <w:p w14:paraId="07D24E4D">
      <w:pPr>
        <w:spacing w:before="120" w:line="22" w:lineRule="atLeast"/>
        <w:ind w:left="960"/>
        <w:rPr>
          <w:rFonts w:hint="eastAsia" w:ascii="仿宋" w:hAnsi="仿宋" w:eastAsia="仿宋" w:cs="仿宋"/>
          <w:color w:val="auto"/>
          <w:sz w:val="24"/>
          <w:highlight w:val="none"/>
        </w:rPr>
      </w:pPr>
    </w:p>
    <w:p w14:paraId="5F7CEF0B">
      <w:pPr>
        <w:spacing w:before="120" w:line="22" w:lineRule="atLeast"/>
        <w:ind w:left="960"/>
        <w:rPr>
          <w:rFonts w:hint="eastAsia" w:ascii="仿宋" w:hAnsi="仿宋" w:eastAsia="仿宋" w:cs="仿宋"/>
          <w:color w:val="auto"/>
          <w:sz w:val="24"/>
          <w:highlight w:val="none"/>
        </w:rPr>
      </w:pPr>
    </w:p>
    <w:p w14:paraId="01688710">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67A34B78">
      <w:pPr>
        <w:spacing w:before="120" w:line="22" w:lineRule="atLeast"/>
        <w:rPr>
          <w:rFonts w:hint="eastAsia" w:ascii="仿宋" w:hAnsi="仿宋" w:eastAsia="仿宋" w:cs="仿宋"/>
          <w:color w:val="auto"/>
          <w:sz w:val="24"/>
          <w:highlight w:val="none"/>
        </w:rPr>
      </w:pPr>
    </w:p>
    <w:p w14:paraId="7D059FF1">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14C3D222">
      <w:pPr>
        <w:spacing w:before="120" w:line="22" w:lineRule="atLeast"/>
        <w:rPr>
          <w:rFonts w:hint="eastAsia" w:ascii="仿宋" w:hAnsi="仿宋" w:eastAsia="仿宋" w:cs="仿宋"/>
          <w:color w:val="auto"/>
          <w:sz w:val="24"/>
          <w:highlight w:val="none"/>
        </w:rPr>
      </w:pPr>
    </w:p>
    <w:p w14:paraId="1867B5AE">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Hans"/>
        </w:rPr>
        <w:t>杭州市钱塘区</w:t>
      </w:r>
      <w:r>
        <w:rPr>
          <w:rFonts w:hint="eastAsia" w:ascii="仿宋" w:hAnsi="仿宋" w:eastAsia="仿宋" w:cs="仿宋"/>
          <w:color w:val="auto"/>
          <w:sz w:val="24"/>
          <w:highlight w:val="none"/>
          <w:u w:val="single"/>
        </w:rPr>
        <w:t xml:space="preserve">                                 </w:t>
      </w:r>
    </w:p>
    <w:p w14:paraId="1C83991D">
      <w:pPr>
        <w:spacing w:before="120" w:line="22" w:lineRule="atLeast"/>
        <w:rPr>
          <w:rFonts w:hint="eastAsia" w:ascii="仿宋" w:hAnsi="仿宋" w:eastAsia="仿宋" w:cs="仿宋"/>
          <w:color w:val="auto"/>
          <w:sz w:val="24"/>
          <w:highlight w:val="none"/>
        </w:rPr>
      </w:pPr>
    </w:p>
    <w:p w14:paraId="4313A204">
      <w:pPr>
        <w:spacing w:before="120" w:line="22" w:lineRule="atLeast"/>
        <w:ind w:firstLine="960" w:firstLineChars="400"/>
        <w:rPr>
          <w:rFonts w:hint="eastAsia" w:ascii="仿宋" w:hAnsi="仿宋" w:eastAsia="仿宋" w:cs="仿宋"/>
          <w:color w:val="auto"/>
          <w:sz w:val="24"/>
          <w:highlight w:val="none"/>
        </w:rPr>
      </w:pPr>
    </w:p>
    <w:p w14:paraId="18400D97">
      <w:pPr>
        <w:spacing w:before="120" w:line="22" w:lineRule="atLeast"/>
        <w:ind w:firstLine="960" w:firstLineChars="400"/>
        <w:rPr>
          <w:rFonts w:hint="eastAsia" w:ascii="仿宋" w:hAnsi="仿宋" w:eastAsia="仿宋" w:cs="仿宋"/>
          <w:color w:val="auto"/>
          <w:sz w:val="24"/>
          <w:highlight w:val="none"/>
        </w:rPr>
      </w:pPr>
    </w:p>
    <w:p w14:paraId="2E0331F8">
      <w:pPr>
        <w:spacing w:before="120" w:line="22" w:lineRule="atLeast"/>
        <w:ind w:firstLine="960" w:firstLineChars="400"/>
        <w:rPr>
          <w:rFonts w:hint="eastAsia" w:ascii="仿宋" w:hAnsi="仿宋" w:eastAsia="仿宋" w:cs="仿宋"/>
          <w:color w:val="auto"/>
          <w:sz w:val="24"/>
          <w:highlight w:val="none"/>
        </w:rPr>
      </w:pPr>
    </w:p>
    <w:p w14:paraId="0ABD1727">
      <w:pPr>
        <w:spacing w:before="120" w:line="22" w:lineRule="atLeast"/>
        <w:ind w:firstLine="960" w:firstLineChars="400"/>
        <w:rPr>
          <w:rFonts w:hint="eastAsia" w:ascii="仿宋" w:hAnsi="仿宋" w:eastAsia="仿宋" w:cs="仿宋"/>
          <w:color w:val="auto"/>
          <w:sz w:val="24"/>
          <w:highlight w:val="none"/>
        </w:rPr>
      </w:pPr>
    </w:p>
    <w:p w14:paraId="43ED9DFD">
      <w:pPr>
        <w:spacing w:before="120" w:line="22" w:lineRule="atLeast"/>
        <w:ind w:firstLine="960" w:firstLineChars="400"/>
        <w:rPr>
          <w:rFonts w:hint="eastAsia" w:ascii="仿宋" w:hAnsi="仿宋" w:eastAsia="仿宋" w:cs="仿宋"/>
          <w:color w:val="auto"/>
          <w:sz w:val="24"/>
          <w:highlight w:val="none"/>
        </w:rPr>
      </w:pPr>
    </w:p>
    <w:p w14:paraId="0723D027">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45340C37">
      <w:pPr>
        <w:widowControl/>
        <w:jc w:val="left"/>
        <w:rPr>
          <w:rFonts w:hint="eastAsia" w:ascii="仿宋" w:hAnsi="仿宋" w:eastAsia="仿宋" w:cs="仿宋"/>
          <w:color w:val="auto"/>
          <w:kern w:val="0"/>
          <w:sz w:val="24"/>
          <w:highlight w:val="none"/>
        </w:rPr>
        <w:sectPr>
          <w:pgSz w:w="11907" w:h="16840"/>
          <w:pgMar w:top="1474" w:right="1814" w:bottom="1474" w:left="1814" w:header="851" w:footer="851" w:gutter="0"/>
          <w:cols w:space="720" w:num="1"/>
        </w:sectPr>
      </w:pPr>
    </w:p>
    <w:p w14:paraId="311124C1">
      <w:pPr>
        <w:adjustRightInd w:val="0"/>
        <w:snapToGrid w:val="0"/>
        <w:spacing w:line="360" w:lineRule="auto"/>
        <w:ind w:firstLine="480" w:firstLineChars="200"/>
        <w:rPr>
          <w:rFonts w:hint="eastAsia" w:ascii="仿宋" w:hAnsi="仿宋" w:eastAsia="仿宋" w:cs="仿宋"/>
          <w:color w:val="auto"/>
          <w:sz w:val="24"/>
          <w:highlight w:val="none"/>
          <w:u w:val="single"/>
          <w:lang w:val="zh-CN"/>
        </w:rPr>
      </w:pPr>
    </w:p>
    <w:p w14:paraId="4AC3652F">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公开招标方式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（同前页项目名称）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（中标供应商名称）</w:t>
      </w:r>
      <w:r>
        <w:rPr>
          <w:rFonts w:hint="eastAsia" w:ascii="仿宋" w:hAnsi="仿宋" w:eastAsia="仿宋" w:cs="仿宋"/>
          <w:color w:val="auto"/>
          <w:sz w:val="24"/>
          <w:highlight w:val="none"/>
        </w:rPr>
        <w:t>为该项目中标供应商。现于中标通知书发出之日起三十日内，按照采购文件确定的事项签订本合同。</w:t>
      </w:r>
    </w:p>
    <w:p w14:paraId="4E6DE2FD">
      <w:pPr>
        <w:adjustRightInd w:val="0"/>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w:t>
      </w:r>
      <w:r>
        <w:rPr>
          <w:rFonts w:hint="eastAsia" w:ascii="仿宋" w:hAnsi="仿宋" w:eastAsia="仿宋" w:cs="仿宋"/>
          <w:bCs/>
          <w:color w:val="auto"/>
          <w:sz w:val="24"/>
          <w:highlight w:val="none"/>
          <w:lang w:val="zh-CN"/>
        </w:rPr>
        <w:t>签订</w:t>
      </w:r>
      <w:r>
        <w:rPr>
          <w:rFonts w:hint="eastAsia" w:ascii="仿宋" w:hAnsi="仿宋" w:eastAsia="仿宋" w:cs="仿宋"/>
          <w:color w:val="auto"/>
          <w:sz w:val="24"/>
          <w:highlight w:val="none"/>
          <w:lang w:val="zh-CN"/>
        </w:rPr>
        <w:t>以下合同</w:t>
      </w:r>
      <w:r>
        <w:rPr>
          <w:rFonts w:hint="eastAsia" w:ascii="仿宋" w:hAnsi="仿宋" w:eastAsia="仿宋" w:cs="仿宋"/>
          <w:color w:val="auto"/>
          <w:sz w:val="24"/>
          <w:highlight w:val="none"/>
        </w:rPr>
        <w:t>条款，以兹共同遵守、全面履行。</w:t>
      </w:r>
    </w:p>
    <w:p w14:paraId="2984760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cs="仿宋"/>
          <w:b/>
          <w:color w:val="auto"/>
          <w:sz w:val="24"/>
          <w:highlight w:val="none"/>
        </w:rPr>
      </w:pPr>
      <w:bookmarkStart w:id="133" w:name="_Toc3029"/>
      <w:bookmarkStart w:id="134" w:name="_Toc2232"/>
      <w:bookmarkStart w:id="135" w:name="_Toc24059"/>
      <w:r>
        <w:rPr>
          <w:rFonts w:hint="eastAsia" w:ascii="仿宋" w:hAnsi="仿宋" w:eastAsia="仿宋" w:cs="仿宋"/>
          <w:b/>
          <w:color w:val="auto"/>
          <w:sz w:val="24"/>
          <w:highlight w:val="none"/>
        </w:rPr>
        <w:t>1.1 合同组成部分</w:t>
      </w:r>
      <w:bookmarkEnd w:id="133"/>
      <w:bookmarkEnd w:id="134"/>
      <w:bookmarkEnd w:id="135"/>
    </w:p>
    <w:p w14:paraId="77A557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90D042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721B7B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中标通知书；</w:t>
      </w:r>
    </w:p>
    <w:p w14:paraId="2D8F6EA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w:t>
      </w:r>
      <w:r>
        <w:rPr>
          <w:rFonts w:hint="eastAsia" w:ascii="仿宋" w:hAnsi="仿宋" w:eastAsia="仿宋" w:cs="仿宋"/>
          <w:color w:val="auto"/>
          <w:sz w:val="24"/>
          <w:highlight w:val="none"/>
          <w:lang w:eastAsia="zh-CN"/>
        </w:rPr>
        <w:t>或者响应</w:t>
      </w:r>
      <w:r>
        <w:rPr>
          <w:rFonts w:hint="eastAsia" w:ascii="仿宋" w:hAnsi="仿宋" w:eastAsia="仿宋" w:cs="仿宋"/>
          <w:color w:val="auto"/>
          <w:sz w:val="24"/>
          <w:highlight w:val="none"/>
        </w:rPr>
        <w:t>文件（含澄清或者说明文件）；</w:t>
      </w:r>
    </w:p>
    <w:p w14:paraId="37643C9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1.1.4 </w:t>
      </w:r>
      <w:r>
        <w:rPr>
          <w:rFonts w:hint="eastAsia" w:ascii="仿宋" w:hAnsi="仿宋" w:eastAsia="仿宋" w:cs="仿宋"/>
          <w:color w:val="auto"/>
          <w:sz w:val="24"/>
          <w:highlight w:val="none"/>
          <w:lang w:eastAsia="zh-CN"/>
        </w:rPr>
        <w:t>招标</w:t>
      </w:r>
      <w:r>
        <w:rPr>
          <w:rFonts w:hint="eastAsia" w:ascii="仿宋" w:hAnsi="仿宋" w:eastAsia="仿宋" w:cs="仿宋"/>
          <w:color w:val="auto"/>
          <w:sz w:val="24"/>
          <w:highlight w:val="none"/>
        </w:rPr>
        <w:t>文件（含澄清或者修改文件）；</w:t>
      </w:r>
    </w:p>
    <w:p w14:paraId="0ABF07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4F4464C9">
      <w:pPr>
        <w:bidi w:val="0"/>
        <w:rPr>
          <w:rFonts w:hint="eastAsia" w:ascii="仿宋" w:hAnsi="仿宋" w:eastAsia="仿宋" w:cs="仿宋"/>
          <w:color w:val="auto"/>
          <w:highlight w:val="none"/>
        </w:rPr>
      </w:pPr>
      <w:bookmarkStart w:id="136" w:name="_Toc21295"/>
      <w:bookmarkStart w:id="137" w:name="_Toc24300"/>
      <w:bookmarkStart w:id="138" w:name="_Toc27126"/>
    </w:p>
    <w:p w14:paraId="3B122F0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1.2 货物</w:t>
      </w:r>
      <w:bookmarkEnd w:id="136"/>
      <w:bookmarkEnd w:id="137"/>
      <w:bookmarkEnd w:id="138"/>
    </w:p>
    <w:p w14:paraId="04BAE9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69AADE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E9DD3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D8B86E3">
      <w:pPr>
        <w:bidi w:val="0"/>
        <w:rPr>
          <w:rFonts w:hint="eastAsia" w:ascii="仿宋" w:hAnsi="仿宋" w:eastAsia="仿宋" w:cs="仿宋"/>
          <w:color w:val="auto"/>
          <w:highlight w:val="none"/>
        </w:rPr>
      </w:pPr>
      <w:bookmarkStart w:id="139" w:name="_Toc21631"/>
      <w:bookmarkStart w:id="140" w:name="_Toc21551"/>
      <w:bookmarkStart w:id="141" w:name="_Toc23292"/>
    </w:p>
    <w:p w14:paraId="757BF65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139"/>
      <w:bookmarkEnd w:id="140"/>
      <w:bookmarkEnd w:id="141"/>
    </w:p>
    <w:p w14:paraId="3E67BB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4901725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E823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7F58C9F">
            <w:pPr>
              <w:pStyle w:val="166"/>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009FA848">
            <w:pPr>
              <w:pStyle w:val="166"/>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E5A9C32">
            <w:pPr>
              <w:pStyle w:val="166"/>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51E03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37D1A11">
            <w:pPr>
              <w:pStyle w:val="166"/>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B5D8692">
            <w:pPr>
              <w:pStyle w:val="166"/>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DFE48A5">
            <w:pPr>
              <w:pStyle w:val="166"/>
              <w:spacing w:line="560" w:lineRule="exact"/>
              <w:ind w:firstLine="200"/>
              <w:jc w:val="center"/>
              <w:rPr>
                <w:rFonts w:hint="eastAsia" w:ascii="仿宋" w:hAnsi="仿宋" w:eastAsia="仿宋" w:cs="仿宋"/>
                <w:color w:val="auto"/>
                <w:sz w:val="24"/>
                <w:szCs w:val="24"/>
                <w:highlight w:val="none"/>
              </w:rPr>
            </w:pPr>
          </w:p>
        </w:tc>
      </w:tr>
      <w:tr w14:paraId="1250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C23AF77">
            <w:pPr>
              <w:pStyle w:val="166"/>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88DFEA2">
            <w:pPr>
              <w:pStyle w:val="166"/>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C5D473F">
            <w:pPr>
              <w:pStyle w:val="166"/>
              <w:spacing w:line="560" w:lineRule="exact"/>
              <w:ind w:firstLine="200"/>
              <w:jc w:val="center"/>
              <w:rPr>
                <w:rFonts w:hint="eastAsia" w:ascii="仿宋" w:hAnsi="仿宋" w:eastAsia="仿宋" w:cs="仿宋"/>
                <w:color w:val="auto"/>
                <w:sz w:val="24"/>
                <w:szCs w:val="24"/>
                <w:highlight w:val="none"/>
              </w:rPr>
            </w:pPr>
          </w:p>
        </w:tc>
      </w:tr>
      <w:tr w14:paraId="3C572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BCF2260">
            <w:pPr>
              <w:pStyle w:val="166"/>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113B32A">
            <w:pPr>
              <w:pStyle w:val="166"/>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6B0652D">
            <w:pPr>
              <w:pStyle w:val="166"/>
              <w:spacing w:line="560" w:lineRule="exact"/>
              <w:ind w:firstLine="200"/>
              <w:jc w:val="center"/>
              <w:rPr>
                <w:rFonts w:hint="eastAsia" w:ascii="仿宋" w:hAnsi="仿宋" w:eastAsia="仿宋" w:cs="仿宋"/>
                <w:color w:val="auto"/>
                <w:sz w:val="24"/>
                <w:szCs w:val="24"/>
                <w:highlight w:val="none"/>
              </w:rPr>
            </w:pPr>
          </w:p>
        </w:tc>
      </w:tr>
      <w:tr w14:paraId="36C82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4F08092">
            <w:pPr>
              <w:pStyle w:val="166"/>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03B1C99">
            <w:pPr>
              <w:pStyle w:val="166"/>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0E935CA">
            <w:pPr>
              <w:pStyle w:val="166"/>
              <w:spacing w:line="560" w:lineRule="exact"/>
              <w:ind w:firstLine="200"/>
              <w:jc w:val="center"/>
              <w:rPr>
                <w:rFonts w:hint="eastAsia" w:ascii="仿宋" w:hAnsi="仿宋" w:eastAsia="仿宋" w:cs="仿宋"/>
                <w:color w:val="auto"/>
                <w:sz w:val="24"/>
                <w:szCs w:val="24"/>
                <w:highlight w:val="none"/>
              </w:rPr>
            </w:pPr>
          </w:p>
        </w:tc>
      </w:tr>
      <w:tr w14:paraId="4C33D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645BA5AB">
            <w:pPr>
              <w:pStyle w:val="166"/>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050708E9">
            <w:pPr>
              <w:pStyle w:val="166"/>
              <w:spacing w:line="560" w:lineRule="exact"/>
              <w:ind w:firstLine="200"/>
              <w:jc w:val="center"/>
              <w:rPr>
                <w:rFonts w:hint="eastAsia" w:ascii="仿宋" w:hAnsi="仿宋" w:eastAsia="仿宋" w:cs="仿宋"/>
                <w:color w:val="auto"/>
                <w:sz w:val="24"/>
                <w:szCs w:val="24"/>
                <w:highlight w:val="none"/>
              </w:rPr>
            </w:pPr>
          </w:p>
        </w:tc>
      </w:tr>
    </w:tbl>
    <w:p w14:paraId="161B8689">
      <w:pPr>
        <w:bidi w:val="0"/>
        <w:rPr>
          <w:rFonts w:hint="eastAsia" w:ascii="仿宋" w:hAnsi="仿宋" w:eastAsia="仿宋" w:cs="仿宋"/>
          <w:color w:val="auto"/>
          <w:highlight w:val="none"/>
        </w:rPr>
      </w:pPr>
      <w:bookmarkStart w:id="142" w:name="_Toc22618"/>
      <w:bookmarkStart w:id="143" w:name="_Toc1814"/>
      <w:bookmarkStart w:id="144" w:name="_Toc10340"/>
    </w:p>
    <w:bookmarkEnd w:id="142"/>
    <w:bookmarkEnd w:id="143"/>
    <w:bookmarkEnd w:id="144"/>
    <w:p w14:paraId="755B65F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cs="仿宋"/>
          <w:b/>
          <w:color w:val="auto"/>
          <w:sz w:val="24"/>
          <w:highlight w:val="none"/>
        </w:rPr>
      </w:pPr>
      <w:bookmarkStart w:id="145" w:name="_Toc19304"/>
      <w:bookmarkStart w:id="146" w:name="_Toc32071"/>
      <w:bookmarkStart w:id="147" w:name="_Toc2846"/>
      <w:r>
        <w:rPr>
          <w:rFonts w:hint="eastAsia" w:ascii="仿宋" w:hAnsi="仿宋" w:eastAsia="仿宋" w:cs="仿宋"/>
          <w:b/>
          <w:color w:val="auto"/>
          <w:sz w:val="24"/>
          <w:highlight w:val="none"/>
        </w:rPr>
        <w:t>1.4履约保证金</w:t>
      </w:r>
    </w:p>
    <w:p w14:paraId="7EACBAE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（是/否）</w:t>
      </w:r>
      <w:r>
        <w:rPr>
          <w:rFonts w:hint="eastAsia" w:ascii="仿宋" w:hAnsi="仿宋" w:eastAsia="仿宋" w:cs="仿宋"/>
          <w:color w:val="auto"/>
          <w:sz w:val="24"/>
          <w:highlight w:val="none"/>
          <w:lang w:val="en-US" w:eastAsia="zh-CN"/>
        </w:rPr>
        <w:t>需要支付履约保证金。若需要支付履约保证金的，则：</w:t>
      </w:r>
    </w:p>
    <w:p w14:paraId="6F763B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1.4.1履约保证金的比例为合同金额的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w:t>
      </w:r>
    </w:p>
    <w:p w14:paraId="6096BC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1.4.2履约保证金支付方式详见</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i/>
          <w:iCs/>
          <w:color w:val="auto"/>
          <w:sz w:val="24"/>
          <w:highlight w:val="none"/>
          <w:u w:val="single"/>
          <w:lang w:val="en-US" w:eastAsia="zh-CN"/>
        </w:rPr>
        <w:t>合同专用条款</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w:t>
      </w:r>
    </w:p>
    <w:p w14:paraId="4F4551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15814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1.4.4甲方在项目验收结束后及时退还履约保证金。甲方在项目通过验收之日起</w:t>
      </w:r>
    </w:p>
    <w:p w14:paraId="10D858D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sz w:val="24"/>
          <w:highlight w:val="none"/>
          <w:u w:val="single"/>
          <w:lang w:val="en-US" w:eastAsia="zh-CN"/>
        </w:rPr>
        <w:t xml:space="preserve">  0.05（可根据情况修改） </w:t>
      </w:r>
      <w:r>
        <w:rPr>
          <w:rFonts w:hint="eastAsia" w:ascii="仿宋" w:hAnsi="仿宋" w:eastAsia="仿宋" w:cs="仿宋"/>
          <w:color w:val="auto"/>
          <w:sz w:val="24"/>
          <w:highlight w:val="none"/>
          <w:lang w:val="en-US" w:eastAsia="zh-CN"/>
        </w:rPr>
        <w:t xml:space="preserve"> %计算，最高限额为本合同履约保证金的</w:t>
      </w:r>
      <w:r>
        <w:rPr>
          <w:rFonts w:hint="eastAsia" w:ascii="仿宋" w:hAnsi="仿宋" w:eastAsia="仿宋" w:cs="仿宋"/>
          <w:color w:val="auto"/>
          <w:sz w:val="24"/>
          <w:highlight w:val="none"/>
          <w:u w:val="single"/>
          <w:lang w:val="en-US" w:eastAsia="zh-CN"/>
        </w:rPr>
        <w:t xml:space="preserve">  20   </w:t>
      </w:r>
      <w:r>
        <w:rPr>
          <w:rFonts w:hint="eastAsia" w:ascii="仿宋" w:hAnsi="仿宋" w:eastAsia="仿宋" w:cs="仿宋"/>
          <w:color w:val="auto"/>
          <w:sz w:val="24"/>
          <w:highlight w:val="none"/>
          <w:lang w:val="en-US" w:eastAsia="zh-CN"/>
        </w:rPr>
        <w:t>%。</w:t>
      </w:r>
    </w:p>
    <w:p w14:paraId="611AFC2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1.5预付款</w:t>
      </w:r>
    </w:p>
    <w:p w14:paraId="6672186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（是/否）需要支付预付款。若需要支付预付款的，则：</w:t>
      </w:r>
    </w:p>
    <w:p w14:paraId="5AE4540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1.5.1预付款比例、支付方式、时间详见</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i/>
          <w:iCs/>
          <w:color w:val="auto"/>
          <w:sz w:val="24"/>
          <w:highlight w:val="none"/>
          <w:u w:val="single"/>
          <w:lang w:val="en-US" w:eastAsia="zh-CN"/>
        </w:rPr>
        <w:t>合同专用条款</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w:t>
      </w:r>
    </w:p>
    <w:p w14:paraId="55FC19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1.5.2预付款的扣回方式详见</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i/>
          <w:iCs/>
          <w:color w:val="auto"/>
          <w:sz w:val="24"/>
          <w:highlight w:val="none"/>
          <w:u w:val="single"/>
          <w:lang w:val="en-US" w:eastAsia="zh-CN"/>
        </w:rPr>
        <w:t>合同专用条款</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w:t>
      </w:r>
    </w:p>
    <w:p w14:paraId="3C2869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1.5.3预付款的担保措施详见</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i/>
          <w:iCs/>
          <w:color w:val="auto"/>
          <w:sz w:val="24"/>
          <w:highlight w:val="none"/>
          <w:u w:val="single"/>
          <w:lang w:val="en-US" w:eastAsia="zh-CN"/>
        </w:rPr>
        <w:t>合同专用条款</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w:t>
      </w:r>
    </w:p>
    <w:p w14:paraId="4E8A982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1.6资金支付</w:t>
      </w:r>
    </w:p>
    <w:p w14:paraId="41319FA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88085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1.6.2资金支付的方式、时间和条件详见</w:t>
      </w:r>
      <w:r>
        <w:rPr>
          <w:rFonts w:hint="eastAsia" w:ascii="仿宋" w:hAnsi="仿宋" w:eastAsia="仿宋" w:cs="仿宋"/>
          <w:i/>
          <w:iCs/>
          <w:color w:val="auto"/>
          <w:sz w:val="24"/>
          <w:highlight w:val="none"/>
          <w:u w:val="single"/>
          <w:lang w:val="en-US" w:eastAsia="zh-CN"/>
        </w:rPr>
        <w:t>合同专用条款</w:t>
      </w:r>
      <w:r>
        <w:rPr>
          <w:rFonts w:hint="eastAsia" w:ascii="仿宋" w:hAnsi="仿宋" w:eastAsia="仿宋" w:cs="仿宋"/>
          <w:color w:val="auto"/>
          <w:sz w:val="24"/>
          <w:highlight w:val="none"/>
          <w:lang w:val="en-US" w:eastAsia="zh-CN"/>
        </w:rPr>
        <w:t>。</w:t>
      </w:r>
    </w:p>
    <w:p w14:paraId="3F00E4C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 xml:space="preserve"> </w:t>
      </w:r>
      <w:bookmarkEnd w:id="145"/>
      <w:bookmarkEnd w:id="146"/>
      <w:bookmarkEnd w:id="147"/>
      <w:r>
        <w:rPr>
          <w:rFonts w:hint="eastAsia" w:ascii="仿宋" w:hAnsi="仿宋" w:eastAsia="仿宋" w:cs="仿宋"/>
          <w:b/>
          <w:color w:val="auto"/>
          <w:sz w:val="24"/>
          <w:highlight w:val="none"/>
          <w:lang w:eastAsia="zh-CN"/>
        </w:rPr>
        <w:t>货物交付</w:t>
      </w:r>
      <w:r>
        <w:rPr>
          <w:rFonts w:hint="eastAsia" w:ascii="仿宋" w:hAnsi="仿宋" w:eastAsia="仿宋" w:cs="仿宋"/>
          <w:b/>
          <w:color w:val="auto"/>
          <w:sz w:val="24"/>
          <w:highlight w:val="none"/>
        </w:rPr>
        <w:t>期限、地点和方式</w:t>
      </w:r>
    </w:p>
    <w:p w14:paraId="60EACFD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1.7.1 交付期限：</w:t>
      </w:r>
      <w:r>
        <w:rPr>
          <w:rFonts w:hint="eastAsia" w:ascii="仿宋" w:hAnsi="仿宋" w:eastAsia="仿宋" w:cs="仿宋"/>
          <w:i/>
          <w:iCs/>
          <w:color w:val="auto"/>
          <w:sz w:val="24"/>
          <w:highlight w:val="none"/>
          <w:u w:val="single"/>
          <w:lang w:val="en-US" w:eastAsia="zh-CN"/>
        </w:rPr>
        <w:t>合同专用条款</w:t>
      </w:r>
      <w:r>
        <w:rPr>
          <w:rFonts w:hint="eastAsia" w:ascii="仿宋" w:hAnsi="仿宋" w:eastAsia="仿宋" w:cs="仿宋"/>
          <w:color w:val="auto"/>
          <w:sz w:val="24"/>
          <w:highlight w:val="none"/>
          <w:lang w:val="en-US" w:eastAsia="zh-CN"/>
        </w:rPr>
        <w:t>；</w:t>
      </w:r>
    </w:p>
    <w:p w14:paraId="175120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1.7.2 交付地点：</w:t>
      </w:r>
      <w:r>
        <w:rPr>
          <w:rFonts w:hint="eastAsia" w:ascii="仿宋" w:hAnsi="仿宋" w:eastAsia="仿宋" w:cs="仿宋"/>
          <w:i/>
          <w:iCs/>
          <w:color w:val="auto"/>
          <w:sz w:val="24"/>
          <w:highlight w:val="none"/>
          <w:u w:val="single"/>
          <w:lang w:val="en-US" w:eastAsia="zh-CN"/>
        </w:rPr>
        <w:t>合同专用条款</w:t>
      </w:r>
      <w:r>
        <w:rPr>
          <w:rFonts w:hint="eastAsia" w:ascii="仿宋" w:hAnsi="仿宋" w:eastAsia="仿宋" w:cs="仿宋"/>
          <w:color w:val="auto"/>
          <w:sz w:val="24"/>
          <w:highlight w:val="none"/>
          <w:lang w:val="en-US" w:eastAsia="zh-CN"/>
        </w:rPr>
        <w:t>；</w:t>
      </w:r>
    </w:p>
    <w:p w14:paraId="2951A7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1.7.3 交付方式：</w:t>
      </w:r>
      <w:r>
        <w:rPr>
          <w:rFonts w:hint="eastAsia" w:ascii="仿宋" w:hAnsi="仿宋" w:eastAsia="仿宋" w:cs="仿宋"/>
          <w:i/>
          <w:iCs/>
          <w:color w:val="auto"/>
          <w:sz w:val="24"/>
          <w:highlight w:val="none"/>
          <w:u w:val="single"/>
          <w:lang w:val="en-US" w:eastAsia="zh-CN"/>
        </w:rPr>
        <w:t>合同专用条款</w:t>
      </w:r>
      <w:r>
        <w:rPr>
          <w:rFonts w:hint="eastAsia" w:ascii="仿宋" w:hAnsi="仿宋" w:eastAsia="仿宋" w:cs="仿宋"/>
          <w:color w:val="auto"/>
          <w:sz w:val="24"/>
          <w:highlight w:val="none"/>
          <w:lang w:val="en-US" w:eastAsia="zh-CN"/>
        </w:rPr>
        <w:t>。</w:t>
      </w:r>
    </w:p>
    <w:p w14:paraId="38BAA88D">
      <w:pPr>
        <w:bidi w:val="0"/>
        <w:rPr>
          <w:rFonts w:hint="eastAsia" w:ascii="仿宋" w:hAnsi="仿宋" w:eastAsia="仿宋" w:cs="仿宋"/>
          <w:color w:val="auto"/>
          <w:highlight w:val="none"/>
        </w:rPr>
      </w:pPr>
      <w:bookmarkStart w:id="148" w:name="_Toc19554"/>
      <w:bookmarkStart w:id="149" w:name="_Toc21423"/>
      <w:bookmarkStart w:id="150" w:name="_Toc27250"/>
    </w:p>
    <w:p w14:paraId="3B40C6F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 xml:space="preserve"> 违约责任</w:t>
      </w:r>
      <w:bookmarkEnd w:id="148"/>
      <w:bookmarkEnd w:id="149"/>
      <w:bookmarkEnd w:id="150"/>
    </w:p>
    <w:p w14:paraId="3AC9BA2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%（可根据情况修改）计算，最高限额为本合同总价的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14:paraId="1FE33F7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%（可根据情况修改）计算，最高限额为本合同总价的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55D8DBC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3979ED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D93AEF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 如果出现政府采购监督管理部门在处理投诉事项期间，书面通知甲方暂停采购活动的情形，或者询问或质疑事项可能影响中标结果的，导致甲方中止履行合同的情形，均不视为甲方违约。</w:t>
      </w:r>
    </w:p>
    <w:p w14:paraId="74CB3024">
      <w:pPr>
        <w:keepNext w:val="0"/>
        <w:keepLines w:val="0"/>
        <w:pageBreakBefore w:val="0"/>
        <w:kinsoku/>
        <w:wordWrap/>
        <w:overflowPunct/>
        <w:topLinePunct w:val="0"/>
        <w:autoSpaceDE/>
        <w:autoSpaceDN/>
        <w:bidi w:val="0"/>
        <w:adjustRightInd w:val="0"/>
        <w:snapToGrid w:val="0"/>
        <w:spacing w:line="360" w:lineRule="auto"/>
        <w:ind w:left="-420" w:leftChars="-200" w:right="-420" w:rightChars="-200" w:firstLine="960" w:firstLineChars="4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14:paraId="19394C59">
      <w:pPr>
        <w:bidi w:val="0"/>
        <w:rPr>
          <w:rFonts w:hint="eastAsia" w:ascii="仿宋" w:hAnsi="仿宋" w:eastAsia="仿宋" w:cs="仿宋"/>
          <w:color w:val="auto"/>
          <w:highlight w:val="none"/>
        </w:rPr>
      </w:pPr>
      <w:bookmarkStart w:id="151" w:name="_Toc16021"/>
      <w:bookmarkStart w:id="152" w:name="_Toc15583"/>
      <w:bookmarkStart w:id="153" w:name="_Toc28375"/>
    </w:p>
    <w:p w14:paraId="556019A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9</w:t>
      </w:r>
      <w:r>
        <w:rPr>
          <w:rFonts w:hint="eastAsia" w:ascii="仿宋" w:hAnsi="仿宋" w:eastAsia="仿宋" w:cs="仿宋"/>
          <w:b/>
          <w:color w:val="auto"/>
          <w:sz w:val="24"/>
          <w:highlight w:val="none"/>
        </w:rPr>
        <w:t xml:space="preserve"> 合同争议的解决</w:t>
      </w:r>
      <w:bookmarkEnd w:id="151"/>
      <w:bookmarkEnd w:id="152"/>
      <w:bookmarkEnd w:id="153"/>
    </w:p>
    <w:p w14:paraId="4A6335C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条款规定的方式解决：</w:t>
      </w:r>
    </w:p>
    <w:p w14:paraId="4CF33D62">
      <w:pPr>
        <w:keepNext w:val="0"/>
        <w:keepLines w:val="0"/>
        <w:pageBreakBefore w:val="0"/>
        <w:kinsoku/>
        <w:wordWrap/>
        <w:overflowPunct/>
        <w:topLinePunct w:val="0"/>
        <w:autoSpaceDE/>
        <w:autoSpaceDN/>
        <w:bidi w:val="0"/>
        <w:adjustRightInd w:val="0"/>
        <w:snapToGrid w:val="0"/>
        <w:spacing w:line="360" w:lineRule="auto"/>
        <w:ind w:left="-420" w:leftChars="-200" w:right="-420" w:rightChars="-200"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i/>
          <w:iCs/>
          <w:color w:val="auto"/>
          <w:sz w:val="24"/>
          <w:highlight w:val="none"/>
        </w:rPr>
        <w:t>合同专用条款</w:t>
      </w:r>
      <w:r>
        <w:rPr>
          <w:rFonts w:hint="eastAsia" w:ascii="仿宋" w:hAnsi="仿宋" w:eastAsia="仿宋" w:cs="仿宋"/>
          <w:color w:val="auto"/>
          <w:sz w:val="24"/>
          <w:highlight w:val="none"/>
        </w:rPr>
        <w:t>仲裁委员会依申请仲裁时其现行有效的仲裁规则裁决；</w:t>
      </w:r>
    </w:p>
    <w:p w14:paraId="01704733">
      <w:pPr>
        <w:keepNext w:val="0"/>
        <w:keepLines w:val="0"/>
        <w:pageBreakBefore w:val="0"/>
        <w:kinsoku/>
        <w:wordWrap/>
        <w:overflowPunct/>
        <w:topLinePunct w:val="0"/>
        <w:autoSpaceDE/>
        <w:autoSpaceDN/>
        <w:bidi w:val="0"/>
        <w:adjustRightInd w:val="0"/>
        <w:snapToGrid w:val="0"/>
        <w:spacing w:line="360" w:lineRule="auto"/>
        <w:ind w:left="-420" w:leftChars="-200" w:right="-420" w:rightChars="-200"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i/>
          <w:iCs/>
          <w:color w:val="auto"/>
          <w:sz w:val="24"/>
          <w:highlight w:val="none"/>
          <w:u w:val="single"/>
        </w:rPr>
        <w:t>合同专用条款</w:t>
      </w:r>
      <w:r>
        <w:rPr>
          <w:rFonts w:hint="eastAsia" w:ascii="仿宋" w:hAnsi="仿宋" w:eastAsia="仿宋" w:cs="仿宋"/>
          <w:color w:val="auto"/>
          <w:sz w:val="24"/>
          <w:highlight w:val="none"/>
        </w:rPr>
        <w:t>人民法院起诉。</w:t>
      </w:r>
    </w:p>
    <w:p w14:paraId="0D73E13B">
      <w:pPr>
        <w:bidi w:val="0"/>
        <w:rPr>
          <w:rFonts w:hint="eastAsia" w:ascii="仿宋" w:hAnsi="仿宋" w:eastAsia="仿宋" w:cs="仿宋"/>
          <w:color w:val="auto"/>
          <w:highlight w:val="none"/>
        </w:rPr>
      </w:pPr>
      <w:bookmarkStart w:id="154" w:name="_Toc11173"/>
      <w:bookmarkStart w:id="155" w:name="_Toc7245"/>
    </w:p>
    <w:p w14:paraId="533FEB2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0</w:t>
      </w:r>
      <w:r>
        <w:rPr>
          <w:rFonts w:hint="eastAsia" w:ascii="仿宋" w:hAnsi="仿宋" w:eastAsia="仿宋" w:cs="仿宋"/>
          <w:b/>
          <w:color w:val="auto"/>
          <w:sz w:val="24"/>
          <w:highlight w:val="none"/>
        </w:rPr>
        <w:t xml:space="preserve"> 合同生效</w:t>
      </w:r>
      <w:bookmarkEnd w:id="154"/>
      <w:bookmarkEnd w:id="155"/>
    </w:p>
    <w:p w14:paraId="7899308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本合同自双方当事人盖章或者签字时生效。</w:t>
      </w:r>
    </w:p>
    <w:p w14:paraId="00D5B6F5">
      <w:pPr>
        <w:autoSpaceDE w:val="0"/>
        <w:autoSpaceDN w:val="0"/>
        <w:spacing w:line="560" w:lineRule="exact"/>
        <w:rPr>
          <w:rFonts w:hint="eastAsia" w:ascii="仿宋" w:hAnsi="仿宋" w:eastAsia="仿宋" w:cs="仿宋"/>
          <w:color w:val="auto"/>
          <w:sz w:val="24"/>
          <w:highlight w:val="none"/>
          <w:lang w:val="zh-CN"/>
        </w:rPr>
      </w:pPr>
    </w:p>
    <w:p w14:paraId="48AE9479">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3CBA5E2F">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128F73B6">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color w:val="auto"/>
          <w:sz w:val="24"/>
          <w:highlight w:val="none"/>
          <w:lang w:val="zh-CN"/>
        </w:rPr>
      </w:pPr>
    </w:p>
    <w:p w14:paraId="05605A7E">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496E6683">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w:t>
      </w:r>
    </w:p>
    <w:p w14:paraId="7D7FC39A">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或授权代表（签字）: </w:t>
      </w:r>
    </w:p>
    <w:p w14:paraId="3FF5C780">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7608A3DB">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0B504396">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47A0DD59">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1AD8AE5B">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7A325FC6">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1CA6F0BE">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1C6B0EA2">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11539DB1">
      <w:pPr>
        <w:keepNext w:val="0"/>
        <w:keepLines w:val="0"/>
        <w:pageBreakBefore w:val="0"/>
        <w:kinsoku/>
        <w:wordWrap/>
        <w:overflowPunct/>
        <w:topLinePunct w:val="0"/>
        <w:autoSpaceDE w:val="0"/>
        <w:autoSpaceDN w:val="0"/>
        <w:bidi w:val="0"/>
        <w:adjustRightInd w:val="0"/>
        <w:snapToGri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6769A328">
      <w:pPr>
        <w:rPr>
          <w:rFonts w:hint="eastAsia" w:ascii="仿宋" w:hAnsi="仿宋" w:eastAsia="仿宋" w:cs="仿宋"/>
          <w:b/>
          <w:color w:val="auto"/>
          <w:highlight w:val="none"/>
        </w:rPr>
      </w:pPr>
      <w:bookmarkStart w:id="156" w:name="_Toc331685783"/>
      <w:r>
        <w:rPr>
          <w:rFonts w:hint="eastAsia" w:ascii="仿宋" w:hAnsi="仿宋" w:eastAsia="仿宋" w:cs="仿宋"/>
          <w:b/>
          <w:color w:val="auto"/>
          <w:highlight w:val="none"/>
        </w:rPr>
        <w:br w:type="page"/>
      </w:r>
    </w:p>
    <w:p w14:paraId="1DF93F70">
      <w:pPr>
        <w:pStyle w:val="59"/>
        <w:keepNext w:val="0"/>
        <w:keepLines w:val="0"/>
        <w:pageBreakBefore w:val="0"/>
        <w:widowControl w:val="0"/>
        <w:kinsoku/>
        <w:wordWrap/>
        <w:overflowPunct/>
        <w:topLinePunct w:val="0"/>
        <w:autoSpaceDE w:val="0"/>
        <w:autoSpaceDN w:val="0"/>
        <w:bidi w:val="0"/>
        <w:adjustRightInd/>
        <w:snapToGrid w:val="0"/>
        <w:spacing w:line="560" w:lineRule="exact"/>
        <w:ind w:left="0" w:leftChars="0" w:firstLine="0" w:firstLineChars="0"/>
        <w:jc w:val="center"/>
        <w:textAlignment w:val="auto"/>
        <w:outlineLvl w:val="1"/>
        <w:rPr>
          <w:rFonts w:hint="eastAsia" w:ascii="仿宋" w:hAnsi="仿宋" w:eastAsia="仿宋" w:cs="仿宋"/>
          <w:b/>
          <w:color w:val="auto"/>
          <w:szCs w:val="24"/>
          <w:highlight w:val="none"/>
        </w:rPr>
      </w:pPr>
      <w:bookmarkStart w:id="157" w:name="_Toc18248"/>
      <w:bookmarkStart w:id="158" w:name="_Toc10849"/>
      <w:bookmarkStart w:id="159" w:name="_Toc27425"/>
      <w:r>
        <w:rPr>
          <w:rFonts w:hint="eastAsia" w:ascii="仿宋" w:hAnsi="仿宋" w:eastAsia="仿宋" w:cs="仿宋"/>
          <w:b/>
          <w:color w:val="auto"/>
          <w:szCs w:val="24"/>
          <w:highlight w:val="none"/>
        </w:rPr>
        <w:t>第二部分 合同一般条款</w:t>
      </w:r>
      <w:bookmarkEnd w:id="156"/>
      <w:bookmarkEnd w:id="157"/>
      <w:bookmarkEnd w:id="158"/>
      <w:bookmarkEnd w:id="159"/>
    </w:p>
    <w:p w14:paraId="7B7E124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cs="仿宋"/>
          <w:b/>
          <w:color w:val="auto"/>
          <w:sz w:val="24"/>
          <w:highlight w:val="none"/>
        </w:rPr>
      </w:pPr>
      <w:bookmarkStart w:id="160" w:name="_Ref467379214"/>
      <w:bookmarkStart w:id="161" w:name="_Toc487900349"/>
      <w:bookmarkStart w:id="162" w:name="_Ref467379101"/>
      <w:bookmarkStart w:id="163" w:name="_Toc259093669"/>
      <w:bookmarkStart w:id="164" w:name="_Toc19614"/>
      <w:bookmarkStart w:id="165" w:name="_Ref467379225"/>
      <w:bookmarkStart w:id="166" w:name="_Toc28763"/>
      <w:bookmarkStart w:id="167" w:name="_Ref467379094"/>
      <w:bookmarkStart w:id="168" w:name="_Ref467378499"/>
      <w:bookmarkStart w:id="169" w:name="_Toc279701240"/>
      <w:bookmarkStart w:id="170" w:name="_Ref467378463"/>
      <w:bookmarkStart w:id="171" w:name="_Ref467379205"/>
      <w:bookmarkStart w:id="172" w:name="_Ref467379195"/>
      <w:bookmarkStart w:id="173" w:name="_Ref467379109"/>
      <w:bookmarkStart w:id="174" w:name="_Ref467378404"/>
      <w:bookmarkStart w:id="175" w:name="_Toc16917"/>
      <w:r>
        <w:rPr>
          <w:rFonts w:hint="eastAsia" w:ascii="仿宋" w:hAnsi="仿宋" w:eastAsia="仿宋" w:cs="仿宋"/>
          <w:b/>
          <w:color w:val="auto"/>
          <w:sz w:val="24"/>
          <w:highlight w:val="none"/>
        </w:rPr>
        <w:t>2.1 定义</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23B646A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4818AEB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“合同”系指采购人和中标供应商签订的载明双方当事人所达成的协议，并包括所有的附件、附录和构成合同的其他文件。</w:t>
      </w:r>
    </w:p>
    <w:p w14:paraId="78B1FD7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“合同价”系指根据合同约定，中标供应商在完全履行合同义务后，采购人应支付给中标供应商的价格。</w:t>
      </w:r>
    </w:p>
    <w:p w14:paraId="050AF59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2.1.3 “货物”系指中标供应商根据合同约定应向采购人交付的一切各种形态和种类的物品，包括原材料、燃料、设备、机械、仪表、备件、计算机软件、产品等，并包括工具、手册等其他相关资料。</w:t>
      </w:r>
    </w:p>
    <w:p w14:paraId="2138F5C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bookmarkStart w:id="176" w:name="_Ref467378840"/>
      <w:r>
        <w:rPr>
          <w:rFonts w:hint="eastAsia" w:ascii="仿宋" w:hAnsi="仿宋" w:eastAsia="仿宋" w:cs="仿宋"/>
          <w:color w:val="auto"/>
          <w:sz w:val="24"/>
          <w:highlight w:val="none"/>
        </w:rPr>
        <w:t>2.1.4 “甲方”系指与中标供应商签署合同的采购人</w:t>
      </w:r>
      <w:bookmarkEnd w:id="176"/>
      <w:r>
        <w:rPr>
          <w:rFonts w:hint="eastAsia" w:ascii="仿宋" w:hAnsi="仿宋" w:eastAsia="仿宋" w:cs="仿宋"/>
          <w:color w:val="auto"/>
          <w:sz w:val="24"/>
          <w:highlight w:val="none"/>
        </w:rPr>
        <w:t>；采购人委托采购代理机构代表其与乙方签订合同的，采购人的授权委托书作为合同附件。</w:t>
      </w:r>
    </w:p>
    <w:p w14:paraId="1A19D55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bookmarkStart w:id="177" w:name="_Ref467379400"/>
      <w:r>
        <w:rPr>
          <w:rFonts w:hint="eastAsia" w:ascii="仿宋" w:hAnsi="仿宋" w:eastAsia="仿宋" w:cs="仿宋"/>
          <w:color w:val="auto"/>
          <w:sz w:val="24"/>
          <w:highlight w:val="none"/>
        </w:rPr>
        <w:t>2.1.5 “乙方”系指根据合同约定交付货物的中标供应商</w:t>
      </w:r>
      <w:bookmarkEnd w:id="177"/>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C4A7F0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bookmarkStart w:id="178" w:name="_Ref467379436"/>
      <w:r>
        <w:rPr>
          <w:rFonts w:hint="eastAsia" w:ascii="仿宋" w:hAnsi="仿宋" w:eastAsia="仿宋" w:cs="仿宋"/>
          <w:color w:val="auto"/>
          <w:sz w:val="24"/>
          <w:highlight w:val="none"/>
        </w:rPr>
        <w:t>2.1.6 “现场”系指合同约定货物将要运至或者安装的地点。</w:t>
      </w:r>
      <w:bookmarkEnd w:id="178"/>
    </w:p>
    <w:p w14:paraId="3DA934F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cs="仿宋"/>
          <w:b/>
          <w:color w:val="auto"/>
          <w:sz w:val="24"/>
          <w:highlight w:val="none"/>
        </w:rPr>
      </w:pPr>
      <w:bookmarkStart w:id="179" w:name="_Toc27635"/>
      <w:bookmarkStart w:id="180" w:name="_Toc279701241"/>
      <w:bookmarkStart w:id="181" w:name="_Toc13336"/>
      <w:bookmarkStart w:id="182" w:name="_Toc487900350"/>
      <w:bookmarkStart w:id="183" w:name="_Toc32504"/>
      <w:bookmarkStart w:id="184" w:name="_Toc259093670"/>
      <w:r>
        <w:rPr>
          <w:rFonts w:hint="eastAsia" w:ascii="仿宋" w:hAnsi="仿宋" w:eastAsia="仿宋" w:cs="仿宋"/>
          <w:b/>
          <w:color w:val="auto"/>
          <w:sz w:val="24"/>
          <w:highlight w:val="none"/>
        </w:rPr>
        <w:t>2.2 技术规范</w:t>
      </w:r>
      <w:bookmarkEnd w:id="179"/>
      <w:bookmarkEnd w:id="180"/>
      <w:bookmarkEnd w:id="181"/>
      <w:bookmarkEnd w:id="182"/>
      <w:bookmarkEnd w:id="183"/>
      <w:bookmarkEnd w:id="184"/>
    </w:p>
    <w:p w14:paraId="5BB1231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35797C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cs="仿宋"/>
          <w:b/>
          <w:color w:val="auto"/>
          <w:sz w:val="24"/>
          <w:highlight w:val="none"/>
        </w:rPr>
      </w:pPr>
      <w:bookmarkStart w:id="185" w:name="_Toc279701242"/>
      <w:bookmarkStart w:id="186" w:name="_Toc487900351"/>
      <w:bookmarkStart w:id="187" w:name="_Toc31634"/>
      <w:bookmarkStart w:id="188" w:name="_Toc27853"/>
      <w:bookmarkStart w:id="189" w:name="_Toc9829"/>
      <w:bookmarkStart w:id="190" w:name="_Toc259093671"/>
      <w:r>
        <w:rPr>
          <w:rFonts w:hint="eastAsia" w:ascii="仿宋" w:hAnsi="仿宋" w:eastAsia="仿宋" w:cs="仿宋"/>
          <w:b/>
          <w:color w:val="auto"/>
          <w:sz w:val="24"/>
          <w:highlight w:val="none"/>
        </w:rPr>
        <w:t>2.3 知识产权</w:t>
      </w:r>
      <w:bookmarkEnd w:id="185"/>
      <w:bookmarkEnd w:id="186"/>
      <w:bookmarkEnd w:id="187"/>
      <w:bookmarkEnd w:id="188"/>
      <w:bookmarkEnd w:id="189"/>
      <w:bookmarkEnd w:id="190"/>
    </w:p>
    <w:p w14:paraId="42A0038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09490BD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2.3.2具有知识产权的计算机软件等货物的知识产权归属，详见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653AD3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cs="仿宋"/>
          <w:b/>
          <w:color w:val="auto"/>
          <w:sz w:val="24"/>
          <w:highlight w:val="none"/>
        </w:rPr>
      </w:pPr>
      <w:bookmarkStart w:id="191" w:name="_Toc4194"/>
      <w:bookmarkStart w:id="192" w:name="_Toc11932"/>
      <w:bookmarkStart w:id="193" w:name="_Toc29149"/>
      <w:r>
        <w:rPr>
          <w:rFonts w:hint="eastAsia" w:ascii="仿宋" w:hAnsi="仿宋" w:eastAsia="仿宋" w:cs="仿宋"/>
          <w:b/>
          <w:color w:val="auto"/>
          <w:sz w:val="24"/>
          <w:highlight w:val="none"/>
        </w:rPr>
        <w:t>2.4 包装和装运</w:t>
      </w:r>
      <w:bookmarkEnd w:id="191"/>
      <w:bookmarkEnd w:id="192"/>
      <w:bookmarkEnd w:id="193"/>
    </w:p>
    <w:p w14:paraId="6A3CF2E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2.4.1除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80385C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798EE65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2.4.2 装运货物的要求和通知，详见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BA6EFD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cs="仿宋"/>
          <w:b/>
          <w:color w:val="auto"/>
          <w:sz w:val="24"/>
          <w:highlight w:val="none"/>
        </w:rPr>
      </w:pPr>
      <w:bookmarkStart w:id="194" w:name="_Toc487900354"/>
      <w:bookmarkStart w:id="195" w:name="_Ref467379536"/>
      <w:bookmarkStart w:id="196" w:name="_Toc259093674"/>
      <w:bookmarkStart w:id="197" w:name="_Ref467379527"/>
      <w:bookmarkStart w:id="198" w:name="_Ref467379542"/>
      <w:bookmarkStart w:id="199" w:name="_Ref467378591"/>
      <w:bookmarkStart w:id="200" w:name="_Toc279701245"/>
      <w:bookmarkStart w:id="201" w:name="_Ref467378541"/>
      <w:bookmarkStart w:id="202" w:name="_Toc30272"/>
      <w:bookmarkStart w:id="203" w:name="_Toc26182"/>
      <w:bookmarkStart w:id="204" w:name="_Toc19074"/>
      <w:r>
        <w:rPr>
          <w:rFonts w:hint="eastAsia" w:ascii="仿宋" w:hAnsi="仿宋" w:eastAsia="仿宋" w:cs="仿宋"/>
          <w:b/>
          <w:color w:val="auto"/>
          <w:sz w:val="24"/>
          <w:highlight w:val="none"/>
        </w:rPr>
        <w:t>2.</w:t>
      </w:r>
      <w:bookmarkEnd w:id="194"/>
      <w:bookmarkEnd w:id="195"/>
      <w:bookmarkEnd w:id="196"/>
      <w:bookmarkEnd w:id="197"/>
      <w:bookmarkEnd w:id="198"/>
      <w:bookmarkEnd w:id="199"/>
      <w:bookmarkEnd w:id="200"/>
      <w:bookmarkEnd w:id="201"/>
      <w:r>
        <w:rPr>
          <w:rFonts w:hint="eastAsia" w:ascii="仿宋" w:hAnsi="仿宋" w:eastAsia="仿宋" w:cs="仿宋"/>
          <w:b/>
          <w:color w:val="auto"/>
          <w:sz w:val="24"/>
          <w:highlight w:val="none"/>
        </w:rPr>
        <w:t>5 履约检查和问题反馈</w:t>
      </w:r>
      <w:bookmarkEnd w:id="202"/>
      <w:bookmarkEnd w:id="203"/>
      <w:bookmarkEnd w:id="204"/>
    </w:p>
    <w:p w14:paraId="5834724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bookmarkStart w:id="205" w:name="_Ref467379657"/>
      <w:r>
        <w:rPr>
          <w:rFonts w:hint="eastAsia" w:ascii="仿宋" w:hAnsi="仿宋" w:eastAsia="仿宋" w:cs="仿宋"/>
          <w:color w:val="auto"/>
          <w:sz w:val="24"/>
          <w:highlight w:val="none"/>
        </w:rPr>
        <w:t>2.5.1</w:t>
      </w:r>
      <w:bookmarkEnd w:id="205"/>
      <w:bookmarkStart w:id="206" w:name="_Toc186431854"/>
      <w:bookmarkStart w:id="207" w:name="_Toc259093676"/>
      <w:bookmarkStart w:id="208" w:name="_Ref467379807"/>
      <w:bookmarkStart w:id="209" w:name="_Ref467379793"/>
      <w:bookmarkStart w:id="210" w:name="_Toc487900357"/>
      <w:bookmarkStart w:id="211" w:name="_Toc279701247"/>
      <w:r>
        <w:rPr>
          <w:rFonts w:hint="eastAsia" w:ascii="仿宋" w:hAnsi="仿宋" w:eastAsia="仿宋" w:cs="仿宋"/>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62BB70F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2.5.2 合同履行期间，甲方有权将履行过程中出现的问题反馈给乙方，双方当事人应以书面形式约定需要完善和改进的内容</w:t>
      </w:r>
      <w:bookmarkEnd w:id="206"/>
      <w:bookmarkStart w:id="212" w:name="_Toc186431855"/>
      <w:r>
        <w:rPr>
          <w:rFonts w:hint="eastAsia" w:ascii="仿宋" w:hAnsi="仿宋" w:eastAsia="仿宋" w:cs="仿宋"/>
          <w:color w:val="auto"/>
          <w:sz w:val="24"/>
          <w:highlight w:val="none"/>
        </w:rPr>
        <w:t>。</w:t>
      </w:r>
    </w:p>
    <w:bookmarkEnd w:id="207"/>
    <w:bookmarkEnd w:id="208"/>
    <w:bookmarkEnd w:id="209"/>
    <w:bookmarkEnd w:id="210"/>
    <w:bookmarkEnd w:id="211"/>
    <w:bookmarkEnd w:id="212"/>
    <w:p w14:paraId="0133BF8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cs="仿宋"/>
          <w:b/>
          <w:color w:val="auto"/>
          <w:sz w:val="24"/>
          <w:highlight w:val="none"/>
        </w:rPr>
      </w:pPr>
      <w:bookmarkStart w:id="213" w:name="_Toc487900358"/>
      <w:bookmarkStart w:id="214" w:name="_Toc259093677"/>
      <w:bookmarkStart w:id="215" w:name="_Ref467379863"/>
      <w:bookmarkStart w:id="216" w:name="_Toc279701248"/>
      <w:bookmarkStart w:id="217" w:name="_Ref467379923"/>
      <w:bookmarkStart w:id="218" w:name="_Ref467379852"/>
      <w:bookmarkStart w:id="219" w:name="_Toc774"/>
      <w:bookmarkStart w:id="220" w:name="_Toc3225"/>
      <w:bookmarkStart w:id="221" w:name="_Toc16110"/>
      <w:r>
        <w:rPr>
          <w:rFonts w:hint="eastAsia" w:ascii="仿宋" w:hAnsi="仿宋" w:eastAsia="仿宋" w:cs="仿宋"/>
          <w:b/>
          <w:color w:val="auto"/>
          <w:sz w:val="24"/>
          <w:highlight w:val="none"/>
        </w:rPr>
        <w:t>2.6 技术资料</w:t>
      </w:r>
      <w:bookmarkEnd w:id="213"/>
      <w:bookmarkEnd w:id="214"/>
      <w:bookmarkEnd w:id="215"/>
      <w:bookmarkEnd w:id="216"/>
      <w:bookmarkEnd w:id="217"/>
      <w:bookmarkEnd w:id="218"/>
      <w:r>
        <w:rPr>
          <w:rFonts w:hint="eastAsia" w:ascii="仿宋" w:hAnsi="仿宋" w:eastAsia="仿宋" w:cs="仿宋"/>
          <w:b/>
          <w:color w:val="auto"/>
          <w:sz w:val="24"/>
          <w:highlight w:val="none"/>
        </w:rPr>
        <w:t>和保密义务</w:t>
      </w:r>
      <w:bookmarkEnd w:id="219"/>
      <w:bookmarkEnd w:id="220"/>
      <w:bookmarkEnd w:id="221"/>
    </w:p>
    <w:p w14:paraId="4DCB236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75A9D96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2D47FDF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647CD1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cs="仿宋"/>
          <w:b/>
          <w:color w:val="auto"/>
          <w:sz w:val="24"/>
          <w:highlight w:val="none"/>
        </w:rPr>
      </w:pPr>
      <w:bookmarkStart w:id="222" w:name="_Toc7860"/>
      <w:r>
        <w:rPr>
          <w:rFonts w:hint="eastAsia" w:ascii="仿宋" w:hAnsi="仿宋" w:eastAsia="仿宋" w:cs="仿宋"/>
          <w:b/>
          <w:color w:val="auto"/>
          <w:sz w:val="24"/>
          <w:highlight w:val="none"/>
        </w:rPr>
        <w:t>2.7 质量保证</w:t>
      </w:r>
      <w:bookmarkEnd w:id="222"/>
    </w:p>
    <w:p w14:paraId="039F550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5A6D98D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0B9C509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cs="仿宋"/>
          <w:b/>
          <w:color w:val="auto"/>
          <w:sz w:val="24"/>
          <w:highlight w:val="none"/>
        </w:rPr>
      </w:pPr>
      <w:bookmarkStart w:id="223" w:name="_Toc17244"/>
      <w:bookmarkStart w:id="224" w:name="_Toc487900362"/>
      <w:bookmarkStart w:id="225" w:name="_Toc279701252"/>
      <w:bookmarkStart w:id="226" w:name="_Toc259093681"/>
      <w:r>
        <w:rPr>
          <w:rFonts w:hint="eastAsia" w:ascii="仿宋" w:hAnsi="仿宋" w:eastAsia="仿宋" w:cs="仿宋"/>
          <w:b/>
          <w:color w:val="auto"/>
          <w:sz w:val="24"/>
          <w:highlight w:val="none"/>
        </w:rPr>
        <w:t>2.8 货物的风险负担</w:t>
      </w:r>
      <w:bookmarkEnd w:id="223"/>
    </w:p>
    <w:p w14:paraId="5044C8E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货物或者在途货物或者交付给第一承运人后的货物毁损、灭失的风险负担详见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E6B457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cs="仿宋"/>
          <w:b/>
          <w:color w:val="auto"/>
          <w:sz w:val="24"/>
          <w:highlight w:val="none"/>
        </w:rPr>
      </w:pPr>
      <w:bookmarkStart w:id="227" w:name="_Toc14055"/>
      <w:r>
        <w:rPr>
          <w:rFonts w:hint="eastAsia" w:ascii="仿宋" w:hAnsi="仿宋" w:eastAsia="仿宋" w:cs="仿宋"/>
          <w:b/>
          <w:color w:val="auto"/>
          <w:sz w:val="24"/>
          <w:highlight w:val="none"/>
        </w:rPr>
        <w:t>2.9 延迟交货</w:t>
      </w:r>
      <w:bookmarkEnd w:id="224"/>
      <w:bookmarkEnd w:id="225"/>
      <w:bookmarkEnd w:id="226"/>
      <w:bookmarkEnd w:id="227"/>
    </w:p>
    <w:p w14:paraId="4C440EB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46BB65F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cs="仿宋"/>
          <w:b/>
          <w:color w:val="auto"/>
          <w:sz w:val="24"/>
          <w:highlight w:val="none"/>
        </w:rPr>
      </w:pPr>
      <w:bookmarkStart w:id="228" w:name="_Toc7502"/>
      <w:bookmarkStart w:id="229" w:name="_Toc259093683"/>
      <w:bookmarkStart w:id="230" w:name="_Toc487900364"/>
      <w:bookmarkStart w:id="231" w:name="_Ref467378121"/>
      <w:bookmarkStart w:id="232" w:name="_Toc279701254"/>
      <w:r>
        <w:rPr>
          <w:rFonts w:hint="eastAsia" w:ascii="仿宋" w:hAnsi="仿宋" w:eastAsia="仿宋" w:cs="仿宋"/>
          <w:b/>
          <w:color w:val="auto"/>
          <w:sz w:val="24"/>
          <w:highlight w:val="none"/>
        </w:rPr>
        <w:t>2.10 合同变更</w:t>
      </w:r>
      <w:bookmarkEnd w:id="228"/>
    </w:p>
    <w:p w14:paraId="3DAE39C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233" w:name="_Toc259093688"/>
      <w:bookmarkStart w:id="234" w:name="_Toc279701259"/>
      <w:bookmarkStart w:id="235" w:name="_Toc487900369"/>
    </w:p>
    <w:p w14:paraId="1CD7E16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cs="仿宋"/>
          <w:b/>
          <w:color w:val="auto"/>
          <w:sz w:val="24"/>
          <w:highlight w:val="none"/>
        </w:rPr>
      </w:pPr>
      <w:bookmarkStart w:id="236" w:name="_Toc15237"/>
      <w:bookmarkStart w:id="237" w:name="_Toc10366"/>
      <w:bookmarkStart w:id="238" w:name="_Toc22955"/>
      <w:r>
        <w:rPr>
          <w:rFonts w:hint="eastAsia" w:ascii="仿宋" w:hAnsi="仿宋" w:eastAsia="仿宋" w:cs="仿宋"/>
          <w:b/>
          <w:color w:val="auto"/>
          <w:sz w:val="24"/>
          <w:highlight w:val="none"/>
        </w:rPr>
        <w:t>2.11 合同转让</w:t>
      </w:r>
      <w:bookmarkEnd w:id="233"/>
      <w:bookmarkEnd w:id="234"/>
      <w:bookmarkEnd w:id="235"/>
      <w:r>
        <w:rPr>
          <w:rFonts w:hint="eastAsia" w:ascii="仿宋" w:hAnsi="仿宋" w:eastAsia="仿宋" w:cs="仿宋"/>
          <w:b/>
          <w:color w:val="auto"/>
          <w:sz w:val="24"/>
          <w:highlight w:val="none"/>
        </w:rPr>
        <w:t>和分包</w:t>
      </w:r>
      <w:bookmarkEnd w:id="236"/>
      <w:bookmarkEnd w:id="237"/>
      <w:bookmarkEnd w:id="238"/>
    </w:p>
    <w:p w14:paraId="35141C5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284D8C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2.11.2乙方采取分包方式履行合同的，甲方可直接向分包供应商支付款项。</w:t>
      </w:r>
    </w:p>
    <w:p w14:paraId="7DD0874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cs="仿宋"/>
          <w:b/>
          <w:color w:val="auto"/>
          <w:sz w:val="24"/>
          <w:highlight w:val="none"/>
        </w:rPr>
      </w:pPr>
      <w:bookmarkStart w:id="239" w:name="_Toc13566"/>
      <w:bookmarkStart w:id="240" w:name="_Toc14066"/>
      <w:bookmarkStart w:id="241" w:name="_Toc16508"/>
      <w:r>
        <w:rPr>
          <w:rFonts w:hint="eastAsia" w:ascii="仿宋" w:hAnsi="仿宋" w:eastAsia="仿宋" w:cs="仿宋"/>
          <w:b/>
          <w:color w:val="auto"/>
          <w:sz w:val="24"/>
          <w:highlight w:val="none"/>
        </w:rPr>
        <w:t>2.12 不可抗力</w:t>
      </w:r>
      <w:bookmarkEnd w:id="239"/>
      <w:bookmarkEnd w:id="240"/>
      <w:bookmarkEnd w:id="241"/>
    </w:p>
    <w:p w14:paraId="2850BD7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2.12.1如果任何一方遭遇法律规定的不可抗力，致使合同履行受阻时，履行合同的期限应予延长，延长的期限应相当于不可抗力所影响的时间；</w:t>
      </w:r>
    </w:p>
    <w:p w14:paraId="1FFD283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2.12.2 因不可抗力致使不能实现合同目的的，当事人可以解除合同；</w:t>
      </w:r>
    </w:p>
    <w:p w14:paraId="4E7B439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546852A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3F8D375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cs="仿宋"/>
          <w:b/>
          <w:color w:val="auto"/>
          <w:sz w:val="24"/>
          <w:highlight w:val="none"/>
        </w:rPr>
      </w:pPr>
      <w:bookmarkStart w:id="242" w:name="_Toc487900365"/>
      <w:bookmarkStart w:id="243" w:name="_Toc279701255"/>
      <w:bookmarkStart w:id="244" w:name="_Toc259093684"/>
      <w:bookmarkStart w:id="245" w:name="_Toc6969"/>
      <w:bookmarkStart w:id="246" w:name="_Toc689"/>
      <w:bookmarkStart w:id="247" w:name="_Toc30676"/>
      <w:r>
        <w:rPr>
          <w:rFonts w:hint="eastAsia" w:ascii="仿宋" w:hAnsi="仿宋" w:eastAsia="仿宋" w:cs="仿宋"/>
          <w:b/>
          <w:color w:val="auto"/>
          <w:sz w:val="24"/>
          <w:highlight w:val="none"/>
        </w:rPr>
        <w:t>2.13 税费</w:t>
      </w:r>
      <w:bookmarkEnd w:id="242"/>
      <w:bookmarkEnd w:id="243"/>
      <w:bookmarkEnd w:id="244"/>
      <w:bookmarkEnd w:id="245"/>
      <w:bookmarkEnd w:id="246"/>
      <w:bookmarkEnd w:id="247"/>
    </w:p>
    <w:p w14:paraId="798E55B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14:paraId="09111E1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cs="仿宋"/>
          <w:b/>
          <w:color w:val="auto"/>
          <w:sz w:val="24"/>
          <w:highlight w:val="none"/>
        </w:rPr>
      </w:pPr>
      <w:bookmarkStart w:id="248" w:name="_Toc8298"/>
      <w:bookmarkStart w:id="249" w:name="_Toc16959"/>
      <w:bookmarkStart w:id="250" w:name="_Toc7102"/>
      <w:bookmarkStart w:id="251" w:name="_Toc487900368"/>
      <w:bookmarkStart w:id="252" w:name="_Toc259093687"/>
      <w:bookmarkStart w:id="253" w:name="_Toc279701258"/>
      <w:r>
        <w:rPr>
          <w:rFonts w:hint="eastAsia" w:ascii="仿宋" w:hAnsi="仿宋" w:eastAsia="仿宋" w:cs="仿宋"/>
          <w:b/>
          <w:color w:val="auto"/>
          <w:sz w:val="24"/>
          <w:highlight w:val="none"/>
        </w:rPr>
        <w:t>2.14乙方破产</w:t>
      </w:r>
      <w:bookmarkEnd w:id="248"/>
      <w:bookmarkEnd w:id="249"/>
      <w:bookmarkEnd w:id="250"/>
      <w:bookmarkEnd w:id="251"/>
      <w:bookmarkEnd w:id="252"/>
      <w:bookmarkEnd w:id="253"/>
    </w:p>
    <w:p w14:paraId="0ED7FDD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07672B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cs="仿宋"/>
          <w:b/>
          <w:color w:val="auto"/>
          <w:sz w:val="24"/>
          <w:highlight w:val="none"/>
        </w:rPr>
      </w:pPr>
      <w:bookmarkStart w:id="254" w:name="_Toc15387"/>
      <w:bookmarkStart w:id="255" w:name="_Toc6134"/>
      <w:bookmarkStart w:id="256" w:name="_Toc29333"/>
      <w:r>
        <w:rPr>
          <w:rFonts w:hint="eastAsia" w:ascii="仿宋" w:hAnsi="仿宋" w:eastAsia="仿宋" w:cs="仿宋"/>
          <w:b/>
          <w:color w:val="auto"/>
          <w:sz w:val="24"/>
          <w:highlight w:val="none"/>
        </w:rPr>
        <w:t>2.15 合同中止、终止</w:t>
      </w:r>
      <w:bookmarkEnd w:id="254"/>
      <w:bookmarkEnd w:id="255"/>
      <w:bookmarkEnd w:id="256"/>
    </w:p>
    <w:p w14:paraId="237B0C0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 双方当事人不得擅自中止或者终止合同；</w:t>
      </w:r>
    </w:p>
    <w:p w14:paraId="03AEE68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599A8E2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cs="仿宋"/>
          <w:b/>
          <w:color w:val="auto"/>
          <w:sz w:val="24"/>
          <w:highlight w:val="none"/>
        </w:rPr>
      </w:pPr>
      <w:bookmarkStart w:id="257" w:name="_Toc1125"/>
      <w:bookmarkStart w:id="258" w:name="_Toc14563"/>
      <w:bookmarkStart w:id="259" w:name="_Toc6596"/>
      <w:r>
        <w:rPr>
          <w:rFonts w:hint="eastAsia" w:ascii="仿宋" w:hAnsi="仿宋" w:eastAsia="仿宋" w:cs="仿宋"/>
          <w:b/>
          <w:color w:val="auto"/>
          <w:sz w:val="24"/>
          <w:highlight w:val="none"/>
        </w:rPr>
        <w:t>2.16检验和验收</w:t>
      </w:r>
      <w:bookmarkEnd w:id="257"/>
      <w:bookmarkEnd w:id="258"/>
      <w:bookmarkEnd w:id="259"/>
    </w:p>
    <w:p w14:paraId="52A7D210">
      <w:pPr>
        <w:keepNext w:val="0"/>
        <w:keepLines w:val="0"/>
        <w:pageBreakBefore w:val="0"/>
        <w:tabs>
          <w:tab w:val="left" w:pos="360"/>
          <w:tab w:val="left" w:pos="540"/>
          <w:tab w:val="left" w:pos="108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2.16.1货物交付前，乙方应对货物的质量、数量等方面进行详细、全面的检验，并向甲方出具证明货物符合合同约定的文件；货物交付时，乙方在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约定时间内组织验收，并可依法邀请相关方参加，验收应出具验收书。</w:t>
      </w:r>
    </w:p>
    <w:p w14:paraId="280ACEBC">
      <w:pPr>
        <w:keepNext w:val="0"/>
        <w:keepLines w:val="0"/>
        <w:pageBreakBefore w:val="0"/>
        <w:tabs>
          <w:tab w:val="left" w:pos="360"/>
          <w:tab w:val="left" w:pos="540"/>
          <w:tab w:val="left" w:pos="108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C2C3231">
      <w:pPr>
        <w:keepNext w:val="0"/>
        <w:keepLines w:val="0"/>
        <w:pageBreakBefore w:val="0"/>
        <w:tabs>
          <w:tab w:val="left" w:pos="360"/>
          <w:tab w:val="left" w:pos="540"/>
          <w:tab w:val="left" w:pos="108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2.16.3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bookmarkEnd w:id="229"/>
    <w:bookmarkEnd w:id="230"/>
    <w:bookmarkEnd w:id="231"/>
    <w:bookmarkEnd w:id="232"/>
    <w:p w14:paraId="4164A8B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cs="仿宋"/>
          <w:b/>
          <w:color w:val="auto"/>
          <w:sz w:val="24"/>
          <w:highlight w:val="none"/>
        </w:rPr>
      </w:pPr>
      <w:bookmarkStart w:id="260" w:name="_Toc259093690"/>
      <w:bookmarkStart w:id="261" w:name="_Toc279701261"/>
      <w:bookmarkStart w:id="262" w:name="_Toc487900371"/>
      <w:bookmarkStart w:id="263" w:name="_Toc19604"/>
      <w:bookmarkStart w:id="264" w:name="_Toc11284"/>
      <w:bookmarkStart w:id="265" w:name="_Toc25182"/>
      <w:r>
        <w:rPr>
          <w:rFonts w:hint="eastAsia" w:ascii="仿宋" w:hAnsi="仿宋" w:eastAsia="仿宋" w:cs="仿宋"/>
          <w:b/>
          <w:color w:val="auto"/>
          <w:sz w:val="24"/>
          <w:highlight w:val="none"/>
        </w:rPr>
        <w:t>2.17 通知</w:t>
      </w:r>
      <w:bookmarkEnd w:id="260"/>
      <w:bookmarkEnd w:id="261"/>
      <w:bookmarkEnd w:id="262"/>
      <w:r>
        <w:rPr>
          <w:rFonts w:hint="eastAsia" w:ascii="仿宋" w:hAnsi="仿宋" w:eastAsia="仿宋" w:cs="仿宋"/>
          <w:b/>
          <w:color w:val="auto"/>
          <w:sz w:val="24"/>
          <w:highlight w:val="none"/>
        </w:rPr>
        <w:t>和送达</w:t>
      </w:r>
      <w:bookmarkEnd w:id="263"/>
      <w:bookmarkEnd w:id="264"/>
      <w:bookmarkEnd w:id="265"/>
    </w:p>
    <w:p w14:paraId="315A5E4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bookmarkStart w:id="266" w:name="_Toc3135"/>
      <w:bookmarkStart w:id="267" w:name="_Toc6698"/>
      <w:bookmarkStart w:id="268" w:name="_Toc279701262"/>
      <w:bookmarkStart w:id="269" w:name="_Toc487900372"/>
      <w:bookmarkStart w:id="270" w:name="_Toc259093691"/>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266"/>
      <w:bookmarkEnd w:id="267"/>
    </w:p>
    <w:p w14:paraId="4D85BF0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bookmarkStart w:id="271" w:name="_Toc23294"/>
      <w:bookmarkStart w:id="272" w:name="_Toc23128"/>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271"/>
      <w:bookmarkEnd w:id="272"/>
    </w:p>
    <w:p w14:paraId="4AF7C9F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cs="仿宋"/>
          <w:b/>
          <w:color w:val="auto"/>
          <w:sz w:val="24"/>
          <w:highlight w:val="none"/>
        </w:rPr>
      </w:pPr>
      <w:bookmarkStart w:id="273" w:name="_Toc18540"/>
      <w:bookmarkStart w:id="274" w:name="_Toc30599"/>
      <w:bookmarkStart w:id="275" w:name="_Toc4355"/>
      <w:r>
        <w:rPr>
          <w:rFonts w:hint="eastAsia" w:ascii="仿宋" w:hAnsi="仿宋" w:eastAsia="仿宋" w:cs="仿宋"/>
          <w:b/>
          <w:color w:val="auto"/>
          <w:sz w:val="24"/>
          <w:highlight w:val="none"/>
        </w:rPr>
        <w:t>2.18 计量单位</w:t>
      </w:r>
      <w:bookmarkEnd w:id="268"/>
      <w:bookmarkEnd w:id="269"/>
      <w:bookmarkEnd w:id="270"/>
      <w:bookmarkEnd w:id="273"/>
      <w:bookmarkEnd w:id="274"/>
      <w:bookmarkEnd w:id="275"/>
    </w:p>
    <w:p w14:paraId="33E22C3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28A1C1B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cs="仿宋"/>
          <w:b/>
          <w:color w:val="auto"/>
          <w:sz w:val="24"/>
          <w:highlight w:val="none"/>
        </w:rPr>
      </w:pPr>
      <w:bookmarkStart w:id="276" w:name="_Toc279701263"/>
      <w:bookmarkStart w:id="277" w:name="_Toc10330"/>
      <w:bookmarkStart w:id="278" w:name="_Toc18567"/>
      <w:bookmarkStart w:id="279" w:name="_Toc259093692"/>
      <w:bookmarkStart w:id="280" w:name="_Toc12773"/>
      <w:bookmarkStart w:id="281" w:name="_Toc487900373"/>
      <w:r>
        <w:rPr>
          <w:rFonts w:hint="eastAsia" w:ascii="仿宋" w:hAnsi="仿宋" w:eastAsia="仿宋" w:cs="仿宋"/>
          <w:b/>
          <w:color w:val="auto"/>
          <w:sz w:val="24"/>
          <w:highlight w:val="none"/>
        </w:rPr>
        <w:t>2.19 合同使用的文字和适用的法律</w:t>
      </w:r>
      <w:bookmarkEnd w:id="276"/>
      <w:bookmarkEnd w:id="277"/>
      <w:bookmarkEnd w:id="278"/>
      <w:bookmarkEnd w:id="279"/>
      <w:bookmarkEnd w:id="280"/>
      <w:bookmarkEnd w:id="281"/>
    </w:p>
    <w:p w14:paraId="4CAD52B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2.19.1 合同使用汉语书就、变更和解释；</w:t>
      </w:r>
    </w:p>
    <w:p w14:paraId="2117DC3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2.19.2 合同适用中华人民共和国法律。</w:t>
      </w:r>
    </w:p>
    <w:p w14:paraId="470EA21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cs="仿宋"/>
          <w:b/>
          <w:color w:val="auto"/>
          <w:sz w:val="24"/>
          <w:highlight w:val="none"/>
        </w:rPr>
      </w:pPr>
      <w:bookmarkStart w:id="282" w:name="_Toc6885"/>
      <w:bookmarkStart w:id="283" w:name="_Toc14001"/>
      <w:bookmarkStart w:id="284" w:name="_Toc19890"/>
      <w:r>
        <w:rPr>
          <w:rFonts w:hint="eastAsia" w:ascii="仿宋" w:hAnsi="仿宋" w:eastAsia="仿宋" w:cs="仿宋"/>
          <w:b/>
          <w:color w:val="auto"/>
          <w:sz w:val="24"/>
          <w:highlight w:val="none"/>
        </w:rPr>
        <w:t>2.2</w:t>
      </w:r>
      <w:r>
        <w:rPr>
          <w:rFonts w:hint="eastAsia" w:ascii="仿宋" w:hAnsi="仿宋" w:eastAsia="仿宋" w:cs="仿宋"/>
          <w:b/>
          <w:color w:val="auto"/>
          <w:sz w:val="24"/>
          <w:highlight w:val="none"/>
          <w:lang w:val="en-US" w:eastAsia="zh-CN"/>
        </w:rPr>
        <w:t>0</w:t>
      </w:r>
      <w:r>
        <w:rPr>
          <w:rFonts w:hint="eastAsia" w:ascii="仿宋" w:hAnsi="仿宋" w:eastAsia="仿宋" w:cs="仿宋"/>
          <w:b/>
          <w:color w:val="auto"/>
          <w:sz w:val="24"/>
          <w:highlight w:val="none"/>
        </w:rPr>
        <w:t>合同份数</w:t>
      </w:r>
      <w:bookmarkEnd w:id="282"/>
      <w:bookmarkEnd w:id="283"/>
      <w:bookmarkEnd w:id="284"/>
    </w:p>
    <w:p w14:paraId="6BAC271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02E23881">
      <w:pPr>
        <w:rPr>
          <w:rFonts w:hint="eastAsia" w:ascii="仿宋" w:hAnsi="仿宋" w:eastAsia="仿宋" w:cs="仿宋"/>
          <w:b/>
          <w:color w:val="auto"/>
          <w:highlight w:val="none"/>
        </w:rPr>
      </w:pPr>
      <w:r>
        <w:rPr>
          <w:rFonts w:hint="eastAsia" w:ascii="仿宋" w:hAnsi="仿宋" w:eastAsia="仿宋" w:cs="仿宋"/>
          <w:b/>
          <w:color w:val="auto"/>
          <w:highlight w:val="none"/>
        </w:rPr>
        <w:br w:type="page"/>
      </w:r>
    </w:p>
    <w:p w14:paraId="6F07C545">
      <w:pPr>
        <w:pStyle w:val="59"/>
        <w:keepNext w:val="0"/>
        <w:keepLines w:val="0"/>
        <w:pageBreakBefore w:val="0"/>
        <w:widowControl w:val="0"/>
        <w:kinsoku/>
        <w:wordWrap/>
        <w:overflowPunct/>
        <w:topLinePunct w:val="0"/>
        <w:autoSpaceDE w:val="0"/>
        <w:autoSpaceDN w:val="0"/>
        <w:bidi w:val="0"/>
        <w:adjustRightInd/>
        <w:snapToGrid w:val="0"/>
        <w:spacing w:line="560" w:lineRule="exact"/>
        <w:ind w:left="0" w:leftChars="0" w:firstLine="0" w:firstLineChars="0"/>
        <w:jc w:val="center"/>
        <w:textAlignment w:val="auto"/>
        <w:outlineLvl w:val="1"/>
        <w:rPr>
          <w:rFonts w:hint="eastAsia" w:ascii="仿宋" w:hAnsi="仿宋" w:eastAsia="仿宋" w:cs="仿宋"/>
          <w:b/>
          <w:color w:val="auto"/>
          <w:szCs w:val="24"/>
          <w:highlight w:val="none"/>
        </w:rPr>
      </w:pPr>
      <w:bookmarkStart w:id="285" w:name="_Toc10827"/>
      <w:bookmarkStart w:id="286" w:name="_Toc20783"/>
      <w:bookmarkStart w:id="287" w:name="_Toc16401"/>
      <w:r>
        <w:rPr>
          <w:rFonts w:hint="eastAsia" w:ascii="仿宋" w:hAnsi="仿宋" w:eastAsia="仿宋" w:cs="仿宋"/>
          <w:b/>
          <w:color w:val="auto"/>
          <w:szCs w:val="24"/>
          <w:highlight w:val="none"/>
        </w:rPr>
        <w:t>第三部分 合同专用条款</w:t>
      </w:r>
      <w:bookmarkEnd w:id="285"/>
      <w:bookmarkEnd w:id="286"/>
      <w:bookmarkEnd w:id="287"/>
    </w:p>
    <w:p w14:paraId="725F42A3">
      <w:pPr>
        <w:adjustRightInd w:val="0"/>
        <w:snapToGrid w:val="0"/>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45"/>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14:paraId="1E0EB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14:paraId="010618A0">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条款号</w:t>
            </w:r>
          </w:p>
        </w:tc>
        <w:tc>
          <w:tcPr>
            <w:tcW w:w="4533" w:type="pct"/>
            <w:vAlign w:val="center"/>
          </w:tcPr>
          <w:p w14:paraId="0BDB568D">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约定内容</w:t>
            </w:r>
          </w:p>
        </w:tc>
      </w:tr>
      <w:tr w14:paraId="63F80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717B588">
            <w:pPr>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rPr>
              <w:t>1.4.</w:t>
            </w:r>
            <w:r>
              <w:rPr>
                <w:rFonts w:hint="eastAsia" w:ascii="仿宋" w:hAnsi="仿宋" w:eastAsia="仿宋" w:cs="仿宋"/>
                <w:sz w:val="24"/>
                <w:highlight w:val="none"/>
                <w:lang w:val="en-US" w:eastAsia="zh-CN"/>
              </w:rPr>
              <w:t>2</w:t>
            </w:r>
          </w:p>
        </w:tc>
        <w:tc>
          <w:tcPr>
            <w:tcW w:w="4533" w:type="pct"/>
            <w:vAlign w:val="center"/>
          </w:tcPr>
          <w:p w14:paraId="3B1451C0">
            <w:pPr>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无。如有违约情形的，</w:t>
            </w:r>
            <w:r>
              <w:rPr>
                <w:rFonts w:hint="eastAsia" w:ascii="仿宋" w:hAnsi="仿宋" w:eastAsia="仿宋" w:cs="仿宋"/>
                <w:color w:val="auto"/>
                <w:sz w:val="24"/>
                <w:highlight w:val="none"/>
                <w:lang w:val="en-US" w:eastAsia="zh-CN"/>
              </w:rPr>
              <w:t>如有违约行为，从应付合同费用中扣除相应金额。</w:t>
            </w:r>
          </w:p>
        </w:tc>
      </w:tr>
      <w:tr w14:paraId="1F089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ADD1578">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1.5.1 </w:t>
            </w:r>
          </w:p>
        </w:tc>
        <w:tc>
          <w:tcPr>
            <w:tcW w:w="4533" w:type="pct"/>
            <w:vAlign w:val="center"/>
          </w:tcPr>
          <w:p w14:paraId="1EA43D1E">
            <w:pPr>
              <w:spacing w:line="360" w:lineRule="auto"/>
              <w:rPr>
                <w:rFonts w:hint="eastAsia" w:ascii="仿宋" w:hAnsi="仿宋" w:eastAsia="仿宋" w:cs="仿宋"/>
                <w:sz w:val="24"/>
                <w:highlight w:val="none"/>
              </w:rPr>
            </w:pPr>
            <w:r>
              <w:rPr>
                <w:rFonts w:hint="eastAsia" w:ascii="仿宋" w:hAnsi="仿宋" w:eastAsia="仿宋" w:cs="仿宋"/>
                <w:sz w:val="24"/>
                <w:highlight w:val="none"/>
              </w:rPr>
              <w:t>合同生效后具备实施条件5个工作日内，</w:t>
            </w:r>
            <w:r>
              <w:rPr>
                <w:rFonts w:hint="eastAsia" w:ascii="仿宋" w:hAnsi="仿宋" w:eastAsia="仿宋" w:cs="仿宋"/>
                <w:sz w:val="24"/>
                <w:highlight w:val="none"/>
                <w:lang w:val="en-US" w:eastAsia="zh-CN"/>
              </w:rPr>
              <w:t>甲方</w:t>
            </w:r>
            <w:r>
              <w:rPr>
                <w:rFonts w:hint="eastAsia" w:ascii="仿宋" w:hAnsi="仿宋" w:eastAsia="仿宋" w:cs="仿宋"/>
                <w:sz w:val="24"/>
                <w:highlight w:val="none"/>
              </w:rPr>
              <w:t>向</w:t>
            </w:r>
            <w:r>
              <w:rPr>
                <w:rFonts w:hint="eastAsia" w:ascii="仿宋" w:hAnsi="仿宋" w:eastAsia="仿宋" w:cs="仿宋"/>
                <w:sz w:val="24"/>
                <w:highlight w:val="none"/>
                <w:lang w:val="en-US" w:eastAsia="zh-CN"/>
              </w:rPr>
              <w:t>乙方</w:t>
            </w:r>
            <w:r>
              <w:rPr>
                <w:rFonts w:hint="eastAsia" w:ascii="仿宋" w:hAnsi="仿宋" w:eastAsia="仿宋" w:cs="仿宋"/>
                <w:sz w:val="24"/>
                <w:highlight w:val="none"/>
              </w:rPr>
              <w:t>支付暂定合同总价（即项目预算）的50%作为预付款；（</w:t>
            </w:r>
            <w:r>
              <w:rPr>
                <w:rFonts w:hint="eastAsia" w:ascii="仿宋" w:hAnsi="仿宋" w:eastAsia="仿宋" w:cs="仿宋"/>
                <w:sz w:val="24"/>
                <w:highlight w:val="none"/>
                <w:lang w:val="en-US" w:eastAsia="zh-CN"/>
              </w:rPr>
              <w:t>乙方</w:t>
            </w:r>
            <w:r>
              <w:rPr>
                <w:rFonts w:hint="eastAsia" w:ascii="仿宋" w:hAnsi="仿宋" w:eastAsia="仿宋" w:cs="仿宋"/>
                <w:sz w:val="24"/>
                <w:highlight w:val="none"/>
              </w:rPr>
              <w:t>为大型企业的，预付款按此要求执行）</w:t>
            </w:r>
          </w:p>
          <w:p w14:paraId="736230C3">
            <w:pPr>
              <w:spacing w:line="360" w:lineRule="auto"/>
              <w:rPr>
                <w:rFonts w:hint="eastAsia" w:ascii="仿宋" w:hAnsi="仿宋" w:eastAsia="仿宋" w:cs="仿宋"/>
                <w:sz w:val="24"/>
                <w:highlight w:val="none"/>
              </w:rPr>
            </w:pPr>
            <w:r>
              <w:rPr>
                <w:rFonts w:hint="eastAsia" w:ascii="仿宋" w:hAnsi="仿宋" w:eastAsia="仿宋" w:cs="仿宋"/>
                <w:sz w:val="24"/>
                <w:highlight w:val="none"/>
              </w:rPr>
              <w:t>在签订合同时，</w:t>
            </w:r>
            <w:r>
              <w:rPr>
                <w:rFonts w:hint="eastAsia" w:ascii="仿宋" w:hAnsi="仿宋" w:eastAsia="仿宋" w:cs="仿宋"/>
                <w:sz w:val="24"/>
                <w:highlight w:val="none"/>
                <w:lang w:val="en-US" w:eastAsia="zh-CN"/>
              </w:rPr>
              <w:t>乙方</w:t>
            </w:r>
            <w:r>
              <w:rPr>
                <w:rFonts w:hint="eastAsia" w:ascii="仿宋" w:hAnsi="仿宋" w:eastAsia="仿宋" w:cs="仿宋"/>
                <w:sz w:val="24"/>
                <w:highlight w:val="none"/>
              </w:rPr>
              <w:t>明确表示无需预付款或者主动要求降低预付款比例的，可不适用预付款相关规定。</w:t>
            </w:r>
          </w:p>
        </w:tc>
      </w:tr>
      <w:tr w14:paraId="6B793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DBBF4BF">
            <w:pPr>
              <w:spacing w:line="360" w:lineRule="auto"/>
              <w:rPr>
                <w:rFonts w:hint="eastAsia" w:ascii="仿宋" w:hAnsi="仿宋" w:eastAsia="仿宋" w:cs="仿宋"/>
                <w:sz w:val="24"/>
                <w:highlight w:val="none"/>
              </w:rPr>
            </w:pPr>
            <w:r>
              <w:rPr>
                <w:rFonts w:hint="eastAsia" w:ascii="仿宋" w:hAnsi="仿宋" w:eastAsia="仿宋" w:cs="仿宋"/>
                <w:sz w:val="24"/>
                <w:highlight w:val="none"/>
              </w:rPr>
              <w:t>1.5.2</w:t>
            </w:r>
          </w:p>
        </w:tc>
        <w:tc>
          <w:tcPr>
            <w:tcW w:w="4533" w:type="pct"/>
            <w:vAlign w:val="center"/>
          </w:tcPr>
          <w:p w14:paraId="432A3836">
            <w:pPr>
              <w:spacing w:line="360" w:lineRule="auto"/>
              <w:rPr>
                <w:rFonts w:hint="eastAsia" w:ascii="仿宋" w:hAnsi="仿宋" w:eastAsia="仿宋" w:cs="仿宋"/>
                <w:sz w:val="24"/>
                <w:highlight w:val="none"/>
              </w:rPr>
            </w:pPr>
            <w:r>
              <w:rPr>
                <w:rFonts w:hint="eastAsia" w:ascii="仿宋" w:hAnsi="仿宋" w:eastAsia="仿宋" w:cs="仿宋"/>
                <w:sz w:val="24"/>
                <w:highlight w:val="none"/>
              </w:rPr>
              <w:t>预付款金额可抵扣合同款</w:t>
            </w:r>
          </w:p>
        </w:tc>
      </w:tr>
      <w:tr w14:paraId="4FF1D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BB87EB0">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1.5.3 </w:t>
            </w:r>
          </w:p>
        </w:tc>
        <w:tc>
          <w:tcPr>
            <w:tcW w:w="4533" w:type="pct"/>
            <w:vAlign w:val="center"/>
          </w:tcPr>
          <w:p w14:paraId="3DBFA7A2">
            <w:pPr>
              <w:spacing w:line="360" w:lineRule="auto"/>
              <w:rPr>
                <w:rFonts w:hint="eastAsia" w:ascii="仿宋" w:hAnsi="仿宋" w:eastAsia="仿宋" w:cs="仿宋"/>
                <w:sz w:val="24"/>
                <w:highlight w:val="none"/>
              </w:rPr>
            </w:pPr>
            <w:r>
              <w:rPr>
                <w:rFonts w:hint="eastAsia" w:ascii="仿宋" w:hAnsi="仿宋" w:eastAsia="仿宋" w:cs="仿宋"/>
                <w:sz w:val="24"/>
                <w:highlight w:val="none"/>
              </w:rPr>
              <w:t>支付了预付款的，</w:t>
            </w:r>
            <w:r>
              <w:rPr>
                <w:rFonts w:hint="eastAsia" w:ascii="仿宋" w:hAnsi="仿宋" w:eastAsia="仿宋" w:cs="仿宋"/>
                <w:sz w:val="24"/>
                <w:highlight w:val="none"/>
                <w:lang w:val="en-US" w:eastAsia="zh-CN"/>
              </w:rPr>
              <w:t>甲方</w:t>
            </w:r>
            <w:r>
              <w:rPr>
                <w:rFonts w:hint="eastAsia" w:ascii="仿宋" w:hAnsi="仿宋" w:eastAsia="仿宋" w:cs="仿宋"/>
                <w:sz w:val="24"/>
                <w:highlight w:val="none"/>
              </w:rPr>
              <w:t>有权要求</w:t>
            </w:r>
            <w:r>
              <w:rPr>
                <w:rFonts w:hint="eastAsia" w:ascii="仿宋" w:hAnsi="仿宋" w:eastAsia="仿宋" w:cs="仿宋"/>
                <w:sz w:val="24"/>
                <w:highlight w:val="none"/>
                <w:lang w:val="en-US" w:eastAsia="zh-CN"/>
              </w:rPr>
              <w:t>乙方</w:t>
            </w:r>
            <w:r>
              <w:rPr>
                <w:rFonts w:hint="eastAsia" w:ascii="仿宋" w:hAnsi="仿宋" w:eastAsia="仿宋" w:cs="仿宋"/>
                <w:sz w:val="24"/>
                <w:highlight w:val="none"/>
              </w:rPr>
              <w:t>提供预付款金额等额的且不可撤销的预付款保函。</w:t>
            </w:r>
          </w:p>
        </w:tc>
      </w:tr>
      <w:tr w14:paraId="34F2F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AF64614">
            <w:pPr>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rPr>
              <w:t>1.6.</w:t>
            </w:r>
            <w:r>
              <w:rPr>
                <w:rFonts w:hint="eastAsia" w:ascii="仿宋" w:hAnsi="仿宋" w:eastAsia="仿宋" w:cs="仿宋"/>
                <w:sz w:val="24"/>
                <w:highlight w:val="none"/>
                <w:lang w:val="en-US" w:eastAsia="zh-CN"/>
              </w:rPr>
              <w:t>2</w:t>
            </w:r>
          </w:p>
        </w:tc>
        <w:tc>
          <w:tcPr>
            <w:tcW w:w="4533" w:type="pct"/>
            <w:vAlign w:val="center"/>
          </w:tcPr>
          <w:p w14:paraId="63813EF4">
            <w:pPr>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rPr>
              <w:t>结算：项目结算金额=采购图书码洋*费率（%）。全部货物（图书）交付并通过验收后，向</w:t>
            </w:r>
            <w:r>
              <w:rPr>
                <w:rFonts w:hint="eastAsia" w:ascii="仿宋" w:hAnsi="仿宋" w:eastAsia="仿宋" w:cs="仿宋"/>
                <w:sz w:val="24"/>
                <w:highlight w:val="none"/>
                <w:lang w:val="en-US" w:eastAsia="zh-CN"/>
              </w:rPr>
              <w:t>乙方</w:t>
            </w:r>
            <w:r>
              <w:rPr>
                <w:rFonts w:hint="eastAsia" w:ascii="仿宋" w:hAnsi="仿宋" w:eastAsia="仿宋" w:cs="仿宋"/>
                <w:sz w:val="24"/>
                <w:highlight w:val="none"/>
              </w:rPr>
              <w:t>一次性支付剩余款项。结算之前要先同业务联系人联系，核实发票的抬头、格式，标明码洋、销售折扣、实洋、图书种、册等内容。并附带总清单、详细清单</w:t>
            </w:r>
            <w:r>
              <w:rPr>
                <w:rFonts w:hint="eastAsia" w:ascii="仿宋" w:hAnsi="仿宋" w:eastAsia="仿宋" w:cs="仿宋"/>
                <w:sz w:val="24"/>
                <w:highlight w:val="none"/>
                <w:lang w:eastAsia="zh-CN"/>
              </w:rPr>
              <w:t>。</w:t>
            </w:r>
          </w:p>
          <w:p w14:paraId="0B675742">
            <w:pPr>
              <w:spacing w:line="360" w:lineRule="auto"/>
              <w:rPr>
                <w:rFonts w:hint="eastAsia"/>
              </w:rPr>
            </w:pPr>
            <w:r>
              <w:rPr>
                <w:rFonts w:hint="eastAsia" w:ascii="仿宋" w:hAnsi="仿宋" w:eastAsia="仿宋" w:cs="仿宋"/>
                <w:sz w:val="24"/>
                <w:highlight w:val="none"/>
                <w:lang w:val="en-US" w:eastAsia="zh-CN"/>
              </w:rPr>
              <w:t>说明：付款前，</w:t>
            </w:r>
            <w:r>
              <w:rPr>
                <w:rFonts w:hint="eastAsia" w:ascii="仿宋" w:hAnsi="仿宋" w:eastAsia="仿宋" w:cs="仿宋"/>
                <w:sz w:val="24"/>
                <w:highlight w:val="none"/>
                <w:lang w:eastAsia="zh-CN"/>
              </w:rPr>
              <w:t>中标人</w:t>
            </w:r>
            <w:r>
              <w:rPr>
                <w:rFonts w:hint="eastAsia" w:ascii="仿宋" w:hAnsi="仿宋" w:eastAsia="仿宋" w:cs="仿宋"/>
                <w:sz w:val="24"/>
                <w:highlight w:val="none"/>
              </w:rPr>
              <w:t>必须提供给</w:t>
            </w:r>
            <w:r>
              <w:rPr>
                <w:rFonts w:hint="eastAsia" w:ascii="仿宋" w:hAnsi="仿宋" w:eastAsia="仿宋" w:cs="仿宋"/>
                <w:sz w:val="24"/>
                <w:highlight w:val="none"/>
                <w:lang w:eastAsia="zh-CN"/>
              </w:rPr>
              <w:t>采购人</w:t>
            </w:r>
            <w:r>
              <w:rPr>
                <w:rFonts w:hint="eastAsia" w:ascii="仿宋" w:hAnsi="仿宋" w:eastAsia="仿宋" w:cs="仿宋"/>
                <w:sz w:val="24"/>
                <w:highlight w:val="none"/>
              </w:rPr>
              <w:t>相应</w:t>
            </w:r>
            <w:r>
              <w:rPr>
                <w:rFonts w:hint="eastAsia" w:ascii="仿宋" w:hAnsi="仿宋" w:eastAsia="仿宋" w:cs="仿宋"/>
                <w:sz w:val="24"/>
                <w:highlight w:val="none"/>
                <w:lang w:val="en-US" w:eastAsia="zh-CN"/>
              </w:rPr>
              <w:t>款项</w:t>
            </w:r>
            <w:r>
              <w:rPr>
                <w:rFonts w:hint="eastAsia" w:ascii="仿宋" w:hAnsi="仿宋" w:eastAsia="仿宋" w:cs="仿宋"/>
                <w:sz w:val="24"/>
                <w:highlight w:val="none"/>
              </w:rPr>
              <w:t>一致的全额、正规、合法、有效的发票</w:t>
            </w:r>
            <w:r>
              <w:rPr>
                <w:rFonts w:hint="eastAsia" w:ascii="仿宋" w:hAnsi="仿宋" w:eastAsia="仿宋" w:cs="仿宋"/>
                <w:sz w:val="24"/>
                <w:highlight w:val="none"/>
                <w:lang w:eastAsia="zh-CN"/>
              </w:rPr>
              <w:t>。</w:t>
            </w:r>
            <w:r>
              <w:rPr>
                <w:rFonts w:hint="eastAsia" w:ascii="仿宋" w:hAnsi="仿宋" w:eastAsia="仿宋" w:cs="仿宋"/>
                <w:sz w:val="24"/>
                <w:highlight w:val="none"/>
              </w:rPr>
              <w:t>采购人自收到中标人</w:t>
            </w:r>
            <w:r>
              <w:rPr>
                <w:rFonts w:hint="eastAsia" w:ascii="仿宋" w:hAnsi="仿宋" w:eastAsia="仿宋" w:cs="仿宋"/>
                <w:sz w:val="24"/>
                <w:highlight w:val="none"/>
                <w:lang w:val="en-US" w:eastAsia="zh-CN"/>
              </w:rPr>
              <w:t>支付申请及发票的5</w:t>
            </w:r>
            <w:r>
              <w:rPr>
                <w:rFonts w:hint="eastAsia" w:ascii="仿宋" w:hAnsi="仿宋" w:eastAsia="仿宋" w:cs="仿宋"/>
                <w:sz w:val="24"/>
                <w:highlight w:val="none"/>
              </w:rPr>
              <w:t>个工作日内</w:t>
            </w:r>
            <w:r>
              <w:rPr>
                <w:rFonts w:hint="eastAsia" w:ascii="仿宋" w:hAnsi="仿宋" w:eastAsia="仿宋" w:cs="仿宋"/>
                <w:sz w:val="24"/>
                <w:highlight w:val="none"/>
                <w:lang w:eastAsia="zh-CN"/>
              </w:rPr>
              <w:t>支付相应款项。</w:t>
            </w:r>
          </w:p>
        </w:tc>
      </w:tr>
      <w:tr w14:paraId="22BDA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9E541A8">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1.7.1</w:t>
            </w:r>
          </w:p>
        </w:tc>
        <w:tc>
          <w:tcPr>
            <w:tcW w:w="4533" w:type="pct"/>
            <w:vAlign w:val="center"/>
          </w:tcPr>
          <w:p w14:paraId="324C5595">
            <w:pPr>
              <w:spacing w:line="360" w:lineRule="auto"/>
              <w:rPr>
                <w:rFonts w:hint="eastAsia" w:ascii="仿宋" w:hAnsi="仿宋" w:eastAsia="仿宋" w:cs="仿宋"/>
                <w:sz w:val="24"/>
                <w:highlight w:val="none"/>
              </w:rPr>
            </w:pPr>
            <w:r>
              <w:rPr>
                <w:rFonts w:hint="eastAsia" w:ascii="仿宋" w:hAnsi="仿宋" w:eastAsia="仿宋" w:cs="仿宋"/>
                <w:color w:val="auto"/>
                <w:sz w:val="24"/>
                <w:szCs w:val="24"/>
                <w:highlight w:val="none"/>
                <w:shd w:val="clear" w:color="auto" w:fill="auto"/>
                <w:lang w:val="en-US" w:eastAsia="zh-CN"/>
              </w:rPr>
              <w:t>供货期为自合同签订之日起至2025年12月31日。合同有效期满后，未到货的图书，乙方有继续送货的义务，并履行相应服务要求</w:t>
            </w:r>
            <w:r>
              <w:rPr>
                <w:rFonts w:hint="eastAsia" w:ascii="仿宋" w:hAnsi="仿宋" w:eastAsia="仿宋" w:cs="仿宋"/>
                <w:color w:val="auto"/>
                <w:sz w:val="24"/>
                <w:highlight w:val="none"/>
              </w:rPr>
              <w:t>。</w:t>
            </w:r>
          </w:p>
        </w:tc>
      </w:tr>
      <w:tr w14:paraId="58C84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45C9068">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1.7.2</w:t>
            </w:r>
          </w:p>
        </w:tc>
        <w:tc>
          <w:tcPr>
            <w:tcW w:w="8275" w:type="dxa"/>
            <w:vAlign w:val="center"/>
          </w:tcPr>
          <w:p w14:paraId="46F4FE7F">
            <w:pPr>
              <w:spacing w:line="360" w:lineRule="auto"/>
              <w:rPr>
                <w:rFonts w:hint="eastAsia" w:ascii="仿宋" w:hAnsi="仿宋" w:eastAsia="仿宋" w:cs="仿宋"/>
                <w:sz w:val="24"/>
                <w:highlight w:val="none"/>
              </w:rPr>
            </w:pPr>
            <w:r>
              <w:rPr>
                <w:rFonts w:hint="eastAsia" w:ascii="仿宋" w:hAnsi="仿宋" w:eastAsia="仿宋" w:cs="仿宋"/>
                <w:color w:val="auto"/>
                <w:sz w:val="24"/>
                <w:highlight w:val="none"/>
              </w:rPr>
              <w:t>甲方指定</w:t>
            </w:r>
          </w:p>
        </w:tc>
      </w:tr>
      <w:tr w14:paraId="5EAAA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BA315FB">
            <w:pPr>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1.7.3</w:t>
            </w:r>
          </w:p>
        </w:tc>
        <w:tc>
          <w:tcPr>
            <w:tcW w:w="8275" w:type="dxa"/>
            <w:vAlign w:val="center"/>
          </w:tcPr>
          <w:p w14:paraId="1A416E5A">
            <w:pPr>
              <w:spacing w:line="360" w:lineRule="auto"/>
              <w:rPr>
                <w:rFonts w:hint="eastAsia" w:ascii="仿宋" w:hAnsi="仿宋" w:eastAsia="仿宋" w:cs="仿宋"/>
                <w:sz w:val="24"/>
                <w:highlight w:val="none"/>
              </w:rPr>
            </w:pPr>
            <w:r>
              <w:rPr>
                <w:rFonts w:hint="eastAsia" w:ascii="仿宋" w:hAnsi="仿宋" w:eastAsia="仿宋" w:cs="仿宋"/>
                <w:color w:val="auto"/>
                <w:sz w:val="24"/>
                <w:highlight w:val="none"/>
              </w:rPr>
              <w:t>乙方在甲方规定时间内</w:t>
            </w:r>
            <w:r>
              <w:rPr>
                <w:rFonts w:hint="eastAsia" w:ascii="仿宋" w:hAnsi="仿宋" w:eastAsia="仿宋" w:cs="仿宋"/>
                <w:color w:val="auto"/>
                <w:sz w:val="24"/>
                <w:highlight w:val="none"/>
                <w:lang w:val="en-US" w:eastAsia="zh-CN"/>
              </w:rPr>
              <w:t>按采购文件要求</w:t>
            </w:r>
            <w:r>
              <w:rPr>
                <w:rFonts w:hint="eastAsia" w:ascii="仿宋" w:hAnsi="仿宋" w:eastAsia="仿宋" w:cs="仿宋"/>
                <w:color w:val="auto"/>
                <w:sz w:val="24"/>
                <w:highlight w:val="none"/>
              </w:rPr>
              <w:t>完成</w:t>
            </w:r>
            <w:r>
              <w:rPr>
                <w:rFonts w:hint="eastAsia" w:ascii="仿宋" w:hAnsi="仿宋" w:eastAsia="仿宋" w:cs="仿宋"/>
                <w:color w:val="auto"/>
                <w:sz w:val="24"/>
                <w:highlight w:val="none"/>
                <w:lang w:val="en-US" w:eastAsia="zh-CN"/>
              </w:rPr>
              <w:t>相关工作</w:t>
            </w:r>
            <w:r>
              <w:rPr>
                <w:rFonts w:hint="eastAsia" w:ascii="仿宋" w:hAnsi="仿宋" w:eastAsia="仿宋" w:cs="仿宋"/>
                <w:color w:val="auto"/>
                <w:sz w:val="24"/>
                <w:highlight w:val="none"/>
              </w:rPr>
              <w:t>。</w:t>
            </w:r>
          </w:p>
        </w:tc>
      </w:tr>
      <w:tr w14:paraId="4AD42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74720CF">
            <w:pPr>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1.8.6</w:t>
            </w:r>
          </w:p>
        </w:tc>
        <w:tc>
          <w:tcPr>
            <w:tcW w:w="4533" w:type="pct"/>
            <w:vAlign w:val="center"/>
          </w:tcPr>
          <w:p w14:paraId="7A8B9DFB">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1、本合同生效后，任何一方不履行或不完全履行本合同约定条款的，即构成违约，任何一方违约时，守约方有权要求违约方继续履行本合同，同时有权要求违约方支付违约金。</w:t>
            </w:r>
          </w:p>
          <w:p w14:paraId="4EA11295">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2、乙方在项目开展过程中如存在违反合同相关约定情况的，甲方有权要求乙方立即整改。乙方未按甲方要求整改的，甲方有权拒绝验收，并可中止合同履行，乙方承担因此发生的一切损失、费用及延误责任。</w:t>
            </w:r>
          </w:p>
          <w:p w14:paraId="7582B7CC">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3、乙方应及时、如实整理项目有关档案、记录和技术资料，服务完毕后通知甲方组织接收。内容包括书面验收申请、相关说明、报告等。甲方收到乙方申请后，组织进行验收考核，乙方应当协助进行。</w:t>
            </w:r>
          </w:p>
          <w:p w14:paraId="62FA2D71">
            <w:pPr>
              <w:spacing w:line="360" w:lineRule="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4、乙方必须依本合同的各项规定准确供书，若达不到约定的订到率，每下降一个百分点，则按购书总额的千分之五支付违约金（直接从乙方的应付合同费用里扣除），订到率低于定数十个百分点（含十个）以上视为严重违约，甲方有权终止合同，并没收履约承诺金（或按暂定合同金额的1%付违约金）。</w:t>
            </w:r>
          </w:p>
          <w:p w14:paraId="37BFC33F">
            <w:pPr>
              <w:spacing w:line="360" w:lineRule="auto"/>
              <w:rPr>
                <w:rFonts w:hint="eastAsia" w:ascii="仿宋" w:hAnsi="仿宋" w:eastAsia="仿宋" w:cs="仿宋"/>
                <w:sz w:val="24"/>
                <w:highlight w:val="none"/>
              </w:rPr>
            </w:pPr>
            <w:r>
              <w:rPr>
                <w:rFonts w:hint="eastAsia" w:ascii="仿宋" w:hAnsi="仿宋" w:eastAsia="仿宋" w:cs="仿宋"/>
                <w:color w:val="auto"/>
                <w:sz w:val="24"/>
                <w:highlight w:val="none"/>
              </w:rPr>
              <w:t>5、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tc>
      </w:tr>
      <w:tr w14:paraId="1BB86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8265CC1">
            <w:pPr>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1.9</w:t>
            </w:r>
          </w:p>
        </w:tc>
        <w:tc>
          <w:tcPr>
            <w:tcW w:w="4533" w:type="pct"/>
            <w:vAlign w:val="center"/>
          </w:tcPr>
          <w:p w14:paraId="7F899A62">
            <w:pPr>
              <w:spacing w:line="360" w:lineRule="auto"/>
              <w:rPr>
                <w:rFonts w:hint="eastAsia" w:ascii="仿宋" w:hAnsi="仿宋" w:eastAsia="仿宋" w:cs="仿宋"/>
                <w:sz w:val="24"/>
                <w:highlight w:val="none"/>
              </w:rPr>
            </w:pPr>
            <w:r>
              <w:rPr>
                <w:rFonts w:hint="eastAsia" w:ascii="仿宋" w:hAnsi="仿宋" w:eastAsia="仿宋" w:cs="仿宋"/>
                <w:bCs/>
                <w:color w:val="auto"/>
                <w:sz w:val="24"/>
                <w:highlight w:val="none"/>
              </w:rPr>
              <w:t>向</w:t>
            </w:r>
            <w:r>
              <w:rPr>
                <w:rFonts w:hint="eastAsia" w:ascii="仿宋" w:hAnsi="仿宋" w:eastAsia="仿宋" w:cs="仿宋"/>
                <w:color w:val="auto"/>
                <w:sz w:val="24"/>
                <w:highlight w:val="none"/>
              </w:rPr>
              <w:t>甲方</w:t>
            </w:r>
            <w:r>
              <w:rPr>
                <w:rFonts w:hint="eastAsia" w:ascii="仿宋" w:hAnsi="仿宋" w:eastAsia="仿宋" w:cs="仿宋"/>
                <w:bCs/>
                <w:color w:val="auto"/>
                <w:sz w:val="24"/>
                <w:highlight w:val="none"/>
              </w:rPr>
              <w:t>住</w:t>
            </w:r>
            <w:r>
              <w:rPr>
                <w:rFonts w:hint="eastAsia" w:ascii="仿宋" w:hAnsi="仿宋" w:eastAsia="仿宋" w:cs="仿宋"/>
                <w:color w:val="auto"/>
                <w:sz w:val="24"/>
                <w:highlight w:val="none"/>
              </w:rPr>
              <w:t>所地</w:t>
            </w:r>
            <w:r>
              <w:rPr>
                <w:rFonts w:hint="eastAsia" w:ascii="仿宋" w:hAnsi="仿宋" w:eastAsia="仿宋" w:cs="仿宋"/>
                <w:bCs/>
                <w:color w:val="auto"/>
                <w:sz w:val="24"/>
                <w:highlight w:val="none"/>
              </w:rPr>
              <w:t>人民法院起诉。</w:t>
            </w:r>
          </w:p>
        </w:tc>
      </w:tr>
      <w:tr w14:paraId="4ED77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D446B55">
            <w:pPr>
              <w:spacing w:line="360" w:lineRule="auto"/>
              <w:rPr>
                <w:rFonts w:hint="eastAsia" w:ascii="仿宋" w:hAnsi="仿宋" w:eastAsia="仿宋" w:cs="仿宋"/>
                <w:sz w:val="24"/>
                <w:highlight w:val="none"/>
              </w:rPr>
            </w:pPr>
            <w:r>
              <w:rPr>
                <w:rFonts w:hint="eastAsia" w:ascii="仿宋" w:hAnsi="仿宋" w:eastAsia="仿宋" w:cs="仿宋"/>
                <w:sz w:val="24"/>
                <w:highlight w:val="none"/>
              </w:rPr>
              <w:t>2.3.2</w:t>
            </w:r>
          </w:p>
        </w:tc>
        <w:tc>
          <w:tcPr>
            <w:tcW w:w="4533" w:type="pct"/>
            <w:vAlign w:val="center"/>
          </w:tcPr>
          <w:p w14:paraId="25302D02">
            <w:pPr>
              <w:spacing w:line="360" w:lineRule="auto"/>
              <w:ind w:left="-420" w:leftChars="-200" w:right="-420" w:rightChars="-200" w:firstLine="480" w:firstLineChars="200"/>
              <w:rPr>
                <w:rFonts w:hint="eastAsia" w:ascii="仿宋" w:hAnsi="仿宋" w:eastAsia="仿宋" w:cs="仿宋"/>
                <w:sz w:val="24"/>
                <w:highlight w:val="none"/>
              </w:rPr>
            </w:pPr>
            <w:r>
              <w:rPr>
                <w:rFonts w:hint="eastAsia" w:ascii="仿宋" w:hAnsi="仿宋" w:eastAsia="仿宋" w:cs="仿宋"/>
                <w:color w:val="auto"/>
                <w:sz w:val="24"/>
                <w:szCs w:val="24"/>
                <w:highlight w:val="none"/>
                <w:shd w:val="clear" w:color="auto" w:fill="auto"/>
                <w:lang w:val="en-US" w:eastAsia="zh-CN"/>
              </w:rPr>
              <w:t>（针对图书）乙方须保证所有供应图书为未经使用的正版图书，保证所供应图书的版本与进书来源合法，并对所供应的图书版本、知识产权、进货来源承担相应的法律责任。一经发现提供盗版图书，立即取消供货资格，并无条件负责退货</w:t>
            </w:r>
            <w:r>
              <w:rPr>
                <w:rFonts w:hint="eastAsia" w:ascii="仿宋" w:hAnsi="仿宋" w:eastAsia="仿宋" w:cs="仿宋"/>
                <w:color w:val="auto"/>
                <w:sz w:val="24"/>
                <w:highlight w:val="none"/>
              </w:rPr>
              <w:t>。</w:t>
            </w:r>
          </w:p>
        </w:tc>
      </w:tr>
      <w:tr w14:paraId="7BF66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14:paraId="423ADF69">
            <w:pPr>
              <w:spacing w:line="360" w:lineRule="auto"/>
              <w:rPr>
                <w:rFonts w:hint="eastAsia" w:ascii="仿宋" w:hAnsi="仿宋" w:eastAsia="仿宋" w:cs="仿宋"/>
                <w:sz w:val="24"/>
                <w:highlight w:val="none"/>
              </w:rPr>
            </w:pPr>
            <w:r>
              <w:rPr>
                <w:rFonts w:hint="eastAsia" w:ascii="仿宋" w:hAnsi="仿宋" w:eastAsia="仿宋" w:cs="仿宋"/>
                <w:sz w:val="24"/>
                <w:highlight w:val="none"/>
              </w:rPr>
              <w:t>2.4.1</w:t>
            </w:r>
          </w:p>
        </w:tc>
        <w:tc>
          <w:tcPr>
            <w:tcW w:w="8275" w:type="dxa"/>
            <w:vAlign w:val="center"/>
          </w:tcPr>
          <w:p w14:paraId="172947B7">
            <w:pPr>
              <w:spacing w:line="360" w:lineRule="auto"/>
              <w:ind w:left="-420" w:leftChars="-200" w:right="-420" w:rightChars="-200" w:firstLine="480" w:firstLineChars="200"/>
              <w:rPr>
                <w:rFonts w:hint="eastAsia" w:ascii="仿宋" w:hAnsi="仿宋" w:eastAsia="仿宋" w:cs="仿宋"/>
                <w:sz w:val="24"/>
                <w:highlight w:val="none"/>
              </w:rPr>
            </w:pPr>
            <w:r>
              <w:rPr>
                <w:rFonts w:hint="eastAsia" w:ascii="仿宋" w:hAnsi="仿宋" w:eastAsia="仿宋" w:cs="仿宋"/>
                <w:color w:val="auto"/>
                <w:sz w:val="24"/>
                <w:highlight w:val="none"/>
              </w:rPr>
              <w:t>包装防雨水</w:t>
            </w:r>
          </w:p>
        </w:tc>
      </w:tr>
      <w:tr w14:paraId="5F56B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C9B581D">
            <w:pPr>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rPr>
              <w:t>2.4.</w:t>
            </w:r>
            <w:r>
              <w:rPr>
                <w:rFonts w:hint="eastAsia" w:ascii="仿宋" w:hAnsi="仿宋" w:eastAsia="仿宋" w:cs="仿宋"/>
                <w:sz w:val="24"/>
                <w:highlight w:val="none"/>
                <w:lang w:val="en-US" w:eastAsia="zh-CN"/>
              </w:rPr>
              <w:t>3</w:t>
            </w:r>
          </w:p>
        </w:tc>
        <w:tc>
          <w:tcPr>
            <w:tcW w:w="8275" w:type="dxa"/>
            <w:vAlign w:val="center"/>
          </w:tcPr>
          <w:p w14:paraId="342312D2">
            <w:pPr>
              <w:spacing w:line="360" w:lineRule="auto"/>
              <w:rPr>
                <w:rFonts w:hint="eastAsia" w:ascii="仿宋" w:hAnsi="仿宋" w:eastAsia="仿宋" w:cs="仿宋"/>
                <w:sz w:val="24"/>
                <w:highlight w:val="none"/>
              </w:rPr>
            </w:pPr>
            <w:r>
              <w:rPr>
                <w:rFonts w:hint="eastAsia" w:ascii="仿宋" w:hAnsi="仿宋" w:eastAsia="仿宋" w:cs="仿宋"/>
                <w:color w:val="auto"/>
                <w:sz w:val="24"/>
                <w:highlight w:val="none"/>
              </w:rPr>
              <w:t>需干燥运输，货品到达现场开箱检验前出现破损需由乙方承担更换</w:t>
            </w:r>
          </w:p>
        </w:tc>
      </w:tr>
      <w:tr w14:paraId="3B856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5F77246">
            <w:pPr>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2.7</w:t>
            </w:r>
          </w:p>
        </w:tc>
        <w:tc>
          <w:tcPr>
            <w:tcW w:w="8275" w:type="dxa"/>
            <w:vAlign w:val="center"/>
          </w:tcPr>
          <w:p w14:paraId="3B485A43">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补充：</w:t>
            </w:r>
          </w:p>
          <w:p w14:paraId="12F8F19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未尽内容，按采购文件“用户需求”</w:t>
            </w:r>
          </w:p>
        </w:tc>
      </w:tr>
      <w:tr w14:paraId="7CBDB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14:paraId="435B33E3">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2.8 </w:t>
            </w:r>
          </w:p>
        </w:tc>
        <w:tc>
          <w:tcPr>
            <w:tcW w:w="4533" w:type="pct"/>
          </w:tcPr>
          <w:p w14:paraId="1E9221AB">
            <w:pPr>
              <w:spacing w:line="360" w:lineRule="auto"/>
              <w:rPr>
                <w:rFonts w:hint="eastAsia" w:ascii="仿宋" w:hAnsi="仿宋" w:eastAsia="仿宋" w:cs="仿宋"/>
                <w:sz w:val="24"/>
                <w:highlight w:val="none"/>
              </w:rPr>
            </w:pPr>
            <w:r>
              <w:rPr>
                <w:rFonts w:hint="eastAsia" w:ascii="仿宋" w:hAnsi="仿宋" w:eastAsia="仿宋" w:cs="仿宋"/>
                <w:color w:val="auto"/>
                <w:sz w:val="24"/>
                <w:highlight w:val="none"/>
              </w:rPr>
              <w:t>货物到达现场开箱检验前出现灭失、毁损的均由乙方承担补足或更换</w:t>
            </w:r>
          </w:p>
        </w:tc>
      </w:tr>
      <w:tr w14:paraId="67654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2A9D969">
            <w:pPr>
              <w:spacing w:line="360" w:lineRule="auto"/>
              <w:rPr>
                <w:rFonts w:hint="eastAsia" w:ascii="仿宋" w:hAnsi="仿宋" w:eastAsia="仿宋" w:cs="仿宋"/>
                <w:sz w:val="24"/>
                <w:highlight w:val="none"/>
              </w:rPr>
            </w:pPr>
            <w:r>
              <w:rPr>
                <w:rFonts w:hint="eastAsia" w:ascii="仿宋" w:hAnsi="仿宋" w:eastAsia="仿宋" w:cs="仿宋"/>
                <w:sz w:val="24"/>
                <w:highlight w:val="none"/>
              </w:rPr>
              <w:t>2.12.3</w:t>
            </w:r>
          </w:p>
        </w:tc>
        <w:tc>
          <w:tcPr>
            <w:tcW w:w="8275" w:type="dxa"/>
            <w:vAlign w:val="center"/>
          </w:tcPr>
          <w:p w14:paraId="640D3702">
            <w:pPr>
              <w:spacing w:line="360" w:lineRule="auto"/>
              <w:rPr>
                <w:rFonts w:hint="eastAsia" w:ascii="仿宋" w:hAnsi="仿宋" w:eastAsia="仿宋" w:cs="仿宋"/>
                <w:sz w:val="24"/>
                <w:highlight w:val="none"/>
              </w:rPr>
            </w:pPr>
            <w:r>
              <w:rPr>
                <w:rFonts w:hint="eastAsia" w:ascii="仿宋" w:hAnsi="仿宋" w:eastAsia="仿宋" w:cs="仿宋"/>
                <w:color w:val="auto"/>
                <w:sz w:val="24"/>
                <w:highlight w:val="none"/>
              </w:rPr>
              <w:t>7个工作日</w:t>
            </w:r>
          </w:p>
        </w:tc>
      </w:tr>
      <w:tr w14:paraId="37D80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85473C3">
            <w:pPr>
              <w:spacing w:line="360" w:lineRule="auto"/>
              <w:rPr>
                <w:rFonts w:hint="eastAsia" w:ascii="仿宋" w:hAnsi="仿宋" w:eastAsia="仿宋" w:cs="仿宋"/>
                <w:sz w:val="24"/>
                <w:highlight w:val="none"/>
              </w:rPr>
            </w:pPr>
            <w:r>
              <w:rPr>
                <w:rFonts w:hint="eastAsia" w:ascii="仿宋" w:hAnsi="仿宋" w:eastAsia="仿宋" w:cs="仿宋"/>
                <w:sz w:val="24"/>
                <w:highlight w:val="none"/>
              </w:rPr>
              <w:t>2.12.4</w:t>
            </w:r>
          </w:p>
        </w:tc>
        <w:tc>
          <w:tcPr>
            <w:tcW w:w="8275" w:type="dxa"/>
            <w:vAlign w:val="center"/>
          </w:tcPr>
          <w:p w14:paraId="198D4811">
            <w:pPr>
              <w:spacing w:line="360" w:lineRule="auto"/>
              <w:rPr>
                <w:rFonts w:hint="eastAsia" w:ascii="仿宋" w:hAnsi="仿宋" w:eastAsia="仿宋" w:cs="仿宋"/>
                <w:sz w:val="24"/>
                <w:highlight w:val="none"/>
              </w:rPr>
            </w:pPr>
            <w:r>
              <w:rPr>
                <w:rFonts w:hint="eastAsia" w:ascii="仿宋" w:hAnsi="仿宋" w:eastAsia="仿宋" w:cs="仿宋"/>
                <w:color w:val="auto"/>
                <w:sz w:val="24"/>
                <w:highlight w:val="none"/>
              </w:rPr>
              <w:t>3个工作日，14个工作日</w:t>
            </w:r>
          </w:p>
        </w:tc>
      </w:tr>
      <w:tr w14:paraId="4A903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F17D9B0">
            <w:pPr>
              <w:spacing w:line="360" w:lineRule="auto"/>
              <w:rPr>
                <w:rFonts w:hint="eastAsia" w:ascii="仿宋" w:hAnsi="仿宋" w:eastAsia="仿宋" w:cs="仿宋"/>
                <w:sz w:val="24"/>
                <w:highlight w:val="none"/>
              </w:rPr>
            </w:pPr>
            <w:r>
              <w:rPr>
                <w:rFonts w:hint="eastAsia" w:ascii="仿宋" w:hAnsi="仿宋" w:eastAsia="仿宋" w:cs="仿宋"/>
                <w:sz w:val="24"/>
                <w:highlight w:val="none"/>
              </w:rPr>
              <w:t>2.16.1</w:t>
            </w:r>
          </w:p>
        </w:tc>
        <w:tc>
          <w:tcPr>
            <w:tcW w:w="8275" w:type="dxa"/>
            <w:vAlign w:val="center"/>
          </w:tcPr>
          <w:p w14:paraId="6E0CC2A5">
            <w:pPr>
              <w:spacing w:line="360" w:lineRule="auto"/>
              <w:rPr>
                <w:rFonts w:hint="eastAsia" w:ascii="仿宋" w:hAnsi="仿宋" w:eastAsia="仿宋" w:cs="仿宋"/>
                <w:sz w:val="24"/>
                <w:highlight w:val="none"/>
              </w:rPr>
            </w:pPr>
            <w:r>
              <w:rPr>
                <w:rFonts w:hint="eastAsia" w:ascii="仿宋" w:hAnsi="仿宋" w:eastAsia="仿宋" w:cs="仿宋"/>
                <w:color w:val="auto"/>
                <w:sz w:val="24"/>
                <w:highlight w:val="none"/>
              </w:rPr>
              <w:t>5个工作日</w:t>
            </w:r>
          </w:p>
        </w:tc>
      </w:tr>
      <w:tr w14:paraId="33389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14:paraId="7CF68071">
            <w:pPr>
              <w:spacing w:line="360" w:lineRule="auto"/>
              <w:rPr>
                <w:rFonts w:hint="eastAsia" w:ascii="仿宋" w:hAnsi="仿宋" w:eastAsia="仿宋" w:cs="仿宋"/>
                <w:sz w:val="24"/>
                <w:highlight w:val="none"/>
              </w:rPr>
            </w:pPr>
            <w:r>
              <w:rPr>
                <w:rFonts w:hint="eastAsia" w:ascii="仿宋" w:hAnsi="仿宋" w:eastAsia="仿宋" w:cs="仿宋"/>
                <w:sz w:val="24"/>
                <w:highlight w:val="none"/>
              </w:rPr>
              <w:t>2.16.3</w:t>
            </w:r>
          </w:p>
        </w:tc>
        <w:tc>
          <w:tcPr>
            <w:tcW w:w="4533" w:type="pct"/>
            <w:vAlign w:val="center"/>
          </w:tcPr>
          <w:p w14:paraId="5AFFB65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（一）交付验收</w:t>
            </w:r>
          </w:p>
          <w:p w14:paraId="0184DD1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送交的图书依据</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文件上的要求标准进行验收。验收不合格的，</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不予接收。</w:t>
            </w:r>
          </w:p>
          <w:p w14:paraId="291D941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（二）履约验收</w:t>
            </w:r>
          </w:p>
          <w:p w14:paraId="581AD0E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1、本项目组织履约验收，验收合格的情况作为项目支付的依据。</w:t>
            </w:r>
          </w:p>
          <w:p w14:paraId="32ACD57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验收依据：①采购文件确定的技术指标或者服务要求；②投标文件承诺、询标回复；③服务合同、甲方制定的考核标准。未进行相应约定的，应当符合国家强制性规定、政策要求、安全标准、行业或企业有关标准等。</w:t>
            </w:r>
          </w:p>
          <w:p w14:paraId="3238A1B9">
            <w:pPr>
              <w:spacing w:line="360" w:lineRule="auto"/>
              <w:rPr>
                <w:rFonts w:hint="eastAsia" w:ascii="仿宋" w:hAnsi="仿宋" w:eastAsia="仿宋" w:cs="仿宋"/>
                <w:sz w:val="24"/>
                <w:highlight w:val="none"/>
              </w:rPr>
            </w:pPr>
            <w:r>
              <w:rPr>
                <w:rFonts w:hint="eastAsia" w:ascii="仿宋" w:hAnsi="仿宋" w:eastAsia="仿宋" w:cs="仿宋"/>
                <w:color w:val="auto"/>
                <w:sz w:val="24"/>
                <w:highlight w:val="none"/>
              </w:rPr>
              <w:t>2、本项目的验收标准：</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订单及</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交付清单；</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服务内容及总结（</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应提交的服务过程照片、总结等资料）。要求台账记录清晰完整、质量反馈表良好、材料完备。</w:t>
            </w:r>
          </w:p>
        </w:tc>
      </w:tr>
      <w:tr w14:paraId="020A8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14:paraId="0CB9676B">
            <w:pPr>
              <w:spacing w:line="360" w:lineRule="auto"/>
              <w:rPr>
                <w:rFonts w:hint="eastAsia" w:ascii="仿宋" w:hAnsi="仿宋" w:eastAsia="仿宋" w:cs="仿宋"/>
                <w:sz w:val="24"/>
                <w:highlight w:val="none"/>
              </w:rPr>
            </w:pPr>
            <w:r>
              <w:rPr>
                <w:rFonts w:hint="eastAsia" w:ascii="仿宋" w:hAnsi="仿宋" w:eastAsia="仿宋" w:cs="仿宋"/>
                <w:sz w:val="24"/>
                <w:highlight w:val="none"/>
              </w:rPr>
              <w:t>2.20</w:t>
            </w:r>
          </w:p>
        </w:tc>
        <w:tc>
          <w:tcPr>
            <w:tcW w:w="4533" w:type="pct"/>
          </w:tcPr>
          <w:p w14:paraId="0434BD93">
            <w:pPr>
              <w:spacing w:line="360" w:lineRule="auto"/>
              <w:rPr>
                <w:rFonts w:hint="eastAsia" w:ascii="仿宋" w:hAnsi="仿宋" w:eastAsia="仿宋" w:cs="仿宋"/>
                <w:sz w:val="24"/>
                <w:highlight w:val="none"/>
              </w:rPr>
            </w:pPr>
          </w:p>
        </w:tc>
      </w:tr>
    </w:tbl>
    <w:p w14:paraId="5EE2898F">
      <w:pPr>
        <w:adjustRightInd w:val="0"/>
        <w:snapToGrid w:val="0"/>
        <w:spacing w:line="360" w:lineRule="auto"/>
        <w:rPr>
          <w:rFonts w:hint="eastAsia" w:ascii="仿宋" w:hAnsi="仿宋" w:eastAsia="仿宋" w:cs="仿宋"/>
          <w:color w:val="auto"/>
          <w:kern w:val="0"/>
          <w:sz w:val="24"/>
          <w:highlight w:val="none"/>
        </w:rPr>
      </w:pPr>
    </w:p>
    <w:p w14:paraId="689B6253">
      <w:pPr>
        <w:adjustRightInd w:val="0"/>
        <w:snapToGrid w:val="0"/>
        <w:spacing w:line="360" w:lineRule="auto"/>
        <w:ind w:firstLine="480" w:firstLineChars="200"/>
        <w:jc w:val="left"/>
        <w:rPr>
          <w:rFonts w:hint="eastAsia" w:ascii="仿宋" w:hAnsi="仿宋" w:eastAsia="仿宋" w:cs="仿宋"/>
          <w:bCs/>
          <w:kern w:val="0"/>
          <w:sz w:val="24"/>
          <w:highlight w:val="none"/>
          <w:lang w:bidi="zh-CN"/>
        </w:rPr>
      </w:pPr>
      <w:r>
        <w:rPr>
          <w:rFonts w:hint="eastAsia" w:ascii="仿宋" w:hAnsi="仿宋" w:eastAsia="仿宋" w:cs="仿宋"/>
          <w:bCs/>
          <w:kern w:val="0"/>
          <w:sz w:val="24"/>
          <w:highlight w:val="none"/>
          <w:lang w:bidi="zh-CN"/>
        </w:rPr>
        <w:br w:type="page"/>
      </w:r>
    </w:p>
    <w:p w14:paraId="700966AA">
      <w:pPr>
        <w:pStyle w:val="12"/>
        <w:rPr>
          <w:rFonts w:hint="eastAsia" w:ascii="仿宋" w:hAnsi="仿宋" w:eastAsia="仿宋" w:cs="仿宋"/>
          <w:highlight w:val="none"/>
        </w:rPr>
      </w:pPr>
    </w:p>
    <w:p w14:paraId="501AEA83">
      <w:pPr>
        <w:rPr>
          <w:rFonts w:hint="eastAsia" w:ascii="仿宋" w:hAnsi="仿宋" w:eastAsia="仿宋" w:cs="仿宋"/>
          <w:bCs/>
          <w:kern w:val="0"/>
          <w:sz w:val="24"/>
          <w:highlight w:val="none"/>
          <w:lang w:bidi="zh-CN"/>
        </w:rPr>
      </w:pPr>
    </w:p>
    <w:bookmarkEnd w:id="125"/>
    <w:bookmarkEnd w:id="126"/>
    <w:bookmarkEnd w:id="127"/>
    <w:bookmarkEnd w:id="128"/>
    <w:bookmarkEnd w:id="129"/>
    <w:p w14:paraId="1D4F372B">
      <w:pPr>
        <w:adjustRightInd w:val="0"/>
        <w:snapToGrid w:val="0"/>
        <w:spacing w:before="120" w:beforeLines="50" w:after="120" w:afterLines="50" w:line="360" w:lineRule="auto"/>
        <w:jc w:val="center"/>
        <w:outlineLvl w:val="0"/>
        <w:rPr>
          <w:rFonts w:hint="eastAsia" w:ascii="仿宋" w:hAnsi="仿宋" w:eastAsia="仿宋" w:cs="仿宋"/>
          <w:b/>
          <w:bCs/>
          <w:sz w:val="32"/>
          <w:szCs w:val="32"/>
          <w:highlight w:val="none"/>
        </w:rPr>
      </w:pPr>
      <w:bookmarkStart w:id="288" w:name="_Toc1306"/>
      <w:bookmarkStart w:id="289" w:name="_Toc21370"/>
      <w:bookmarkStart w:id="290" w:name="_Toc249760797"/>
      <w:bookmarkStart w:id="291" w:name="_Toc251566668"/>
      <w:bookmarkStart w:id="292" w:name="_Toc234764855"/>
      <w:r>
        <w:rPr>
          <w:rFonts w:hint="eastAsia" w:ascii="仿宋" w:hAnsi="仿宋" w:eastAsia="仿宋" w:cs="仿宋"/>
          <w:b/>
          <w:sz w:val="30"/>
          <w:szCs w:val="30"/>
          <w:highlight w:val="none"/>
        </w:rPr>
        <w:t>第六部分  投标文件格式</w:t>
      </w:r>
      <w:bookmarkEnd w:id="288"/>
      <w:bookmarkEnd w:id="289"/>
      <w:bookmarkEnd w:id="290"/>
      <w:bookmarkEnd w:id="291"/>
      <w:bookmarkEnd w:id="292"/>
    </w:p>
    <w:p w14:paraId="6275E555">
      <w:pPr>
        <w:autoSpaceDE w:val="0"/>
        <w:autoSpaceDN w:val="0"/>
        <w:adjustRightInd w:val="0"/>
        <w:spacing w:line="360" w:lineRule="auto"/>
        <w:ind w:firstLine="480"/>
        <w:rPr>
          <w:rFonts w:hint="eastAsia" w:ascii="仿宋" w:hAnsi="仿宋" w:eastAsia="仿宋" w:cs="仿宋"/>
          <w:sz w:val="24"/>
          <w:highlight w:val="none"/>
        </w:rPr>
      </w:pPr>
    </w:p>
    <w:p w14:paraId="135827A7">
      <w:pPr>
        <w:spacing w:line="360" w:lineRule="auto"/>
        <w:jc w:val="center"/>
        <w:outlineLvl w:val="1"/>
        <w:rPr>
          <w:rFonts w:hint="eastAsia" w:ascii="仿宋" w:hAnsi="仿宋" w:eastAsia="仿宋" w:cs="仿宋"/>
          <w:b/>
          <w:kern w:val="0"/>
          <w:sz w:val="36"/>
          <w:szCs w:val="36"/>
          <w:highlight w:val="none"/>
        </w:rPr>
      </w:pPr>
      <w:bookmarkStart w:id="293" w:name="_Toc25507"/>
      <w:bookmarkStart w:id="294" w:name="_Toc23772"/>
      <w:bookmarkStart w:id="295" w:name="_Toc18065"/>
      <w:bookmarkStart w:id="296" w:name="_Toc23013"/>
      <w:r>
        <w:rPr>
          <w:rFonts w:hint="eastAsia" w:ascii="仿宋" w:hAnsi="仿宋" w:eastAsia="仿宋" w:cs="仿宋"/>
          <w:b/>
          <w:kern w:val="0"/>
          <w:sz w:val="36"/>
          <w:szCs w:val="36"/>
          <w:highlight w:val="none"/>
        </w:rPr>
        <w:t>资格文件部分</w:t>
      </w:r>
      <w:bookmarkEnd w:id="293"/>
      <w:bookmarkEnd w:id="294"/>
      <w:bookmarkEnd w:id="295"/>
      <w:bookmarkEnd w:id="296"/>
    </w:p>
    <w:p w14:paraId="7AB69937">
      <w:pPr>
        <w:spacing w:line="360" w:lineRule="auto"/>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16609F64">
      <w:pPr>
        <w:spacing w:line="360" w:lineRule="auto"/>
        <w:jc w:val="center"/>
        <w:rPr>
          <w:rFonts w:hint="eastAsia" w:ascii="仿宋" w:hAnsi="仿宋" w:eastAsia="仿宋" w:cs="仿宋"/>
          <w:b/>
          <w:kern w:val="0"/>
          <w:sz w:val="36"/>
          <w:szCs w:val="36"/>
          <w:highlight w:val="none"/>
        </w:rPr>
      </w:pPr>
    </w:p>
    <w:p w14:paraId="405AD7EC">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（1）符合参加政府采购活动应当具备的一般条件的承诺函……………（页码）</w:t>
      </w:r>
    </w:p>
    <w:p w14:paraId="5B5707E6">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（2）联合协议………………………………………………………………（页码）</w:t>
      </w:r>
    </w:p>
    <w:p w14:paraId="79C9FFFE">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（3）落实政府采购政策需满足的资格要求………………………………（页码）</w:t>
      </w:r>
    </w:p>
    <w:p w14:paraId="4B67DDA3">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（4）本项目的特定资格要求………………………………………………（页码）</w:t>
      </w:r>
    </w:p>
    <w:p w14:paraId="0AFCFC3F">
      <w:pPr>
        <w:snapToGrid w:val="0"/>
        <w:spacing w:line="360" w:lineRule="auto"/>
        <w:ind w:firstLine="480" w:firstLineChars="200"/>
        <w:rPr>
          <w:rFonts w:hint="eastAsia" w:ascii="仿宋" w:hAnsi="仿宋" w:eastAsia="仿宋" w:cs="仿宋"/>
          <w:sz w:val="24"/>
          <w:highlight w:val="none"/>
        </w:rPr>
      </w:pPr>
    </w:p>
    <w:p w14:paraId="152B690B">
      <w:pPr>
        <w:spacing w:line="360" w:lineRule="auto"/>
        <w:ind w:firstLine="480" w:firstLineChars="200"/>
        <w:rPr>
          <w:rFonts w:hint="eastAsia" w:ascii="仿宋" w:hAnsi="仿宋" w:eastAsia="仿宋" w:cs="仿宋"/>
          <w:sz w:val="24"/>
          <w:highlight w:val="none"/>
        </w:rPr>
      </w:pPr>
    </w:p>
    <w:p w14:paraId="2CAEC742">
      <w:pPr>
        <w:snapToGrid w:val="0"/>
        <w:spacing w:line="360" w:lineRule="auto"/>
        <w:ind w:right="480"/>
        <w:rPr>
          <w:rFonts w:hint="eastAsia" w:ascii="仿宋" w:hAnsi="仿宋" w:eastAsia="仿宋" w:cs="仿宋"/>
          <w:b/>
          <w:kern w:val="0"/>
          <w:sz w:val="32"/>
          <w:szCs w:val="32"/>
          <w:highlight w:val="none"/>
        </w:rPr>
      </w:pPr>
      <w:r>
        <w:rPr>
          <w:rFonts w:hint="eastAsia" w:ascii="仿宋" w:hAnsi="仿宋" w:eastAsia="仿宋" w:cs="仿宋"/>
          <w:kern w:val="0"/>
          <w:sz w:val="24"/>
          <w:highlight w:val="none"/>
        </w:rPr>
        <w:br w:type="page"/>
      </w:r>
      <w:r>
        <w:rPr>
          <w:rFonts w:hint="eastAsia" w:ascii="仿宋" w:hAnsi="仿宋" w:eastAsia="仿宋" w:cs="仿宋"/>
          <w:b/>
          <w:kern w:val="0"/>
          <w:sz w:val="32"/>
          <w:szCs w:val="32"/>
          <w:highlight w:val="none"/>
        </w:rPr>
        <w:t>一、 符合参加政府采购活动应当具备的一般条件的承诺函</w:t>
      </w:r>
    </w:p>
    <w:p w14:paraId="3B89F068">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sz w:val="24"/>
          <w:highlight w:val="none"/>
        </w:rPr>
        <w:t>：</w:t>
      </w:r>
    </w:p>
    <w:p w14:paraId="3707925C">
      <w:pPr>
        <w:snapToGri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我方参与</w:t>
      </w:r>
      <w:r>
        <w:rPr>
          <w:rFonts w:hint="eastAsia" w:ascii="仿宋" w:hAnsi="仿宋" w:eastAsia="仿宋" w:cs="仿宋"/>
          <w:sz w:val="24"/>
          <w:highlight w:val="none"/>
          <w:u w:val="single"/>
        </w:rPr>
        <w:t>（项目名称）</w:t>
      </w:r>
      <w:r>
        <w:rPr>
          <w:rFonts w:hint="eastAsia" w:ascii="仿宋" w:hAnsi="仿宋" w:eastAsia="仿宋" w:cs="仿宋"/>
          <w:sz w:val="24"/>
          <w:highlight w:val="none"/>
        </w:rPr>
        <w:t>【招标编号：</w:t>
      </w:r>
      <w:r>
        <w:rPr>
          <w:rFonts w:hint="eastAsia" w:ascii="仿宋" w:hAnsi="仿宋" w:eastAsia="仿宋" w:cs="仿宋"/>
          <w:sz w:val="24"/>
          <w:highlight w:val="none"/>
          <w:u w:val="single"/>
        </w:rPr>
        <w:t>（采购编号）</w:t>
      </w:r>
      <w:r>
        <w:rPr>
          <w:rFonts w:hint="eastAsia" w:ascii="仿宋" w:hAnsi="仿宋" w:eastAsia="仿宋" w:cs="仿宋"/>
          <w:sz w:val="24"/>
          <w:highlight w:val="none"/>
        </w:rPr>
        <w:t>】政府采购活动，郑重承诺：</w:t>
      </w:r>
    </w:p>
    <w:p w14:paraId="5C199ADA">
      <w:pPr>
        <w:snapToGrid w:val="0"/>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（一）具备《中华人民共和国政府采购法》第二十二条第一款规定的条件：</w:t>
      </w:r>
    </w:p>
    <w:p w14:paraId="306E3102">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1、具有独立承担民事责任的能力；</w:t>
      </w:r>
    </w:p>
    <w:p w14:paraId="4B778EE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14:paraId="14A3BFDE">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14:paraId="0210DDD8">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14:paraId="09057BD8">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5、参加政府采购活动前三年内，在经营活动中没有重大违法记录；</w:t>
      </w:r>
    </w:p>
    <w:p w14:paraId="74E8688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6、具有法律、行政法规规定的其他条件。</w:t>
      </w:r>
    </w:p>
    <w:p w14:paraId="620E4DCD">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（二）未被信用中国（www.creditchina.gov.cn）、中国政府采购网（www.ccgp.gov.cn）列入失信被执行人、重大税收违法案件当事人名单、政府采购严重违法失信行为记录名单。</w:t>
      </w:r>
    </w:p>
    <w:p w14:paraId="232DC493">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（三）不存在以下情况：</w:t>
      </w:r>
    </w:p>
    <w:p w14:paraId="79939FFB">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1、单位负责人为同一人或者存在直接控股、管理关系的不同供应商参加同一合同项下的政府采购活动的；</w:t>
      </w:r>
    </w:p>
    <w:p w14:paraId="2751182C">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2、为采购项目提供整体设计、规范编制或者项目管理、监理、检测等服务后再参加该采购项目的其他采购活动的。</w:t>
      </w:r>
    </w:p>
    <w:p w14:paraId="31E48DA6">
      <w:pPr>
        <w:pStyle w:val="19"/>
        <w:rPr>
          <w:rFonts w:hint="eastAsia" w:ascii="仿宋" w:hAnsi="仿宋" w:eastAsia="仿宋" w:cs="仿宋"/>
          <w:highlight w:val="none"/>
        </w:rPr>
      </w:pPr>
    </w:p>
    <w:p w14:paraId="51A8FBE8">
      <w:pPr>
        <w:rPr>
          <w:rFonts w:hint="eastAsia" w:ascii="仿宋" w:hAnsi="仿宋" w:eastAsia="仿宋" w:cs="仿宋"/>
          <w:highlight w:val="none"/>
        </w:rPr>
      </w:pPr>
    </w:p>
    <w:p w14:paraId="45597970">
      <w:pPr>
        <w:snapToGrid w:val="0"/>
        <w:spacing w:line="360" w:lineRule="auto"/>
        <w:ind w:firstLine="5520" w:firstLineChars="23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投标人名称(电子签名)：</w:t>
      </w:r>
    </w:p>
    <w:p w14:paraId="2D3D699D">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日</w:t>
      </w:r>
    </w:p>
    <w:p w14:paraId="6208E90C">
      <w:pPr>
        <w:snapToGrid w:val="0"/>
        <w:spacing w:line="360" w:lineRule="auto"/>
        <w:ind w:right="480"/>
        <w:jc w:val="center"/>
        <w:rPr>
          <w:rFonts w:hint="eastAsia" w:ascii="仿宋" w:hAnsi="仿宋" w:eastAsia="仿宋" w:cs="仿宋"/>
          <w:b/>
          <w:kern w:val="0"/>
          <w:sz w:val="32"/>
          <w:szCs w:val="32"/>
          <w:highlight w:val="none"/>
        </w:rPr>
      </w:pPr>
    </w:p>
    <w:p w14:paraId="4CEEC16E">
      <w:pPr>
        <w:snapToGrid w:val="0"/>
        <w:spacing w:line="360" w:lineRule="auto"/>
        <w:ind w:right="480"/>
        <w:jc w:val="center"/>
        <w:rPr>
          <w:rFonts w:hint="eastAsia" w:ascii="仿宋" w:hAnsi="仿宋" w:eastAsia="仿宋" w:cs="仿宋"/>
          <w:b/>
          <w:kern w:val="0"/>
          <w:sz w:val="32"/>
          <w:szCs w:val="32"/>
          <w:highlight w:val="none"/>
        </w:rPr>
      </w:pPr>
    </w:p>
    <w:p w14:paraId="7C6E6442">
      <w:pPr>
        <w:rPr>
          <w:rFonts w:hint="eastAsia" w:ascii="仿宋" w:hAnsi="仿宋" w:eastAsia="仿宋" w:cs="仿宋"/>
          <w:highlight w:val="none"/>
        </w:rPr>
      </w:pPr>
    </w:p>
    <w:p w14:paraId="45FA886B">
      <w:pPr>
        <w:snapToGrid w:val="0"/>
        <w:spacing w:line="360" w:lineRule="auto"/>
        <w:ind w:right="480"/>
        <w:jc w:val="center"/>
        <w:rPr>
          <w:rFonts w:hint="eastAsia" w:ascii="仿宋" w:hAnsi="仿宋" w:eastAsia="仿宋" w:cs="仿宋"/>
          <w:b/>
          <w:kern w:val="0"/>
          <w:sz w:val="32"/>
          <w:szCs w:val="32"/>
          <w:highlight w:val="none"/>
        </w:rPr>
      </w:pPr>
    </w:p>
    <w:p w14:paraId="79C45BB1">
      <w:pPr>
        <w:snapToGrid w:val="0"/>
        <w:spacing w:line="360" w:lineRule="auto"/>
        <w:ind w:right="480"/>
        <w:jc w:val="center"/>
        <w:rPr>
          <w:rFonts w:hint="eastAsia" w:ascii="仿宋" w:hAnsi="仿宋" w:eastAsia="仿宋" w:cs="仿宋"/>
          <w:b/>
          <w:kern w:val="0"/>
          <w:sz w:val="32"/>
          <w:szCs w:val="32"/>
          <w:highlight w:val="none"/>
        </w:rPr>
      </w:pPr>
    </w:p>
    <w:p w14:paraId="370F1AE4">
      <w:pP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49122140">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二、联合协议（如果有）</w:t>
      </w:r>
    </w:p>
    <w:p w14:paraId="072CEB9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[以联合体形式投标的，提供联合协议（附件5）；本项目不接受联合体投标或者投标人不以联合体形式投标的，则不需要提供）]</w:t>
      </w:r>
    </w:p>
    <w:p w14:paraId="4F99DB12">
      <w:pPr>
        <w:snapToGrid w:val="0"/>
        <w:spacing w:line="360" w:lineRule="auto"/>
        <w:ind w:right="480"/>
        <w:jc w:val="center"/>
        <w:rPr>
          <w:rFonts w:hint="eastAsia" w:ascii="仿宋" w:hAnsi="仿宋" w:eastAsia="仿宋" w:cs="仿宋"/>
          <w:b/>
          <w:kern w:val="0"/>
          <w:sz w:val="32"/>
          <w:szCs w:val="32"/>
          <w:highlight w:val="none"/>
        </w:rPr>
      </w:pPr>
    </w:p>
    <w:p w14:paraId="7D13AF76">
      <w:pPr>
        <w:snapToGrid w:val="0"/>
        <w:spacing w:line="360" w:lineRule="auto"/>
        <w:ind w:right="480"/>
        <w:jc w:val="center"/>
        <w:rPr>
          <w:rFonts w:hint="eastAsia" w:ascii="仿宋" w:hAnsi="仿宋" w:eastAsia="仿宋" w:cs="仿宋"/>
          <w:b/>
          <w:kern w:val="0"/>
          <w:sz w:val="32"/>
          <w:szCs w:val="32"/>
          <w:highlight w:val="none"/>
        </w:rPr>
      </w:pPr>
    </w:p>
    <w:p w14:paraId="047AD0B3">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三、落实政府采购政策需满足的资格要求</w:t>
      </w:r>
    </w:p>
    <w:p w14:paraId="439F6D16">
      <w:pPr>
        <w:spacing w:line="360" w:lineRule="auto"/>
        <w:rPr>
          <w:rFonts w:hint="eastAsia" w:ascii="仿宋" w:hAnsi="仿宋" w:eastAsia="仿宋" w:cs="仿宋"/>
          <w:sz w:val="24"/>
          <w:highlight w:val="none"/>
        </w:rPr>
      </w:pPr>
      <w:r>
        <w:rPr>
          <w:rFonts w:hint="eastAsia" w:ascii="仿宋" w:hAnsi="仿宋" w:eastAsia="仿宋" w:cs="仿宋"/>
          <w:sz w:val="24"/>
          <w:highlight w:val="none"/>
        </w:rPr>
        <w:t>（根据招标公告落实政府采购政策需满足的资格要求选择提供相应的材料；未要求的，无需提供）</w:t>
      </w:r>
    </w:p>
    <w:p w14:paraId="04F2B6CF">
      <w:pPr>
        <w:snapToGrid w:val="0"/>
        <w:spacing w:before="50" w:after="50" w:line="360" w:lineRule="auto"/>
        <w:ind w:firstLine="472" w:firstLineChars="196"/>
        <w:jc w:val="left"/>
        <w:rPr>
          <w:rFonts w:hint="eastAsia" w:ascii="仿宋" w:hAnsi="仿宋" w:eastAsia="仿宋" w:cs="仿宋"/>
          <w:sz w:val="24"/>
          <w:highlight w:val="none"/>
        </w:rPr>
      </w:pPr>
      <w:r>
        <w:rPr>
          <w:rFonts w:hint="eastAsia" w:ascii="仿宋" w:hAnsi="仿宋" w:eastAsia="仿宋" w:cs="仿宋"/>
          <w:b/>
          <w:sz w:val="24"/>
          <w:highlight w:val="none"/>
        </w:rPr>
        <w:t>A</w:t>
      </w:r>
      <w:r>
        <w:rPr>
          <w:rFonts w:hint="eastAsia" w:ascii="仿宋" w:hAnsi="仿宋" w:eastAsia="仿宋" w:cs="仿宋"/>
          <w:sz w:val="24"/>
          <w:highlight w:val="none"/>
        </w:rPr>
        <w:t xml:space="preserve">.专门面向中小企业，服务全部由符合政策要求的中小企业（或小微企业）承接的，提供相应的中小企业声明函（附件7）。 </w:t>
      </w:r>
    </w:p>
    <w:p w14:paraId="19A8D74D">
      <w:pPr>
        <w:widowControl/>
        <w:spacing w:line="360" w:lineRule="auto"/>
        <w:ind w:firstLine="480"/>
        <w:jc w:val="left"/>
        <w:rPr>
          <w:rFonts w:hint="eastAsia" w:ascii="仿宋" w:hAnsi="仿宋" w:eastAsia="仿宋" w:cs="仿宋"/>
          <w:sz w:val="24"/>
          <w:highlight w:val="none"/>
        </w:rPr>
      </w:pPr>
    </w:p>
    <w:p w14:paraId="7172DCB6">
      <w:pPr>
        <w:widowControl/>
        <w:spacing w:line="360" w:lineRule="auto"/>
        <w:ind w:firstLine="472" w:firstLineChars="196"/>
        <w:jc w:val="left"/>
        <w:rPr>
          <w:rFonts w:hint="eastAsia" w:ascii="仿宋" w:hAnsi="仿宋" w:eastAsia="仿宋" w:cs="仿宋"/>
          <w:sz w:val="24"/>
          <w:highlight w:val="none"/>
        </w:rPr>
      </w:pPr>
      <w:r>
        <w:rPr>
          <w:rFonts w:hint="eastAsia" w:ascii="仿宋" w:hAnsi="仿宋" w:eastAsia="仿宋" w:cs="仿宋"/>
          <w:b/>
          <w:sz w:val="24"/>
          <w:highlight w:val="none"/>
        </w:rPr>
        <w:t>B.</w:t>
      </w:r>
      <w:r>
        <w:rPr>
          <w:rFonts w:hint="eastAsia" w:ascii="仿宋" w:hAnsi="仿宋" w:eastAsia="仿宋" w:cs="仿宋"/>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spacing w:val="8"/>
          <w:kern w:val="0"/>
          <w:sz w:val="24"/>
          <w:highlight w:val="none"/>
        </w:rPr>
        <w:t>并相应达到了前述比例要求，</w:t>
      </w:r>
      <w:r>
        <w:rPr>
          <w:rFonts w:hint="eastAsia" w:ascii="仿宋" w:hAnsi="仿宋" w:eastAsia="仿宋" w:cs="仿宋"/>
          <w:sz w:val="24"/>
          <w:highlight w:val="none"/>
        </w:rPr>
        <w:t>视同符合了资格条件，无需再与其他中小企业组成联合体参加政府采购活动，无需提供联合协议。</w:t>
      </w:r>
    </w:p>
    <w:p w14:paraId="285184FA">
      <w:pPr>
        <w:snapToGrid w:val="0"/>
        <w:spacing w:before="50" w:after="50" w:line="360" w:lineRule="auto"/>
        <w:jc w:val="center"/>
        <w:rPr>
          <w:rFonts w:hint="eastAsia" w:ascii="仿宋" w:hAnsi="仿宋" w:eastAsia="仿宋" w:cs="仿宋"/>
          <w:sz w:val="24"/>
          <w:highlight w:val="none"/>
        </w:rPr>
      </w:pPr>
      <w:r>
        <w:rPr>
          <w:rFonts w:hint="eastAsia" w:ascii="仿宋" w:hAnsi="仿宋" w:eastAsia="仿宋" w:cs="仿宋"/>
          <w:b/>
          <w:sz w:val="24"/>
          <w:highlight w:val="none"/>
        </w:rPr>
        <w:t xml:space="preserve">    </w:t>
      </w:r>
    </w:p>
    <w:p w14:paraId="57B00C59">
      <w:pPr>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b/>
          <w:sz w:val="24"/>
          <w:highlight w:val="none"/>
        </w:rPr>
        <w:t>C、</w:t>
      </w:r>
      <w:r>
        <w:rPr>
          <w:rFonts w:hint="eastAsia" w:ascii="仿宋" w:hAnsi="仿宋" w:eastAsia="仿宋" w:cs="仿宋"/>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spacing w:val="8"/>
          <w:kern w:val="0"/>
          <w:sz w:val="24"/>
          <w:highlight w:val="none"/>
        </w:rPr>
        <w:t>并相应达到了前述比例要求，</w:t>
      </w:r>
      <w:r>
        <w:rPr>
          <w:rFonts w:hint="eastAsia" w:ascii="仿宋" w:hAnsi="仿宋" w:eastAsia="仿宋" w:cs="仿宋"/>
          <w:sz w:val="24"/>
          <w:highlight w:val="none"/>
        </w:rPr>
        <w:t>视同符合了资格条件，无需再向中小企业分包，无需提供分包意向协议。</w:t>
      </w:r>
    </w:p>
    <w:p w14:paraId="674651BD">
      <w:pPr>
        <w:snapToGrid w:val="0"/>
        <w:spacing w:before="50" w:after="50" w:line="360" w:lineRule="auto"/>
        <w:jc w:val="both"/>
        <w:rPr>
          <w:rFonts w:hint="eastAsia" w:ascii="仿宋" w:hAnsi="仿宋" w:eastAsia="仿宋" w:cs="仿宋"/>
          <w:highlight w:val="none"/>
          <w:lang w:val="zh-CN"/>
        </w:rPr>
      </w:pPr>
    </w:p>
    <w:p w14:paraId="771BE4AB">
      <w:pPr>
        <w:pStyle w:val="19"/>
        <w:ind w:left="0" w:leftChars="0" w:firstLine="0" w:firstLineChars="0"/>
        <w:rPr>
          <w:rFonts w:hint="eastAsia" w:ascii="仿宋" w:hAnsi="仿宋" w:eastAsia="仿宋" w:cs="仿宋"/>
          <w:highlight w:val="none"/>
          <w:lang w:val="zh-CN"/>
        </w:rPr>
      </w:pPr>
      <w:r>
        <w:rPr>
          <w:rFonts w:hint="eastAsia" w:ascii="仿宋" w:hAnsi="仿宋" w:eastAsia="仿宋" w:cs="仿宋"/>
          <w:highlight w:val="none"/>
          <w:lang w:val="zh-CN"/>
        </w:rPr>
        <w:t>（</w:t>
      </w:r>
      <w:r>
        <w:rPr>
          <w:rFonts w:hint="eastAsia" w:ascii="仿宋" w:hAnsi="仿宋" w:eastAsia="仿宋" w:cs="仿宋"/>
          <w:highlight w:val="none"/>
          <w:lang w:val="en-US" w:eastAsia="zh-CN"/>
        </w:rPr>
        <w:t>注：本项目无</w:t>
      </w:r>
      <w:r>
        <w:rPr>
          <w:rFonts w:hint="eastAsia" w:ascii="仿宋" w:hAnsi="仿宋" w:eastAsia="仿宋" w:cs="仿宋"/>
          <w:highlight w:val="none"/>
          <w:lang w:val="zh-CN"/>
        </w:rPr>
        <w:t>）</w:t>
      </w:r>
    </w:p>
    <w:p w14:paraId="00A24EC8">
      <w:pPr>
        <w:keepNext/>
        <w:keepLines/>
        <w:adjustRightInd w:val="0"/>
        <w:spacing w:line="416" w:lineRule="auto"/>
        <w:rPr>
          <w:rFonts w:hint="eastAsia" w:ascii="仿宋" w:hAnsi="仿宋" w:eastAsia="仿宋" w:cs="仿宋"/>
          <w:highlight w:val="none"/>
          <w:lang w:val="zh-CN"/>
        </w:rPr>
      </w:pPr>
    </w:p>
    <w:p w14:paraId="79559D3F">
      <w:pP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287B8436">
      <w:pPr>
        <w:pStyle w:val="19"/>
        <w:rPr>
          <w:rFonts w:hint="eastAsia" w:ascii="仿宋" w:hAnsi="仿宋" w:eastAsia="仿宋" w:cs="仿宋"/>
          <w:highlight w:val="none"/>
        </w:rPr>
      </w:pPr>
    </w:p>
    <w:p w14:paraId="2AD067CD">
      <w:pPr>
        <w:widowControl/>
        <w:spacing w:line="360" w:lineRule="auto"/>
        <w:ind w:left="15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四、本项目的特定资格要求</w:t>
      </w:r>
    </w:p>
    <w:p w14:paraId="2AA2935F">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（根据招标公告本项目的特定资格要求提供相应的材料；未要求的，无需提供）</w:t>
      </w:r>
    </w:p>
    <w:p w14:paraId="3FA6D16F">
      <w:pPr>
        <w:spacing w:line="360" w:lineRule="auto"/>
        <w:jc w:val="center"/>
        <w:rPr>
          <w:rFonts w:hint="eastAsia" w:ascii="仿宋" w:hAnsi="仿宋" w:eastAsia="仿宋" w:cs="仿宋"/>
          <w:sz w:val="24"/>
          <w:highlight w:val="none"/>
        </w:rPr>
      </w:pPr>
    </w:p>
    <w:p w14:paraId="34C42721">
      <w:pPr>
        <w:pStyle w:val="19"/>
        <w:ind w:left="0" w:leftChars="0" w:firstLine="0" w:firstLineChars="0"/>
        <w:rPr>
          <w:rFonts w:hint="eastAsia" w:ascii="仿宋" w:hAnsi="仿宋" w:eastAsia="仿宋" w:cs="仿宋"/>
          <w:sz w:val="24"/>
          <w:highlight w:val="none"/>
        </w:rPr>
      </w:pPr>
      <w:r>
        <w:rPr>
          <w:rFonts w:hint="eastAsia" w:ascii="仿宋" w:hAnsi="仿宋" w:eastAsia="仿宋" w:cs="仿宋"/>
          <w:highlight w:val="none"/>
          <w:lang w:val="zh-CN" w:eastAsia="zh-CN"/>
        </w:rPr>
        <w:t>（</w:t>
      </w:r>
      <w:r>
        <w:rPr>
          <w:rFonts w:hint="eastAsia" w:ascii="仿宋" w:hAnsi="仿宋" w:eastAsia="仿宋" w:cs="仿宋"/>
          <w:highlight w:val="none"/>
          <w:lang w:val="en-US" w:eastAsia="zh-CN"/>
        </w:rPr>
        <w:t>注：本项目应提供新闻出版行政部门颁发的出版物经营许可证</w:t>
      </w:r>
      <w:r>
        <w:rPr>
          <w:rFonts w:hint="eastAsia" w:ascii="仿宋" w:hAnsi="仿宋" w:eastAsia="仿宋" w:cs="仿宋"/>
          <w:highlight w:val="none"/>
          <w:lang w:val="zh-CN" w:eastAsia="zh-CN"/>
        </w:rPr>
        <w:t>）</w:t>
      </w:r>
      <w:r>
        <w:rPr>
          <w:rFonts w:hint="eastAsia" w:ascii="仿宋" w:hAnsi="仿宋" w:eastAsia="仿宋" w:cs="仿宋"/>
          <w:sz w:val="24"/>
          <w:highlight w:val="none"/>
        </w:rPr>
        <w:br w:type="page"/>
      </w:r>
    </w:p>
    <w:p w14:paraId="59549198">
      <w:pPr>
        <w:spacing w:line="360" w:lineRule="auto"/>
        <w:ind w:right="420"/>
        <w:jc w:val="center"/>
        <w:outlineLvl w:val="1"/>
        <w:rPr>
          <w:rFonts w:hint="eastAsia" w:ascii="仿宋" w:hAnsi="仿宋" w:eastAsia="仿宋" w:cs="仿宋"/>
          <w:b/>
          <w:kern w:val="0"/>
          <w:sz w:val="36"/>
          <w:szCs w:val="36"/>
          <w:highlight w:val="none"/>
        </w:rPr>
      </w:pPr>
      <w:bookmarkStart w:id="297" w:name="_Toc4272"/>
      <w:bookmarkStart w:id="298" w:name="_Toc3036"/>
      <w:bookmarkStart w:id="299" w:name="_Toc28076"/>
      <w:bookmarkStart w:id="300" w:name="_Toc23502"/>
      <w:r>
        <w:rPr>
          <w:rFonts w:hint="eastAsia" w:ascii="仿宋" w:hAnsi="仿宋" w:eastAsia="仿宋" w:cs="仿宋"/>
          <w:b/>
          <w:kern w:val="0"/>
          <w:sz w:val="36"/>
          <w:szCs w:val="36"/>
          <w:highlight w:val="none"/>
        </w:rPr>
        <w:t>商务技术文件部分</w:t>
      </w:r>
      <w:bookmarkEnd w:id="297"/>
      <w:bookmarkEnd w:id="298"/>
      <w:bookmarkEnd w:id="299"/>
      <w:bookmarkEnd w:id="300"/>
    </w:p>
    <w:p w14:paraId="6F85E681">
      <w:pPr>
        <w:spacing w:line="360" w:lineRule="auto"/>
        <w:jc w:val="center"/>
        <w:rPr>
          <w:rFonts w:hint="eastAsia" w:ascii="仿宋" w:hAnsi="仿宋" w:eastAsia="仿宋" w:cs="仿宋"/>
          <w:b/>
          <w:kern w:val="0"/>
          <w:sz w:val="24"/>
          <w:highlight w:val="none"/>
        </w:rPr>
      </w:pPr>
    </w:p>
    <w:p w14:paraId="1F0F43E3">
      <w:pPr>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目录</w:t>
      </w:r>
    </w:p>
    <w:p w14:paraId="74112526">
      <w:pPr>
        <w:numPr>
          <w:ilvl w:val="0"/>
          <w:numId w:val="10"/>
        </w:numPr>
        <w:snapToGrid w:val="0"/>
        <w:spacing w:line="360" w:lineRule="auto"/>
        <w:ind w:hanging="5"/>
        <w:rPr>
          <w:rFonts w:hint="eastAsia" w:ascii="仿宋" w:hAnsi="仿宋" w:eastAsia="仿宋" w:cs="仿宋"/>
          <w:sz w:val="24"/>
          <w:highlight w:val="none"/>
        </w:rPr>
      </w:pPr>
      <w:r>
        <w:rPr>
          <w:rFonts w:hint="eastAsia" w:ascii="仿宋" w:hAnsi="仿宋" w:eastAsia="仿宋" w:cs="仿宋"/>
          <w:sz w:val="24"/>
          <w:highlight w:val="none"/>
        </w:rPr>
        <w:t>投标函…………………………………………………………………………（页码）</w:t>
      </w:r>
    </w:p>
    <w:p w14:paraId="23F68D06">
      <w:pPr>
        <w:numPr>
          <w:ilvl w:val="0"/>
          <w:numId w:val="10"/>
        </w:numPr>
        <w:snapToGrid w:val="0"/>
        <w:spacing w:line="360" w:lineRule="auto"/>
        <w:ind w:hanging="5"/>
        <w:rPr>
          <w:rFonts w:hint="eastAsia" w:ascii="仿宋" w:hAnsi="仿宋" w:eastAsia="仿宋" w:cs="仿宋"/>
          <w:sz w:val="24"/>
          <w:highlight w:val="none"/>
        </w:rPr>
      </w:pPr>
      <w:r>
        <w:rPr>
          <w:rFonts w:hint="eastAsia" w:ascii="仿宋" w:hAnsi="仿宋" w:eastAsia="仿宋" w:cs="仿宋"/>
          <w:sz w:val="24"/>
          <w:highlight w:val="none"/>
        </w:rPr>
        <w:t>授权委托书或法定代表人（单位负责人、自然人本人）身份证明………（页码）</w:t>
      </w:r>
    </w:p>
    <w:p w14:paraId="534836E4">
      <w:pPr>
        <w:numPr>
          <w:ilvl w:val="0"/>
          <w:numId w:val="10"/>
        </w:numPr>
        <w:snapToGrid w:val="0"/>
        <w:spacing w:line="360" w:lineRule="auto"/>
        <w:ind w:hanging="5"/>
        <w:rPr>
          <w:rFonts w:hint="eastAsia" w:ascii="仿宋" w:hAnsi="仿宋" w:eastAsia="仿宋" w:cs="仿宋"/>
          <w:sz w:val="24"/>
          <w:highlight w:val="none"/>
        </w:rPr>
      </w:pPr>
      <w:r>
        <w:rPr>
          <w:rFonts w:hint="eastAsia" w:ascii="仿宋" w:hAnsi="仿宋" w:eastAsia="仿宋" w:cs="仿宋"/>
          <w:sz w:val="24"/>
          <w:highlight w:val="none"/>
        </w:rPr>
        <w:t>分包意向协议…………………………………………………………………（页码）</w:t>
      </w:r>
    </w:p>
    <w:p w14:paraId="2C110E19">
      <w:pPr>
        <w:numPr>
          <w:ilvl w:val="0"/>
          <w:numId w:val="10"/>
        </w:numPr>
        <w:snapToGrid w:val="0"/>
        <w:spacing w:line="360" w:lineRule="auto"/>
        <w:ind w:hanging="5"/>
        <w:rPr>
          <w:rFonts w:hint="eastAsia" w:ascii="仿宋" w:hAnsi="仿宋" w:eastAsia="仿宋" w:cs="仿宋"/>
          <w:sz w:val="24"/>
          <w:highlight w:val="none"/>
        </w:rPr>
      </w:pPr>
      <w:r>
        <w:rPr>
          <w:rFonts w:hint="eastAsia" w:ascii="仿宋" w:hAnsi="仿宋" w:eastAsia="仿宋" w:cs="仿宋"/>
          <w:sz w:val="24"/>
          <w:highlight w:val="none"/>
        </w:rPr>
        <w:t>符合性审查资料………………………………………………………………（页码）</w:t>
      </w:r>
    </w:p>
    <w:p w14:paraId="282F1865">
      <w:pPr>
        <w:numPr>
          <w:ilvl w:val="0"/>
          <w:numId w:val="10"/>
        </w:numPr>
        <w:snapToGrid w:val="0"/>
        <w:spacing w:line="360" w:lineRule="auto"/>
        <w:ind w:hanging="5"/>
        <w:rPr>
          <w:rFonts w:hint="eastAsia" w:ascii="仿宋" w:hAnsi="仿宋" w:eastAsia="仿宋" w:cs="仿宋"/>
          <w:sz w:val="24"/>
          <w:highlight w:val="none"/>
        </w:rPr>
      </w:pPr>
      <w:r>
        <w:rPr>
          <w:rFonts w:hint="eastAsia" w:ascii="仿宋" w:hAnsi="仿宋" w:eastAsia="仿宋" w:cs="仿宋"/>
          <w:sz w:val="24"/>
          <w:highlight w:val="none"/>
        </w:rPr>
        <w:t>评标标准相应的商务技术资料………………………………………………（页码）</w:t>
      </w:r>
    </w:p>
    <w:p w14:paraId="6B2F1501">
      <w:pPr>
        <w:numPr>
          <w:ilvl w:val="0"/>
          <w:numId w:val="10"/>
        </w:numPr>
        <w:snapToGrid w:val="0"/>
        <w:spacing w:line="360" w:lineRule="auto"/>
        <w:ind w:hanging="5"/>
        <w:rPr>
          <w:rFonts w:hint="eastAsia" w:ascii="仿宋" w:hAnsi="仿宋" w:eastAsia="仿宋" w:cs="仿宋"/>
          <w:sz w:val="24"/>
          <w:highlight w:val="none"/>
        </w:rPr>
      </w:pPr>
      <w:r>
        <w:rPr>
          <w:rFonts w:hint="eastAsia" w:ascii="仿宋" w:hAnsi="仿宋" w:eastAsia="仿宋" w:cs="仿宋"/>
          <w:sz w:val="24"/>
          <w:highlight w:val="none"/>
        </w:rPr>
        <w:t>投标标的清单…………………………………………………………………（页码）</w:t>
      </w:r>
    </w:p>
    <w:p w14:paraId="76779967">
      <w:pPr>
        <w:numPr>
          <w:ilvl w:val="0"/>
          <w:numId w:val="10"/>
        </w:numPr>
        <w:snapToGrid w:val="0"/>
        <w:spacing w:line="360" w:lineRule="auto"/>
        <w:ind w:hanging="5"/>
        <w:rPr>
          <w:rFonts w:hint="eastAsia" w:ascii="仿宋" w:hAnsi="仿宋" w:eastAsia="仿宋" w:cs="仿宋"/>
          <w:sz w:val="24"/>
          <w:highlight w:val="none"/>
        </w:rPr>
      </w:pPr>
      <w:r>
        <w:rPr>
          <w:rFonts w:hint="eastAsia" w:ascii="仿宋" w:hAnsi="仿宋" w:eastAsia="仿宋" w:cs="仿宋"/>
          <w:sz w:val="24"/>
          <w:highlight w:val="none"/>
        </w:rPr>
        <w:t>商务技术偏离表………………………………………………………………（页码）</w:t>
      </w:r>
    </w:p>
    <w:p w14:paraId="0C942465">
      <w:pPr>
        <w:numPr>
          <w:ilvl w:val="0"/>
          <w:numId w:val="10"/>
        </w:numPr>
        <w:snapToGrid w:val="0"/>
        <w:spacing w:line="360" w:lineRule="auto"/>
        <w:ind w:hanging="5"/>
        <w:rPr>
          <w:rFonts w:hint="eastAsia" w:ascii="仿宋" w:hAnsi="仿宋" w:eastAsia="仿宋" w:cs="仿宋"/>
          <w:sz w:val="24"/>
          <w:highlight w:val="none"/>
        </w:rPr>
      </w:pPr>
      <w:r>
        <w:rPr>
          <w:rFonts w:hint="eastAsia" w:ascii="仿宋" w:hAnsi="仿宋" w:eastAsia="仿宋" w:cs="仿宋"/>
          <w:sz w:val="24"/>
          <w:highlight w:val="none"/>
          <w:lang w:val="zh-CN"/>
        </w:rPr>
        <w:t>政府采购供应商廉洁自律承诺书</w:t>
      </w:r>
      <w:r>
        <w:rPr>
          <w:rFonts w:hint="eastAsia" w:ascii="仿宋" w:hAnsi="仿宋" w:eastAsia="仿宋" w:cs="仿宋"/>
          <w:sz w:val="24"/>
          <w:highlight w:val="none"/>
        </w:rPr>
        <w:t>……………………………………………（页码）</w:t>
      </w:r>
    </w:p>
    <w:p w14:paraId="75E11759">
      <w:pPr>
        <w:rPr>
          <w:rFonts w:hint="eastAsia" w:ascii="仿宋" w:hAnsi="仿宋" w:eastAsia="仿宋" w:cs="仿宋"/>
          <w:highlight w:val="none"/>
          <w:lang w:val="zh-CN"/>
        </w:rPr>
      </w:pPr>
    </w:p>
    <w:p w14:paraId="634828F0">
      <w:pPr>
        <w:rPr>
          <w:rFonts w:hint="eastAsia" w:ascii="仿宋" w:hAnsi="仿宋" w:eastAsia="仿宋" w:cs="仿宋"/>
          <w:highlight w:val="none"/>
          <w:lang w:val="zh-CN"/>
        </w:rPr>
      </w:pPr>
    </w:p>
    <w:p w14:paraId="2CA51A26">
      <w:pPr>
        <w:rPr>
          <w:rFonts w:hint="eastAsia" w:ascii="仿宋" w:hAnsi="仿宋" w:eastAsia="仿宋" w:cs="仿宋"/>
          <w:highlight w:val="none"/>
          <w:lang w:val="zh-CN"/>
        </w:rPr>
      </w:pPr>
    </w:p>
    <w:p w14:paraId="78F6981E">
      <w:pPr>
        <w:rPr>
          <w:rFonts w:hint="eastAsia" w:ascii="仿宋" w:hAnsi="仿宋" w:eastAsia="仿宋" w:cs="仿宋"/>
          <w:highlight w:val="none"/>
          <w:lang w:val="zh-CN"/>
        </w:rPr>
      </w:pPr>
    </w:p>
    <w:p w14:paraId="653DD438">
      <w:pPr>
        <w:rPr>
          <w:rFonts w:hint="eastAsia" w:ascii="仿宋" w:hAnsi="仿宋" w:eastAsia="仿宋" w:cs="仿宋"/>
          <w:highlight w:val="none"/>
          <w:lang w:val="zh-CN"/>
        </w:rPr>
      </w:pPr>
    </w:p>
    <w:p w14:paraId="2567A243">
      <w:pPr>
        <w:rPr>
          <w:rFonts w:hint="eastAsia" w:ascii="仿宋" w:hAnsi="仿宋" w:eastAsia="仿宋" w:cs="仿宋"/>
          <w:highlight w:val="none"/>
        </w:rPr>
      </w:pPr>
    </w:p>
    <w:p w14:paraId="2B9DE686">
      <w:pPr>
        <w:rPr>
          <w:rFonts w:hint="eastAsia" w:ascii="仿宋" w:hAnsi="仿宋" w:eastAsia="仿宋" w:cs="仿宋"/>
          <w:highlight w:val="none"/>
        </w:rPr>
      </w:pPr>
    </w:p>
    <w:p w14:paraId="57B8D4E8">
      <w:pPr>
        <w:rPr>
          <w:rFonts w:hint="eastAsia" w:ascii="仿宋" w:hAnsi="仿宋" w:eastAsia="仿宋" w:cs="仿宋"/>
          <w:highlight w:val="none"/>
        </w:rPr>
      </w:pPr>
    </w:p>
    <w:p w14:paraId="5A888FA2">
      <w:pPr>
        <w:rPr>
          <w:rFonts w:hint="eastAsia" w:ascii="仿宋" w:hAnsi="仿宋" w:eastAsia="仿宋" w:cs="仿宋"/>
          <w:highlight w:val="none"/>
        </w:rPr>
      </w:pPr>
    </w:p>
    <w:p w14:paraId="67FD456C">
      <w:pPr>
        <w:rPr>
          <w:rFonts w:hint="eastAsia" w:ascii="仿宋" w:hAnsi="仿宋" w:eastAsia="仿宋" w:cs="仿宋"/>
          <w:highlight w:val="none"/>
        </w:rPr>
      </w:pPr>
    </w:p>
    <w:p w14:paraId="1043B275">
      <w:pPr>
        <w:rPr>
          <w:rFonts w:hint="eastAsia" w:ascii="仿宋" w:hAnsi="仿宋" w:eastAsia="仿宋" w:cs="仿宋"/>
          <w:highlight w:val="none"/>
        </w:rPr>
      </w:pPr>
    </w:p>
    <w:p w14:paraId="4A38BCC5">
      <w:pPr>
        <w:rPr>
          <w:rFonts w:hint="eastAsia" w:ascii="仿宋" w:hAnsi="仿宋" w:eastAsia="仿宋" w:cs="仿宋"/>
          <w:highlight w:val="none"/>
        </w:rPr>
      </w:pPr>
    </w:p>
    <w:p w14:paraId="08D460E6">
      <w:pPr>
        <w:rPr>
          <w:rFonts w:hint="eastAsia" w:ascii="仿宋" w:hAnsi="仿宋" w:eastAsia="仿宋" w:cs="仿宋"/>
          <w:highlight w:val="none"/>
        </w:rPr>
      </w:pPr>
    </w:p>
    <w:p w14:paraId="5661CF16">
      <w:pPr>
        <w:rPr>
          <w:rFonts w:hint="eastAsia" w:ascii="仿宋" w:hAnsi="仿宋" w:eastAsia="仿宋" w:cs="仿宋"/>
          <w:highlight w:val="none"/>
        </w:rPr>
      </w:pPr>
    </w:p>
    <w:p w14:paraId="110B3882">
      <w:pP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4F0B1E66">
      <w:pPr>
        <w:snapToGrid w:val="0"/>
        <w:spacing w:line="360" w:lineRule="auto"/>
        <w:jc w:val="center"/>
        <w:rPr>
          <w:rFonts w:hint="eastAsia" w:ascii="仿宋" w:hAnsi="仿宋" w:eastAsia="仿宋" w:cs="仿宋"/>
          <w:b/>
          <w:sz w:val="32"/>
          <w:szCs w:val="32"/>
          <w:highlight w:val="none"/>
        </w:rPr>
      </w:pPr>
      <w:r>
        <w:rPr>
          <w:rFonts w:hint="eastAsia" w:ascii="仿宋" w:hAnsi="仿宋" w:eastAsia="仿宋" w:cs="仿宋"/>
          <w:b/>
          <w:kern w:val="0"/>
          <w:sz w:val="32"/>
          <w:szCs w:val="32"/>
          <w:highlight w:val="none"/>
        </w:rPr>
        <w:t>一、投标</w:t>
      </w:r>
      <w:r>
        <w:rPr>
          <w:rFonts w:hint="eastAsia" w:ascii="仿宋" w:hAnsi="仿宋" w:eastAsia="仿宋" w:cs="仿宋"/>
          <w:b/>
          <w:sz w:val="32"/>
          <w:szCs w:val="32"/>
          <w:highlight w:val="none"/>
        </w:rPr>
        <w:t>函</w:t>
      </w:r>
    </w:p>
    <w:p w14:paraId="4D95F5EF">
      <w:pPr>
        <w:adjustRightInd w:val="0"/>
        <w:snapToGrid w:val="0"/>
        <w:spacing w:line="360" w:lineRule="exact"/>
        <w:rPr>
          <w:rFonts w:hint="eastAsia" w:ascii="仿宋" w:hAnsi="仿宋" w:eastAsia="仿宋" w:cs="仿宋"/>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sz w:val="24"/>
          <w:highlight w:val="none"/>
        </w:rPr>
        <w:t>：</w:t>
      </w:r>
    </w:p>
    <w:p w14:paraId="4919D205">
      <w:pPr>
        <w:adjustRightInd w:val="0"/>
        <w:snapToGrid w:val="0"/>
        <w:spacing w:line="3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我方参加你方组织的（项目名称）【招标编号：（采购编号）】招标的有关活动，并对此项目进行投标。为此：</w:t>
      </w:r>
    </w:p>
    <w:p w14:paraId="241A285E">
      <w:pPr>
        <w:adjustRightInd w:val="0"/>
        <w:snapToGrid w:val="0"/>
        <w:spacing w:line="360" w:lineRule="exact"/>
        <w:ind w:firstLine="420"/>
        <w:rPr>
          <w:rFonts w:hint="eastAsia" w:ascii="仿宋" w:hAnsi="仿宋" w:eastAsia="仿宋" w:cs="仿宋"/>
          <w:sz w:val="24"/>
          <w:highlight w:val="none"/>
        </w:rPr>
      </w:pPr>
      <w:r>
        <w:rPr>
          <w:rFonts w:hint="eastAsia" w:ascii="仿宋" w:hAnsi="仿宋" w:eastAsia="仿宋" w:cs="仿宋"/>
          <w:sz w:val="24"/>
          <w:highlight w:val="none"/>
        </w:rPr>
        <w:t>1、我方承诺投标有效期从提交投标文件的截止之日起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天（不少于90天）</w:t>
      </w:r>
      <w:r>
        <w:rPr>
          <w:rFonts w:hint="eastAsia" w:ascii="仿宋" w:hAnsi="仿宋" w:eastAsia="仿宋" w:cs="仿宋"/>
          <w:highlight w:val="none"/>
        </w:rPr>
        <w:t>，</w:t>
      </w:r>
      <w:r>
        <w:rPr>
          <w:rFonts w:hint="eastAsia" w:ascii="仿宋" w:hAnsi="仿宋" w:eastAsia="仿宋" w:cs="仿宋"/>
          <w:sz w:val="24"/>
          <w:highlight w:val="none"/>
        </w:rPr>
        <w:t>本投标文件在投标有效期满之前均具有约束力。</w:t>
      </w:r>
    </w:p>
    <w:p w14:paraId="232730EC">
      <w:pPr>
        <w:adjustRightInd w:val="0"/>
        <w:snapToGrid w:val="0"/>
        <w:spacing w:line="3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2、我方的投标文件包括以下内容：</w:t>
      </w:r>
    </w:p>
    <w:p w14:paraId="10484D3E">
      <w:pPr>
        <w:adjustRightInd w:val="0"/>
        <w:snapToGrid w:val="0"/>
        <w:spacing w:line="360" w:lineRule="exact"/>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2.1资格文件：</w:t>
      </w:r>
    </w:p>
    <w:p w14:paraId="500E0FB8">
      <w:pPr>
        <w:adjustRightInd w:val="0"/>
        <w:snapToGrid w:val="0"/>
        <w:spacing w:line="36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2.1.1符合参加政府采购活动应当具备的一般条件的承诺函；</w:t>
      </w:r>
    </w:p>
    <w:p w14:paraId="463BCDBC">
      <w:pPr>
        <w:adjustRightInd w:val="0"/>
        <w:snapToGrid w:val="0"/>
        <w:spacing w:line="36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2.1.2联合协议；（如果有)</w:t>
      </w:r>
    </w:p>
    <w:p w14:paraId="74CF4623">
      <w:pPr>
        <w:adjustRightInd w:val="0"/>
        <w:snapToGrid w:val="0"/>
        <w:spacing w:line="36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2.1.3落实政府采购政策需满足的资格要求</w:t>
      </w:r>
      <w:r>
        <w:rPr>
          <w:rFonts w:hint="eastAsia" w:ascii="仿宋" w:hAnsi="仿宋" w:eastAsia="仿宋" w:cs="仿宋"/>
          <w:bCs/>
          <w:sz w:val="24"/>
          <w:highlight w:val="none"/>
        </w:rPr>
        <w:t>；（</w:t>
      </w:r>
      <w:r>
        <w:rPr>
          <w:rFonts w:hint="eastAsia" w:ascii="仿宋" w:hAnsi="仿宋" w:eastAsia="仿宋" w:cs="仿宋"/>
          <w:bCs/>
          <w:sz w:val="24"/>
          <w:highlight w:val="none"/>
          <w:lang w:val="en-US" w:eastAsia="zh-CN"/>
        </w:rPr>
        <w:t>本项目无</w:t>
      </w:r>
      <w:r>
        <w:rPr>
          <w:rFonts w:hint="eastAsia" w:ascii="仿宋" w:hAnsi="仿宋" w:eastAsia="仿宋" w:cs="仿宋"/>
          <w:bCs/>
          <w:sz w:val="24"/>
          <w:highlight w:val="none"/>
        </w:rPr>
        <w:t>）</w:t>
      </w:r>
    </w:p>
    <w:p w14:paraId="52D79E7D">
      <w:pPr>
        <w:adjustRightInd w:val="0"/>
        <w:snapToGrid w:val="0"/>
        <w:spacing w:line="360" w:lineRule="exact"/>
        <w:ind w:left="420" w:leftChars="200" w:firstLine="480" w:firstLineChars="200"/>
        <w:rPr>
          <w:rFonts w:hint="eastAsia" w:ascii="仿宋" w:hAnsi="仿宋" w:eastAsia="仿宋" w:cs="仿宋"/>
          <w:bCs/>
          <w:sz w:val="24"/>
          <w:highlight w:val="none"/>
        </w:rPr>
      </w:pPr>
      <w:r>
        <w:rPr>
          <w:rFonts w:hint="eastAsia" w:ascii="仿宋" w:hAnsi="仿宋" w:eastAsia="仿宋" w:cs="仿宋"/>
          <w:sz w:val="24"/>
          <w:highlight w:val="none"/>
        </w:rPr>
        <w:t>2.1.4本项目的特定资格要求</w:t>
      </w:r>
      <w:r>
        <w:rPr>
          <w:rFonts w:hint="eastAsia" w:ascii="仿宋" w:hAnsi="仿宋" w:eastAsia="仿宋" w:cs="仿宋"/>
          <w:bCs/>
          <w:sz w:val="24"/>
          <w:highlight w:val="none"/>
        </w:rPr>
        <w:t>。（</w:t>
      </w:r>
      <w:r>
        <w:rPr>
          <w:rFonts w:hint="eastAsia" w:ascii="仿宋" w:hAnsi="仿宋" w:eastAsia="仿宋" w:cs="仿宋"/>
          <w:bCs/>
          <w:sz w:val="24"/>
          <w:highlight w:val="none"/>
          <w:lang w:val="en-US" w:eastAsia="zh-CN"/>
        </w:rPr>
        <w:t>新闻出版行政部门颁发的出版物经营许可证</w:t>
      </w:r>
      <w:r>
        <w:rPr>
          <w:rFonts w:hint="eastAsia" w:ascii="仿宋" w:hAnsi="仿宋" w:eastAsia="仿宋" w:cs="仿宋"/>
          <w:bCs/>
          <w:sz w:val="24"/>
          <w:highlight w:val="none"/>
        </w:rPr>
        <w:t>）</w:t>
      </w:r>
    </w:p>
    <w:p w14:paraId="68E129F9">
      <w:pPr>
        <w:adjustRightInd w:val="0"/>
        <w:snapToGrid w:val="0"/>
        <w:spacing w:line="360" w:lineRule="exact"/>
        <w:ind w:left="210" w:leftChars="10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商务技术</w:t>
      </w:r>
      <w:r>
        <w:rPr>
          <w:rFonts w:hint="eastAsia" w:ascii="仿宋" w:hAnsi="仿宋" w:eastAsia="仿宋" w:cs="仿宋"/>
          <w:sz w:val="24"/>
          <w:highlight w:val="none"/>
          <w:lang w:val="zh-CN"/>
        </w:rPr>
        <w:t>文件：</w:t>
      </w:r>
    </w:p>
    <w:p w14:paraId="35A0ED15">
      <w:pPr>
        <w:adjustRightInd w:val="0"/>
        <w:snapToGrid w:val="0"/>
        <w:spacing w:line="36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2.2.1投标函；</w:t>
      </w:r>
      <w:r>
        <w:rPr>
          <w:rFonts w:hint="eastAsia" w:ascii="仿宋" w:hAnsi="仿宋" w:eastAsia="仿宋" w:cs="仿宋"/>
          <w:sz w:val="24"/>
          <w:highlight w:val="none"/>
          <w:lang w:val="zh-CN"/>
        </w:rPr>
        <w:t xml:space="preserve"> </w:t>
      </w:r>
    </w:p>
    <w:p w14:paraId="49FC564B">
      <w:pPr>
        <w:adjustRightInd w:val="0"/>
        <w:snapToGrid w:val="0"/>
        <w:spacing w:line="36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2.2.2授权委托书或法定代表人（单位负责人）身份证明，</w:t>
      </w:r>
      <w:r>
        <w:rPr>
          <w:rFonts w:hint="eastAsia" w:ascii="仿宋" w:hAnsi="仿宋" w:eastAsia="仿宋" w:cs="仿宋"/>
          <w:bCs/>
          <w:sz w:val="24"/>
          <w:highlight w:val="none"/>
        </w:rPr>
        <w:t>以及为授权代表缴纳、距投标截止时间3个月内任意时间出具的社保证明材料</w:t>
      </w:r>
      <w:r>
        <w:rPr>
          <w:rFonts w:hint="eastAsia" w:ascii="仿宋" w:hAnsi="仿宋" w:eastAsia="仿宋" w:cs="仿宋"/>
          <w:sz w:val="24"/>
          <w:highlight w:val="none"/>
        </w:rPr>
        <w:t>；</w:t>
      </w:r>
    </w:p>
    <w:p w14:paraId="13404078">
      <w:pPr>
        <w:adjustRightInd w:val="0"/>
        <w:snapToGrid w:val="0"/>
        <w:spacing w:line="36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2.2.3分包意向协议；（</w:t>
      </w:r>
      <w:r>
        <w:rPr>
          <w:rFonts w:hint="eastAsia" w:ascii="仿宋" w:hAnsi="仿宋" w:eastAsia="仿宋" w:cs="仿宋"/>
          <w:bCs/>
          <w:sz w:val="24"/>
          <w:highlight w:val="none"/>
        </w:rPr>
        <w:t>如果有</w:t>
      </w:r>
      <w:r>
        <w:rPr>
          <w:rFonts w:hint="eastAsia" w:ascii="仿宋" w:hAnsi="仿宋" w:eastAsia="仿宋" w:cs="仿宋"/>
          <w:sz w:val="24"/>
          <w:highlight w:val="none"/>
        </w:rPr>
        <w:t>）</w:t>
      </w:r>
    </w:p>
    <w:p w14:paraId="6F3D865C">
      <w:pPr>
        <w:adjustRightInd w:val="0"/>
        <w:snapToGrid w:val="0"/>
        <w:spacing w:line="36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2.2.4符合性审查资料；</w:t>
      </w:r>
    </w:p>
    <w:p w14:paraId="22F75D2E">
      <w:pPr>
        <w:adjustRightInd w:val="0"/>
        <w:snapToGrid w:val="0"/>
        <w:spacing w:line="36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2.2.5评标标准相应的商务技术资料；</w:t>
      </w:r>
    </w:p>
    <w:p w14:paraId="273BD575">
      <w:pPr>
        <w:adjustRightInd w:val="0"/>
        <w:snapToGrid w:val="0"/>
        <w:spacing w:line="36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2.2.6投标标的清单；</w:t>
      </w:r>
    </w:p>
    <w:p w14:paraId="13B7D946">
      <w:pPr>
        <w:adjustRightInd w:val="0"/>
        <w:snapToGrid w:val="0"/>
        <w:spacing w:line="36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2.2.7商务技术偏离表；</w:t>
      </w:r>
    </w:p>
    <w:p w14:paraId="0AD03FE7">
      <w:pPr>
        <w:adjustRightInd w:val="0"/>
        <w:snapToGrid w:val="0"/>
        <w:spacing w:line="360" w:lineRule="exact"/>
        <w:ind w:left="420" w:leftChars="20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8</w:t>
      </w:r>
      <w:r>
        <w:rPr>
          <w:rFonts w:hint="eastAsia" w:ascii="仿宋" w:hAnsi="仿宋" w:eastAsia="仿宋" w:cs="仿宋"/>
          <w:sz w:val="24"/>
          <w:highlight w:val="none"/>
          <w:lang w:val="zh-CN"/>
        </w:rPr>
        <w:t>政府采购供应商廉洁自律承诺书；</w:t>
      </w:r>
    </w:p>
    <w:p w14:paraId="149C93FC">
      <w:pPr>
        <w:adjustRightInd w:val="0"/>
        <w:snapToGrid w:val="0"/>
        <w:spacing w:line="360" w:lineRule="exact"/>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3报价文件</w:t>
      </w:r>
    </w:p>
    <w:p w14:paraId="1E6F8B19">
      <w:pPr>
        <w:adjustRightInd w:val="0"/>
        <w:snapToGrid w:val="0"/>
        <w:spacing w:line="40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2.3.1开标一览表（报价表）；</w:t>
      </w:r>
    </w:p>
    <w:p w14:paraId="39E1A1C4">
      <w:pPr>
        <w:adjustRightInd w:val="0"/>
        <w:snapToGrid w:val="0"/>
        <w:spacing w:line="36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2.3.2报价明细表</w:t>
      </w:r>
      <w:r>
        <w:rPr>
          <w:rFonts w:hint="eastAsia" w:ascii="仿宋" w:hAnsi="仿宋" w:eastAsia="仿宋" w:cs="仿宋"/>
          <w:sz w:val="24"/>
          <w:highlight w:val="none"/>
          <w:lang w:eastAsia="zh-CN"/>
        </w:rPr>
        <w:t>；</w:t>
      </w:r>
      <w:r>
        <w:rPr>
          <w:rFonts w:hint="eastAsia" w:ascii="仿宋" w:hAnsi="仿宋" w:eastAsia="仿宋" w:cs="仿宋"/>
          <w:sz w:val="24"/>
          <w:highlight w:val="none"/>
        </w:rPr>
        <w:t>（自拟）</w:t>
      </w:r>
    </w:p>
    <w:p w14:paraId="21D93398">
      <w:pPr>
        <w:adjustRightInd w:val="0"/>
        <w:snapToGrid w:val="0"/>
        <w:spacing w:line="360" w:lineRule="exact"/>
        <w:ind w:left="420" w:leftChars="200"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2.3.3中小企业声明函。（如果有）</w:t>
      </w:r>
    </w:p>
    <w:p w14:paraId="2E940043">
      <w:pPr>
        <w:adjustRightInd w:val="0"/>
        <w:snapToGrid w:val="0"/>
        <w:spacing w:line="360" w:lineRule="exact"/>
        <w:ind w:firstLine="420"/>
        <w:rPr>
          <w:rFonts w:hint="eastAsia" w:ascii="仿宋" w:hAnsi="仿宋" w:eastAsia="仿宋" w:cs="仿宋"/>
          <w:sz w:val="24"/>
          <w:highlight w:val="none"/>
        </w:rPr>
      </w:pPr>
      <w:r>
        <w:rPr>
          <w:rFonts w:hint="eastAsia" w:ascii="仿宋" w:hAnsi="仿宋" w:eastAsia="仿宋" w:cs="仿宋"/>
          <w:sz w:val="24"/>
          <w:highlight w:val="none"/>
        </w:rPr>
        <w:t>3、我方承诺除商务技术偏离表列出的偏离外，我方响应招标文件的全部要求。</w:t>
      </w:r>
    </w:p>
    <w:p w14:paraId="2820951C">
      <w:pPr>
        <w:adjustRightInd w:val="0"/>
        <w:snapToGrid w:val="0"/>
        <w:spacing w:line="360" w:lineRule="exact"/>
        <w:ind w:firstLine="420"/>
        <w:rPr>
          <w:rFonts w:hint="eastAsia" w:ascii="仿宋" w:hAnsi="仿宋" w:eastAsia="仿宋" w:cs="仿宋"/>
          <w:sz w:val="24"/>
          <w:highlight w:val="none"/>
        </w:rPr>
      </w:pPr>
      <w:r>
        <w:rPr>
          <w:rFonts w:hint="eastAsia" w:ascii="仿宋" w:hAnsi="仿宋" w:eastAsia="仿宋" w:cs="仿宋"/>
          <w:sz w:val="24"/>
          <w:highlight w:val="none"/>
        </w:rPr>
        <w:t>4、如我方中标，我方承诺：</w:t>
      </w:r>
    </w:p>
    <w:p w14:paraId="7BCDB1DD">
      <w:pPr>
        <w:adjustRightInd w:val="0"/>
        <w:snapToGrid w:val="0"/>
        <w:spacing w:line="360" w:lineRule="exact"/>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4.1在收到中标通知书后，在中标通知书规定的期限内与你方签订合同； </w:t>
      </w:r>
    </w:p>
    <w:p w14:paraId="3F9244C2">
      <w:pPr>
        <w:adjustRightInd w:val="0"/>
        <w:snapToGrid w:val="0"/>
        <w:spacing w:line="360" w:lineRule="exact"/>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4.2在签订合同时不向你方提出附加条件； </w:t>
      </w:r>
    </w:p>
    <w:p w14:paraId="00617007">
      <w:pPr>
        <w:adjustRightInd w:val="0"/>
        <w:snapToGrid w:val="0"/>
        <w:spacing w:line="360" w:lineRule="exact"/>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4.3按照招标文件要求提交履约保证金； </w:t>
      </w:r>
    </w:p>
    <w:p w14:paraId="17D1B5C9">
      <w:pPr>
        <w:adjustRightInd w:val="0"/>
        <w:snapToGrid w:val="0"/>
        <w:spacing w:line="360" w:lineRule="exact"/>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4.4在合同约定的期限内完成合同规定的全部义务。 </w:t>
      </w:r>
    </w:p>
    <w:p w14:paraId="0114C041">
      <w:pPr>
        <w:adjustRightInd w:val="0"/>
        <w:snapToGrid w:val="0"/>
        <w:spacing w:line="360" w:lineRule="exact"/>
        <w:ind w:firstLine="420"/>
        <w:rPr>
          <w:rFonts w:hint="eastAsia" w:ascii="仿宋" w:hAnsi="仿宋" w:eastAsia="仿宋" w:cs="仿宋"/>
          <w:sz w:val="24"/>
          <w:highlight w:val="none"/>
        </w:rPr>
      </w:pPr>
      <w:r>
        <w:rPr>
          <w:rFonts w:hint="eastAsia" w:ascii="仿宋" w:hAnsi="仿宋" w:eastAsia="仿宋" w:cs="仿宋"/>
          <w:sz w:val="24"/>
          <w:highlight w:val="none"/>
        </w:rPr>
        <w:t>5、其他补充说明: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283893B5">
      <w:pPr>
        <w:adjustRightInd w:val="0"/>
        <w:snapToGrid w:val="0"/>
        <w:spacing w:line="360" w:lineRule="exact"/>
        <w:ind w:firstLine="3600" w:firstLineChars="1500"/>
        <w:rPr>
          <w:rFonts w:hint="eastAsia" w:ascii="仿宋" w:hAnsi="仿宋" w:eastAsia="仿宋" w:cs="仿宋"/>
          <w:sz w:val="24"/>
          <w:highlight w:val="none"/>
        </w:rPr>
      </w:pPr>
    </w:p>
    <w:p w14:paraId="45A40D60">
      <w:pPr>
        <w:adjustRightInd w:val="0"/>
        <w:snapToGrid w:val="0"/>
        <w:spacing w:line="360" w:lineRule="exact"/>
        <w:ind w:firstLine="3600" w:firstLineChars="1500"/>
        <w:rPr>
          <w:rFonts w:hint="eastAsia" w:ascii="仿宋" w:hAnsi="仿宋" w:eastAsia="仿宋" w:cs="仿宋"/>
          <w:sz w:val="24"/>
          <w:highlight w:val="none"/>
        </w:rPr>
      </w:pPr>
      <w:r>
        <w:rPr>
          <w:rFonts w:hint="eastAsia" w:ascii="仿宋" w:hAnsi="仿宋" w:eastAsia="仿宋" w:cs="仿宋"/>
          <w:sz w:val="24"/>
          <w:highlight w:val="none"/>
        </w:rPr>
        <w:t xml:space="preserve">投标人名称（电子签名）：                          </w:t>
      </w:r>
    </w:p>
    <w:p w14:paraId="5747A24A">
      <w:pPr>
        <w:adjustRightInd w:val="0"/>
        <w:snapToGrid w:val="0"/>
        <w:spacing w:line="360" w:lineRule="exact"/>
        <w:jc w:val="center"/>
        <w:rPr>
          <w:rFonts w:hint="eastAsia" w:ascii="仿宋" w:hAnsi="仿宋" w:eastAsia="仿宋" w:cs="仿宋"/>
          <w:kern w:val="0"/>
          <w:sz w:val="24"/>
          <w:highlight w:val="none"/>
          <w:u w:val="single"/>
          <w:lang w:val="zh-CN"/>
        </w:rPr>
      </w:pPr>
      <w:r>
        <w:rPr>
          <w:rFonts w:hint="eastAsia" w:ascii="仿宋" w:hAnsi="仿宋" w:eastAsia="仿宋" w:cs="仿宋"/>
          <w:sz w:val="24"/>
          <w:highlight w:val="none"/>
        </w:rPr>
        <w:t xml:space="preserve">     日期：</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日</w:t>
      </w:r>
    </w:p>
    <w:p w14:paraId="247C281B">
      <w:pPr>
        <w:spacing w:line="360" w:lineRule="auto"/>
        <w:ind w:right="420"/>
        <w:rPr>
          <w:rFonts w:hint="eastAsia" w:ascii="仿宋" w:hAnsi="仿宋" w:eastAsia="仿宋" w:cs="仿宋"/>
          <w:sz w:val="24"/>
          <w:highlight w:val="none"/>
        </w:rPr>
      </w:pPr>
    </w:p>
    <w:p w14:paraId="0526E265">
      <w:pPr>
        <w:rPr>
          <w:rFonts w:hint="eastAsia" w:ascii="仿宋" w:hAnsi="仿宋" w:eastAsia="仿宋" w:cs="仿宋"/>
          <w:b/>
          <w:kern w:val="0"/>
          <w:sz w:val="32"/>
          <w:szCs w:val="32"/>
          <w:highlight w:val="none"/>
          <w:lang w:val="zh-CN"/>
        </w:rPr>
      </w:pPr>
    </w:p>
    <w:p w14:paraId="5BE55270">
      <w:pPr>
        <w:snapToGrid w:val="0"/>
        <w:spacing w:line="360" w:lineRule="auto"/>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二、授权委托书或法定代表人（单位负责人、自然人本人）身份证明</w:t>
      </w:r>
    </w:p>
    <w:p w14:paraId="18099E3C">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433B9FE9">
      <w:pPr>
        <w:snapToGrid w:val="0"/>
        <w:spacing w:line="360" w:lineRule="auto"/>
        <w:jc w:val="center"/>
        <w:rPr>
          <w:rFonts w:hint="eastAsia" w:ascii="仿宋" w:hAnsi="仿宋" w:eastAsia="仿宋" w:cs="仿宋"/>
          <w:highlight w:val="none"/>
        </w:rPr>
      </w:pPr>
      <w:r>
        <w:rPr>
          <w:rFonts w:hint="eastAsia" w:ascii="仿宋" w:hAnsi="仿宋" w:eastAsia="仿宋" w:cs="仿宋"/>
          <w:b/>
          <w:kern w:val="0"/>
          <w:sz w:val="32"/>
          <w:szCs w:val="32"/>
          <w:highlight w:val="none"/>
          <w:lang w:val="zh-CN"/>
        </w:rPr>
        <w:t>授权委托书（适用于非联合体投标）</w:t>
      </w:r>
    </w:p>
    <w:p w14:paraId="6DB117A2">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kern w:val="0"/>
          <w:sz w:val="24"/>
          <w:highlight w:val="none"/>
          <w:lang w:val="zh-CN"/>
        </w:rPr>
        <w:t>：</w:t>
      </w:r>
    </w:p>
    <w:p w14:paraId="58F00E83">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，所在单位：</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政府采购投标的一切事项，其法律后果由我方承担。</w:t>
      </w:r>
    </w:p>
    <w:p w14:paraId="36D2BC6B">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日止。</w:t>
      </w:r>
    </w:p>
    <w:p w14:paraId="226B664F">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14:paraId="5BCD186E">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投标人名称(电子签名)：</w:t>
      </w:r>
    </w:p>
    <w:p w14:paraId="284918F4">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签发日期：</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日</w:t>
      </w:r>
    </w:p>
    <w:p w14:paraId="5C2B0D7D">
      <w:pPr>
        <w:snapToGrid w:val="0"/>
        <w:spacing w:line="360" w:lineRule="auto"/>
        <w:rPr>
          <w:rFonts w:hint="eastAsia" w:ascii="仿宋" w:hAnsi="仿宋" w:eastAsia="仿宋" w:cs="仿宋"/>
          <w:sz w:val="24"/>
          <w:highlight w:val="none"/>
        </w:rPr>
      </w:pPr>
    </w:p>
    <w:p w14:paraId="7AD379FD">
      <w:pPr>
        <w:snapToGrid w:val="0"/>
        <w:spacing w:line="360" w:lineRule="auto"/>
        <w:rPr>
          <w:rFonts w:hint="eastAsia" w:ascii="仿宋" w:hAnsi="仿宋" w:eastAsia="仿宋" w:cs="仿宋"/>
          <w:sz w:val="24"/>
          <w:highlight w:val="none"/>
        </w:rPr>
      </w:pPr>
    </w:p>
    <w:p w14:paraId="7A070457">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zh-CN"/>
        </w:rPr>
        <w:t xml:space="preserve">      </w:t>
      </w:r>
      <w:r>
        <w:rPr>
          <w:rFonts w:hint="eastAsia" w:ascii="仿宋" w:hAnsi="仿宋" w:eastAsia="仿宋" w:cs="仿宋"/>
          <w:b/>
          <w:kern w:val="0"/>
          <w:sz w:val="32"/>
          <w:szCs w:val="32"/>
          <w:highlight w:val="none"/>
        </w:rPr>
        <w:t xml:space="preserve"> </w:t>
      </w:r>
      <w:r>
        <w:rPr>
          <w:rFonts w:hint="eastAsia" w:ascii="仿宋" w:hAnsi="仿宋" w:eastAsia="仿宋" w:cs="仿宋"/>
          <w:b/>
          <w:kern w:val="0"/>
          <w:sz w:val="32"/>
          <w:szCs w:val="32"/>
          <w:highlight w:val="none"/>
          <w:lang w:val="zh-CN"/>
        </w:rPr>
        <w:t>授权委托书（适用于联合体投标）</w:t>
      </w:r>
    </w:p>
    <w:p w14:paraId="61C78F07">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14:paraId="728E261E">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，所在单位：</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政府采购投标的一切事项，其法律后果由我方承担。</w:t>
      </w:r>
    </w:p>
    <w:p w14:paraId="449E6691">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委托期限：</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日止。</w:t>
      </w:r>
    </w:p>
    <w:p w14:paraId="4EABA29E">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14:paraId="3B63004B">
      <w:pPr>
        <w:jc w:val="center"/>
        <w:rPr>
          <w:rFonts w:hint="eastAsia" w:ascii="仿宋" w:hAnsi="仿宋" w:eastAsia="仿宋" w:cs="仿宋"/>
          <w:b/>
          <w:kern w:val="0"/>
          <w:sz w:val="32"/>
          <w:szCs w:val="32"/>
          <w:highlight w:val="none"/>
        </w:rPr>
      </w:pPr>
    </w:p>
    <w:p w14:paraId="631C559B">
      <w:pPr>
        <w:jc w:val="center"/>
        <w:rPr>
          <w:rFonts w:hint="eastAsia" w:ascii="仿宋" w:hAnsi="仿宋" w:eastAsia="仿宋" w:cs="仿宋"/>
          <w:b/>
          <w:kern w:val="0"/>
          <w:sz w:val="32"/>
          <w:szCs w:val="32"/>
          <w:highlight w:val="none"/>
        </w:rPr>
      </w:pPr>
    </w:p>
    <w:p w14:paraId="39CFB00E">
      <w:pPr>
        <w:rPr>
          <w:rFonts w:hint="eastAsia" w:ascii="仿宋" w:hAnsi="仿宋" w:eastAsia="仿宋" w:cs="仿宋"/>
          <w:highlight w:val="none"/>
        </w:rPr>
      </w:pPr>
    </w:p>
    <w:p w14:paraId="1C43E37C">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51AB53D2">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03ED6628">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194FD63B">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日</w:t>
      </w:r>
    </w:p>
    <w:p w14:paraId="79DF570A">
      <w:pPr>
        <w:rPr>
          <w:rFonts w:hint="eastAsia" w:ascii="仿宋" w:hAnsi="仿宋" w:eastAsia="仿宋" w:cs="仿宋"/>
          <w:b/>
          <w:sz w:val="24"/>
          <w:highlight w:val="none"/>
        </w:rPr>
      </w:pPr>
      <w:r>
        <w:rPr>
          <w:rFonts w:hint="eastAsia" w:ascii="仿宋" w:hAnsi="仿宋" w:eastAsia="仿宋" w:cs="仿宋"/>
          <w:b/>
          <w:kern w:val="0"/>
          <w:sz w:val="32"/>
          <w:szCs w:val="32"/>
          <w:highlight w:val="none"/>
          <w:lang w:val="zh-CN"/>
        </w:rPr>
        <w:br w:type="page"/>
      </w:r>
      <w:r>
        <w:rPr>
          <w:rFonts w:hint="eastAsia" w:ascii="仿宋" w:hAnsi="仿宋" w:eastAsia="仿宋" w:cs="仿宋"/>
          <w:b/>
          <w:kern w:val="0"/>
          <w:sz w:val="32"/>
          <w:szCs w:val="32"/>
          <w:highlight w:val="none"/>
          <w:lang w:val="zh-CN"/>
        </w:rPr>
        <w:t>法定代表人、单位负责人或自然人本人</w:t>
      </w:r>
      <w:r>
        <w:rPr>
          <w:rFonts w:hint="eastAsia" w:ascii="仿宋" w:hAnsi="仿宋" w:eastAsia="仿宋" w:cs="仿宋"/>
          <w:b/>
          <w:sz w:val="30"/>
          <w:szCs w:val="30"/>
          <w:highlight w:val="none"/>
        </w:rPr>
        <w:t>的身份证明（适用于法定代表人、单位负责人或者自然人本人代表投标人参加投标）</w:t>
      </w:r>
    </w:p>
    <w:p w14:paraId="09EE9E95">
      <w:pPr>
        <w:pStyle w:val="196"/>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身份证件扫描件：</w:t>
      </w:r>
    </w:p>
    <w:tbl>
      <w:tblPr>
        <w:tblStyle w:val="4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BBCC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6" w:hRule="atLeast"/>
          <w:jc w:val="center"/>
        </w:trPr>
        <w:tc>
          <w:tcPr>
            <w:tcW w:w="9207" w:type="dxa"/>
          </w:tcPr>
          <w:p w14:paraId="1E1B9151">
            <w:pPr>
              <w:pStyle w:val="196"/>
              <w:adjustRightIn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正面：                                 反面：</w:t>
            </w:r>
          </w:p>
          <w:p w14:paraId="393839E8">
            <w:pPr>
              <w:pStyle w:val="196"/>
              <w:adjustRightInd w:val="0"/>
              <w:spacing w:line="360" w:lineRule="auto"/>
              <w:rPr>
                <w:rFonts w:hint="eastAsia" w:ascii="仿宋" w:hAnsi="仿宋" w:eastAsia="仿宋" w:cs="仿宋"/>
                <w:bCs/>
                <w:sz w:val="24"/>
                <w:highlight w:val="none"/>
              </w:rPr>
            </w:pPr>
          </w:p>
        </w:tc>
      </w:tr>
    </w:tbl>
    <w:p w14:paraId="294F75C1">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14:paraId="3DB8E7BD">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投标人为授权代表缴纳的、距投标截止时间3个月内任意时间出具的社保证明材料</w:t>
      </w:r>
    </w:p>
    <w:tbl>
      <w:tblPr>
        <w:tblStyle w:val="4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E014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207" w:type="dxa"/>
          </w:tcPr>
          <w:p w14:paraId="4D81000A">
            <w:pPr>
              <w:pStyle w:val="196"/>
              <w:adjustRightInd w:val="0"/>
              <w:spacing w:line="360" w:lineRule="auto"/>
              <w:rPr>
                <w:rFonts w:hint="eastAsia" w:ascii="仿宋" w:hAnsi="仿宋" w:eastAsia="仿宋" w:cs="仿宋"/>
                <w:bCs/>
                <w:sz w:val="24"/>
                <w:highlight w:val="none"/>
              </w:rPr>
            </w:pPr>
          </w:p>
        </w:tc>
      </w:tr>
    </w:tbl>
    <w:p w14:paraId="71616176">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14:paraId="1F333BAD">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投标人名称(电子签名)：                              </w:t>
      </w:r>
    </w:p>
    <w:p w14:paraId="569CED33">
      <w:pPr>
        <w:spacing w:line="360" w:lineRule="auto"/>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日</w:t>
      </w:r>
    </w:p>
    <w:p w14:paraId="150721AD">
      <w:pPr>
        <w:jc w:val="center"/>
        <w:rPr>
          <w:rFonts w:hint="eastAsia" w:ascii="仿宋" w:hAnsi="仿宋" w:eastAsia="仿宋" w:cs="仿宋"/>
          <w:b/>
          <w:kern w:val="0"/>
          <w:sz w:val="32"/>
          <w:szCs w:val="32"/>
          <w:highlight w:val="none"/>
        </w:rPr>
      </w:pPr>
    </w:p>
    <w:p w14:paraId="63A8B0F2">
      <w:pPr>
        <w:jc w:val="center"/>
        <w:rPr>
          <w:rFonts w:hint="eastAsia" w:ascii="仿宋" w:hAnsi="仿宋" w:eastAsia="仿宋" w:cs="仿宋"/>
          <w:b/>
          <w:kern w:val="0"/>
          <w:sz w:val="32"/>
          <w:szCs w:val="32"/>
          <w:highlight w:val="none"/>
        </w:rPr>
      </w:pPr>
    </w:p>
    <w:p w14:paraId="42261593">
      <w:pPr>
        <w:jc w:val="center"/>
        <w:rPr>
          <w:rFonts w:hint="eastAsia" w:ascii="仿宋" w:hAnsi="仿宋" w:eastAsia="仿宋" w:cs="仿宋"/>
          <w:b/>
          <w:kern w:val="0"/>
          <w:sz w:val="32"/>
          <w:szCs w:val="32"/>
          <w:highlight w:val="none"/>
        </w:rPr>
      </w:pPr>
    </w:p>
    <w:p w14:paraId="2D5E5D60">
      <w:pPr>
        <w:jc w:val="center"/>
        <w:rPr>
          <w:rFonts w:hint="eastAsia" w:ascii="仿宋" w:hAnsi="仿宋" w:eastAsia="仿宋" w:cs="仿宋"/>
          <w:b/>
          <w:kern w:val="0"/>
          <w:sz w:val="32"/>
          <w:szCs w:val="32"/>
          <w:highlight w:val="none"/>
        </w:rPr>
      </w:pPr>
    </w:p>
    <w:p w14:paraId="262A14E1">
      <w:pPr>
        <w:jc w:val="center"/>
        <w:rPr>
          <w:rFonts w:hint="eastAsia" w:ascii="仿宋" w:hAnsi="仿宋" w:eastAsia="仿宋" w:cs="仿宋"/>
          <w:b/>
          <w:kern w:val="0"/>
          <w:sz w:val="32"/>
          <w:szCs w:val="32"/>
          <w:highlight w:val="none"/>
        </w:rPr>
      </w:pPr>
    </w:p>
    <w:p w14:paraId="6EE2B5F5">
      <w:pPr>
        <w:snapToGrid w:val="0"/>
        <w:spacing w:line="360" w:lineRule="auto"/>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三、分包意向协议（如果有）</w:t>
      </w:r>
    </w:p>
    <w:p w14:paraId="62B31E36">
      <w:pPr>
        <w:widowControl/>
        <w:spacing w:line="360" w:lineRule="auto"/>
        <w:ind w:firstLine="482" w:firstLineChars="200"/>
        <w:jc w:val="left"/>
        <w:rPr>
          <w:rFonts w:hint="eastAsia" w:ascii="仿宋" w:hAnsi="仿宋" w:eastAsia="仿宋" w:cs="仿宋"/>
          <w:sz w:val="24"/>
          <w:highlight w:val="none"/>
        </w:rPr>
      </w:pPr>
      <w:r>
        <w:rPr>
          <w:rFonts w:hint="eastAsia" w:ascii="仿宋" w:hAnsi="仿宋" w:eastAsia="仿宋" w:cs="仿宋"/>
          <w:b/>
          <w:sz w:val="24"/>
          <w:highlight w:val="none"/>
        </w:rPr>
        <w:t>[中标后以分包方式履行合同的，提供分包意向协议(附件6)；采购人不同意分包或者投标人中标后不以分包方式履行合同的，则不需要提供。]</w:t>
      </w:r>
    </w:p>
    <w:p w14:paraId="43DA6263">
      <w:pP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br w:type="page"/>
      </w:r>
    </w:p>
    <w:p w14:paraId="49E49B43">
      <w:pPr>
        <w:snapToGrid w:val="0"/>
        <w:spacing w:line="360" w:lineRule="auto"/>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四、符合性审查资料</w:t>
      </w:r>
    </w:p>
    <w:p w14:paraId="060BC9F1">
      <w:pPr>
        <w:jc w:val="center"/>
        <w:rPr>
          <w:rFonts w:hint="eastAsia" w:ascii="仿宋" w:hAnsi="仿宋" w:eastAsia="仿宋" w:cs="仿宋"/>
          <w:b/>
          <w:kern w:val="0"/>
          <w:sz w:val="32"/>
          <w:szCs w:val="32"/>
          <w:highlight w:val="none"/>
        </w:rPr>
      </w:pPr>
    </w:p>
    <w:tbl>
      <w:tblPr>
        <w:tblStyle w:val="45"/>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14:paraId="5F979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229C4C8">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4245" w:type="dxa"/>
            <w:vAlign w:val="center"/>
          </w:tcPr>
          <w:p w14:paraId="7A18791E">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实质性要求</w:t>
            </w:r>
          </w:p>
        </w:tc>
        <w:tc>
          <w:tcPr>
            <w:tcW w:w="2551" w:type="dxa"/>
            <w:vAlign w:val="center"/>
          </w:tcPr>
          <w:p w14:paraId="0EDA2CD7">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需要提供的符合性审查资料</w:t>
            </w:r>
          </w:p>
        </w:tc>
        <w:tc>
          <w:tcPr>
            <w:tcW w:w="1672" w:type="dxa"/>
            <w:vAlign w:val="center"/>
          </w:tcPr>
          <w:p w14:paraId="5E14743B">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投标文件中的页码位置</w:t>
            </w:r>
          </w:p>
        </w:tc>
      </w:tr>
      <w:tr w14:paraId="743F9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F27D61">
            <w:pPr>
              <w:adjustRightInd w:val="0"/>
              <w:snapToGrid w:val="0"/>
              <w:spacing w:line="40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1</w:t>
            </w:r>
          </w:p>
        </w:tc>
        <w:tc>
          <w:tcPr>
            <w:tcW w:w="4245" w:type="dxa"/>
            <w:vAlign w:val="center"/>
          </w:tcPr>
          <w:p w14:paraId="40F1CD2F">
            <w:pPr>
              <w:adjustRightInd w:val="0"/>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投标文件按照招标文件要求签署、盖章。</w:t>
            </w:r>
          </w:p>
        </w:tc>
        <w:tc>
          <w:tcPr>
            <w:tcW w:w="2551" w:type="dxa"/>
            <w:vAlign w:val="center"/>
          </w:tcPr>
          <w:p w14:paraId="7CF65A72">
            <w:pPr>
              <w:adjustRightInd w:val="0"/>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需要使用电子签名或者签字盖章的投标文件的组成部分</w:t>
            </w:r>
          </w:p>
        </w:tc>
        <w:tc>
          <w:tcPr>
            <w:tcW w:w="1672" w:type="dxa"/>
            <w:vAlign w:val="center"/>
          </w:tcPr>
          <w:p w14:paraId="4AE42B35">
            <w:pPr>
              <w:adjustRightInd w:val="0"/>
              <w:snapToGrid w:val="0"/>
              <w:spacing w:line="400" w:lineRule="exact"/>
              <w:rPr>
                <w:rFonts w:hint="eastAsia" w:ascii="仿宋" w:hAnsi="仿宋" w:eastAsia="仿宋" w:cs="仿宋"/>
                <w:sz w:val="24"/>
                <w:highlight w:val="none"/>
              </w:rPr>
            </w:pPr>
          </w:p>
          <w:p w14:paraId="4A1D7C02">
            <w:pPr>
              <w:adjustRightInd w:val="0"/>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见投标文件</w:t>
            </w:r>
          </w:p>
          <w:p w14:paraId="3E8C7BE9">
            <w:pPr>
              <w:adjustRightInd w:val="0"/>
              <w:snapToGrid w:val="0"/>
              <w:spacing w:line="400" w:lineRule="exact"/>
              <w:rPr>
                <w:rFonts w:hint="eastAsia" w:ascii="仿宋" w:hAnsi="仿宋" w:eastAsia="仿宋" w:cs="仿宋"/>
                <w:highlight w:val="none"/>
              </w:rPr>
            </w:pPr>
            <w:r>
              <w:rPr>
                <w:rFonts w:hint="eastAsia" w:ascii="仿宋" w:hAnsi="仿宋" w:eastAsia="仿宋" w:cs="仿宋"/>
                <w:sz w:val="24"/>
                <w:highlight w:val="none"/>
              </w:rPr>
              <w:t>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14:paraId="49AF0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5D886C">
            <w:pPr>
              <w:adjustRightInd w:val="0"/>
              <w:snapToGrid w:val="0"/>
              <w:spacing w:line="40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2</w:t>
            </w:r>
          </w:p>
        </w:tc>
        <w:tc>
          <w:tcPr>
            <w:tcW w:w="4245" w:type="dxa"/>
            <w:vAlign w:val="center"/>
          </w:tcPr>
          <w:p w14:paraId="76477C51">
            <w:pPr>
              <w:adjustRightInd w:val="0"/>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投标文件中承诺的投标有效期不少于招标文件中载明的投标有效期。</w:t>
            </w:r>
          </w:p>
        </w:tc>
        <w:tc>
          <w:tcPr>
            <w:tcW w:w="2551" w:type="dxa"/>
            <w:vAlign w:val="center"/>
          </w:tcPr>
          <w:p w14:paraId="604FBCE3">
            <w:pPr>
              <w:adjustRightInd w:val="0"/>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投标函</w:t>
            </w:r>
          </w:p>
        </w:tc>
        <w:tc>
          <w:tcPr>
            <w:tcW w:w="1672" w:type="dxa"/>
            <w:vAlign w:val="center"/>
          </w:tcPr>
          <w:p w14:paraId="0399708D">
            <w:pPr>
              <w:adjustRightInd w:val="0"/>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见投标文件</w:t>
            </w:r>
          </w:p>
          <w:p w14:paraId="3B3DD13F">
            <w:pPr>
              <w:adjustRightInd w:val="0"/>
              <w:snapToGrid w:val="0"/>
              <w:spacing w:line="400" w:lineRule="exact"/>
              <w:rPr>
                <w:rFonts w:hint="eastAsia" w:ascii="仿宋" w:hAnsi="仿宋" w:eastAsia="仿宋" w:cs="仿宋"/>
                <w:highlight w:val="none"/>
              </w:rPr>
            </w:pPr>
            <w:r>
              <w:rPr>
                <w:rFonts w:hint="eastAsia" w:ascii="仿宋" w:hAnsi="仿宋" w:eastAsia="仿宋" w:cs="仿宋"/>
                <w:sz w:val="24"/>
                <w:highlight w:val="none"/>
              </w:rPr>
              <w:t>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14:paraId="15B41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970C64">
            <w:pPr>
              <w:adjustRightInd w:val="0"/>
              <w:snapToGrid w:val="0"/>
              <w:spacing w:line="40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3</w:t>
            </w:r>
          </w:p>
        </w:tc>
        <w:tc>
          <w:tcPr>
            <w:tcW w:w="4245" w:type="dxa"/>
            <w:vAlign w:val="center"/>
          </w:tcPr>
          <w:p w14:paraId="416E762E">
            <w:pPr>
              <w:adjustRightInd w:val="0"/>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投标文件满足招标文件的其它实质性要求。</w:t>
            </w:r>
          </w:p>
        </w:tc>
        <w:tc>
          <w:tcPr>
            <w:tcW w:w="2551" w:type="dxa"/>
            <w:vAlign w:val="center"/>
          </w:tcPr>
          <w:p w14:paraId="19202079">
            <w:pPr>
              <w:adjustRightInd w:val="0"/>
              <w:snapToGrid w:val="0"/>
              <w:spacing w:line="400" w:lineRule="exact"/>
              <w:rPr>
                <w:rFonts w:hint="eastAsia" w:ascii="仿宋" w:hAnsi="仿宋" w:eastAsia="仿宋" w:cs="仿宋"/>
                <w:sz w:val="24"/>
                <w:highlight w:val="none"/>
              </w:rPr>
            </w:pPr>
            <w:r>
              <w:rPr>
                <w:rFonts w:hint="eastAsia" w:ascii="仿宋" w:hAnsi="仿宋" w:eastAsia="仿宋" w:cs="仿宋"/>
                <w:kern w:val="0"/>
                <w:sz w:val="24"/>
                <w:highlight w:val="none"/>
              </w:rPr>
              <w:t>招标文件其它实质性要求相应的材料（“▲” 系指实质性要求条款，招标文件无其它实质性要求的，无需提供）</w:t>
            </w:r>
          </w:p>
        </w:tc>
        <w:tc>
          <w:tcPr>
            <w:tcW w:w="1672" w:type="dxa"/>
            <w:vAlign w:val="center"/>
          </w:tcPr>
          <w:p w14:paraId="0632C55D">
            <w:pPr>
              <w:adjustRightInd w:val="0"/>
              <w:snapToGrid w:val="0"/>
              <w:spacing w:line="400" w:lineRule="exact"/>
              <w:rPr>
                <w:rFonts w:hint="eastAsia" w:ascii="仿宋" w:hAnsi="仿宋" w:eastAsia="仿宋" w:cs="仿宋"/>
                <w:highlight w:val="none"/>
              </w:rPr>
            </w:pPr>
          </w:p>
        </w:tc>
      </w:tr>
      <w:tr w14:paraId="59B0E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AE2329B">
            <w:pPr>
              <w:adjustRightInd w:val="0"/>
              <w:snapToGrid w:val="0"/>
              <w:spacing w:line="400" w:lineRule="exact"/>
              <w:jc w:val="center"/>
              <w:rPr>
                <w:rFonts w:hint="eastAsia" w:ascii="仿宋" w:hAnsi="仿宋" w:eastAsia="仿宋" w:cs="仿宋"/>
                <w:bCs/>
                <w:sz w:val="24"/>
                <w:highlight w:val="none"/>
              </w:rPr>
            </w:pPr>
          </w:p>
        </w:tc>
        <w:tc>
          <w:tcPr>
            <w:tcW w:w="6796" w:type="dxa"/>
            <w:gridSpan w:val="2"/>
            <w:vAlign w:val="center"/>
          </w:tcPr>
          <w:p w14:paraId="0AB7FACE">
            <w:pPr>
              <w:pStyle w:val="3"/>
              <w:adjustRightInd w:val="0"/>
              <w:snapToGrid w:val="0"/>
              <w:spacing w:line="360" w:lineRule="auto"/>
              <w:ind w:firstLine="480" w:firstLineChars="200"/>
              <w:rPr>
                <w:rFonts w:hint="eastAsia" w:ascii="仿宋" w:hAnsi="仿宋" w:eastAsia="仿宋" w:cs="仿宋"/>
                <w:kern w:val="0"/>
                <w:sz w:val="24"/>
                <w:highlight w:val="none"/>
              </w:rPr>
            </w:pPr>
          </w:p>
        </w:tc>
        <w:tc>
          <w:tcPr>
            <w:tcW w:w="1672" w:type="dxa"/>
            <w:vAlign w:val="center"/>
          </w:tcPr>
          <w:p w14:paraId="0C67196B">
            <w:pPr>
              <w:adjustRightInd w:val="0"/>
              <w:snapToGrid w:val="0"/>
              <w:spacing w:line="400" w:lineRule="exact"/>
              <w:rPr>
                <w:rFonts w:hint="eastAsia" w:ascii="仿宋" w:hAnsi="仿宋" w:eastAsia="仿宋" w:cs="仿宋"/>
                <w:sz w:val="24"/>
                <w:highlight w:val="none"/>
              </w:rPr>
            </w:pPr>
          </w:p>
        </w:tc>
      </w:tr>
      <w:tr w14:paraId="53A94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079C4A">
            <w:pPr>
              <w:adjustRightInd w:val="0"/>
              <w:snapToGrid w:val="0"/>
              <w:spacing w:line="400" w:lineRule="exact"/>
              <w:jc w:val="center"/>
              <w:rPr>
                <w:rFonts w:hint="eastAsia" w:ascii="仿宋" w:hAnsi="仿宋" w:eastAsia="仿宋" w:cs="仿宋"/>
                <w:bCs/>
                <w:sz w:val="24"/>
                <w:highlight w:val="none"/>
              </w:rPr>
            </w:pPr>
          </w:p>
        </w:tc>
        <w:tc>
          <w:tcPr>
            <w:tcW w:w="6796" w:type="dxa"/>
            <w:gridSpan w:val="2"/>
            <w:vAlign w:val="center"/>
          </w:tcPr>
          <w:p w14:paraId="4C285B3D">
            <w:pPr>
              <w:adjustRightInd w:val="0"/>
              <w:snapToGrid w:val="0"/>
              <w:spacing w:line="400" w:lineRule="exact"/>
              <w:rPr>
                <w:rFonts w:hint="eastAsia" w:ascii="仿宋" w:hAnsi="仿宋" w:eastAsia="仿宋" w:cs="仿宋"/>
                <w:snapToGrid w:val="0"/>
                <w:kern w:val="0"/>
                <w:sz w:val="24"/>
                <w:highlight w:val="none"/>
              </w:rPr>
            </w:pPr>
          </w:p>
        </w:tc>
        <w:tc>
          <w:tcPr>
            <w:tcW w:w="1672" w:type="dxa"/>
            <w:vAlign w:val="center"/>
          </w:tcPr>
          <w:p w14:paraId="1413FA1B">
            <w:pPr>
              <w:adjustRightInd w:val="0"/>
              <w:snapToGrid w:val="0"/>
              <w:spacing w:line="400" w:lineRule="exact"/>
              <w:rPr>
                <w:rFonts w:hint="eastAsia" w:ascii="仿宋" w:hAnsi="仿宋" w:eastAsia="仿宋" w:cs="仿宋"/>
                <w:sz w:val="24"/>
                <w:highlight w:val="none"/>
              </w:rPr>
            </w:pPr>
          </w:p>
        </w:tc>
      </w:tr>
    </w:tbl>
    <w:p w14:paraId="0ACA58C0">
      <w:pPr>
        <w:spacing w:line="360" w:lineRule="auto"/>
        <w:ind w:right="420"/>
        <w:rPr>
          <w:rFonts w:hint="eastAsia" w:ascii="仿宋" w:hAnsi="仿宋" w:eastAsia="仿宋" w:cs="仿宋"/>
          <w:sz w:val="24"/>
          <w:highlight w:val="none"/>
        </w:rPr>
      </w:pPr>
    </w:p>
    <w:p w14:paraId="04984AA9">
      <w:pPr>
        <w:jc w:val="center"/>
        <w:rPr>
          <w:rFonts w:hint="eastAsia" w:ascii="仿宋" w:hAnsi="仿宋" w:eastAsia="仿宋" w:cs="仿宋"/>
          <w:b/>
          <w:kern w:val="0"/>
          <w:sz w:val="32"/>
          <w:szCs w:val="32"/>
          <w:highlight w:val="none"/>
        </w:rPr>
      </w:pPr>
    </w:p>
    <w:p w14:paraId="5B449A3C">
      <w:pPr>
        <w:rPr>
          <w:rFonts w:hint="eastAsia" w:ascii="仿宋" w:hAnsi="仿宋" w:eastAsia="仿宋" w:cs="仿宋"/>
          <w:b/>
          <w:kern w:val="0"/>
          <w:sz w:val="32"/>
          <w:szCs w:val="32"/>
          <w:highlight w:val="none"/>
        </w:rPr>
      </w:pPr>
    </w:p>
    <w:p w14:paraId="47103C77">
      <w:pPr>
        <w:snapToGrid w:val="0"/>
        <w:spacing w:line="360" w:lineRule="auto"/>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五、评标标准相应的商务技术资料</w:t>
      </w:r>
    </w:p>
    <w:p w14:paraId="4ADE3B23">
      <w:pPr>
        <w:snapToGrid w:val="0"/>
        <w:spacing w:line="360" w:lineRule="auto"/>
        <w:jc w:val="left"/>
        <w:rPr>
          <w:rFonts w:hint="eastAsia" w:ascii="仿宋" w:hAnsi="仿宋" w:eastAsia="仿宋" w:cs="仿宋"/>
          <w:b/>
          <w:sz w:val="24"/>
          <w:highlight w:val="none"/>
        </w:rPr>
      </w:pPr>
    </w:p>
    <w:p w14:paraId="5F747A67">
      <w:pPr>
        <w:snapToGrid w:val="0"/>
        <w:spacing w:line="360" w:lineRule="auto"/>
        <w:jc w:val="left"/>
        <w:rPr>
          <w:rFonts w:hint="eastAsia" w:ascii="仿宋" w:hAnsi="仿宋" w:eastAsia="仿宋" w:cs="仿宋"/>
          <w:b/>
          <w:sz w:val="24"/>
          <w:highlight w:val="none"/>
        </w:rPr>
      </w:pPr>
      <w:r>
        <w:rPr>
          <w:rFonts w:hint="eastAsia" w:ascii="仿宋" w:hAnsi="仿宋" w:eastAsia="仿宋" w:cs="仿宋"/>
          <w:b/>
          <w:sz w:val="24"/>
          <w:highlight w:val="none"/>
        </w:rPr>
        <w:t>（按招标文件第四部分评标办法前附表中“投标文件中评标标准相应的商务技术资料目录”提供资料）</w:t>
      </w:r>
    </w:p>
    <w:p w14:paraId="6E226578">
      <w:pPr>
        <w:jc w:val="center"/>
        <w:rPr>
          <w:rFonts w:hint="eastAsia" w:ascii="仿宋" w:hAnsi="仿宋" w:eastAsia="仿宋" w:cs="仿宋"/>
          <w:b/>
          <w:kern w:val="0"/>
          <w:sz w:val="32"/>
          <w:szCs w:val="32"/>
          <w:highlight w:val="none"/>
        </w:rPr>
      </w:pPr>
    </w:p>
    <w:p w14:paraId="7108CBEF">
      <w:pPr>
        <w:jc w:val="center"/>
        <w:rPr>
          <w:rFonts w:hint="eastAsia" w:ascii="仿宋" w:hAnsi="仿宋" w:eastAsia="仿宋" w:cs="仿宋"/>
          <w:b/>
          <w:kern w:val="0"/>
          <w:sz w:val="32"/>
          <w:szCs w:val="32"/>
          <w:highlight w:val="none"/>
        </w:rPr>
      </w:pPr>
    </w:p>
    <w:p w14:paraId="08C21464">
      <w:pP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1238FF3B">
      <w:pPr>
        <w:pStyle w:val="32"/>
        <w:rPr>
          <w:rFonts w:hint="eastAsia" w:ascii="仿宋" w:hAnsi="仿宋" w:eastAsia="仿宋" w:cs="仿宋"/>
          <w:highlight w:val="none"/>
        </w:rPr>
      </w:pPr>
    </w:p>
    <w:p w14:paraId="1D6DF846">
      <w:pPr>
        <w:snapToGrid w:val="0"/>
        <w:spacing w:line="360" w:lineRule="auto"/>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六、投标标的清单</w:t>
      </w:r>
    </w:p>
    <w:tbl>
      <w:tblPr>
        <w:tblStyle w:val="4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96E6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63F1D82">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32658E3">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6E877D96">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C8433F7">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3F6C161">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F5ADB0E">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396EA72">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备注（如果有）</w:t>
            </w:r>
          </w:p>
        </w:tc>
      </w:tr>
      <w:tr w14:paraId="41745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81DB4DE">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CF3731B">
            <w:pPr>
              <w:adjustRightInd w:val="0"/>
              <w:snapToGrid w:val="0"/>
              <w:spacing w:line="400" w:lineRule="exact"/>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图书</w:t>
            </w:r>
          </w:p>
        </w:tc>
        <w:tc>
          <w:tcPr>
            <w:tcW w:w="1114" w:type="dxa"/>
            <w:tcBorders>
              <w:top w:val="single" w:color="auto" w:sz="4" w:space="0"/>
              <w:left w:val="single" w:color="auto" w:sz="4" w:space="0"/>
              <w:bottom w:val="single" w:color="auto" w:sz="4" w:space="0"/>
              <w:right w:val="single" w:color="auto" w:sz="4" w:space="0"/>
            </w:tcBorders>
            <w:vAlign w:val="center"/>
          </w:tcPr>
          <w:p w14:paraId="3238C0DA">
            <w:pPr>
              <w:adjustRightInd w:val="0"/>
              <w:snapToGrid w:val="0"/>
              <w:spacing w:line="400" w:lineRule="exact"/>
              <w:jc w:val="center"/>
              <w:rPr>
                <w:rFonts w:hint="eastAsia" w:ascii="仿宋" w:hAnsi="仿宋" w:eastAsia="仿宋" w:cs="仿宋"/>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4DBC217">
            <w:pPr>
              <w:adjustRightInd w:val="0"/>
              <w:snapToGrid w:val="0"/>
              <w:spacing w:line="400" w:lineRule="exact"/>
              <w:jc w:val="center"/>
              <w:rPr>
                <w:rFonts w:hint="eastAsia" w:ascii="仿宋" w:hAnsi="仿宋" w:eastAsia="仿宋" w:cs="仿宋"/>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C640CA1">
            <w:pPr>
              <w:adjustRightInd w:val="0"/>
              <w:snapToGrid w:val="0"/>
              <w:spacing w:line="400" w:lineRule="exact"/>
              <w:jc w:val="center"/>
              <w:rPr>
                <w:rFonts w:hint="eastAsia" w:ascii="仿宋" w:hAnsi="仿宋" w:eastAsia="仿宋" w:cs="仿宋"/>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EB124D4">
            <w:pPr>
              <w:adjustRightInd w:val="0"/>
              <w:snapToGrid w:val="0"/>
              <w:spacing w:line="400" w:lineRule="exact"/>
              <w:jc w:val="center"/>
              <w:rPr>
                <w:rFonts w:hint="eastAsia" w:ascii="仿宋" w:hAnsi="仿宋" w:eastAsia="仿宋" w:cs="仿宋"/>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5479E55">
            <w:pPr>
              <w:adjustRightInd w:val="0"/>
              <w:snapToGrid w:val="0"/>
              <w:spacing w:line="400" w:lineRule="exact"/>
              <w:jc w:val="center"/>
              <w:rPr>
                <w:rFonts w:hint="eastAsia" w:ascii="仿宋" w:hAnsi="仿宋" w:eastAsia="仿宋" w:cs="仿宋"/>
                <w:sz w:val="24"/>
                <w:highlight w:val="none"/>
              </w:rPr>
            </w:pPr>
          </w:p>
        </w:tc>
      </w:tr>
    </w:tbl>
    <w:p w14:paraId="04616EDC">
      <w:pPr>
        <w:spacing w:line="360" w:lineRule="auto"/>
        <w:ind w:right="420"/>
        <w:rPr>
          <w:rFonts w:hint="eastAsia" w:ascii="仿宋" w:hAnsi="仿宋" w:eastAsia="仿宋" w:cs="仿宋"/>
          <w:sz w:val="24"/>
          <w:highlight w:val="none"/>
        </w:rPr>
      </w:pPr>
    </w:p>
    <w:p w14:paraId="08E5D6F5">
      <w:pPr>
        <w:rPr>
          <w:rFonts w:hint="eastAsia" w:ascii="仿宋" w:hAnsi="仿宋" w:eastAsia="仿宋" w:cs="仿宋"/>
          <w:highlight w:val="none"/>
          <w:lang w:val="zh-CN"/>
        </w:rPr>
      </w:pPr>
    </w:p>
    <w:p w14:paraId="28214AE1">
      <w:pPr>
        <w:rPr>
          <w:rFonts w:hint="eastAsia" w:ascii="仿宋" w:hAnsi="仿宋" w:eastAsia="仿宋" w:cs="仿宋"/>
          <w:highlight w:val="none"/>
          <w:lang w:val="zh-CN"/>
        </w:rPr>
      </w:pPr>
    </w:p>
    <w:p w14:paraId="26EA8FEF">
      <w:pPr>
        <w:snapToGrid w:val="0"/>
        <w:spacing w:line="360" w:lineRule="auto"/>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七、商务技术偏离表</w:t>
      </w:r>
    </w:p>
    <w:p w14:paraId="504BAB2B">
      <w:pPr>
        <w:jc w:val="center"/>
        <w:rPr>
          <w:rFonts w:hint="eastAsia" w:ascii="仿宋" w:hAnsi="仿宋" w:eastAsia="仿宋" w:cs="仿宋"/>
          <w:b/>
          <w:bCs/>
          <w:sz w:val="24"/>
          <w:highlight w:val="none"/>
        </w:rPr>
      </w:pPr>
    </w:p>
    <w:tbl>
      <w:tblPr>
        <w:tblStyle w:val="4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1832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6ABE2DE2">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683" w:type="dxa"/>
            <w:vAlign w:val="center"/>
          </w:tcPr>
          <w:p w14:paraId="5F9CC37B">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招标文件章节及具体内容</w:t>
            </w:r>
          </w:p>
        </w:tc>
        <w:tc>
          <w:tcPr>
            <w:tcW w:w="3546" w:type="dxa"/>
            <w:vAlign w:val="center"/>
          </w:tcPr>
          <w:p w14:paraId="29DFFA12">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投标文件章节及具体内容</w:t>
            </w:r>
          </w:p>
        </w:tc>
        <w:tc>
          <w:tcPr>
            <w:tcW w:w="1276" w:type="dxa"/>
            <w:vAlign w:val="center"/>
          </w:tcPr>
          <w:p w14:paraId="3C9CB145">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偏离说明</w:t>
            </w:r>
          </w:p>
        </w:tc>
      </w:tr>
      <w:tr w14:paraId="1DE2E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12B04308">
            <w:pPr>
              <w:adjustRightInd w:val="0"/>
              <w:snapToGrid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3683" w:type="dxa"/>
            <w:vAlign w:val="center"/>
          </w:tcPr>
          <w:p w14:paraId="3D250A94">
            <w:pPr>
              <w:adjustRightInd w:val="0"/>
              <w:snapToGrid w:val="0"/>
              <w:spacing w:line="400" w:lineRule="exact"/>
              <w:jc w:val="center"/>
              <w:rPr>
                <w:rFonts w:hint="eastAsia" w:ascii="仿宋" w:hAnsi="仿宋" w:eastAsia="仿宋" w:cs="仿宋"/>
                <w:b/>
                <w:kern w:val="0"/>
                <w:sz w:val="32"/>
                <w:szCs w:val="32"/>
                <w:highlight w:val="none"/>
              </w:rPr>
            </w:pPr>
          </w:p>
        </w:tc>
        <w:tc>
          <w:tcPr>
            <w:tcW w:w="3546" w:type="dxa"/>
            <w:vAlign w:val="center"/>
          </w:tcPr>
          <w:p w14:paraId="3E8387CB">
            <w:pPr>
              <w:adjustRightInd w:val="0"/>
              <w:snapToGrid w:val="0"/>
              <w:spacing w:line="400" w:lineRule="exact"/>
              <w:jc w:val="center"/>
              <w:rPr>
                <w:rFonts w:hint="eastAsia" w:ascii="仿宋" w:hAnsi="仿宋" w:eastAsia="仿宋" w:cs="仿宋"/>
                <w:b/>
                <w:kern w:val="0"/>
                <w:sz w:val="32"/>
                <w:szCs w:val="32"/>
                <w:highlight w:val="none"/>
              </w:rPr>
            </w:pPr>
          </w:p>
        </w:tc>
        <w:tc>
          <w:tcPr>
            <w:tcW w:w="1276" w:type="dxa"/>
            <w:vAlign w:val="center"/>
          </w:tcPr>
          <w:p w14:paraId="47933A8D">
            <w:pPr>
              <w:adjustRightInd w:val="0"/>
              <w:snapToGrid w:val="0"/>
              <w:spacing w:line="400" w:lineRule="exact"/>
              <w:jc w:val="center"/>
              <w:rPr>
                <w:rFonts w:hint="eastAsia" w:ascii="仿宋" w:hAnsi="仿宋" w:eastAsia="仿宋" w:cs="仿宋"/>
                <w:b/>
                <w:kern w:val="0"/>
                <w:sz w:val="32"/>
                <w:szCs w:val="32"/>
                <w:highlight w:val="none"/>
              </w:rPr>
            </w:pPr>
          </w:p>
        </w:tc>
      </w:tr>
      <w:tr w14:paraId="26BC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3346A2EC">
            <w:pPr>
              <w:adjustRightInd w:val="0"/>
              <w:snapToGrid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3683" w:type="dxa"/>
            <w:vAlign w:val="center"/>
          </w:tcPr>
          <w:p w14:paraId="44626E3A">
            <w:pPr>
              <w:adjustRightInd w:val="0"/>
              <w:snapToGrid w:val="0"/>
              <w:spacing w:line="400" w:lineRule="exact"/>
              <w:jc w:val="center"/>
              <w:rPr>
                <w:rFonts w:hint="eastAsia" w:ascii="仿宋" w:hAnsi="仿宋" w:eastAsia="仿宋" w:cs="仿宋"/>
                <w:b/>
                <w:kern w:val="0"/>
                <w:sz w:val="32"/>
                <w:szCs w:val="32"/>
                <w:highlight w:val="none"/>
              </w:rPr>
            </w:pPr>
          </w:p>
        </w:tc>
        <w:tc>
          <w:tcPr>
            <w:tcW w:w="3546" w:type="dxa"/>
            <w:vAlign w:val="center"/>
          </w:tcPr>
          <w:p w14:paraId="1DC623EB">
            <w:pPr>
              <w:adjustRightInd w:val="0"/>
              <w:snapToGrid w:val="0"/>
              <w:spacing w:line="400" w:lineRule="exact"/>
              <w:jc w:val="center"/>
              <w:rPr>
                <w:rFonts w:hint="eastAsia" w:ascii="仿宋" w:hAnsi="仿宋" w:eastAsia="仿宋" w:cs="仿宋"/>
                <w:b/>
                <w:kern w:val="0"/>
                <w:sz w:val="32"/>
                <w:szCs w:val="32"/>
                <w:highlight w:val="none"/>
              </w:rPr>
            </w:pPr>
          </w:p>
        </w:tc>
        <w:tc>
          <w:tcPr>
            <w:tcW w:w="1276" w:type="dxa"/>
            <w:vAlign w:val="center"/>
          </w:tcPr>
          <w:p w14:paraId="23C74794">
            <w:pPr>
              <w:adjustRightInd w:val="0"/>
              <w:snapToGrid w:val="0"/>
              <w:spacing w:line="400" w:lineRule="exact"/>
              <w:jc w:val="center"/>
              <w:rPr>
                <w:rFonts w:hint="eastAsia" w:ascii="仿宋" w:hAnsi="仿宋" w:eastAsia="仿宋" w:cs="仿宋"/>
                <w:b/>
                <w:kern w:val="0"/>
                <w:sz w:val="32"/>
                <w:szCs w:val="32"/>
                <w:highlight w:val="none"/>
              </w:rPr>
            </w:pPr>
          </w:p>
        </w:tc>
      </w:tr>
      <w:tr w14:paraId="11702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1F9AE5D1">
            <w:pPr>
              <w:adjustRightInd w:val="0"/>
              <w:snapToGrid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3683" w:type="dxa"/>
            <w:vAlign w:val="center"/>
          </w:tcPr>
          <w:p w14:paraId="519B3B95">
            <w:pPr>
              <w:adjustRightInd w:val="0"/>
              <w:snapToGrid w:val="0"/>
              <w:spacing w:line="400" w:lineRule="exact"/>
              <w:jc w:val="center"/>
              <w:rPr>
                <w:rFonts w:hint="eastAsia" w:ascii="仿宋" w:hAnsi="仿宋" w:eastAsia="仿宋" w:cs="仿宋"/>
                <w:b/>
                <w:kern w:val="0"/>
                <w:sz w:val="32"/>
                <w:szCs w:val="32"/>
                <w:highlight w:val="none"/>
              </w:rPr>
            </w:pPr>
          </w:p>
        </w:tc>
        <w:tc>
          <w:tcPr>
            <w:tcW w:w="3546" w:type="dxa"/>
            <w:vAlign w:val="center"/>
          </w:tcPr>
          <w:p w14:paraId="55671B6A">
            <w:pPr>
              <w:adjustRightInd w:val="0"/>
              <w:snapToGrid w:val="0"/>
              <w:spacing w:line="400" w:lineRule="exact"/>
              <w:jc w:val="center"/>
              <w:rPr>
                <w:rFonts w:hint="eastAsia" w:ascii="仿宋" w:hAnsi="仿宋" w:eastAsia="仿宋" w:cs="仿宋"/>
                <w:b/>
                <w:kern w:val="0"/>
                <w:sz w:val="32"/>
                <w:szCs w:val="32"/>
                <w:highlight w:val="none"/>
              </w:rPr>
            </w:pPr>
          </w:p>
        </w:tc>
        <w:tc>
          <w:tcPr>
            <w:tcW w:w="1276" w:type="dxa"/>
            <w:vAlign w:val="center"/>
          </w:tcPr>
          <w:p w14:paraId="55430E47">
            <w:pPr>
              <w:adjustRightInd w:val="0"/>
              <w:snapToGrid w:val="0"/>
              <w:spacing w:line="400" w:lineRule="exact"/>
              <w:jc w:val="center"/>
              <w:rPr>
                <w:rFonts w:hint="eastAsia" w:ascii="仿宋" w:hAnsi="仿宋" w:eastAsia="仿宋" w:cs="仿宋"/>
                <w:b/>
                <w:kern w:val="0"/>
                <w:sz w:val="32"/>
                <w:szCs w:val="32"/>
                <w:highlight w:val="none"/>
              </w:rPr>
            </w:pPr>
          </w:p>
        </w:tc>
      </w:tr>
    </w:tbl>
    <w:p w14:paraId="71CA2999">
      <w:pPr>
        <w:jc w:val="left"/>
        <w:rPr>
          <w:rFonts w:hint="eastAsia" w:ascii="仿宋" w:hAnsi="仿宋" w:eastAsia="仿宋" w:cs="仿宋"/>
          <w:kern w:val="0"/>
          <w:sz w:val="24"/>
          <w:highlight w:val="none"/>
        </w:rPr>
      </w:pPr>
      <w:r>
        <w:rPr>
          <w:rFonts w:hint="eastAsia" w:ascii="仿宋" w:hAnsi="仿宋" w:eastAsia="仿宋" w:cs="仿宋"/>
          <w:kern w:val="0"/>
          <w:sz w:val="24"/>
          <w:highlight w:val="none"/>
        </w:rPr>
        <w:t>投标人保证：除商务技术偏离表列出的偏离外，投标人响应招标文件的全部要求</w:t>
      </w:r>
    </w:p>
    <w:p w14:paraId="6962FA44">
      <w:pPr>
        <w:jc w:val="center"/>
        <w:rPr>
          <w:rFonts w:hint="eastAsia" w:ascii="仿宋" w:hAnsi="仿宋" w:eastAsia="仿宋" w:cs="仿宋"/>
          <w:b/>
          <w:kern w:val="0"/>
          <w:sz w:val="32"/>
          <w:szCs w:val="32"/>
          <w:highlight w:val="none"/>
        </w:rPr>
      </w:pPr>
    </w:p>
    <w:p w14:paraId="17EB3D93">
      <w:pPr>
        <w:spacing w:line="360" w:lineRule="auto"/>
        <w:ind w:right="420"/>
        <w:rPr>
          <w:rFonts w:hint="eastAsia" w:ascii="仿宋" w:hAnsi="仿宋" w:eastAsia="仿宋" w:cs="仿宋"/>
          <w:sz w:val="24"/>
          <w:highlight w:val="none"/>
        </w:rPr>
      </w:pPr>
    </w:p>
    <w:p w14:paraId="2CF20CA8">
      <w:pP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4098E6DF">
      <w:pPr>
        <w:snapToGrid w:val="0"/>
        <w:spacing w:line="360" w:lineRule="auto"/>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八、政府采购供应商廉洁自律承诺书</w:t>
      </w:r>
    </w:p>
    <w:p w14:paraId="123054A6">
      <w:pPr>
        <w:snapToGrid w:val="0"/>
        <w:spacing w:line="360" w:lineRule="auto"/>
        <w:rPr>
          <w:rFonts w:hint="eastAsia" w:ascii="仿宋" w:hAnsi="仿宋" w:eastAsia="仿宋" w:cs="仿宋"/>
          <w:sz w:val="24"/>
          <w:highlight w:val="none"/>
        </w:rPr>
      </w:pPr>
    </w:p>
    <w:p w14:paraId="41B3A683">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kern w:val="0"/>
          <w:sz w:val="24"/>
          <w:highlight w:val="none"/>
          <w:lang w:val="zh-CN"/>
        </w:rPr>
        <w:t>：</w:t>
      </w:r>
    </w:p>
    <w:p w14:paraId="62C02A5A">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项目招标要求参加投标。在这次投标过程中和中标后，我们将严格遵守国家法律法规要求，并郑重承诺：</w:t>
      </w:r>
    </w:p>
    <w:p w14:paraId="4A1FE88C">
      <w:pPr>
        <w:autoSpaceDE w:val="0"/>
        <w:autoSpaceDN w:val="0"/>
        <w:adjustRightInd w:val="0"/>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一、不向项目有关人员及部门赠送礼金礼物、有价证券、回扣以及中介费、介绍费、咨询费等好处费； </w:t>
      </w:r>
    </w:p>
    <w:p w14:paraId="443D1176">
      <w:pPr>
        <w:autoSpaceDE w:val="0"/>
        <w:autoSpaceDN w:val="0"/>
        <w:adjustRightInd w:val="0"/>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二、不为项目有关人员及部门报销应由你方单位或个人支付的费用； </w:t>
      </w:r>
    </w:p>
    <w:p w14:paraId="05E8BE5A">
      <w:pPr>
        <w:autoSpaceDE w:val="0"/>
        <w:autoSpaceDN w:val="0"/>
        <w:adjustRightInd w:val="0"/>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三、不向项目有关人员及部门提供有可能影响公正的宴请和健身娱乐等活动； </w:t>
      </w:r>
    </w:p>
    <w:p w14:paraId="69BA6583">
      <w:pPr>
        <w:autoSpaceDE w:val="0"/>
        <w:autoSpaceDN w:val="0"/>
        <w:adjustRightInd w:val="0"/>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14:paraId="020BBF2D">
      <w:pPr>
        <w:autoSpaceDE w:val="0"/>
        <w:autoSpaceDN w:val="0"/>
        <w:adjustRightInd w:val="0"/>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五、不为项目有关人员个人装修住房、婚丧嫁娶、配偶子女工作安排等提供好处；</w:t>
      </w:r>
    </w:p>
    <w:p w14:paraId="787D26D7">
      <w:pPr>
        <w:autoSpaceDE w:val="0"/>
        <w:autoSpaceDN w:val="0"/>
        <w:adjustRightInd w:val="0"/>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六、严格遵守《</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政府采购法》《</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招标投标法》</w:t>
      </w:r>
      <w:r>
        <w:rPr>
          <w:rFonts w:hint="eastAsia" w:ascii="仿宋" w:hAnsi="仿宋" w:eastAsia="仿宋" w:cs="仿宋"/>
          <w:sz w:val="24"/>
          <w:highlight w:val="none"/>
          <w:lang w:val="zh-CN"/>
        </w:rPr>
        <w:t>《中华人民共和国民法典》</w:t>
      </w:r>
      <w:r>
        <w:rPr>
          <w:rFonts w:hint="eastAsia" w:ascii="仿宋" w:hAnsi="仿宋" w:eastAsia="仿宋" w:cs="仿宋"/>
          <w:kern w:val="0"/>
          <w:sz w:val="24"/>
          <w:highlight w:val="none"/>
          <w:lang w:val="zh-CN"/>
        </w:rPr>
        <w:t xml:space="preserve">等法律法规，诚实守信，合法经营，坚决抵制各种违法违纪行为。 </w:t>
      </w:r>
    </w:p>
    <w:p w14:paraId="026EA4C5">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有权立即取消我单位投标、中标或在建项目的建设资格，有权拒绝我单位在一定时期内进入你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进行项目建设或其他经营活动，并通报</w:t>
      </w:r>
      <w:r>
        <w:rPr>
          <w:rFonts w:hint="eastAsia" w:ascii="仿宋" w:hAnsi="仿宋" w:eastAsia="仿宋" w:cs="仿宋"/>
          <w:kern w:val="0"/>
          <w:sz w:val="24"/>
          <w:highlight w:val="none"/>
        </w:rPr>
        <w:t>监管部门</w:t>
      </w:r>
      <w:r>
        <w:rPr>
          <w:rFonts w:hint="eastAsia" w:ascii="仿宋" w:hAnsi="仿宋" w:eastAsia="仿宋" w:cs="仿宋"/>
          <w:kern w:val="0"/>
          <w:sz w:val="24"/>
          <w:highlight w:val="none"/>
          <w:lang w:val="zh-CN"/>
        </w:rPr>
        <w:t>。由此引起的相应损失均由我单位承担。</w:t>
      </w:r>
    </w:p>
    <w:p w14:paraId="6B5CC9BE">
      <w:pPr>
        <w:autoSpaceDE w:val="0"/>
        <w:autoSpaceDN w:val="0"/>
        <w:spacing w:line="360" w:lineRule="auto"/>
        <w:ind w:left="2"/>
        <w:jc w:val="left"/>
        <w:rPr>
          <w:rFonts w:hint="eastAsia" w:ascii="仿宋" w:hAnsi="仿宋" w:eastAsia="仿宋" w:cs="仿宋"/>
          <w:kern w:val="0"/>
          <w:sz w:val="24"/>
          <w:highlight w:val="none"/>
          <w:lang w:val="zh-CN"/>
        </w:rPr>
      </w:pPr>
    </w:p>
    <w:p w14:paraId="156BC691">
      <w:pPr>
        <w:autoSpaceDE w:val="0"/>
        <w:autoSpaceDN w:val="0"/>
        <w:spacing w:line="360" w:lineRule="auto"/>
        <w:ind w:left="2"/>
        <w:jc w:val="left"/>
        <w:rPr>
          <w:rFonts w:hint="eastAsia" w:ascii="仿宋" w:hAnsi="仿宋" w:eastAsia="仿宋" w:cs="仿宋"/>
          <w:kern w:val="0"/>
          <w:sz w:val="24"/>
          <w:highlight w:val="none"/>
          <w:lang w:val="zh-CN"/>
        </w:rPr>
      </w:pPr>
    </w:p>
    <w:p w14:paraId="52B59EC5">
      <w:pPr>
        <w:autoSpaceDE w:val="0"/>
        <w:autoSpaceDN w:val="0"/>
        <w:spacing w:line="360" w:lineRule="auto"/>
        <w:ind w:left="2"/>
        <w:jc w:val="left"/>
        <w:rPr>
          <w:rFonts w:hint="eastAsia" w:ascii="仿宋" w:hAnsi="仿宋" w:eastAsia="仿宋" w:cs="仿宋"/>
          <w:kern w:val="0"/>
          <w:sz w:val="24"/>
          <w:highlight w:val="none"/>
          <w:lang w:val="zh-CN"/>
        </w:rPr>
      </w:pPr>
    </w:p>
    <w:p w14:paraId="0F86E837">
      <w:pPr>
        <w:autoSpaceDE w:val="0"/>
        <w:autoSpaceDN w:val="0"/>
        <w:spacing w:line="360" w:lineRule="auto"/>
        <w:ind w:left="2" w:leftChars="1" w:right="1120" w:firstLine="4560" w:firstLineChars="19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w:t>
      </w:r>
      <w:r>
        <w:rPr>
          <w:rFonts w:hint="eastAsia" w:ascii="仿宋" w:hAnsi="仿宋" w:eastAsia="仿宋" w:cs="仿宋"/>
          <w:sz w:val="24"/>
          <w:highlight w:val="none"/>
        </w:rPr>
        <w:t>电子签名</w:t>
      </w:r>
      <w:r>
        <w:rPr>
          <w:rFonts w:hint="eastAsia" w:ascii="仿宋" w:hAnsi="仿宋" w:eastAsia="仿宋" w:cs="仿宋"/>
          <w:kern w:val="0"/>
          <w:sz w:val="24"/>
          <w:highlight w:val="none"/>
          <w:lang w:val="zh-CN"/>
        </w:rPr>
        <w:t xml:space="preserve">）：                                                                                                                                                                                                               </w:t>
      </w:r>
    </w:p>
    <w:p w14:paraId="6FAC6A8D">
      <w:pPr>
        <w:spacing w:line="360" w:lineRule="auto"/>
        <w:ind w:left="4620" w:leftChars="2200"/>
        <w:rPr>
          <w:rFonts w:hint="eastAsia"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日</w:t>
      </w:r>
    </w:p>
    <w:p w14:paraId="25CF3C50">
      <w:pPr>
        <w:spacing w:line="360" w:lineRule="auto"/>
        <w:rPr>
          <w:rFonts w:hint="eastAsia" w:ascii="仿宋" w:hAnsi="仿宋" w:eastAsia="仿宋" w:cs="仿宋"/>
          <w:sz w:val="24"/>
          <w:highlight w:val="none"/>
        </w:rPr>
      </w:pPr>
    </w:p>
    <w:p w14:paraId="71017235">
      <w:pP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br w:type="page"/>
      </w:r>
    </w:p>
    <w:p w14:paraId="6306A56F">
      <w:pPr>
        <w:spacing w:line="360" w:lineRule="auto"/>
        <w:jc w:val="center"/>
        <w:outlineLvl w:val="1"/>
        <w:rPr>
          <w:rFonts w:hint="eastAsia" w:ascii="仿宋" w:hAnsi="仿宋" w:eastAsia="仿宋" w:cs="仿宋"/>
          <w:b/>
          <w:kern w:val="0"/>
          <w:sz w:val="36"/>
          <w:szCs w:val="36"/>
          <w:highlight w:val="none"/>
        </w:rPr>
      </w:pPr>
      <w:bookmarkStart w:id="301" w:name="_Toc29208"/>
      <w:bookmarkStart w:id="302" w:name="_Toc5590"/>
      <w:bookmarkStart w:id="303" w:name="_Toc3363"/>
      <w:bookmarkStart w:id="304" w:name="_Toc3114"/>
      <w:r>
        <w:rPr>
          <w:rFonts w:hint="eastAsia" w:ascii="仿宋" w:hAnsi="仿宋" w:eastAsia="仿宋" w:cs="仿宋"/>
          <w:b/>
          <w:kern w:val="0"/>
          <w:sz w:val="36"/>
          <w:szCs w:val="36"/>
          <w:highlight w:val="none"/>
        </w:rPr>
        <w:t>报价文件部分</w:t>
      </w:r>
      <w:bookmarkEnd w:id="301"/>
      <w:bookmarkEnd w:id="302"/>
      <w:bookmarkEnd w:id="303"/>
      <w:bookmarkEnd w:id="304"/>
    </w:p>
    <w:p w14:paraId="5FE1DEF3">
      <w:pPr>
        <w:spacing w:line="360" w:lineRule="auto"/>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30202648">
      <w:pPr>
        <w:spacing w:line="360" w:lineRule="auto"/>
        <w:jc w:val="center"/>
        <w:rPr>
          <w:rFonts w:hint="eastAsia" w:ascii="仿宋" w:hAnsi="仿宋" w:eastAsia="仿宋" w:cs="仿宋"/>
          <w:b/>
          <w:kern w:val="0"/>
          <w:sz w:val="36"/>
          <w:szCs w:val="36"/>
          <w:highlight w:val="none"/>
        </w:rPr>
      </w:pPr>
    </w:p>
    <w:p w14:paraId="4C0054E3">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（1）开标一览表（报价表）………………………………………………………（页码）</w:t>
      </w:r>
    </w:p>
    <w:p w14:paraId="08893CB1">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（2）报价明细表……………………………………………………………………（页码）</w:t>
      </w:r>
    </w:p>
    <w:p w14:paraId="418F4706">
      <w:pPr>
        <w:pStyle w:val="19"/>
        <w:ind w:left="0" w:leftChars="0" w:firstLine="0" w:firstLineChars="0"/>
        <w:rPr>
          <w:rFonts w:hint="eastAsia" w:ascii="仿宋" w:hAnsi="仿宋" w:eastAsia="仿宋" w:cs="仿宋"/>
          <w:highlight w:val="none"/>
          <w:lang w:val="en-US" w:eastAsia="zh-CN"/>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中小企业声明函（如果有）</w:t>
      </w:r>
      <w:r>
        <w:rPr>
          <w:rFonts w:hint="eastAsia" w:ascii="仿宋" w:hAnsi="仿宋" w:eastAsia="仿宋" w:cs="仿宋"/>
          <w:sz w:val="24"/>
          <w:highlight w:val="none"/>
        </w:rPr>
        <w:t>…………………………………………………（页码）</w:t>
      </w:r>
    </w:p>
    <w:p w14:paraId="16C96BD2">
      <w:pPr>
        <w:snapToGrid w:val="0"/>
        <w:spacing w:line="360" w:lineRule="auto"/>
        <w:ind w:right="480"/>
        <w:jc w:val="center"/>
        <w:rPr>
          <w:rFonts w:hint="eastAsia" w:ascii="仿宋" w:hAnsi="仿宋" w:eastAsia="仿宋" w:cs="仿宋"/>
          <w:b/>
          <w:kern w:val="0"/>
          <w:sz w:val="32"/>
          <w:szCs w:val="32"/>
          <w:highlight w:val="none"/>
        </w:rPr>
      </w:pPr>
    </w:p>
    <w:p w14:paraId="77D70946">
      <w:pPr>
        <w:snapToGrid w:val="0"/>
        <w:spacing w:line="360" w:lineRule="auto"/>
        <w:ind w:right="480"/>
        <w:jc w:val="center"/>
        <w:rPr>
          <w:rFonts w:hint="eastAsia" w:ascii="仿宋" w:hAnsi="仿宋" w:eastAsia="仿宋" w:cs="仿宋"/>
          <w:b/>
          <w:kern w:val="0"/>
          <w:sz w:val="32"/>
          <w:szCs w:val="32"/>
          <w:highlight w:val="none"/>
        </w:rPr>
      </w:pPr>
    </w:p>
    <w:p w14:paraId="109FB4D0">
      <w:pPr>
        <w:snapToGrid w:val="0"/>
        <w:spacing w:line="360" w:lineRule="auto"/>
        <w:ind w:right="480"/>
        <w:jc w:val="center"/>
        <w:rPr>
          <w:rFonts w:hint="eastAsia" w:ascii="仿宋" w:hAnsi="仿宋" w:eastAsia="仿宋" w:cs="仿宋"/>
          <w:b/>
          <w:kern w:val="0"/>
          <w:sz w:val="32"/>
          <w:szCs w:val="32"/>
          <w:highlight w:val="none"/>
        </w:rPr>
      </w:pPr>
    </w:p>
    <w:p w14:paraId="5FC414AC">
      <w:pPr>
        <w:snapToGrid w:val="0"/>
        <w:spacing w:line="360" w:lineRule="auto"/>
        <w:ind w:right="480"/>
        <w:jc w:val="center"/>
        <w:rPr>
          <w:rFonts w:hint="eastAsia" w:ascii="仿宋" w:hAnsi="仿宋" w:eastAsia="仿宋" w:cs="仿宋"/>
          <w:b/>
          <w:kern w:val="0"/>
          <w:sz w:val="32"/>
          <w:szCs w:val="32"/>
          <w:highlight w:val="none"/>
        </w:rPr>
      </w:pPr>
    </w:p>
    <w:p w14:paraId="1C39945E">
      <w:pPr>
        <w:snapToGrid w:val="0"/>
        <w:spacing w:line="360" w:lineRule="auto"/>
        <w:ind w:right="480"/>
        <w:jc w:val="center"/>
        <w:rPr>
          <w:rFonts w:hint="eastAsia" w:ascii="仿宋" w:hAnsi="仿宋" w:eastAsia="仿宋" w:cs="仿宋"/>
          <w:b/>
          <w:kern w:val="0"/>
          <w:sz w:val="32"/>
          <w:szCs w:val="32"/>
          <w:highlight w:val="none"/>
        </w:rPr>
      </w:pPr>
    </w:p>
    <w:p w14:paraId="08B0D9DB">
      <w:pPr>
        <w:snapToGrid w:val="0"/>
        <w:spacing w:line="360" w:lineRule="auto"/>
        <w:ind w:right="480"/>
        <w:jc w:val="center"/>
        <w:rPr>
          <w:rFonts w:hint="eastAsia" w:ascii="仿宋" w:hAnsi="仿宋" w:eastAsia="仿宋" w:cs="仿宋"/>
          <w:b/>
          <w:kern w:val="0"/>
          <w:sz w:val="32"/>
          <w:szCs w:val="32"/>
          <w:highlight w:val="none"/>
        </w:rPr>
      </w:pPr>
    </w:p>
    <w:p w14:paraId="27F3D4DF">
      <w:pPr>
        <w:snapToGrid w:val="0"/>
        <w:spacing w:line="360" w:lineRule="auto"/>
        <w:ind w:right="480"/>
        <w:jc w:val="center"/>
        <w:rPr>
          <w:rFonts w:hint="eastAsia" w:ascii="仿宋" w:hAnsi="仿宋" w:eastAsia="仿宋" w:cs="仿宋"/>
          <w:b/>
          <w:kern w:val="0"/>
          <w:sz w:val="32"/>
          <w:szCs w:val="32"/>
          <w:highlight w:val="none"/>
        </w:rPr>
      </w:pPr>
    </w:p>
    <w:p w14:paraId="58194ADB">
      <w:pPr>
        <w:snapToGrid w:val="0"/>
        <w:spacing w:line="360" w:lineRule="auto"/>
        <w:ind w:right="480"/>
        <w:jc w:val="center"/>
        <w:rPr>
          <w:rFonts w:hint="eastAsia" w:ascii="仿宋" w:hAnsi="仿宋" w:eastAsia="仿宋" w:cs="仿宋"/>
          <w:b/>
          <w:kern w:val="0"/>
          <w:sz w:val="32"/>
          <w:szCs w:val="32"/>
          <w:highlight w:val="none"/>
        </w:rPr>
      </w:pPr>
    </w:p>
    <w:p w14:paraId="2BC8D3E7">
      <w:pPr>
        <w:snapToGrid w:val="0"/>
        <w:spacing w:line="360" w:lineRule="auto"/>
        <w:ind w:right="480"/>
        <w:jc w:val="center"/>
        <w:rPr>
          <w:rFonts w:hint="eastAsia" w:ascii="仿宋" w:hAnsi="仿宋" w:eastAsia="仿宋" w:cs="仿宋"/>
          <w:b/>
          <w:kern w:val="0"/>
          <w:sz w:val="32"/>
          <w:szCs w:val="32"/>
          <w:highlight w:val="none"/>
        </w:rPr>
      </w:pPr>
    </w:p>
    <w:p w14:paraId="67B77658">
      <w:pPr>
        <w:snapToGrid w:val="0"/>
        <w:spacing w:line="360" w:lineRule="auto"/>
        <w:ind w:right="480"/>
        <w:jc w:val="center"/>
        <w:rPr>
          <w:rFonts w:hint="eastAsia" w:ascii="仿宋" w:hAnsi="仿宋" w:eastAsia="仿宋" w:cs="仿宋"/>
          <w:b/>
          <w:kern w:val="0"/>
          <w:sz w:val="32"/>
          <w:szCs w:val="32"/>
          <w:highlight w:val="none"/>
        </w:rPr>
      </w:pPr>
    </w:p>
    <w:p w14:paraId="3BE7D930">
      <w:pPr>
        <w:snapToGrid w:val="0"/>
        <w:spacing w:line="360" w:lineRule="auto"/>
        <w:ind w:right="480"/>
        <w:jc w:val="center"/>
        <w:rPr>
          <w:rFonts w:hint="eastAsia" w:ascii="仿宋" w:hAnsi="仿宋" w:eastAsia="仿宋" w:cs="仿宋"/>
          <w:b/>
          <w:kern w:val="0"/>
          <w:sz w:val="32"/>
          <w:szCs w:val="32"/>
          <w:highlight w:val="none"/>
        </w:rPr>
      </w:pPr>
    </w:p>
    <w:p w14:paraId="71A6EA69">
      <w:pPr>
        <w:snapToGrid w:val="0"/>
        <w:spacing w:line="360" w:lineRule="auto"/>
        <w:ind w:right="480"/>
        <w:jc w:val="center"/>
        <w:rPr>
          <w:rFonts w:hint="eastAsia" w:ascii="仿宋" w:hAnsi="仿宋" w:eastAsia="仿宋" w:cs="仿宋"/>
          <w:b/>
          <w:kern w:val="0"/>
          <w:sz w:val="32"/>
          <w:szCs w:val="32"/>
          <w:highlight w:val="none"/>
        </w:rPr>
      </w:pPr>
    </w:p>
    <w:p w14:paraId="1549ACC9">
      <w:pPr>
        <w:snapToGrid w:val="0"/>
        <w:spacing w:line="360" w:lineRule="auto"/>
        <w:ind w:right="480"/>
        <w:jc w:val="center"/>
        <w:rPr>
          <w:rFonts w:hint="eastAsia" w:ascii="仿宋" w:hAnsi="仿宋" w:eastAsia="仿宋" w:cs="仿宋"/>
          <w:b/>
          <w:kern w:val="0"/>
          <w:sz w:val="32"/>
          <w:szCs w:val="32"/>
          <w:highlight w:val="none"/>
        </w:rPr>
      </w:pPr>
    </w:p>
    <w:p w14:paraId="7C1EE7DE">
      <w:pPr>
        <w:snapToGrid w:val="0"/>
        <w:spacing w:line="360" w:lineRule="auto"/>
        <w:ind w:right="480"/>
        <w:jc w:val="center"/>
        <w:rPr>
          <w:rFonts w:hint="eastAsia" w:ascii="仿宋" w:hAnsi="仿宋" w:eastAsia="仿宋" w:cs="仿宋"/>
          <w:b/>
          <w:kern w:val="0"/>
          <w:sz w:val="32"/>
          <w:szCs w:val="32"/>
          <w:highlight w:val="none"/>
        </w:rPr>
      </w:pPr>
    </w:p>
    <w:p w14:paraId="73C74286">
      <w:pPr>
        <w:snapToGrid w:val="0"/>
        <w:spacing w:line="360" w:lineRule="auto"/>
        <w:ind w:right="480"/>
        <w:jc w:val="center"/>
        <w:rPr>
          <w:rFonts w:hint="eastAsia" w:ascii="仿宋" w:hAnsi="仿宋" w:eastAsia="仿宋" w:cs="仿宋"/>
          <w:b/>
          <w:kern w:val="0"/>
          <w:sz w:val="32"/>
          <w:szCs w:val="32"/>
          <w:highlight w:val="none"/>
        </w:rPr>
      </w:pPr>
    </w:p>
    <w:p w14:paraId="0DCB2435">
      <w:pPr>
        <w:pStyle w:val="176"/>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0A84B151">
      <w:pPr>
        <w:pStyle w:val="176"/>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pPr>
      <w:bookmarkStart w:id="305" w:name="_Toc11552"/>
      <w:bookmarkStart w:id="306" w:name="_Toc15988"/>
      <w:bookmarkStart w:id="307" w:name="_Toc16414"/>
      <w:bookmarkStart w:id="308" w:name="_Toc19569"/>
      <w:bookmarkStart w:id="309" w:name="_Toc8039"/>
      <w:bookmarkStart w:id="310" w:name="_Toc366"/>
      <w:bookmarkStart w:id="311" w:name="_Toc17498"/>
      <w:bookmarkStart w:id="312" w:name="_Toc11024"/>
      <w:bookmarkStart w:id="313" w:name="_Toc30323"/>
      <w:bookmarkStart w:id="314" w:name="_Toc25033"/>
      <w:bookmarkStart w:id="315" w:name="_Toc21526"/>
      <w:bookmarkStart w:id="316" w:name="_Toc26125"/>
      <w:bookmarkStart w:id="317" w:name="_Toc13843"/>
      <w:bookmarkStart w:id="318" w:name="_Toc21682"/>
      <w:bookmarkStart w:id="319" w:name="_Toc9655"/>
      <w:bookmarkStart w:id="320" w:name="_Toc11262"/>
      <w:bookmarkStart w:id="321" w:name="_Toc12875"/>
      <w:bookmarkStart w:id="322" w:name="_Toc5399"/>
      <w:bookmarkStart w:id="323" w:name="_Toc5294"/>
      <w:r>
        <w:rPr>
          <w:rFonts w:hint="eastAsia" w:ascii="仿宋" w:hAnsi="仿宋" w:eastAsia="仿宋" w:cs="仿宋"/>
          <w:kern w:val="2"/>
          <w:sz w:val="32"/>
          <w:szCs w:val="32"/>
          <w:highlight w:val="none"/>
        </w:rPr>
        <w:t>一、开标一览表（报价表）</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48AC8E1E">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kern w:val="0"/>
          <w:sz w:val="24"/>
          <w:highlight w:val="none"/>
          <w:lang w:val="zh-CN"/>
        </w:rPr>
        <w:t>：</w:t>
      </w:r>
    </w:p>
    <w:p w14:paraId="7FF964C6">
      <w:pPr>
        <w:snapToGrid w:val="0"/>
        <w:spacing w:line="360" w:lineRule="auto"/>
        <w:ind w:firstLine="482"/>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highlight w:val="none"/>
        </w:rPr>
        <w:t>（项目名称）</w:t>
      </w:r>
      <w:r>
        <w:rPr>
          <w:rFonts w:hint="eastAsia" w:ascii="仿宋" w:hAnsi="仿宋" w:eastAsia="仿宋" w:cs="仿宋"/>
          <w:kern w:val="0"/>
          <w:sz w:val="24"/>
          <w:highlight w:val="none"/>
          <w:lang w:val="zh-CN"/>
        </w:rPr>
        <w:t>【招标编号：</w:t>
      </w:r>
      <w:r>
        <w:rPr>
          <w:rFonts w:hint="eastAsia" w:ascii="仿宋" w:hAnsi="仿宋" w:eastAsia="仿宋" w:cs="仿宋"/>
          <w:sz w:val="24"/>
          <w:highlight w:val="none"/>
        </w:rPr>
        <w:t>（采购编号）】的实施</w:t>
      </w:r>
      <w:r>
        <w:rPr>
          <w:rFonts w:hint="eastAsia" w:ascii="仿宋" w:hAnsi="仿宋" w:eastAsia="仿宋" w:cs="仿宋"/>
          <w:kern w:val="0"/>
          <w:sz w:val="24"/>
          <w:highlight w:val="none"/>
          <w:lang w:val="zh-CN"/>
        </w:rPr>
        <w:t>。</w:t>
      </w:r>
    </w:p>
    <w:p w14:paraId="4BDA01CF">
      <w:pPr>
        <w:spacing w:line="360" w:lineRule="auto"/>
        <w:jc w:val="center"/>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开标一览表（报价表）</w:t>
      </w:r>
    </w:p>
    <w:p w14:paraId="5A7C680A">
      <w:pPr>
        <w:snapToGrid w:val="0"/>
        <w:spacing w:line="360" w:lineRule="auto"/>
        <w:ind w:firstLine="482"/>
        <w:rPr>
          <w:rFonts w:hint="eastAsia" w:ascii="仿宋" w:hAnsi="仿宋" w:eastAsia="仿宋" w:cs="仿宋"/>
          <w:kern w:val="0"/>
          <w:sz w:val="24"/>
          <w:highlight w:val="none"/>
          <w:lang w:val="zh-CN"/>
        </w:rPr>
      </w:pPr>
    </w:p>
    <w:tbl>
      <w:tblPr>
        <w:tblStyle w:val="45"/>
        <w:tblW w:w="9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786"/>
      </w:tblGrid>
      <w:tr w14:paraId="74558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560" w:type="dxa"/>
            <w:noWrap/>
            <w:vAlign w:val="center"/>
          </w:tcPr>
          <w:p w14:paraId="3D4498AC">
            <w:pPr>
              <w:adjustRightInd w:val="0"/>
              <w:snapToGrid w:val="0"/>
              <w:rPr>
                <w:rFonts w:hint="eastAsia" w:ascii="仿宋" w:hAnsi="仿宋" w:eastAsia="仿宋" w:cs="仿宋"/>
                <w:snapToGrid w:val="0"/>
                <w:color w:val="auto"/>
                <w:kern w:val="0"/>
                <w:szCs w:val="21"/>
                <w:highlight w:val="none"/>
                <w:lang w:eastAsia="zh-CN"/>
              </w:rPr>
            </w:pPr>
            <w:r>
              <w:rPr>
                <w:rFonts w:hint="eastAsia" w:ascii="仿宋" w:hAnsi="仿宋" w:eastAsia="仿宋" w:cs="仿宋"/>
                <w:snapToGrid w:val="0"/>
                <w:color w:val="auto"/>
                <w:kern w:val="0"/>
                <w:szCs w:val="21"/>
                <w:highlight w:val="none"/>
              </w:rPr>
              <w:t>投标</w:t>
            </w:r>
            <w:r>
              <w:rPr>
                <w:rFonts w:hint="eastAsia" w:ascii="仿宋" w:hAnsi="仿宋" w:eastAsia="仿宋" w:cs="仿宋"/>
                <w:snapToGrid w:val="0"/>
                <w:color w:val="auto"/>
                <w:kern w:val="0"/>
                <w:szCs w:val="21"/>
                <w:highlight w:val="none"/>
                <w:lang w:val="en-US" w:eastAsia="zh-CN"/>
              </w:rPr>
              <w:t>费率</w:t>
            </w:r>
          </w:p>
        </w:tc>
        <w:tc>
          <w:tcPr>
            <w:tcW w:w="4786" w:type="dxa"/>
            <w:noWrap/>
            <w:vAlign w:val="center"/>
          </w:tcPr>
          <w:p w14:paraId="0285FF80">
            <w:pPr>
              <w:adjustRightInd w:val="0"/>
              <w:snapToGrid w:val="0"/>
              <w:ind w:left="72"/>
              <w:rPr>
                <w:rFonts w:hint="eastAsia" w:ascii="仿宋" w:hAnsi="仿宋" w:eastAsia="仿宋" w:cs="仿宋"/>
                <w:snapToGrid w:val="0"/>
                <w:color w:val="auto"/>
                <w:kern w:val="0"/>
                <w:szCs w:val="21"/>
                <w:highlight w:val="none"/>
                <w:lang w:val="en-US" w:eastAsia="zh-CN"/>
              </w:rPr>
            </w:pPr>
            <w:r>
              <w:rPr>
                <w:rFonts w:hint="eastAsia" w:ascii="仿宋" w:hAnsi="仿宋" w:eastAsia="仿宋" w:cs="仿宋"/>
                <w:snapToGrid w:val="0"/>
                <w:color w:val="auto"/>
                <w:kern w:val="0"/>
                <w:szCs w:val="21"/>
                <w:highlight w:val="none"/>
                <w:u w:val="single"/>
                <w:lang w:val="en-US" w:eastAsia="zh-CN"/>
              </w:rPr>
              <w:t xml:space="preserve">                           %</w:t>
            </w:r>
          </w:p>
        </w:tc>
      </w:tr>
      <w:tr w14:paraId="26F0A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560" w:type="dxa"/>
            <w:noWrap/>
            <w:vAlign w:val="center"/>
          </w:tcPr>
          <w:p w14:paraId="7A6853FD">
            <w:pPr>
              <w:adjustRightInd w:val="0"/>
              <w:snapToGrid w:val="0"/>
              <w:rPr>
                <w:rFonts w:hint="eastAsia" w:ascii="仿宋" w:hAnsi="仿宋" w:eastAsia="仿宋" w:cs="仿宋"/>
                <w:snapToGrid w:val="0"/>
                <w:color w:val="auto"/>
                <w:kern w:val="0"/>
                <w:szCs w:val="21"/>
                <w:highlight w:val="none"/>
                <w:lang w:val="en-US" w:eastAsia="zh-CN"/>
              </w:rPr>
            </w:pPr>
            <w:r>
              <w:rPr>
                <w:rFonts w:hint="eastAsia" w:ascii="仿宋" w:hAnsi="仿宋" w:eastAsia="仿宋" w:cs="仿宋"/>
                <w:snapToGrid w:val="0"/>
                <w:color w:val="auto"/>
                <w:kern w:val="0"/>
                <w:szCs w:val="21"/>
                <w:highlight w:val="none"/>
                <w:lang w:val="en-US" w:eastAsia="zh-CN"/>
              </w:rPr>
              <w:t>备注：</w:t>
            </w:r>
            <w:r>
              <w:rPr>
                <w:rFonts w:hint="eastAsia" w:ascii="仿宋" w:hAnsi="仿宋" w:eastAsia="仿宋" w:cs="仿宋"/>
                <w:snapToGrid w:val="0"/>
                <w:color w:val="auto"/>
                <w:kern w:val="0"/>
                <w:szCs w:val="21"/>
                <w:highlight w:val="none"/>
                <w:lang w:eastAsia="zh-CN"/>
              </w:rPr>
              <w:t>（</w:t>
            </w:r>
            <w:r>
              <w:rPr>
                <w:rFonts w:hint="eastAsia" w:ascii="仿宋" w:hAnsi="仿宋" w:eastAsia="仿宋" w:cs="仿宋"/>
                <w:snapToGrid w:val="0"/>
                <w:color w:val="auto"/>
                <w:kern w:val="0"/>
                <w:szCs w:val="21"/>
                <w:highlight w:val="none"/>
                <w:lang w:val="en-US" w:eastAsia="zh-CN"/>
              </w:rPr>
              <w:t>填写费率：%；</w:t>
            </w:r>
            <w:r>
              <w:rPr>
                <w:rFonts w:hint="eastAsia" w:ascii="仿宋" w:hAnsi="仿宋" w:eastAsia="仿宋" w:cs="仿宋"/>
                <w:bCs/>
                <w:color w:val="auto"/>
                <w:sz w:val="21"/>
                <w:szCs w:val="21"/>
                <w:highlight w:val="none"/>
                <w:shd w:val="clear" w:color="auto" w:fill="auto"/>
                <w:lang w:val="en-US" w:eastAsia="zh-CN"/>
              </w:rPr>
              <w:t>例如费率为X%，图书原定价为A元/册，供货数量为B，则支付金额=A×B×X%</w:t>
            </w:r>
            <w:r>
              <w:rPr>
                <w:rFonts w:hint="eastAsia" w:ascii="仿宋" w:hAnsi="仿宋" w:eastAsia="仿宋" w:cs="仿宋"/>
                <w:snapToGrid w:val="0"/>
                <w:color w:val="auto"/>
                <w:kern w:val="0"/>
                <w:szCs w:val="21"/>
                <w:highlight w:val="none"/>
                <w:lang w:eastAsia="zh-CN"/>
              </w:rPr>
              <w:t>）</w:t>
            </w:r>
          </w:p>
        </w:tc>
        <w:tc>
          <w:tcPr>
            <w:tcW w:w="4786" w:type="dxa"/>
            <w:noWrap/>
            <w:vAlign w:val="center"/>
          </w:tcPr>
          <w:p w14:paraId="31D48656">
            <w:pPr>
              <w:adjustRightInd w:val="0"/>
              <w:snapToGrid w:val="0"/>
              <w:ind w:left="72"/>
              <w:rPr>
                <w:rFonts w:hint="eastAsia" w:ascii="仿宋" w:hAnsi="仿宋" w:eastAsia="仿宋" w:cs="仿宋"/>
                <w:snapToGrid w:val="0"/>
                <w:color w:val="auto"/>
                <w:kern w:val="0"/>
                <w:szCs w:val="21"/>
                <w:highlight w:val="none"/>
                <w:u w:val="single"/>
                <w:lang w:val="en-US" w:eastAsia="zh-CN"/>
              </w:rPr>
            </w:pPr>
          </w:p>
        </w:tc>
      </w:tr>
    </w:tbl>
    <w:p w14:paraId="19A605B8">
      <w:pPr>
        <w:snapToGrid w:val="0"/>
        <w:spacing w:line="360" w:lineRule="auto"/>
        <w:ind w:firstLine="482"/>
        <w:rPr>
          <w:rFonts w:hint="eastAsia" w:ascii="仿宋" w:hAnsi="仿宋" w:eastAsia="仿宋" w:cs="仿宋"/>
          <w:b/>
          <w:kern w:val="0"/>
          <w:sz w:val="24"/>
          <w:highlight w:val="none"/>
          <w:lang w:val="zh-CN"/>
        </w:rPr>
      </w:pPr>
    </w:p>
    <w:p w14:paraId="2017284F">
      <w:pPr>
        <w:adjustRightInd w:val="0"/>
        <w:snapToGrid w:val="0"/>
        <w:spacing w:line="360" w:lineRule="auto"/>
        <w:ind w:left="480"/>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注：</w:t>
      </w:r>
    </w:p>
    <w:p w14:paraId="672E3432">
      <w:pPr>
        <w:adjustRightInd w:val="0"/>
        <w:snapToGrid w:val="0"/>
        <w:spacing w:line="360" w:lineRule="auto"/>
        <w:ind w:left="-2" w:leftChars="-1"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1、投标人需按本表格式填写，不得自行更改。</w:t>
      </w:r>
    </w:p>
    <w:p w14:paraId="31816D81">
      <w:pPr>
        <w:adjustRightInd w:val="0"/>
        <w:snapToGrid w:val="0"/>
        <w:spacing w:line="360" w:lineRule="auto"/>
        <w:ind w:firstLine="480" w:firstLineChars="200"/>
        <w:rPr>
          <w:rFonts w:hint="eastAsia" w:ascii="仿宋" w:hAnsi="仿宋" w:eastAsia="仿宋" w:cs="仿宋"/>
          <w:b/>
          <w:kern w:val="0"/>
          <w:sz w:val="24"/>
          <w:highlight w:val="none"/>
          <w:lang w:val="zh-CN"/>
        </w:rPr>
      </w:pPr>
      <w:r>
        <w:rPr>
          <w:rFonts w:hint="eastAsia" w:ascii="仿宋" w:hAnsi="仿宋" w:eastAsia="仿宋" w:cs="仿宋"/>
          <w:kern w:val="0"/>
          <w:sz w:val="24"/>
          <w:highlight w:val="none"/>
          <w:lang w:val="zh-CN"/>
        </w:rPr>
        <w:t>2、有关本项目实施所涉及的一切费用均计入报价。</w:t>
      </w:r>
      <w:r>
        <w:rPr>
          <w:rFonts w:hint="eastAsia" w:ascii="仿宋" w:hAnsi="仿宋" w:eastAsia="仿宋" w:cs="仿宋"/>
          <w:b/>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kern w:val="0"/>
          <w:sz w:val="24"/>
          <w:highlight w:val="none"/>
          <w:lang w:val="zh-CN"/>
        </w:rPr>
        <w:t>，</w:t>
      </w:r>
      <w:r>
        <w:rPr>
          <w:rFonts w:hint="eastAsia" w:ascii="仿宋" w:hAnsi="仿宋" w:eastAsia="仿宋" w:cs="仿宋"/>
          <w:b/>
          <w:kern w:val="0"/>
          <w:sz w:val="24"/>
          <w:highlight w:val="none"/>
          <w:lang w:val="zh-CN"/>
        </w:rPr>
        <w:t>不得出现“0元”“免费赠送”等形式的无偿报价，</w:t>
      </w:r>
      <w:r>
        <w:rPr>
          <w:rFonts w:hint="eastAsia" w:ascii="仿宋" w:hAnsi="仿宋" w:eastAsia="仿宋" w:cs="仿宋"/>
          <w:b/>
          <w:kern w:val="0"/>
          <w:sz w:val="24"/>
          <w:highlight w:val="none"/>
        </w:rPr>
        <w:t>否则视为</w:t>
      </w:r>
      <w:r>
        <w:rPr>
          <w:rFonts w:hint="eastAsia" w:ascii="仿宋" w:hAnsi="仿宋" w:eastAsia="仿宋" w:cs="仿宋"/>
          <w:b/>
          <w:sz w:val="24"/>
          <w:highlight w:val="none"/>
        </w:rPr>
        <w:t>投标文件含有采购人不能接受的附加条件的，投标无效</w:t>
      </w:r>
      <w:r>
        <w:rPr>
          <w:rFonts w:hint="eastAsia" w:ascii="仿宋" w:hAnsi="仿宋" w:eastAsia="仿宋" w:cs="仿宋"/>
          <w:b/>
          <w:kern w:val="0"/>
          <w:sz w:val="24"/>
          <w:highlight w:val="none"/>
          <w:lang w:val="zh-CN"/>
        </w:rPr>
        <w:t>。</w:t>
      </w:r>
    </w:p>
    <w:p w14:paraId="6243E59E">
      <w:pPr>
        <w:keepNext/>
        <w:keepLines/>
        <w:adjustRightInd w:val="0"/>
        <w:spacing w:line="416" w:lineRule="auto"/>
        <w:rPr>
          <w:rFonts w:hint="eastAsia" w:ascii="仿宋" w:hAnsi="仿宋" w:eastAsia="仿宋" w:cs="仿宋"/>
          <w:highlight w:val="none"/>
        </w:rPr>
      </w:pPr>
    </w:p>
    <w:p w14:paraId="64403DCE">
      <w:pPr>
        <w:snapToGrid w:val="0"/>
        <w:spacing w:line="360" w:lineRule="auto"/>
        <w:ind w:firstLine="576"/>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投标人名称(电子签名)：                              </w:t>
      </w:r>
    </w:p>
    <w:p w14:paraId="24D88450">
      <w:pPr>
        <w:adjustRightInd w:val="0"/>
        <w:snapToGrid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日期：</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日</w:t>
      </w:r>
    </w:p>
    <w:p w14:paraId="0AD2C7A4">
      <w:pPr>
        <w:spacing w:line="360" w:lineRule="auto"/>
        <w:ind w:firstLine="482" w:firstLineChars="200"/>
        <w:rPr>
          <w:rFonts w:hint="eastAsia" w:ascii="仿宋" w:hAnsi="仿宋" w:eastAsia="仿宋" w:cs="仿宋"/>
          <w:b/>
          <w:kern w:val="0"/>
          <w:sz w:val="24"/>
          <w:highlight w:val="none"/>
        </w:rPr>
      </w:pPr>
    </w:p>
    <w:p w14:paraId="405410AC">
      <w:pPr>
        <w:pStyle w:val="176"/>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sectPr>
          <w:pgSz w:w="11906" w:h="16838"/>
          <w:pgMar w:top="1247" w:right="1418" w:bottom="1276" w:left="1418" w:header="851" w:footer="992" w:gutter="0"/>
          <w:cols w:space="720" w:num="1"/>
          <w:titlePg/>
          <w:docGrid w:linePitch="312" w:charSpace="0"/>
        </w:sectPr>
      </w:pPr>
    </w:p>
    <w:p w14:paraId="4D9DA7E1">
      <w:pPr>
        <w:pStyle w:val="19"/>
        <w:spacing w:line="600" w:lineRule="exact"/>
        <w:ind w:firstLine="0"/>
        <w:jc w:val="center"/>
        <w:rPr>
          <w:rFonts w:hint="eastAsia" w:ascii="仿宋" w:hAnsi="仿宋" w:eastAsia="仿宋" w:cs="仿宋"/>
          <w:b/>
          <w:bCs/>
          <w:snapToGrid w:val="0"/>
          <w:kern w:val="0"/>
          <w:sz w:val="28"/>
          <w:szCs w:val="28"/>
          <w:highlight w:val="none"/>
        </w:rPr>
      </w:pPr>
      <w:r>
        <w:rPr>
          <w:rFonts w:hint="eastAsia" w:ascii="仿宋" w:hAnsi="仿宋" w:eastAsia="仿宋" w:cs="仿宋"/>
          <w:b/>
          <w:bCs/>
          <w:snapToGrid w:val="0"/>
          <w:kern w:val="0"/>
          <w:sz w:val="28"/>
          <w:szCs w:val="28"/>
          <w:highlight w:val="none"/>
        </w:rPr>
        <w:t>二、报价明细表</w:t>
      </w:r>
    </w:p>
    <w:p w14:paraId="2E14991E">
      <w:pPr>
        <w:adjustRightInd w:val="0"/>
        <w:spacing w:line="360" w:lineRule="auto"/>
        <w:jc w:val="left"/>
        <w:rPr>
          <w:rFonts w:hint="eastAsia" w:ascii="仿宋" w:hAnsi="仿宋" w:eastAsia="仿宋" w:cs="仿宋"/>
          <w:szCs w:val="21"/>
          <w:highlight w:val="none"/>
        </w:rPr>
      </w:pPr>
    </w:p>
    <w:p w14:paraId="35589033">
      <w:pPr>
        <w:adjustRightInd w:val="0"/>
        <w:spacing w:line="360" w:lineRule="auto"/>
        <w:rPr>
          <w:rFonts w:hint="eastAsia" w:ascii="仿宋" w:hAnsi="仿宋" w:eastAsia="仿宋" w:cs="仿宋"/>
          <w:szCs w:val="21"/>
          <w:highlight w:val="none"/>
          <w:lang w:eastAsia="zh-CN"/>
        </w:rPr>
      </w:pPr>
      <w:r>
        <w:rPr>
          <w:rFonts w:hint="eastAsia" w:ascii="仿宋" w:hAnsi="仿宋" w:eastAsia="仿宋" w:cs="仿宋"/>
          <w:szCs w:val="21"/>
          <w:highlight w:val="none"/>
        </w:rPr>
        <w:t>项目名称：</w:t>
      </w:r>
      <w:r>
        <w:rPr>
          <w:rFonts w:hint="eastAsia" w:ascii="仿宋" w:hAnsi="仿宋" w:eastAsia="仿宋" w:cs="仿宋"/>
          <w:szCs w:val="21"/>
          <w:highlight w:val="none"/>
          <w:lang w:eastAsia="zh-CN"/>
        </w:rPr>
        <w:t>钱塘区图书馆2025年纸质流通图书采购</w:t>
      </w:r>
    </w:p>
    <w:p w14:paraId="073C73E4">
      <w:pPr>
        <w:pStyle w:val="3"/>
        <w:rPr>
          <w:rFonts w:hint="eastAsia" w:ascii="仿宋" w:hAnsi="仿宋" w:eastAsia="仿宋" w:cs="仿宋"/>
          <w:szCs w:val="21"/>
          <w:highlight w:val="none"/>
          <w:lang w:eastAsia="zh-CN"/>
        </w:rPr>
      </w:pPr>
      <w:r>
        <w:rPr>
          <w:rFonts w:hint="eastAsia" w:ascii="仿宋" w:hAnsi="仿宋" w:eastAsia="仿宋" w:cs="仿宋"/>
          <w:szCs w:val="21"/>
          <w:highlight w:val="none"/>
        </w:rPr>
        <w:t>采购编号：</w:t>
      </w:r>
      <w:r>
        <w:rPr>
          <w:rFonts w:hint="eastAsia" w:ascii="仿宋" w:hAnsi="仿宋" w:eastAsia="仿宋" w:cs="仿宋"/>
          <w:szCs w:val="21"/>
          <w:highlight w:val="none"/>
          <w:lang w:eastAsia="zh-CN"/>
        </w:rPr>
        <w:t>QTCG-GK-2025-110</w:t>
      </w:r>
    </w:p>
    <w:p w14:paraId="59AD98C6">
      <w:pPr>
        <w:pStyle w:val="19"/>
        <w:rPr>
          <w:rFonts w:hint="eastAsia" w:ascii="仿宋" w:hAnsi="仿宋" w:eastAsia="仿宋" w:cs="仿宋"/>
          <w:color w:val="auto"/>
          <w:szCs w:val="21"/>
          <w:highlight w:val="none"/>
        </w:rPr>
      </w:pPr>
      <w:r>
        <w:rPr>
          <w:rFonts w:hint="eastAsia" w:ascii="仿宋" w:hAnsi="仿宋" w:eastAsia="仿宋" w:cs="仿宋"/>
          <w:color w:val="auto"/>
          <w:szCs w:val="21"/>
          <w:highlight w:val="none"/>
        </w:rPr>
        <w:t>（自拟）</w:t>
      </w:r>
    </w:p>
    <w:p w14:paraId="594140A0">
      <w:pPr>
        <w:pStyle w:val="32"/>
        <w:rPr>
          <w:rFonts w:hint="eastAsia" w:ascii="仿宋" w:hAnsi="仿宋" w:eastAsia="仿宋" w:cs="仿宋"/>
          <w:szCs w:val="21"/>
          <w:highlight w:val="none"/>
        </w:rPr>
      </w:pPr>
    </w:p>
    <w:p w14:paraId="00FB766B">
      <w:pPr>
        <w:rPr>
          <w:rFonts w:hint="eastAsia" w:ascii="仿宋" w:hAnsi="仿宋" w:eastAsia="仿宋" w:cs="仿宋"/>
          <w:highlight w:val="none"/>
        </w:rPr>
      </w:pPr>
    </w:p>
    <w:p w14:paraId="4C84C910">
      <w:pPr>
        <w:spacing w:line="360" w:lineRule="auto"/>
        <w:rPr>
          <w:rFonts w:hint="eastAsia" w:ascii="仿宋" w:hAnsi="仿宋" w:eastAsia="仿宋" w:cs="仿宋"/>
          <w:highlight w:val="none"/>
        </w:rPr>
      </w:pPr>
    </w:p>
    <w:p w14:paraId="4520486C">
      <w:pPr>
        <w:adjustRightInd w:val="0"/>
        <w:spacing w:line="360" w:lineRule="auto"/>
        <w:ind w:firstLine="4515" w:firstLineChars="2150"/>
        <w:rPr>
          <w:rFonts w:hint="eastAsia" w:ascii="仿宋" w:hAnsi="仿宋" w:eastAsia="仿宋" w:cs="仿宋"/>
          <w:szCs w:val="21"/>
          <w:highlight w:val="none"/>
        </w:rPr>
      </w:pPr>
    </w:p>
    <w:p w14:paraId="0C9A0C20">
      <w:pPr>
        <w:snapToGrid w:val="0"/>
        <w:spacing w:line="360" w:lineRule="auto"/>
        <w:ind w:firstLine="576"/>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投标人名称(电子签名)：                              </w:t>
      </w:r>
    </w:p>
    <w:p w14:paraId="26E43985">
      <w:pPr>
        <w:snapToGrid w:val="0"/>
        <w:spacing w:line="360" w:lineRule="auto"/>
        <w:ind w:firstLine="576"/>
        <w:jc w:val="left"/>
        <w:rPr>
          <w:rFonts w:hint="eastAsia" w:ascii="仿宋" w:hAnsi="仿宋" w:eastAsia="仿宋" w:cs="仿宋"/>
          <w:kern w:val="0"/>
          <w:sz w:val="24"/>
          <w:highlight w:val="none"/>
          <w:lang w:val="zh-CN"/>
        </w:rPr>
        <w:sectPr>
          <w:pgSz w:w="11906" w:h="16838"/>
          <w:pgMar w:top="1247" w:right="1418" w:bottom="1276" w:left="1418" w:header="851" w:footer="992" w:gutter="0"/>
          <w:cols w:space="720" w:num="1"/>
          <w:titlePg/>
          <w:docGrid w:linePitch="312" w:charSpace="0"/>
        </w:sectPr>
      </w:pPr>
      <w:r>
        <w:rPr>
          <w:rFonts w:hint="eastAsia" w:ascii="仿宋" w:hAnsi="仿宋" w:eastAsia="仿宋" w:cs="仿宋"/>
          <w:kern w:val="0"/>
          <w:sz w:val="24"/>
          <w:highlight w:val="none"/>
          <w:lang w:val="zh-CN"/>
        </w:rPr>
        <w:t>日期：    年   月   日</w:t>
      </w:r>
    </w:p>
    <w:p w14:paraId="0B557BB7">
      <w:pP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如为中小企业的，可填写中小企业声明函。</w:t>
      </w:r>
      <w:r>
        <w:rPr>
          <w:rFonts w:hint="eastAsia" w:ascii="仿宋" w:hAnsi="仿宋" w:eastAsia="仿宋" w:cs="仿宋"/>
          <w:kern w:val="0"/>
          <w:sz w:val="24"/>
          <w:highlight w:val="none"/>
        </w:rPr>
        <w:t>中小企业声明函示范格式如下：</w:t>
      </w:r>
    </w:p>
    <w:p w14:paraId="4D844EAB">
      <w:pPr>
        <w:adjustRightInd w:val="0"/>
        <w:snapToGrid w:val="0"/>
        <w:spacing w:line="360" w:lineRule="auto"/>
        <w:jc w:val="center"/>
        <w:rPr>
          <w:rFonts w:hint="eastAsia" w:ascii="仿宋" w:hAnsi="仿宋" w:eastAsia="仿宋" w:cs="仿宋"/>
          <w:b/>
          <w:sz w:val="32"/>
          <w:szCs w:val="32"/>
          <w:highlight w:val="none"/>
        </w:rPr>
      </w:pPr>
    </w:p>
    <w:p w14:paraId="19215C90">
      <w:pPr>
        <w:pageBreakBefore w:val="0"/>
        <w:widowControl w:val="0"/>
        <w:kinsoku/>
        <w:wordWrap/>
        <w:overflowPunct/>
        <w:topLinePunct w:val="0"/>
        <w:autoSpaceDE/>
        <w:autoSpaceDN/>
        <w:bidi w:val="0"/>
        <w:adjustRightInd w:val="0"/>
        <w:snapToGrid w:val="0"/>
        <w:spacing w:line="360" w:lineRule="auto"/>
        <w:ind w:right="0"/>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w:t>
      </w:r>
      <w:r>
        <w:rPr>
          <w:rFonts w:hint="eastAsia" w:ascii="仿宋" w:hAnsi="仿宋" w:eastAsia="仿宋" w:cs="仿宋"/>
          <w:b/>
          <w:color w:val="auto"/>
          <w:sz w:val="32"/>
          <w:szCs w:val="32"/>
          <w:highlight w:val="none"/>
          <w:lang w:val="en-US" w:eastAsia="zh-CN"/>
        </w:rPr>
        <w:t>货物</w:t>
      </w:r>
      <w:r>
        <w:rPr>
          <w:rFonts w:hint="eastAsia" w:ascii="仿宋" w:hAnsi="仿宋" w:eastAsia="仿宋" w:cs="仿宋"/>
          <w:b/>
          <w:color w:val="auto"/>
          <w:sz w:val="32"/>
          <w:szCs w:val="32"/>
          <w:highlight w:val="none"/>
        </w:rPr>
        <w:t>）</w:t>
      </w:r>
    </w:p>
    <w:p w14:paraId="6E5B8357">
      <w:pPr>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color w:val="auto"/>
          <w:highlight w:val="none"/>
        </w:rPr>
      </w:pPr>
    </w:p>
    <w:p w14:paraId="6844D57C">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杭州市钱塘区民政和文化旅游体育局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钱塘区图书馆2024年纸质流通图书采购</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sz w:val="24"/>
          <w:highlight w:val="none"/>
        </w:rPr>
        <w:t>采购活动，提供的货物全部由符合政策要求的中小企业制造。相关企业（含联合体中</w:t>
      </w:r>
      <w:r>
        <w:rPr>
          <w:rFonts w:hint="eastAsia" w:ascii="仿宋" w:hAnsi="仿宋" w:eastAsia="仿宋" w:cs="仿宋"/>
          <w:sz w:val="24"/>
          <w:highlight w:val="none"/>
        </w:rPr>
        <w:t>的中小企业、签订分包意向协议的中小企业）的具体情况如下</w:t>
      </w:r>
      <w:r>
        <w:rPr>
          <w:rFonts w:hint="eastAsia" w:ascii="仿宋" w:hAnsi="仿宋" w:eastAsia="仿宋" w:cs="仿宋"/>
          <w:color w:val="auto"/>
          <w:sz w:val="24"/>
          <w:highlight w:val="none"/>
        </w:rPr>
        <w:t>：</w:t>
      </w:r>
    </w:p>
    <w:p w14:paraId="0A6FA109">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righ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b w:val="0"/>
          <w:bCs w:val="0"/>
          <w:color w:val="auto"/>
          <w:sz w:val="24"/>
          <w:highlight w:val="none"/>
          <w:u w:val="single"/>
          <w:lang w:val="en-US" w:eastAsia="zh-CN"/>
        </w:rPr>
        <w:t xml:space="preserve"> </w:t>
      </w:r>
      <w:r>
        <w:rPr>
          <w:rFonts w:hint="eastAsia" w:ascii="仿宋" w:hAnsi="仿宋" w:eastAsia="仿宋" w:cs="仿宋"/>
          <w:b w:val="0"/>
          <w:bCs w:val="0"/>
          <w:color w:val="auto"/>
          <w:kern w:val="0"/>
          <w:sz w:val="24"/>
          <w:szCs w:val="24"/>
          <w:highlight w:val="none"/>
          <w:u w:val="single"/>
          <w:lang w:val="en-US" w:eastAsia="zh-CN"/>
        </w:rPr>
        <w:t>图书</w:t>
      </w:r>
      <w:r>
        <w:rPr>
          <w:rFonts w:hint="eastAsia" w:ascii="仿宋" w:hAnsi="仿宋" w:eastAsia="仿宋" w:cs="仿宋"/>
          <w:b w:val="0"/>
          <w:bCs w:val="0"/>
          <w:color w:val="auto"/>
          <w:sz w:val="24"/>
          <w:highlight w:val="none"/>
          <w:u w:val="single"/>
          <w:lang w:val="en-US" w:eastAsia="zh-CN"/>
        </w:rPr>
        <w:t xml:space="preserve"> </w:t>
      </w:r>
      <w:r>
        <w:rPr>
          <w:rFonts w:hint="eastAsia" w:ascii="仿宋" w:hAnsi="仿宋" w:eastAsia="仿宋" w:cs="仿宋"/>
          <w:b w:val="0"/>
          <w:bCs w:val="0"/>
          <w:color w:val="auto"/>
          <w:sz w:val="24"/>
          <w:highlight w:val="none"/>
        </w:rPr>
        <w:t>，属于</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u w:val="single"/>
          <w:lang w:val="en-US" w:eastAsia="zh-CN"/>
        </w:rPr>
        <w:t>工业</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sz w:val="24"/>
          <w:highlight w:val="none"/>
        </w:rPr>
        <w:t>制造商</w:t>
      </w:r>
      <w:r>
        <w:rPr>
          <w:rFonts w:hint="eastAsia" w:ascii="仿宋" w:hAnsi="仿宋" w:eastAsia="仿宋" w:cs="仿宋"/>
          <w:color w:val="auto"/>
          <w:sz w:val="24"/>
          <w:highlight w:val="none"/>
        </w:rPr>
        <w:t>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填写</w:t>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lang w:val="en-US" w:eastAsia="zh-CN"/>
        </w:rPr>
        <w:t>或</w:t>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lang w:val="en-US" w:eastAsia="zh-CN"/>
        </w:rPr>
        <w:t>或</w:t>
      </w:r>
      <w:r>
        <w:rPr>
          <w:rFonts w:hint="eastAsia" w:ascii="仿宋" w:hAnsi="仿宋" w:eastAsia="仿宋" w:cs="仿宋"/>
          <w:color w:val="auto"/>
          <w:sz w:val="24"/>
          <w:highlight w:val="none"/>
          <w:u w:val="single"/>
        </w:rPr>
        <w:t>微型企业</w:t>
      </w:r>
      <w:r>
        <w:rPr>
          <w:rFonts w:hint="eastAsia" w:ascii="仿宋" w:hAnsi="仿宋" w:eastAsia="仿宋" w:cs="仿宋"/>
          <w:color w:val="auto"/>
          <w:sz w:val="24"/>
          <w:highlight w:val="none"/>
          <w:u w:val="single"/>
          <w:lang w:val="en-US" w:eastAsia="zh-CN"/>
        </w:rPr>
        <w:t>的一种</w:t>
      </w:r>
      <w:r>
        <w:rPr>
          <w:rFonts w:hint="eastAsia" w:ascii="仿宋" w:hAnsi="仿宋" w:eastAsia="仿宋" w:cs="仿宋"/>
          <w:color w:val="auto"/>
          <w:sz w:val="24"/>
          <w:highlight w:val="none"/>
          <w:u w:val="single"/>
        </w:rPr>
        <w:t xml:space="preserve">） </w:t>
      </w:r>
    </w:p>
    <w:p w14:paraId="59249517">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hint="eastAsia" w:ascii="仿宋" w:hAnsi="仿宋" w:eastAsia="仿宋" w:cs="仿宋"/>
          <w:color w:val="auto"/>
          <w:sz w:val="24"/>
          <w:highlight w:val="none"/>
        </w:rPr>
      </w:pPr>
    </w:p>
    <w:p w14:paraId="4A8CAD55">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6C377212">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73F55953">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1CDBFB62">
      <w:pPr>
        <w:pageBreakBefore w:val="0"/>
        <w:widowControl w:val="0"/>
        <w:kinsoku/>
        <w:wordWrap/>
        <w:overflowPunct/>
        <w:topLinePunct w:val="0"/>
        <w:autoSpaceDE/>
        <w:autoSpaceDN/>
        <w:bidi w:val="0"/>
        <w:adjustRightInd w:val="0"/>
        <w:snapToGrid w:val="0"/>
        <w:spacing w:line="360" w:lineRule="auto"/>
        <w:ind w:right="0"/>
        <w:jc w:val="righ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4448811A">
      <w:pPr>
        <w:keepNext/>
        <w:keepLines/>
        <w:adjustRightInd w:val="0"/>
        <w:snapToGrid w:val="0"/>
        <w:spacing w:line="360" w:lineRule="auto"/>
        <w:ind w:firstLine="6240" w:firstLineChars="2600"/>
        <w:rPr>
          <w:rFonts w:hint="eastAsia" w:ascii="仿宋" w:hAnsi="仿宋" w:eastAsia="仿宋" w:cs="仿宋"/>
          <w:sz w:val="24"/>
          <w:highlight w:val="none"/>
        </w:rPr>
      </w:pPr>
      <w:r>
        <w:rPr>
          <w:rFonts w:hint="eastAsia" w:ascii="仿宋" w:hAnsi="仿宋" w:eastAsia="仿宋" w:cs="仿宋"/>
          <w:color w:val="auto"/>
          <w:sz w:val="24"/>
          <w:highlight w:val="none"/>
        </w:rPr>
        <w:t>日 期：</w:t>
      </w:r>
    </w:p>
    <w:p w14:paraId="01C8F659">
      <w:pPr>
        <w:keepNext/>
        <w:keepLines/>
        <w:adjustRightInd w:val="0"/>
        <w:spacing w:line="416" w:lineRule="auto"/>
        <w:rPr>
          <w:rFonts w:hint="eastAsia" w:ascii="仿宋" w:hAnsi="仿宋" w:eastAsia="仿宋" w:cs="仿宋"/>
          <w:highlight w:val="none"/>
          <w:lang w:val="zh-CN"/>
        </w:rPr>
      </w:pPr>
    </w:p>
    <w:p w14:paraId="50C15EAE">
      <w:pPr>
        <w:keepNext/>
        <w:keepLines/>
        <w:adjustRightInd w:val="0"/>
        <w:spacing w:line="416" w:lineRule="auto"/>
        <w:rPr>
          <w:rFonts w:hint="eastAsia" w:ascii="仿宋" w:hAnsi="仿宋" w:eastAsia="仿宋" w:cs="仿宋"/>
          <w:b/>
          <w:bCs/>
          <w:color w:val="FF0000"/>
          <w:szCs w:val="21"/>
          <w:highlight w:val="none"/>
        </w:rPr>
      </w:pPr>
    </w:p>
    <w:p w14:paraId="5ECEA923">
      <w:pPr>
        <w:adjustRightInd w:val="0"/>
        <w:rPr>
          <w:rFonts w:hint="eastAsia" w:ascii="仿宋" w:hAnsi="仿宋" w:eastAsia="仿宋" w:cs="仿宋"/>
          <w:color w:val="000000" w:themeColor="text1"/>
          <w:szCs w:val="21"/>
          <w:highlight w:val="none"/>
          <w:lang w:val="zh-CN"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中小企业声明函填写说明</w:t>
      </w:r>
      <w:r>
        <w:rPr>
          <w:rFonts w:hint="eastAsia" w:ascii="仿宋" w:hAnsi="仿宋" w:eastAsia="仿宋" w:cs="仿宋"/>
          <w:color w:val="000000" w:themeColor="text1"/>
          <w:szCs w:val="21"/>
          <w:highlight w:val="none"/>
          <w:lang w:val="zh-CN" w:eastAsia="zh-CN"/>
          <w14:textFill>
            <w14:solidFill>
              <w14:schemeClr w14:val="tx1"/>
            </w14:solidFill>
          </w14:textFill>
        </w:rPr>
        <w:t>：</w:t>
      </w:r>
    </w:p>
    <w:p w14:paraId="7A51879D">
      <w:pPr>
        <w:adjustRightInd w:val="0"/>
        <w:ind w:firstLine="630" w:firstLineChars="300"/>
        <w:rPr>
          <w:rFonts w:hint="eastAsia" w:ascii="仿宋" w:hAnsi="仿宋" w:eastAsia="仿宋" w:cs="仿宋"/>
          <w:color w:val="000000" w:themeColor="text1"/>
          <w:szCs w:val="21"/>
          <w:highlight w:val="none"/>
          <w:lang w:val="zh-CN" w:eastAsia="zh-CN"/>
          <w14:textFill>
            <w14:solidFill>
              <w14:schemeClr w14:val="tx1"/>
            </w14:solidFill>
          </w14:textFill>
        </w:rPr>
      </w:pPr>
      <w:r>
        <w:rPr>
          <w:rFonts w:hint="eastAsia" w:ascii="仿宋" w:hAnsi="仿宋" w:eastAsia="仿宋" w:cs="仿宋"/>
          <w:color w:val="000000" w:themeColor="text1"/>
          <w:szCs w:val="21"/>
          <w:highlight w:val="none"/>
          <w:lang w:val="zh-CN" w:eastAsia="zh-CN"/>
          <w14:textFill>
            <w14:solidFill>
              <w14:schemeClr w14:val="tx1"/>
            </w14:solidFill>
          </w14:textFill>
        </w:rPr>
        <w:t>①</w:t>
      </w:r>
      <w:r>
        <w:rPr>
          <w:rFonts w:hint="eastAsia" w:ascii="仿宋" w:hAnsi="仿宋" w:eastAsia="仿宋" w:cs="仿宋"/>
          <w:color w:val="000000" w:themeColor="text1"/>
          <w:szCs w:val="21"/>
          <w:highlight w:val="none"/>
          <w:lang w:val="zh-CN"/>
          <w14:textFill>
            <w14:solidFill>
              <w14:schemeClr w14:val="tx1"/>
            </w14:solidFill>
          </w14:textFill>
        </w:rPr>
        <w:t>从业人员、营业收入、资产总额填报上一年度数据，无上一年度数据的新成立企业可不填报</w:t>
      </w:r>
      <w:r>
        <w:rPr>
          <w:rFonts w:hint="eastAsia" w:ascii="仿宋" w:hAnsi="仿宋" w:eastAsia="仿宋" w:cs="仿宋"/>
          <w:color w:val="000000" w:themeColor="text1"/>
          <w:szCs w:val="21"/>
          <w:highlight w:val="none"/>
          <w:lang w:val="zh-CN" w:eastAsia="zh-CN"/>
          <w14:textFill>
            <w14:solidFill>
              <w14:schemeClr w14:val="tx1"/>
            </w14:solidFill>
          </w14:textFill>
        </w:rPr>
        <w:t>。</w:t>
      </w:r>
    </w:p>
    <w:p w14:paraId="6017CD23">
      <w:pPr>
        <w:adjustRightInd w:val="0"/>
        <w:ind w:firstLine="630" w:firstLineChars="3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eastAsia="zh-CN"/>
          <w14:textFill>
            <w14:solidFill>
              <w14:schemeClr w14:val="tx1"/>
            </w14:solidFill>
          </w14:textFill>
        </w:rPr>
        <w:t>②</w:t>
      </w:r>
      <w:r>
        <w:rPr>
          <w:rFonts w:hint="eastAsia" w:ascii="仿宋" w:hAnsi="仿宋" w:eastAsia="仿宋" w:cs="仿宋"/>
          <w:color w:val="000000" w:themeColor="text1"/>
          <w:szCs w:val="21"/>
          <w:highlight w:val="none"/>
          <w:lang w:val="zh-CN"/>
          <w14:textFill>
            <w14:solidFill>
              <w14:schemeClr w14:val="tx1"/>
            </w14:solidFill>
          </w14:textFill>
        </w:rPr>
        <w:t>《中小企业声明函》中“标的名称”、“采购文件中明确的所属行业”依据招标文件第二部分投标人须知前附表中“采购标的及其对应的中小企业划分标准所属行业”的指引，逐一填写，不得缺漏。</w:t>
      </w:r>
    </w:p>
    <w:p w14:paraId="33B983F7">
      <w:pPr>
        <w:adjustRightInd w:val="0"/>
        <w:ind w:firstLine="630" w:firstLineChars="300"/>
        <w:rPr>
          <w:rFonts w:hint="eastAsia" w:ascii="仿宋" w:hAnsi="仿宋" w:eastAsia="仿宋" w:cs="仿宋"/>
          <w:color w:val="FF0000"/>
          <w:szCs w:val="21"/>
          <w:highlight w:val="none"/>
          <w:lang w:val="en-US" w:eastAsia="zh-CN"/>
        </w:rPr>
      </w:pPr>
      <w:r>
        <w:rPr>
          <w:rFonts w:hint="eastAsia" w:ascii="仿宋" w:hAnsi="仿宋" w:eastAsia="仿宋" w:cs="仿宋"/>
          <w:color w:val="FF0000"/>
          <w:szCs w:val="21"/>
          <w:highlight w:val="none"/>
          <w:lang w:val="zh-CN"/>
        </w:rPr>
        <w:t>③</w:t>
      </w:r>
      <w:r>
        <w:rPr>
          <w:rFonts w:hint="eastAsia" w:ascii="仿宋" w:hAnsi="仿宋" w:eastAsia="仿宋" w:cs="仿宋"/>
          <w:color w:val="FF0000"/>
          <w:szCs w:val="21"/>
          <w:highlight w:val="none"/>
          <w:lang w:val="en-US" w:eastAsia="zh-CN"/>
        </w:rPr>
        <w:t>本项目为货物类。根据《政府采购促进中小企业发展管理办法》第四条，“在货物采购项目中，供应商提供的货物既有中小企业制造货物，也有大型企业制造货物的，不享受本办法规定的中小企业扶持政策。”</w:t>
      </w:r>
    </w:p>
    <w:p w14:paraId="0B23A556">
      <w:pPr>
        <w:adjustRightInd w:val="0"/>
        <w:ind w:firstLine="630" w:firstLineChars="300"/>
        <w:rPr>
          <w:rFonts w:hint="eastAsia" w:ascii="仿宋" w:hAnsi="仿宋" w:eastAsia="仿宋" w:cs="仿宋"/>
          <w:color w:val="FF0000"/>
          <w:szCs w:val="21"/>
          <w:highlight w:val="none"/>
          <w:lang w:val="zh-CN"/>
        </w:rPr>
        <w:sectPr>
          <w:pgSz w:w="11906" w:h="16838"/>
          <w:pgMar w:top="1247" w:right="1418" w:bottom="1276" w:left="1418" w:header="851" w:footer="992" w:gutter="0"/>
          <w:cols w:space="720" w:num="1"/>
          <w:titlePg/>
          <w:docGrid w:linePitch="312" w:charSpace="0"/>
        </w:sectPr>
      </w:pPr>
      <w:r>
        <w:rPr>
          <w:rFonts w:hint="eastAsia" w:ascii="仿宋" w:hAnsi="仿宋" w:eastAsia="仿宋" w:cs="仿宋"/>
          <w:color w:val="FF0000"/>
          <w:szCs w:val="21"/>
          <w:highlight w:val="none"/>
          <w:lang w:val="en-US" w:eastAsia="zh-CN"/>
        </w:rPr>
        <w:t>故本项目所有图书的制造商均为中小企业的，本项目供应商视为中小企业；否则，不予认可。</w:t>
      </w:r>
    </w:p>
    <w:p w14:paraId="3AE356DF">
      <w:pPr>
        <w:rPr>
          <w:rFonts w:hint="eastAsia" w:ascii="仿宋" w:hAnsi="仿宋" w:eastAsia="仿宋" w:cs="仿宋"/>
          <w:highlight w:val="none"/>
        </w:rPr>
      </w:pPr>
    </w:p>
    <w:p w14:paraId="324B37AE">
      <w:pPr>
        <w:spacing w:line="360" w:lineRule="auto"/>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附件1：</w:t>
      </w:r>
    </w:p>
    <w:p w14:paraId="54B924CC">
      <w:pPr>
        <w:spacing w:line="360" w:lineRule="auto"/>
        <w:jc w:val="center"/>
        <w:rPr>
          <w:rFonts w:hint="eastAsia" w:ascii="仿宋" w:hAnsi="仿宋" w:eastAsia="仿宋" w:cs="仿宋"/>
          <w:b/>
          <w:spacing w:val="6"/>
          <w:sz w:val="32"/>
          <w:szCs w:val="32"/>
          <w:highlight w:val="none"/>
        </w:rPr>
      </w:pPr>
      <w:bookmarkStart w:id="324" w:name="OLE_LINK13"/>
      <w:bookmarkStart w:id="325" w:name="OLE_LINK14"/>
      <w:r>
        <w:rPr>
          <w:rFonts w:hint="eastAsia" w:ascii="仿宋" w:hAnsi="仿宋" w:eastAsia="仿宋" w:cs="仿宋"/>
          <w:b/>
          <w:spacing w:val="6"/>
          <w:sz w:val="32"/>
          <w:szCs w:val="32"/>
          <w:highlight w:val="none"/>
        </w:rPr>
        <w:t>残疾人福利性单位声明函</w:t>
      </w:r>
    </w:p>
    <w:bookmarkEnd w:id="324"/>
    <w:bookmarkEnd w:id="325"/>
    <w:p w14:paraId="4C74E1DE">
      <w:pPr>
        <w:spacing w:line="360" w:lineRule="auto"/>
        <w:rPr>
          <w:rFonts w:hint="eastAsia" w:ascii="仿宋" w:hAnsi="仿宋" w:eastAsia="仿宋" w:cs="仿宋"/>
          <w:b/>
          <w:spacing w:val="6"/>
          <w:sz w:val="30"/>
          <w:szCs w:val="30"/>
          <w:highlight w:val="none"/>
        </w:rPr>
      </w:pPr>
    </w:p>
    <w:p w14:paraId="4FE387E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6CA553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14:paraId="6DA490B4">
      <w:pPr>
        <w:spacing w:line="360" w:lineRule="auto"/>
        <w:ind w:firstLine="480" w:firstLineChars="200"/>
        <w:rPr>
          <w:rFonts w:hint="eastAsia" w:ascii="仿宋" w:hAnsi="仿宋" w:eastAsia="仿宋" w:cs="仿宋"/>
          <w:sz w:val="24"/>
          <w:highlight w:val="none"/>
        </w:rPr>
      </w:pPr>
    </w:p>
    <w:p w14:paraId="597D9CA8">
      <w:pPr>
        <w:spacing w:line="360" w:lineRule="auto"/>
        <w:ind w:firstLine="480" w:firstLineChars="200"/>
        <w:rPr>
          <w:rFonts w:hint="eastAsia" w:ascii="仿宋" w:hAnsi="仿宋" w:eastAsia="仿宋" w:cs="仿宋"/>
          <w:sz w:val="24"/>
          <w:highlight w:val="none"/>
        </w:rPr>
      </w:pPr>
    </w:p>
    <w:p w14:paraId="2611C20D">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kern w:val="0"/>
          <w:sz w:val="24"/>
          <w:highlight w:val="none"/>
          <w:lang w:val="zh-CN"/>
        </w:rPr>
        <w:t>投标人名称（电子签名）</w:t>
      </w:r>
      <w:r>
        <w:rPr>
          <w:rFonts w:hint="eastAsia" w:ascii="仿宋" w:hAnsi="仿宋" w:eastAsia="仿宋" w:cs="仿宋"/>
          <w:sz w:val="24"/>
          <w:highlight w:val="none"/>
        </w:rPr>
        <w:t>：</w:t>
      </w:r>
    </w:p>
    <w:p w14:paraId="697C8B3E">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日  期：</w:t>
      </w:r>
    </w:p>
    <w:p w14:paraId="7DC5A8FD">
      <w:pPr>
        <w:spacing w:line="360" w:lineRule="auto"/>
        <w:ind w:firstLine="480" w:firstLineChars="200"/>
        <w:rPr>
          <w:rFonts w:hint="eastAsia" w:ascii="仿宋" w:hAnsi="仿宋" w:eastAsia="仿宋" w:cs="仿宋"/>
          <w:sz w:val="24"/>
          <w:highlight w:val="none"/>
        </w:rPr>
      </w:pPr>
    </w:p>
    <w:p w14:paraId="584F8820">
      <w:pP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17D8453E">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附件2：质疑函范本及制作说明</w:t>
      </w:r>
    </w:p>
    <w:p w14:paraId="12F5C7EB">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14:paraId="2B3ADF01">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一、质疑供应商基本信息</w:t>
      </w:r>
    </w:p>
    <w:p w14:paraId="4EF45238">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质疑供应商：</w:t>
      </w:r>
    </w:p>
    <w:p w14:paraId="039C0D1F">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地址：邮编：</w:t>
      </w:r>
    </w:p>
    <w:p w14:paraId="7BF1DA0E">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联系人：联系电话：</w:t>
      </w:r>
    </w:p>
    <w:p w14:paraId="01056368">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p>
    <w:p w14:paraId="45B79463">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联系电话：</w:t>
      </w:r>
    </w:p>
    <w:p w14:paraId="4CAA475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 邮编：</w:t>
      </w:r>
    </w:p>
    <w:p w14:paraId="4764CBAD">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二、质疑项目基本情况</w:t>
      </w:r>
    </w:p>
    <w:p w14:paraId="39D4A4B0">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质疑项目的名称：</w:t>
      </w:r>
    </w:p>
    <w:p w14:paraId="0A23C6DA">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质疑项目的编号：包号：</w:t>
      </w:r>
    </w:p>
    <w:p w14:paraId="51D59166">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采购人名称：</w:t>
      </w:r>
    </w:p>
    <w:p w14:paraId="3B60819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采购文件获取日期：</w:t>
      </w:r>
    </w:p>
    <w:p w14:paraId="1131A210">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三、质疑事项具体内容</w:t>
      </w:r>
    </w:p>
    <w:p w14:paraId="01C7AE17">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质疑事项1：</w:t>
      </w:r>
    </w:p>
    <w:p w14:paraId="20FBD319">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事实依据：</w:t>
      </w:r>
    </w:p>
    <w:p w14:paraId="43F9982C">
      <w:pPr>
        <w:snapToGrid w:val="0"/>
        <w:spacing w:line="360" w:lineRule="auto"/>
        <w:rPr>
          <w:rFonts w:hint="eastAsia" w:ascii="仿宋" w:hAnsi="仿宋" w:eastAsia="仿宋" w:cs="仿宋"/>
          <w:sz w:val="24"/>
          <w:highlight w:val="none"/>
        </w:rPr>
      </w:pPr>
    </w:p>
    <w:p w14:paraId="1EE26CF5">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法律依据：</w:t>
      </w:r>
    </w:p>
    <w:p w14:paraId="4AA09DFC">
      <w:pPr>
        <w:snapToGrid w:val="0"/>
        <w:spacing w:line="360" w:lineRule="auto"/>
        <w:rPr>
          <w:rFonts w:hint="eastAsia" w:ascii="仿宋" w:hAnsi="仿宋" w:eastAsia="仿宋" w:cs="仿宋"/>
          <w:sz w:val="24"/>
          <w:highlight w:val="none"/>
          <w:u w:val="dotted"/>
        </w:rPr>
      </w:pPr>
    </w:p>
    <w:p w14:paraId="57B7FB50">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质疑事项2</w:t>
      </w:r>
    </w:p>
    <w:p w14:paraId="7A7339AA">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p w14:paraId="7979F8FA">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四、与质疑事项相关的质疑请求</w:t>
      </w:r>
    </w:p>
    <w:p w14:paraId="0CC39B53">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请求：</w:t>
      </w:r>
    </w:p>
    <w:p w14:paraId="52E46870">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7DF50E3C">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05A12864">
      <w:pPr>
        <w:spacing w:line="360" w:lineRule="auto"/>
        <w:jc w:val="center"/>
        <w:rPr>
          <w:rFonts w:hint="eastAsia" w:ascii="仿宋" w:hAnsi="仿宋" w:eastAsia="仿宋" w:cs="仿宋"/>
          <w:b/>
          <w:bCs/>
          <w:sz w:val="24"/>
          <w:highlight w:val="none"/>
        </w:rPr>
      </w:pPr>
    </w:p>
    <w:p w14:paraId="5B46628B">
      <w:pPr>
        <w:spacing w:line="360" w:lineRule="auto"/>
        <w:rPr>
          <w:rFonts w:hint="eastAsia" w:ascii="仿宋" w:hAnsi="仿宋" w:eastAsia="仿宋" w:cs="仿宋"/>
          <w:b/>
          <w:sz w:val="24"/>
          <w:highlight w:val="none"/>
        </w:rPr>
      </w:pPr>
    </w:p>
    <w:p w14:paraId="3F187EF7">
      <w:pPr>
        <w:spacing w:line="360" w:lineRule="auto"/>
        <w:rPr>
          <w:rFonts w:hint="eastAsia" w:ascii="仿宋" w:hAnsi="仿宋" w:eastAsia="仿宋" w:cs="仿宋"/>
          <w:b/>
          <w:sz w:val="24"/>
          <w:highlight w:val="none"/>
        </w:rPr>
      </w:pPr>
    </w:p>
    <w:p w14:paraId="5E14B512">
      <w:pPr>
        <w:spacing w:line="360" w:lineRule="auto"/>
        <w:rPr>
          <w:rFonts w:hint="eastAsia" w:ascii="仿宋" w:hAnsi="仿宋" w:eastAsia="仿宋" w:cs="仿宋"/>
          <w:b/>
          <w:sz w:val="24"/>
          <w:highlight w:val="none"/>
        </w:rPr>
      </w:pPr>
    </w:p>
    <w:p w14:paraId="670A1249">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质疑函制作说明：</w:t>
      </w:r>
    </w:p>
    <w:p w14:paraId="0BE784CA">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14:paraId="2AE17A5C">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14:paraId="7F6B2E13">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14:paraId="016A1BA9">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14:paraId="7CE0048F">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5.质疑函的质疑请求应与质疑事项相关。</w:t>
      </w:r>
    </w:p>
    <w:p w14:paraId="34D94A90">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6.质疑供应商为自然人的，质疑函应由本人签字；质疑供应商为法人或者其他组织的，质疑函应由法定代表人、主要负责人，或者其授权代表签字或者盖章，并加盖公章。</w:t>
      </w:r>
    </w:p>
    <w:p w14:paraId="29D9BF45">
      <w:pPr>
        <w:widowControl/>
        <w:spacing w:line="360" w:lineRule="auto"/>
        <w:ind w:firstLine="600" w:firstLineChars="200"/>
        <w:jc w:val="left"/>
        <w:rPr>
          <w:rFonts w:hint="eastAsia" w:ascii="仿宋" w:hAnsi="仿宋" w:eastAsia="仿宋" w:cs="仿宋"/>
          <w:sz w:val="30"/>
          <w:szCs w:val="30"/>
          <w:highlight w:val="none"/>
        </w:rPr>
      </w:pPr>
    </w:p>
    <w:p w14:paraId="6CF1EF5D">
      <w:pPr>
        <w:spacing w:line="360" w:lineRule="auto"/>
        <w:jc w:val="center"/>
        <w:rPr>
          <w:rFonts w:hint="eastAsia" w:ascii="仿宋" w:hAnsi="仿宋" w:eastAsia="仿宋" w:cs="仿宋"/>
          <w:b/>
          <w:spacing w:val="6"/>
          <w:sz w:val="32"/>
          <w:szCs w:val="32"/>
          <w:highlight w:val="none"/>
        </w:rPr>
      </w:pPr>
    </w:p>
    <w:p w14:paraId="42F3DCC0">
      <w:pPr>
        <w:spacing w:line="360" w:lineRule="auto"/>
        <w:jc w:val="center"/>
        <w:rPr>
          <w:rFonts w:hint="eastAsia" w:ascii="仿宋" w:hAnsi="仿宋" w:eastAsia="仿宋" w:cs="仿宋"/>
          <w:b/>
          <w:spacing w:val="6"/>
          <w:sz w:val="32"/>
          <w:szCs w:val="32"/>
          <w:highlight w:val="none"/>
        </w:rPr>
      </w:pPr>
    </w:p>
    <w:p w14:paraId="6AF60977">
      <w:pPr>
        <w:spacing w:line="360" w:lineRule="auto"/>
        <w:jc w:val="center"/>
        <w:rPr>
          <w:rFonts w:hint="eastAsia" w:ascii="仿宋" w:hAnsi="仿宋" w:eastAsia="仿宋" w:cs="仿宋"/>
          <w:b/>
          <w:spacing w:val="6"/>
          <w:sz w:val="32"/>
          <w:szCs w:val="32"/>
          <w:highlight w:val="none"/>
        </w:rPr>
      </w:pPr>
    </w:p>
    <w:p w14:paraId="1CECD4E9">
      <w:pPr>
        <w:spacing w:line="360" w:lineRule="auto"/>
        <w:jc w:val="center"/>
        <w:rPr>
          <w:rFonts w:hint="eastAsia" w:ascii="仿宋" w:hAnsi="仿宋" w:eastAsia="仿宋" w:cs="仿宋"/>
          <w:b/>
          <w:spacing w:val="6"/>
          <w:sz w:val="32"/>
          <w:szCs w:val="32"/>
          <w:highlight w:val="none"/>
        </w:rPr>
      </w:pPr>
    </w:p>
    <w:p w14:paraId="15CB9886">
      <w:pPr>
        <w:spacing w:line="360" w:lineRule="auto"/>
        <w:jc w:val="center"/>
        <w:rPr>
          <w:rFonts w:hint="eastAsia" w:ascii="仿宋" w:hAnsi="仿宋" w:eastAsia="仿宋" w:cs="仿宋"/>
          <w:b/>
          <w:spacing w:val="6"/>
          <w:sz w:val="32"/>
          <w:szCs w:val="32"/>
          <w:highlight w:val="none"/>
        </w:rPr>
      </w:pPr>
    </w:p>
    <w:p w14:paraId="45DEA636">
      <w:pPr>
        <w:spacing w:line="360" w:lineRule="auto"/>
        <w:jc w:val="center"/>
        <w:rPr>
          <w:rFonts w:hint="eastAsia" w:ascii="仿宋" w:hAnsi="仿宋" w:eastAsia="仿宋" w:cs="仿宋"/>
          <w:b/>
          <w:spacing w:val="6"/>
          <w:sz w:val="32"/>
          <w:szCs w:val="32"/>
          <w:highlight w:val="none"/>
        </w:rPr>
      </w:pPr>
    </w:p>
    <w:p w14:paraId="44ACECC0">
      <w:pPr>
        <w:spacing w:line="360" w:lineRule="auto"/>
        <w:jc w:val="center"/>
        <w:rPr>
          <w:rFonts w:hint="eastAsia" w:ascii="仿宋" w:hAnsi="仿宋" w:eastAsia="仿宋" w:cs="仿宋"/>
          <w:b/>
          <w:spacing w:val="6"/>
          <w:sz w:val="32"/>
          <w:szCs w:val="32"/>
          <w:highlight w:val="none"/>
        </w:rPr>
      </w:pPr>
    </w:p>
    <w:p w14:paraId="53FC687A">
      <w:pPr>
        <w:spacing w:line="360" w:lineRule="auto"/>
        <w:jc w:val="center"/>
        <w:rPr>
          <w:rFonts w:hint="eastAsia" w:ascii="仿宋" w:hAnsi="仿宋" w:eastAsia="仿宋" w:cs="仿宋"/>
          <w:b/>
          <w:spacing w:val="6"/>
          <w:sz w:val="32"/>
          <w:szCs w:val="32"/>
          <w:highlight w:val="none"/>
        </w:rPr>
      </w:pPr>
    </w:p>
    <w:p w14:paraId="4EF52464">
      <w:pPr>
        <w:spacing w:line="360" w:lineRule="auto"/>
        <w:jc w:val="center"/>
        <w:rPr>
          <w:rFonts w:hint="eastAsia" w:ascii="仿宋" w:hAnsi="仿宋" w:eastAsia="仿宋" w:cs="仿宋"/>
          <w:b/>
          <w:spacing w:val="6"/>
          <w:sz w:val="32"/>
          <w:szCs w:val="32"/>
          <w:highlight w:val="none"/>
        </w:rPr>
      </w:pPr>
    </w:p>
    <w:p w14:paraId="471D160B">
      <w:pPr>
        <w:spacing w:line="360" w:lineRule="auto"/>
        <w:jc w:val="center"/>
        <w:rPr>
          <w:rFonts w:hint="eastAsia" w:ascii="仿宋" w:hAnsi="仿宋" w:eastAsia="仿宋" w:cs="仿宋"/>
          <w:b/>
          <w:spacing w:val="6"/>
          <w:sz w:val="32"/>
          <w:szCs w:val="32"/>
          <w:highlight w:val="none"/>
        </w:rPr>
      </w:pPr>
    </w:p>
    <w:p w14:paraId="26F6C88E">
      <w:pPr>
        <w:spacing w:line="360" w:lineRule="auto"/>
        <w:jc w:val="center"/>
        <w:rPr>
          <w:rFonts w:hint="eastAsia" w:ascii="仿宋" w:hAnsi="仿宋" w:eastAsia="仿宋" w:cs="仿宋"/>
          <w:b/>
          <w:spacing w:val="6"/>
          <w:sz w:val="32"/>
          <w:szCs w:val="32"/>
          <w:highlight w:val="none"/>
        </w:rPr>
      </w:pPr>
    </w:p>
    <w:p w14:paraId="4100E586">
      <w:pPr>
        <w:spacing w:line="360" w:lineRule="auto"/>
        <w:jc w:val="center"/>
        <w:rPr>
          <w:rFonts w:hint="eastAsia" w:ascii="仿宋" w:hAnsi="仿宋" w:eastAsia="仿宋" w:cs="仿宋"/>
          <w:b/>
          <w:spacing w:val="6"/>
          <w:sz w:val="32"/>
          <w:szCs w:val="32"/>
          <w:highlight w:val="none"/>
        </w:rPr>
      </w:pPr>
    </w:p>
    <w:p w14:paraId="71943438">
      <w:pPr>
        <w:spacing w:line="360" w:lineRule="auto"/>
        <w:jc w:val="left"/>
        <w:rPr>
          <w:rFonts w:hint="eastAsia" w:ascii="仿宋" w:hAnsi="仿宋" w:eastAsia="仿宋" w:cs="仿宋"/>
          <w:b/>
          <w:spacing w:val="6"/>
          <w:sz w:val="32"/>
          <w:szCs w:val="32"/>
          <w:highlight w:val="none"/>
        </w:rPr>
      </w:pPr>
    </w:p>
    <w:p w14:paraId="0D30E679">
      <w:pPr>
        <w:spacing w:line="360" w:lineRule="auto"/>
        <w:jc w:val="left"/>
        <w:rPr>
          <w:rFonts w:hint="eastAsia" w:ascii="仿宋" w:hAnsi="仿宋" w:eastAsia="仿宋" w:cs="仿宋"/>
          <w:b/>
          <w:spacing w:val="6"/>
          <w:sz w:val="32"/>
          <w:szCs w:val="32"/>
          <w:highlight w:val="none"/>
        </w:rPr>
      </w:pPr>
    </w:p>
    <w:p w14:paraId="5D6413DA">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附件3：投诉书范本及制作说明</w:t>
      </w:r>
    </w:p>
    <w:p w14:paraId="1A4EBF59">
      <w:pPr>
        <w:spacing w:line="360" w:lineRule="auto"/>
        <w:jc w:val="center"/>
        <w:rPr>
          <w:rFonts w:hint="eastAsia" w:ascii="仿宋" w:hAnsi="仿宋" w:eastAsia="仿宋" w:cs="仿宋"/>
          <w:b/>
          <w:sz w:val="24"/>
          <w:highlight w:val="none"/>
        </w:rPr>
      </w:pPr>
    </w:p>
    <w:p w14:paraId="07A2BB04">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14:paraId="7F001097">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一、投诉相关主体基本情况</w:t>
      </w:r>
    </w:p>
    <w:p w14:paraId="1C8A8606">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投诉人：</w:t>
      </w:r>
    </w:p>
    <w:p w14:paraId="5C92693E">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址：邮编：</w:t>
      </w:r>
    </w:p>
    <w:p w14:paraId="28425CFD">
      <w:pPr>
        <w:tabs>
          <w:tab w:val="left" w:pos="6510"/>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法定代表人/主要负责人：</w:t>
      </w:r>
    </w:p>
    <w:p w14:paraId="1558B994">
      <w:pPr>
        <w:tabs>
          <w:tab w:val="left" w:pos="6510"/>
        </w:tabs>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联系电话：</w:t>
      </w:r>
    </w:p>
    <w:p w14:paraId="12DACC52">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授权代表：联系电话</w:t>
      </w:r>
      <w:r>
        <w:rPr>
          <w:rFonts w:hint="eastAsia" w:ascii="仿宋" w:hAnsi="仿宋" w:eastAsia="仿宋" w:cs="仿宋"/>
          <w:sz w:val="24"/>
          <w:highlight w:val="none"/>
          <w:u w:val="dotted"/>
        </w:rPr>
        <w:t xml:space="preserve">：                  </w:t>
      </w:r>
    </w:p>
    <w:p w14:paraId="184E086A">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地     址：邮编：</w:t>
      </w:r>
    </w:p>
    <w:p w14:paraId="70123945">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被投诉人1：</w:t>
      </w:r>
    </w:p>
    <w:p w14:paraId="502BA396">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址：邮编：</w:t>
      </w:r>
    </w:p>
    <w:p w14:paraId="30C22D8A">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联系人：联系电话：</w:t>
      </w:r>
    </w:p>
    <w:p w14:paraId="3C8EC0E7">
      <w:pPr>
        <w:spacing w:line="360" w:lineRule="auto"/>
        <w:rPr>
          <w:rFonts w:hint="eastAsia" w:ascii="仿宋" w:hAnsi="仿宋" w:eastAsia="仿宋" w:cs="仿宋"/>
          <w:sz w:val="24"/>
          <w:highlight w:val="none"/>
        </w:rPr>
      </w:pPr>
      <w:r>
        <w:rPr>
          <w:rFonts w:hint="eastAsia" w:ascii="仿宋" w:hAnsi="仿宋" w:eastAsia="仿宋" w:cs="仿宋"/>
          <w:sz w:val="24"/>
          <w:highlight w:val="none"/>
        </w:rPr>
        <w:t>被投诉人2</w:t>
      </w:r>
    </w:p>
    <w:p w14:paraId="78BDAFDA">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52ABEAD2">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相关供应商：</w:t>
      </w:r>
    </w:p>
    <w:p w14:paraId="479A4CA1">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址：邮编：</w:t>
      </w:r>
    </w:p>
    <w:p w14:paraId="50DF0A0A">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联系人：联系电话：</w:t>
      </w:r>
    </w:p>
    <w:p w14:paraId="63B1A491">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二、投诉项目基本情况</w:t>
      </w:r>
    </w:p>
    <w:p w14:paraId="466E2F0C">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采购项目名称：</w:t>
      </w:r>
    </w:p>
    <w:p w14:paraId="6B435923">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采购项目编号：包号：</w:t>
      </w:r>
    </w:p>
    <w:p w14:paraId="6FF0443D">
      <w:p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采购人名称：</w:t>
      </w:r>
    </w:p>
    <w:p w14:paraId="66022B2F">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代理机构名称：</w:t>
      </w:r>
    </w:p>
    <w:p w14:paraId="3E190D14">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p>
    <w:p w14:paraId="0F1C62B8">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p>
    <w:p w14:paraId="68195AA8">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三、质疑基本情况</w:t>
      </w:r>
    </w:p>
    <w:p w14:paraId="45034889">
      <w:pPr>
        <w:spacing w:line="360" w:lineRule="auto"/>
        <w:ind w:firstLine="480" w:firstLineChars="200"/>
        <w:rPr>
          <w:rFonts w:hint="eastAsia" w:ascii="仿宋" w:hAnsi="仿宋" w:eastAsia="仿宋" w:cs="仿宋"/>
          <w:sz w:val="24"/>
          <w:highlight w:val="none"/>
          <w:u w:val="dotted"/>
        </w:rPr>
      </w:pPr>
      <w:r>
        <w:rPr>
          <w:rFonts w:hint="eastAsia" w:ascii="仿宋" w:hAnsi="仿宋" w:eastAsia="仿宋" w:cs="仿宋"/>
          <w:sz w:val="24"/>
          <w:highlight w:val="none"/>
        </w:rPr>
        <w:t>投诉人于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日,向</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提出质疑，质疑事项为：</w:t>
      </w:r>
    </w:p>
    <w:p w14:paraId="60C32A4C">
      <w:pPr>
        <w:spacing w:line="360" w:lineRule="auto"/>
        <w:rPr>
          <w:rFonts w:hint="eastAsia" w:ascii="仿宋" w:hAnsi="仿宋" w:eastAsia="仿宋" w:cs="仿宋"/>
          <w:sz w:val="24"/>
          <w:highlight w:val="none"/>
          <w:u w:val="dotted"/>
        </w:rPr>
      </w:pPr>
    </w:p>
    <w:p w14:paraId="52171DED">
      <w:pPr>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于年月日,就质疑事项作出了答复/没有在法定期限内作出答复。</w:t>
      </w:r>
    </w:p>
    <w:p w14:paraId="1283375C">
      <w:pPr>
        <w:spacing w:line="360" w:lineRule="auto"/>
        <w:rPr>
          <w:rFonts w:hint="eastAsia" w:ascii="仿宋" w:hAnsi="仿宋" w:eastAsia="仿宋" w:cs="仿宋"/>
          <w:sz w:val="24"/>
          <w:highlight w:val="none"/>
        </w:rPr>
      </w:pPr>
      <w:r>
        <w:rPr>
          <w:rFonts w:hint="eastAsia" w:ascii="仿宋" w:hAnsi="仿宋" w:eastAsia="仿宋" w:cs="仿宋"/>
          <w:sz w:val="24"/>
          <w:highlight w:val="none"/>
        </w:rPr>
        <w:t>四、投诉事项具体内容</w:t>
      </w:r>
    </w:p>
    <w:p w14:paraId="6310CEB7">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投诉事项 1：</w:t>
      </w:r>
    </w:p>
    <w:p w14:paraId="3743A3EC">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事实依据：</w:t>
      </w:r>
    </w:p>
    <w:p w14:paraId="378A96D5">
      <w:pPr>
        <w:spacing w:line="360" w:lineRule="auto"/>
        <w:rPr>
          <w:rFonts w:hint="eastAsia" w:ascii="仿宋" w:hAnsi="仿宋" w:eastAsia="仿宋" w:cs="仿宋"/>
          <w:sz w:val="24"/>
          <w:highlight w:val="none"/>
          <w:u w:val="dotted"/>
        </w:rPr>
      </w:pPr>
    </w:p>
    <w:p w14:paraId="12D1FBE1">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法律依据：</w:t>
      </w:r>
    </w:p>
    <w:p w14:paraId="6546B630">
      <w:pPr>
        <w:spacing w:line="360" w:lineRule="auto"/>
        <w:rPr>
          <w:rFonts w:hint="eastAsia" w:ascii="仿宋" w:hAnsi="仿宋" w:eastAsia="仿宋" w:cs="仿宋"/>
          <w:sz w:val="24"/>
          <w:highlight w:val="none"/>
          <w:u w:val="dotted"/>
        </w:rPr>
      </w:pPr>
    </w:p>
    <w:p w14:paraId="31126854">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投诉事项2</w:t>
      </w:r>
    </w:p>
    <w:p w14:paraId="1699111B">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468B6D94">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五、与投诉事项相关的投诉请求</w:t>
      </w:r>
    </w:p>
    <w:p w14:paraId="606201E5">
      <w:pPr>
        <w:spacing w:line="360" w:lineRule="auto"/>
        <w:rPr>
          <w:rFonts w:hint="eastAsia" w:ascii="仿宋" w:hAnsi="仿宋" w:eastAsia="仿宋" w:cs="仿宋"/>
          <w:sz w:val="24"/>
          <w:highlight w:val="none"/>
        </w:rPr>
      </w:pPr>
      <w:r>
        <w:rPr>
          <w:rFonts w:hint="eastAsia" w:ascii="仿宋" w:hAnsi="仿宋" w:eastAsia="仿宋" w:cs="仿宋"/>
          <w:sz w:val="24"/>
          <w:highlight w:val="none"/>
        </w:rPr>
        <w:t>请求：</w:t>
      </w:r>
    </w:p>
    <w:p w14:paraId="63776869">
      <w:pPr>
        <w:spacing w:line="360" w:lineRule="auto"/>
        <w:rPr>
          <w:rFonts w:hint="eastAsia" w:ascii="仿宋" w:hAnsi="仿宋" w:eastAsia="仿宋" w:cs="仿宋"/>
          <w:sz w:val="24"/>
          <w:highlight w:val="none"/>
          <w:u w:val="single"/>
        </w:rPr>
      </w:pPr>
    </w:p>
    <w:p w14:paraId="15F63033">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41DDDB99">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1AA500E8">
      <w:pPr>
        <w:spacing w:line="360" w:lineRule="auto"/>
        <w:rPr>
          <w:rFonts w:hint="eastAsia" w:ascii="仿宋" w:hAnsi="仿宋" w:eastAsia="仿宋" w:cs="仿宋"/>
          <w:b/>
          <w:sz w:val="24"/>
          <w:highlight w:val="none"/>
        </w:rPr>
      </w:pPr>
    </w:p>
    <w:p w14:paraId="0FA3E79E">
      <w:pPr>
        <w:spacing w:line="360" w:lineRule="auto"/>
        <w:rPr>
          <w:rFonts w:hint="eastAsia" w:ascii="仿宋" w:hAnsi="仿宋" w:eastAsia="仿宋" w:cs="仿宋"/>
          <w:b/>
          <w:sz w:val="24"/>
          <w:highlight w:val="none"/>
        </w:rPr>
      </w:pPr>
    </w:p>
    <w:p w14:paraId="07173C61">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投诉书制作说明：</w:t>
      </w:r>
    </w:p>
    <w:p w14:paraId="7CA9F609">
      <w:pPr>
        <w:widowControl/>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14:paraId="2F5BB77A">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14:paraId="732CABE9">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14:paraId="0C5E362D">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14:paraId="4A665907">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14:paraId="76738AF8">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6.投诉书的投诉请求应与投诉事项相关。</w:t>
      </w:r>
    </w:p>
    <w:p w14:paraId="322DD7B2">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7.投诉人为自然人的，投诉书应当由本人签字；投诉人为法人或者其他组织的，投诉书应当由法定代表人、主要负责人，或者其授权代表签字或者盖章，并加盖公章。</w:t>
      </w:r>
    </w:p>
    <w:p w14:paraId="1FBFAD54">
      <w:pPr>
        <w:spacing w:line="360" w:lineRule="auto"/>
        <w:rPr>
          <w:rFonts w:hint="eastAsia" w:ascii="仿宋" w:hAnsi="仿宋" w:eastAsia="仿宋" w:cs="仿宋"/>
          <w:b/>
          <w:sz w:val="24"/>
          <w:highlight w:val="none"/>
        </w:rPr>
      </w:pPr>
    </w:p>
    <w:p w14:paraId="69E6F411">
      <w:pPr>
        <w:autoSpaceDE w:val="0"/>
        <w:autoSpaceDN w:val="0"/>
        <w:jc w:val="center"/>
        <w:rPr>
          <w:rFonts w:hint="eastAsia" w:ascii="仿宋" w:hAnsi="仿宋" w:eastAsia="仿宋" w:cs="仿宋"/>
          <w:b/>
          <w:spacing w:val="6"/>
          <w:sz w:val="32"/>
          <w:szCs w:val="32"/>
          <w:highlight w:val="none"/>
        </w:rPr>
      </w:pPr>
    </w:p>
    <w:p w14:paraId="0D85B287">
      <w:pPr>
        <w:autoSpaceDE w:val="0"/>
        <w:autoSpaceDN w:val="0"/>
        <w:jc w:val="center"/>
        <w:rPr>
          <w:rFonts w:hint="eastAsia" w:ascii="仿宋" w:hAnsi="仿宋" w:eastAsia="仿宋" w:cs="仿宋"/>
          <w:b/>
          <w:spacing w:val="6"/>
          <w:sz w:val="32"/>
          <w:szCs w:val="32"/>
          <w:highlight w:val="none"/>
        </w:rPr>
      </w:pPr>
    </w:p>
    <w:p w14:paraId="26758928">
      <w:pPr>
        <w:autoSpaceDE w:val="0"/>
        <w:autoSpaceDN w:val="0"/>
        <w:jc w:val="center"/>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附件4：</w:t>
      </w:r>
      <w:r>
        <w:rPr>
          <w:rFonts w:hint="eastAsia" w:ascii="仿宋" w:hAnsi="仿宋" w:eastAsia="仿宋" w:cs="仿宋"/>
          <w:b/>
          <w:bCs/>
          <w:sz w:val="32"/>
          <w:szCs w:val="32"/>
          <w:highlight w:val="none"/>
        </w:rPr>
        <w:t>业务专用章使用说明函</w:t>
      </w:r>
    </w:p>
    <w:p w14:paraId="5794C046">
      <w:pPr>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（采购人）、（采购代理机构）</w:t>
      </w:r>
    </w:p>
    <w:p w14:paraId="1B8BEB6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我方</w:t>
      </w:r>
      <w:r>
        <w:rPr>
          <w:rFonts w:hint="eastAsia" w:ascii="仿宋" w:hAnsi="仿宋" w:eastAsia="仿宋" w:cs="仿宋"/>
          <w:sz w:val="24"/>
          <w:highlight w:val="none"/>
        </w:rPr>
        <w:t>(投标人全称)是中华人民共和国依法登记注册的合法企业，</w:t>
      </w:r>
      <w:r>
        <w:rPr>
          <w:rFonts w:hint="eastAsia" w:ascii="仿宋" w:hAnsi="仿宋" w:eastAsia="仿宋" w:cs="仿宋"/>
          <w:bCs/>
          <w:sz w:val="24"/>
          <w:highlight w:val="none"/>
        </w:rPr>
        <w:t>在参加</w:t>
      </w:r>
      <w:r>
        <w:rPr>
          <w:rFonts w:hint="eastAsia" w:ascii="仿宋" w:hAnsi="仿宋" w:eastAsia="仿宋" w:cs="仿宋"/>
          <w:sz w:val="24"/>
          <w:highlight w:val="none"/>
        </w:rPr>
        <w:t>你方组织的（项目名称）项目【招标编号：（采购编号）】</w:t>
      </w:r>
      <w:r>
        <w:rPr>
          <w:rFonts w:hint="eastAsia" w:ascii="仿宋" w:hAnsi="仿宋" w:eastAsia="仿宋" w:cs="仿宋"/>
          <w:bCs/>
          <w:sz w:val="24"/>
          <w:highlight w:val="none"/>
        </w:rPr>
        <w:t>投标活动中作如下说明：</w:t>
      </w:r>
      <w:r>
        <w:rPr>
          <w:rFonts w:hint="eastAsia" w:ascii="仿宋" w:hAnsi="仿宋" w:eastAsia="仿宋" w:cs="仿宋"/>
          <w:sz w:val="24"/>
          <w:highlight w:val="none"/>
        </w:rPr>
        <w:t xml:space="preserve">我方所使用的“XX专用章”与法定名称章具有同等的法律效力，对使用“XX专用章”的行为予以完全承认，并愿意承担相应责任。   </w:t>
      </w:r>
    </w:p>
    <w:p w14:paraId="44C11DA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特此说明。</w:t>
      </w:r>
    </w:p>
    <w:p w14:paraId="7E51996D">
      <w:pPr>
        <w:spacing w:line="360" w:lineRule="auto"/>
        <w:ind w:firstLine="494"/>
        <w:rPr>
          <w:rFonts w:hint="eastAsia" w:ascii="仿宋" w:hAnsi="仿宋" w:eastAsia="仿宋" w:cs="仿宋"/>
          <w:sz w:val="24"/>
          <w:highlight w:val="none"/>
        </w:rPr>
      </w:pPr>
    </w:p>
    <w:p w14:paraId="7B7B87B5">
      <w:pPr>
        <w:spacing w:line="360" w:lineRule="auto"/>
        <w:ind w:firstLine="494"/>
        <w:rPr>
          <w:rFonts w:hint="eastAsia" w:ascii="仿宋" w:hAnsi="仿宋" w:eastAsia="仿宋" w:cs="仿宋"/>
          <w:sz w:val="24"/>
          <w:highlight w:val="none"/>
        </w:rPr>
      </w:pPr>
    </w:p>
    <w:p w14:paraId="6615D03A">
      <w:pPr>
        <w:spacing w:line="360" w:lineRule="auto"/>
        <w:ind w:firstLine="494"/>
        <w:rPr>
          <w:rFonts w:hint="eastAsia" w:ascii="仿宋" w:hAnsi="仿宋" w:eastAsia="仿宋" w:cs="仿宋"/>
          <w:sz w:val="24"/>
          <w:highlight w:val="none"/>
        </w:rPr>
      </w:pPr>
    </w:p>
    <w:p w14:paraId="49196C55">
      <w:pPr>
        <w:spacing w:line="360" w:lineRule="auto"/>
        <w:ind w:firstLine="494"/>
        <w:rPr>
          <w:rFonts w:hint="eastAsia" w:ascii="仿宋" w:hAnsi="仿宋" w:eastAsia="仿宋" w:cs="仿宋"/>
          <w:sz w:val="24"/>
          <w:highlight w:val="none"/>
        </w:rPr>
      </w:pPr>
    </w:p>
    <w:p w14:paraId="6F0CF831">
      <w:pPr>
        <w:spacing w:line="360" w:lineRule="auto"/>
        <w:ind w:right="480" w:firstLine="4080" w:firstLineChars="1700"/>
        <w:rPr>
          <w:rFonts w:hint="eastAsia" w:ascii="仿宋" w:hAnsi="仿宋" w:eastAsia="仿宋" w:cs="仿宋"/>
          <w:sz w:val="24"/>
          <w:highlight w:val="none"/>
        </w:rPr>
      </w:pPr>
      <w:r>
        <w:rPr>
          <w:rFonts w:hint="eastAsia" w:ascii="仿宋" w:hAnsi="仿宋" w:eastAsia="仿宋" w:cs="仿宋"/>
          <w:sz w:val="24"/>
          <w:highlight w:val="none"/>
        </w:rPr>
        <w:t>投标单位（法定名称章）：</w:t>
      </w:r>
    </w:p>
    <w:p w14:paraId="7572FFBD">
      <w:pPr>
        <w:ind w:right="1440" w:firstLine="494"/>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14:paraId="108FEC63">
      <w:pPr>
        <w:rPr>
          <w:rFonts w:hint="eastAsia" w:ascii="仿宋" w:hAnsi="仿宋" w:eastAsia="仿宋" w:cs="仿宋"/>
          <w:sz w:val="24"/>
          <w:highlight w:val="none"/>
        </w:rPr>
      </w:pPr>
      <w:r>
        <w:rPr>
          <w:rFonts w:hint="eastAsia" w:ascii="仿宋" w:hAnsi="仿宋" w:eastAsia="仿宋" w:cs="仿宋"/>
          <w:b/>
          <w:bCs/>
          <w:sz w:val="24"/>
          <w:highlight w:val="none"/>
        </w:rPr>
        <w:t>附：</w:t>
      </w:r>
    </w:p>
    <w:p w14:paraId="0735788C">
      <w:pPr>
        <w:spacing w:line="360" w:lineRule="auto"/>
        <w:rPr>
          <w:rFonts w:hint="eastAsia" w:ascii="仿宋" w:hAnsi="仿宋" w:eastAsia="仿宋" w:cs="仿宋"/>
          <w:bCs/>
          <w:sz w:val="24"/>
          <w:highlight w:val="none"/>
        </w:rPr>
      </w:pPr>
      <w:r>
        <w:rPr>
          <w:rFonts w:hint="eastAsia" w:ascii="仿宋" w:hAnsi="仿宋" w:eastAsia="仿宋" w:cs="仿宋"/>
          <w:b/>
          <w:bCs/>
          <w:sz w:val="24"/>
          <w:highlight w:val="none"/>
        </w:rPr>
        <mc:AlternateContent>
          <mc:Choice Requires="wps">
            <w:drawing>
              <wp:anchor distT="0" distB="0" distL="114300" distR="114300" simplePos="0" relativeHeight="251663360"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312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b/>
          <w:bCs/>
          <w:sz w:val="24"/>
          <w:highlight w:val="none"/>
        </w:rPr>
        <mc:AlternateContent>
          <mc:Choice Requires="wps">
            <w:drawing>
              <wp:anchor distT="0" distB="0" distL="114300" distR="114300" simplePos="0" relativeHeight="251664384"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209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sz w:val="24"/>
          <w:highlight w:val="none"/>
        </w:rPr>
        <w:t>投标单位法定名称章（印模）                投标单位“XX专用章”（印模）</w:t>
      </w:r>
    </w:p>
    <w:p w14:paraId="11257C62">
      <w:pPr>
        <w:autoSpaceDE w:val="0"/>
        <w:autoSpaceDN w:val="0"/>
        <w:jc w:val="center"/>
        <w:rPr>
          <w:rFonts w:hint="eastAsia" w:ascii="仿宋" w:hAnsi="仿宋" w:eastAsia="仿宋" w:cs="仿宋"/>
          <w:b/>
          <w:spacing w:val="6"/>
          <w:sz w:val="32"/>
          <w:szCs w:val="32"/>
          <w:highlight w:val="none"/>
        </w:rPr>
      </w:pPr>
    </w:p>
    <w:p w14:paraId="5778975A">
      <w:pPr>
        <w:autoSpaceDE w:val="0"/>
        <w:autoSpaceDN w:val="0"/>
        <w:jc w:val="center"/>
        <w:rPr>
          <w:rFonts w:hint="eastAsia" w:ascii="仿宋" w:hAnsi="仿宋" w:eastAsia="仿宋" w:cs="仿宋"/>
          <w:b/>
          <w:spacing w:val="6"/>
          <w:sz w:val="32"/>
          <w:szCs w:val="32"/>
          <w:highlight w:val="none"/>
        </w:rPr>
      </w:pPr>
    </w:p>
    <w:p w14:paraId="235FB88F">
      <w:pPr>
        <w:autoSpaceDE w:val="0"/>
        <w:autoSpaceDN w:val="0"/>
        <w:jc w:val="center"/>
        <w:rPr>
          <w:rFonts w:hint="eastAsia" w:ascii="仿宋" w:hAnsi="仿宋" w:eastAsia="仿宋" w:cs="仿宋"/>
          <w:b/>
          <w:spacing w:val="6"/>
          <w:sz w:val="32"/>
          <w:szCs w:val="32"/>
          <w:highlight w:val="none"/>
        </w:rPr>
      </w:pPr>
    </w:p>
    <w:p w14:paraId="02AA49FC">
      <w:pPr>
        <w:autoSpaceDE w:val="0"/>
        <w:autoSpaceDN w:val="0"/>
        <w:jc w:val="center"/>
        <w:rPr>
          <w:rFonts w:hint="eastAsia" w:ascii="仿宋" w:hAnsi="仿宋" w:eastAsia="仿宋" w:cs="仿宋"/>
          <w:b/>
          <w:spacing w:val="6"/>
          <w:sz w:val="32"/>
          <w:szCs w:val="32"/>
          <w:highlight w:val="none"/>
        </w:rPr>
      </w:pPr>
    </w:p>
    <w:p w14:paraId="3EFC332B">
      <w:pPr>
        <w:autoSpaceDE w:val="0"/>
        <w:autoSpaceDN w:val="0"/>
        <w:jc w:val="center"/>
        <w:rPr>
          <w:rFonts w:hint="eastAsia" w:ascii="仿宋" w:hAnsi="仿宋" w:eastAsia="仿宋" w:cs="仿宋"/>
          <w:b/>
          <w:spacing w:val="6"/>
          <w:sz w:val="32"/>
          <w:szCs w:val="32"/>
          <w:highlight w:val="none"/>
        </w:rPr>
      </w:pPr>
    </w:p>
    <w:p w14:paraId="0739AAA4">
      <w:pPr>
        <w:autoSpaceDE w:val="0"/>
        <w:autoSpaceDN w:val="0"/>
        <w:jc w:val="center"/>
        <w:rPr>
          <w:rFonts w:hint="eastAsia" w:ascii="仿宋" w:hAnsi="仿宋" w:eastAsia="仿宋" w:cs="仿宋"/>
          <w:b/>
          <w:spacing w:val="6"/>
          <w:sz w:val="32"/>
          <w:szCs w:val="32"/>
          <w:highlight w:val="none"/>
        </w:rPr>
      </w:pPr>
    </w:p>
    <w:p w14:paraId="624AE996">
      <w:pPr>
        <w:autoSpaceDE w:val="0"/>
        <w:autoSpaceDN w:val="0"/>
        <w:jc w:val="center"/>
        <w:rPr>
          <w:rFonts w:hint="eastAsia" w:ascii="仿宋" w:hAnsi="仿宋" w:eastAsia="仿宋" w:cs="仿宋"/>
          <w:b/>
          <w:spacing w:val="6"/>
          <w:sz w:val="32"/>
          <w:szCs w:val="32"/>
          <w:highlight w:val="none"/>
        </w:rPr>
      </w:pPr>
    </w:p>
    <w:p w14:paraId="49734A9B">
      <w:pPr>
        <w:autoSpaceDE w:val="0"/>
        <w:autoSpaceDN w:val="0"/>
        <w:jc w:val="center"/>
        <w:rPr>
          <w:rFonts w:hint="eastAsia" w:ascii="仿宋" w:hAnsi="仿宋" w:eastAsia="仿宋" w:cs="仿宋"/>
          <w:b/>
          <w:spacing w:val="6"/>
          <w:sz w:val="32"/>
          <w:szCs w:val="32"/>
          <w:highlight w:val="none"/>
        </w:rPr>
      </w:pPr>
    </w:p>
    <w:p w14:paraId="21FA8C5D">
      <w:pPr>
        <w:autoSpaceDE w:val="0"/>
        <w:autoSpaceDN w:val="0"/>
        <w:jc w:val="center"/>
        <w:rPr>
          <w:rFonts w:hint="eastAsia" w:ascii="仿宋" w:hAnsi="仿宋" w:eastAsia="仿宋" w:cs="仿宋"/>
          <w:b/>
          <w:spacing w:val="6"/>
          <w:sz w:val="32"/>
          <w:szCs w:val="32"/>
          <w:highlight w:val="none"/>
        </w:rPr>
      </w:pPr>
    </w:p>
    <w:p w14:paraId="1D089324">
      <w:pPr>
        <w:autoSpaceDE w:val="0"/>
        <w:autoSpaceDN w:val="0"/>
        <w:jc w:val="center"/>
        <w:rPr>
          <w:rFonts w:hint="eastAsia" w:ascii="仿宋" w:hAnsi="仿宋" w:eastAsia="仿宋" w:cs="仿宋"/>
          <w:b/>
          <w:spacing w:val="6"/>
          <w:sz w:val="32"/>
          <w:szCs w:val="32"/>
          <w:highlight w:val="none"/>
        </w:rPr>
      </w:pPr>
    </w:p>
    <w:p w14:paraId="1C7A4F0D">
      <w:pPr>
        <w:autoSpaceDE w:val="0"/>
        <w:autoSpaceDN w:val="0"/>
        <w:jc w:val="center"/>
        <w:rPr>
          <w:rFonts w:hint="eastAsia" w:ascii="仿宋" w:hAnsi="仿宋" w:eastAsia="仿宋" w:cs="仿宋"/>
          <w:b/>
          <w:spacing w:val="6"/>
          <w:sz w:val="32"/>
          <w:szCs w:val="32"/>
          <w:highlight w:val="none"/>
        </w:rPr>
      </w:pPr>
    </w:p>
    <w:p w14:paraId="7BC40FFC">
      <w:pPr>
        <w:autoSpaceDE w:val="0"/>
        <w:autoSpaceDN w:val="0"/>
        <w:jc w:val="center"/>
        <w:rPr>
          <w:rFonts w:hint="eastAsia" w:ascii="仿宋" w:hAnsi="仿宋" w:eastAsia="仿宋" w:cs="仿宋"/>
          <w:b/>
          <w:spacing w:val="6"/>
          <w:sz w:val="32"/>
          <w:szCs w:val="32"/>
          <w:highlight w:val="none"/>
        </w:rPr>
      </w:pPr>
    </w:p>
    <w:p w14:paraId="53C55046">
      <w:pPr>
        <w:autoSpaceDE w:val="0"/>
        <w:autoSpaceDN w:val="0"/>
        <w:jc w:val="center"/>
        <w:rPr>
          <w:rFonts w:hint="eastAsia" w:ascii="仿宋" w:hAnsi="仿宋" w:eastAsia="仿宋" w:cs="仿宋"/>
          <w:b/>
          <w:spacing w:val="6"/>
          <w:sz w:val="32"/>
          <w:szCs w:val="32"/>
          <w:highlight w:val="none"/>
        </w:rPr>
      </w:pPr>
    </w:p>
    <w:p w14:paraId="4694F50A">
      <w:pP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45ED552D">
      <w:pPr>
        <w:autoSpaceDE w:val="0"/>
        <w:autoSpaceDN w:val="0"/>
        <w:jc w:val="center"/>
        <w:rPr>
          <w:rFonts w:hint="eastAsia" w:ascii="仿宋" w:hAnsi="仿宋" w:eastAsia="仿宋" w:cs="仿宋"/>
          <w:b/>
          <w:kern w:val="0"/>
          <w:sz w:val="32"/>
          <w:szCs w:val="32"/>
          <w:highlight w:val="none"/>
          <w:lang w:val="zh-CN"/>
        </w:rPr>
      </w:pPr>
      <w:r>
        <w:rPr>
          <w:rFonts w:hint="eastAsia" w:ascii="仿宋" w:hAnsi="仿宋" w:eastAsia="仿宋" w:cs="仿宋"/>
          <w:b/>
          <w:bCs/>
          <w:sz w:val="32"/>
          <w:szCs w:val="32"/>
          <w:highlight w:val="none"/>
        </w:rPr>
        <w:t>附件5：</w:t>
      </w:r>
      <w:r>
        <w:rPr>
          <w:rFonts w:hint="eastAsia" w:ascii="仿宋" w:hAnsi="仿宋" w:eastAsia="仿宋" w:cs="仿宋"/>
          <w:b/>
          <w:bCs/>
          <w:sz w:val="32"/>
          <w:szCs w:val="32"/>
          <w:highlight w:val="none"/>
          <w:lang w:val="zh-CN"/>
        </w:rPr>
        <w:t>联合协议</w:t>
      </w:r>
    </w:p>
    <w:p w14:paraId="554464B7">
      <w:pPr>
        <w:widowControl/>
        <w:spacing w:line="360" w:lineRule="auto"/>
        <w:ind w:firstLine="482" w:firstLineChars="200"/>
        <w:jc w:val="left"/>
        <w:rPr>
          <w:rFonts w:hint="eastAsia" w:ascii="仿宋" w:hAnsi="仿宋" w:eastAsia="仿宋" w:cs="仿宋"/>
          <w:b/>
          <w:sz w:val="24"/>
          <w:highlight w:val="none"/>
        </w:rPr>
      </w:pPr>
    </w:p>
    <w:p w14:paraId="7BF90B33">
      <w:pPr>
        <w:widowControl/>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（以联合体形式投标的，提供联合协议；本项目不接受联合体投标或者投标人不以联合体形式投标的，则不需要提供）</w:t>
      </w:r>
    </w:p>
    <w:p w14:paraId="710E48D2">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（联合体所有成员名称）</w:t>
      </w:r>
      <w:r>
        <w:rPr>
          <w:rFonts w:hint="eastAsia" w:ascii="仿宋" w:hAnsi="仿宋" w:eastAsia="仿宋" w:cs="仿宋"/>
          <w:kern w:val="0"/>
          <w:sz w:val="24"/>
          <w:highlight w:val="none"/>
        </w:rPr>
        <w:t>自愿</w:t>
      </w:r>
      <w:r>
        <w:rPr>
          <w:rFonts w:hint="eastAsia" w:ascii="仿宋" w:hAnsi="仿宋" w:eastAsia="仿宋" w:cs="仿宋"/>
          <w:kern w:val="0"/>
          <w:sz w:val="24"/>
          <w:highlight w:val="none"/>
          <w:lang w:val="zh-CN"/>
        </w:rPr>
        <w:t>组成一个联合体，以一个投标人的身份</w:t>
      </w:r>
      <w:r>
        <w:rPr>
          <w:rFonts w:hint="eastAsia" w:ascii="仿宋" w:hAnsi="仿宋" w:eastAsia="仿宋" w:cs="仿宋"/>
          <w:kern w:val="0"/>
          <w:sz w:val="24"/>
          <w:highlight w:val="none"/>
        </w:rPr>
        <w:t>参加</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 xml:space="preserve">投标。 </w:t>
      </w:r>
    </w:p>
    <w:p w14:paraId="66F16E77">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一、各方一致决定，</w:t>
      </w:r>
      <w:r>
        <w:rPr>
          <w:rFonts w:hint="eastAsia" w:ascii="仿宋" w:hAnsi="仿宋" w:eastAsia="仿宋" w:cs="仿宋"/>
          <w:kern w:val="0"/>
          <w:sz w:val="24"/>
          <w:highlight w:val="none"/>
          <w:u w:val="single"/>
        </w:rPr>
        <w:t>（某联合体成员名称）</w:t>
      </w:r>
      <w:r>
        <w:rPr>
          <w:rFonts w:hint="eastAsia" w:ascii="仿宋" w:hAnsi="仿宋" w:eastAsia="仿宋" w:cs="仿宋"/>
          <w:kern w:val="0"/>
          <w:sz w:val="24"/>
          <w:highlight w:val="none"/>
        </w:rPr>
        <w:t>为联合体</w:t>
      </w:r>
      <w:r>
        <w:rPr>
          <w:rFonts w:hint="eastAsia" w:ascii="仿宋" w:hAnsi="仿宋" w:eastAsia="仿宋" w:cs="仿宋"/>
          <w:kern w:val="0"/>
          <w:sz w:val="24"/>
          <w:highlight w:val="none"/>
          <w:lang w:val="zh-CN"/>
        </w:rPr>
        <w:t>牵头人</w:t>
      </w:r>
      <w:r>
        <w:rPr>
          <w:rFonts w:hint="eastAsia" w:ascii="仿宋" w:hAnsi="仿宋" w:eastAsia="仿宋" w:cs="仿宋"/>
          <w:sz w:val="24"/>
          <w:highlight w:val="none"/>
        </w:rPr>
        <w:t>，代表所有联合体成员负责投标和合同实施阶段的主办、协调工作</w:t>
      </w:r>
      <w:r>
        <w:rPr>
          <w:rFonts w:hint="eastAsia" w:ascii="仿宋" w:hAnsi="仿宋" w:eastAsia="仿宋" w:cs="仿宋"/>
          <w:kern w:val="0"/>
          <w:sz w:val="24"/>
          <w:highlight w:val="none"/>
          <w:lang w:val="zh-CN"/>
        </w:rPr>
        <w:t>。</w:t>
      </w:r>
    </w:p>
    <w:p w14:paraId="2F713DDA">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kern w:val="0"/>
          <w:sz w:val="24"/>
          <w:highlight w:val="none"/>
          <w:lang w:val="zh-CN"/>
        </w:rPr>
        <w:t>授权代表根据招标文件规定及投标内容而对采购人、采购代理机构所作的任何合法承诺，包括书面澄清及响应等均对联合投标各方产生约束力。</w:t>
      </w:r>
    </w:p>
    <w:p w14:paraId="1D747888">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三、本次联合投标中，分工如下：</w:t>
      </w:r>
    </w:p>
    <w:p w14:paraId="56E04B66">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（联合体成员1）</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p>
    <w:p w14:paraId="70F21AD8">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（联合体成员2）</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p>
    <w:p w14:paraId="77596F10">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w:t>
      </w:r>
    </w:p>
    <w:p w14:paraId="7E31DF76">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四、联合体成员中小企业合同份额。</w:t>
      </w:r>
    </w:p>
    <w:p w14:paraId="7F5E1C45">
      <w:pPr>
        <w:snapToGrid w:val="0"/>
        <w:spacing w:line="360" w:lineRule="auto"/>
        <w:ind w:firstLine="576"/>
        <w:rPr>
          <w:rFonts w:hint="eastAsia" w:ascii="仿宋" w:hAnsi="仿宋" w:eastAsia="仿宋" w:cs="仿宋"/>
          <w:b/>
          <w:kern w:val="0"/>
          <w:sz w:val="24"/>
          <w:highlight w:val="none"/>
          <w:lang w:val="zh-CN"/>
        </w:rPr>
      </w:pPr>
      <w:r>
        <w:rPr>
          <w:rFonts w:hint="eastAsia" w:ascii="仿宋" w:hAnsi="仿宋" w:eastAsia="仿宋" w:cs="仿宋"/>
          <w:kern w:val="0"/>
          <w:sz w:val="24"/>
          <w:highlight w:val="none"/>
          <w:lang w:val="zh-CN"/>
        </w:rPr>
        <w:t>1、</w:t>
      </w:r>
      <w:r>
        <w:rPr>
          <w:rFonts w:hint="eastAsia" w:ascii="仿宋" w:hAnsi="仿宋" w:eastAsia="仿宋" w:cs="仿宋"/>
          <w:kern w:val="0"/>
          <w:sz w:val="24"/>
          <w:highlight w:val="none"/>
          <w:u w:val="single"/>
        </w:rPr>
        <w:t>（</w:t>
      </w:r>
      <w:bookmarkStart w:id="326" w:name="_Hlk101131882"/>
      <w:r>
        <w:rPr>
          <w:rFonts w:hint="eastAsia" w:ascii="仿宋" w:hAnsi="仿宋" w:eastAsia="仿宋" w:cs="仿宋"/>
          <w:kern w:val="0"/>
          <w:sz w:val="24"/>
          <w:highlight w:val="none"/>
          <w:u w:val="single"/>
        </w:rPr>
        <w:t>联合体成员X,……</w:t>
      </w:r>
      <w:bookmarkEnd w:id="326"/>
      <w:r>
        <w:rPr>
          <w:rFonts w:hint="eastAsia" w:ascii="仿宋" w:hAnsi="仿宋" w:eastAsia="仿宋" w:cs="仿宋"/>
          <w:kern w:val="0"/>
          <w:sz w:val="24"/>
          <w:highlight w:val="none"/>
          <w:u w:val="single"/>
        </w:rPr>
        <w:t>）</w:t>
      </w:r>
      <w:r>
        <w:rPr>
          <w:rFonts w:hint="eastAsia" w:ascii="仿宋" w:hAnsi="仿宋" w:eastAsia="仿宋" w:cs="仿宋"/>
          <w:kern w:val="0"/>
          <w:sz w:val="24"/>
          <w:highlight w:val="none"/>
        </w:rPr>
        <w:t>提供的服务由小微企业承接，其合同份额占到合同总金额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kern w:val="0"/>
          <w:sz w:val="24"/>
          <w:highlight w:val="none"/>
          <w:lang w:val="zh-CN"/>
        </w:rPr>
        <w:t>。</w:t>
      </w:r>
      <w:r>
        <w:rPr>
          <w:rFonts w:hint="eastAsia" w:ascii="仿宋" w:hAnsi="仿宋" w:eastAsia="仿宋" w:cs="仿宋"/>
          <w:b/>
          <w:kern w:val="0"/>
          <w:sz w:val="24"/>
          <w:highlight w:val="none"/>
          <w:lang w:val="zh-CN"/>
        </w:rPr>
        <w:t>（</w:t>
      </w:r>
      <w:bookmarkStart w:id="327" w:name="_Hlk101133598"/>
      <w:r>
        <w:rPr>
          <w:rFonts w:hint="eastAsia" w:ascii="仿宋" w:hAnsi="仿宋" w:eastAsia="仿宋" w:cs="仿宋"/>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highlight w:val="none"/>
        </w:rPr>
        <w:t>拟享受以上价格扣除政策的，填写有关内容</w:t>
      </w:r>
      <w:bookmarkEnd w:id="327"/>
      <w:r>
        <w:rPr>
          <w:rFonts w:hint="eastAsia" w:ascii="仿宋" w:hAnsi="仿宋" w:eastAsia="仿宋" w:cs="仿宋"/>
          <w:b/>
          <w:kern w:val="0"/>
          <w:sz w:val="24"/>
          <w:highlight w:val="none"/>
          <w:lang w:val="zh-CN"/>
        </w:rPr>
        <w:t>）</w:t>
      </w:r>
    </w:p>
    <w:p w14:paraId="010ABDBC">
      <w:pPr>
        <w:spacing w:line="360" w:lineRule="auto"/>
        <w:ind w:firstLine="480" w:firstLineChars="200"/>
        <w:rPr>
          <w:rFonts w:hint="eastAsia" w:ascii="仿宋" w:hAnsi="仿宋" w:eastAsia="仿宋" w:cs="仿宋"/>
          <w:b/>
          <w:bCs/>
          <w:kern w:val="0"/>
          <w:sz w:val="24"/>
          <w:highlight w:val="none"/>
          <w:lang w:val="zh-CN"/>
        </w:rPr>
      </w:pPr>
      <w:r>
        <w:rPr>
          <w:rFonts w:hint="eastAsia" w:ascii="仿宋" w:hAnsi="仿宋" w:eastAsia="仿宋" w:cs="仿宋"/>
          <w:sz w:val="24"/>
          <w:highlight w:val="none"/>
        </w:rPr>
        <w:t>2、</w:t>
      </w:r>
      <w:bookmarkStart w:id="328" w:name="_Hlk101133173"/>
      <w:r>
        <w:rPr>
          <w:rFonts w:hint="eastAsia" w:ascii="仿宋" w:hAnsi="仿宋" w:eastAsia="仿宋" w:cs="仿宋"/>
          <w:sz w:val="24"/>
          <w:highlight w:val="none"/>
        </w:rPr>
        <w:t>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r>
        <w:rPr>
          <w:rFonts w:hint="eastAsia" w:ascii="仿宋" w:hAnsi="仿宋" w:eastAsia="仿宋" w:cs="仿宋"/>
          <w:b/>
          <w:bCs/>
          <w:kern w:val="0"/>
          <w:sz w:val="24"/>
          <w:highlight w:val="none"/>
          <w:lang w:val="zh-CN"/>
        </w:rPr>
        <w:t>（</w:t>
      </w:r>
      <w:r>
        <w:rPr>
          <w:rFonts w:hint="eastAsia" w:ascii="仿宋" w:hAnsi="仿宋" w:eastAsia="仿宋" w:cs="仿宋"/>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highlight w:val="none"/>
          <w:lang w:val="zh-CN"/>
        </w:rPr>
        <w:t>）</w:t>
      </w:r>
      <w:bookmarkEnd w:id="328"/>
    </w:p>
    <w:p w14:paraId="3D993F67">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五、如果中标，</w:t>
      </w:r>
      <w:r>
        <w:rPr>
          <w:rFonts w:hint="eastAsia" w:ascii="仿宋" w:hAnsi="仿宋" w:eastAsia="仿宋" w:cs="仿宋"/>
          <w:sz w:val="24"/>
          <w:highlight w:val="none"/>
        </w:rPr>
        <w:t>联合体各成员方共同与采购人签订合同，并就采购合同约定的事项对采购人承担连带责任。</w:t>
      </w:r>
    </w:p>
    <w:p w14:paraId="71355164">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六、有关本次联合投标的其他事宜：</w:t>
      </w:r>
    </w:p>
    <w:p w14:paraId="5F9EF200">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1、联合体各方不再单独参加或者与其他供应商另外组成联合体参加同一合同项下的政府采购活动。</w:t>
      </w:r>
    </w:p>
    <w:p w14:paraId="72E4DC1E">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2、联合体中有同类资质的各方按照联合体分工承担相同工作的，按照资质等级较低的供应商确定资质等级。</w:t>
      </w:r>
    </w:p>
    <w:p w14:paraId="357A4E88">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3、本协议提交采购人、采购代理机构后，联合体各方不得以任何形式对上述内容进行修改或撤销。</w:t>
      </w:r>
    </w:p>
    <w:p w14:paraId="2183B84F">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252455DC">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6941AA9E">
      <w:pPr>
        <w:snapToGrid w:val="0"/>
        <w:spacing w:line="360" w:lineRule="auto"/>
        <w:ind w:right="960"/>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14:paraId="297E0E6A">
      <w:pPr>
        <w:snapToGrid w:val="0"/>
        <w:spacing w:line="360" w:lineRule="auto"/>
        <w:jc w:val="righ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日期：  年  月   日</w:t>
      </w:r>
    </w:p>
    <w:p w14:paraId="2828AC27">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15C813C5">
      <w:pPr>
        <w:autoSpaceDE w:val="0"/>
        <w:autoSpaceDN w:val="0"/>
        <w:jc w:val="center"/>
        <w:rPr>
          <w:rFonts w:hint="eastAsia" w:ascii="仿宋" w:hAnsi="仿宋" w:eastAsia="仿宋" w:cs="仿宋"/>
          <w:b/>
          <w:spacing w:val="6"/>
          <w:sz w:val="32"/>
          <w:szCs w:val="32"/>
          <w:highlight w:val="none"/>
        </w:rPr>
      </w:pPr>
    </w:p>
    <w:p w14:paraId="230A3486">
      <w:pPr>
        <w:autoSpaceDE w:val="0"/>
        <w:autoSpaceDN w:val="0"/>
        <w:jc w:val="center"/>
        <w:rPr>
          <w:rFonts w:hint="eastAsia" w:ascii="仿宋" w:hAnsi="仿宋" w:eastAsia="仿宋" w:cs="仿宋"/>
          <w:b/>
          <w:spacing w:val="6"/>
          <w:sz w:val="32"/>
          <w:szCs w:val="32"/>
          <w:highlight w:val="none"/>
        </w:rPr>
      </w:pPr>
    </w:p>
    <w:p w14:paraId="23CDC2B3">
      <w:pPr>
        <w:widowControl/>
        <w:jc w:val="left"/>
        <w:rPr>
          <w:rFonts w:hint="eastAsia" w:ascii="仿宋" w:hAnsi="仿宋" w:eastAsia="仿宋" w:cs="仿宋"/>
          <w:b/>
          <w:spacing w:val="6"/>
          <w:sz w:val="32"/>
          <w:szCs w:val="32"/>
          <w:highlight w:val="none"/>
        </w:rPr>
      </w:pPr>
    </w:p>
    <w:p w14:paraId="31619038">
      <w:pP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6C2C2E20">
      <w:pPr>
        <w:snapToGrid w:val="0"/>
        <w:spacing w:line="360" w:lineRule="auto"/>
        <w:jc w:val="center"/>
        <w:rPr>
          <w:rFonts w:hint="eastAsia" w:ascii="仿宋" w:hAnsi="仿宋" w:eastAsia="仿宋" w:cs="仿宋"/>
          <w:b/>
          <w:kern w:val="0"/>
          <w:sz w:val="32"/>
          <w:szCs w:val="32"/>
          <w:highlight w:val="none"/>
        </w:rPr>
      </w:pPr>
      <w:r>
        <w:rPr>
          <w:rFonts w:hint="eastAsia" w:ascii="仿宋" w:hAnsi="仿宋" w:eastAsia="仿宋" w:cs="仿宋"/>
          <w:b/>
          <w:spacing w:val="6"/>
          <w:sz w:val="32"/>
          <w:szCs w:val="32"/>
          <w:highlight w:val="none"/>
        </w:rPr>
        <w:t>附件6：</w:t>
      </w:r>
      <w:r>
        <w:rPr>
          <w:rFonts w:hint="eastAsia" w:ascii="仿宋" w:hAnsi="仿宋" w:eastAsia="仿宋" w:cs="仿宋"/>
          <w:b/>
          <w:kern w:val="0"/>
          <w:sz w:val="32"/>
          <w:szCs w:val="32"/>
          <w:highlight w:val="none"/>
        </w:rPr>
        <w:t>分包意向协议</w:t>
      </w:r>
    </w:p>
    <w:p w14:paraId="6C117A2E">
      <w:pPr>
        <w:widowControl/>
        <w:spacing w:line="360" w:lineRule="auto"/>
        <w:ind w:firstLine="120" w:firstLineChars="50"/>
        <w:jc w:val="left"/>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sz w:val="24"/>
          <w:highlight w:val="none"/>
        </w:rPr>
        <w:t>）</w:t>
      </w:r>
    </w:p>
    <w:p w14:paraId="1749C576">
      <w:pPr>
        <w:tabs>
          <w:tab w:val="left" w:pos="432"/>
        </w:tabs>
        <w:rPr>
          <w:rFonts w:hint="eastAsia" w:ascii="仿宋" w:hAnsi="仿宋" w:eastAsia="仿宋" w:cs="仿宋"/>
          <w:highlight w:val="none"/>
        </w:rPr>
      </w:pPr>
    </w:p>
    <w:p w14:paraId="53E30442">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若成为</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的中标供应商，将依法采取分包方式履行合同。</w:t>
      </w: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rPr>
        <w:t>与</w:t>
      </w:r>
      <w:r>
        <w:rPr>
          <w:rFonts w:hint="eastAsia" w:ascii="仿宋" w:hAnsi="仿宋" w:eastAsia="仿宋" w:cs="仿宋"/>
          <w:kern w:val="0"/>
          <w:sz w:val="24"/>
          <w:highlight w:val="none"/>
          <w:u w:val="single"/>
        </w:rPr>
        <w:t>（所有分包供应商名称）</w:t>
      </w:r>
      <w:r>
        <w:rPr>
          <w:rFonts w:hint="eastAsia" w:ascii="仿宋" w:hAnsi="仿宋" w:eastAsia="仿宋" w:cs="仿宋"/>
          <w:kern w:val="0"/>
          <w:sz w:val="24"/>
          <w:highlight w:val="none"/>
        </w:rPr>
        <w:t>达成分包意向协议</w:t>
      </w:r>
      <w:r>
        <w:rPr>
          <w:rFonts w:hint="eastAsia" w:ascii="仿宋" w:hAnsi="仿宋" w:eastAsia="仿宋" w:cs="仿宋"/>
          <w:kern w:val="0"/>
          <w:sz w:val="24"/>
          <w:highlight w:val="none"/>
          <w:lang w:val="zh-CN"/>
        </w:rPr>
        <w:t xml:space="preserve">。 </w:t>
      </w:r>
    </w:p>
    <w:p w14:paraId="3D20D30D">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一、分包标的及数量</w:t>
      </w:r>
    </w:p>
    <w:p w14:paraId="64E4FC32">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将</w:t>
      </w:r>
      <w:r>
        <w:rPr>
          <w:rFonts w:hint="eastAsia" w:ascii="仿宋" w:hAnsi="仿宋" w:eastAsia="仿宋" w:cs="仿宋"/>
          <w:highlight w:val="none"/>
          <w:u w:val="single"/>
        </w:rPr>
        <w:t xml:space="preserve">  </w:t>
      </w:r>
      <w:r>
        <w:rPr>
          <w:rFonts w:hint="eastAsia" w:ascii="仿宋" w:hAnsi="仿宋" w:eastAsia="仿宋" w:cs="仿宋"/>
          <w:kern w:val="0"/>
          <w:sz w:val="24"/>
          <w:highlight w:val="none"/>
          <w:u w:val="single"/>
        </w:rPr>
        <w:t xml:space="preserve"> XX工作内容   </w:t>
      </w:r>
      <w:r>
        <w:rPr>
          <w:rFonts w:hint="eastAsia" w:ascii="仿宋" w:hAnsi="仿宋" w:eastAsia="仿宋" w:cs="仿宋"/>
          <w:sz w:val="24"/>
          <w:highlight w:val="none"/>
        </w:rPr>
        <w:t>分包给</w:t>
      </w:r>
      <w:r>
        <w:rPr>
          <w:rFonts w:hint="eastAsia" w:ascii="仿宋" w:hAnsi="仿宋" w:eastAsia="仿宋" w:cs="仿宋"/>
          <w:kern w:val="0"/>
          <w:sz w:val="24"/>
          <w:highlight w:val="none"/>
          <w:u w:val="single"/>
        </w:rPr>
        <w:t>（分包供应商1名称）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（分包供应商2名称），</w:t>
      </w:r>
      <w:r>
        <w:rPr>
          <w:rFonts w:hint="eastAsia" w:ascii="仿宋" w:hAnsi="仿宋" w:eastAsia="仿宋" w:cs="仿宋"/>
          <w:kern w:val="0"/>
          <w:sz w:val="24"/>
          <w:highlight w:val="none"/>
          <w:lang w:val="zh-CN"/>
        </w:rPr>
        <w:t>具备承</w:t>
      </w:r>
      <w:r>
        <w:rPr>
          <w:rFonts w:hint="eastAsia" w:ascii="仿宋" w:hAnsi="仿宋" w:eastAsia="仿宋" w:cs="仿宋"/>
          <w:kern w:val="0"/>
          <w:sz w:val="24"/>
          <w:highlight w:val="none"/>
        </w:rPr>
        <w:t>担</w:t>
      </w:r>
      <w:r>
        <w:rPr>
          <w:rFonts w:hint="eastAsia" w:ascii="仿宋" w:hAnsi="仿宋" w:eastAsia="仿宋" w:cs="仿宋"/>
          <w:kern w:val="0"/>
          <w:sz w:val="24"/>
          <w:highlight w:val="none"/>
          <w:u w:val="single"/>
          <w:lang w:val="zh-CN"/>
        </w:rPr>
        <w:t>XX工作内容</w:t>
      </w:r>
      <w:r>
        <w:rPr>
          <w:rFonts w:hint="eastAsia" w:ascii="仿宋" w:hAnsi="仿宋" w:eastAsia="仿宋" w:cs="仿宋"/>
          <w:kern w:val="0"/>
          <w:sz w:val="24"/>
          <w:highlight w:val="none"/>
          <w:lang w:val="zh-CN"/>
        </w:rPr>
        <w:t>相应资质条件且不得再次分包；</w:t>
      </w:r>
    </w:p>
    <w:p w14:paraId="23DA479A">
      <w:pPr>
        <w:tabs>
          <w:tab w:val="left" w:pos="432"/>
        </w:tabs>
        <w:ind w:left="664" w:leftChars="316" w:firstLine="228" w:firstLineChars="95"/>
        <w:rPr>
          <w:rFonts w:hint="eastAsia" w:ascii="仿宋" w:hAnsi="仿宋" w:eastAsia="仿宋" w:cs="仿宋"/>
          <w:kern w:val="0"/>
          <w:sz w:val="24"/>
          <w:highlight w:val="none"/>
        </w:rPr>
      </w:pPr>
      <w:r>
        <w:rPr>
          <w:rFonts w:hint="eastAsia" w:ascii="仿宋" w:hAnsi="仿宋" w:eastAsia="仿宋" w:cs="仿宋"/>
          <w:kern w:val="0"/>
          <w:sz w:val="24"/>
          <w:highlight w:val="none"/>
        </w:rPr>
        <w:t>……</w:t>
      </w:r>
    </w:p>
    <w:p w14:paraId="4F512352">
      <w:pPr>
        <w:rPr>
          <w:rFonts w:hint="eastAsia" w:ascii="仿宋" w:hAnsi="仿宋" w:eastAsia="仿宋" w:cs="仿宋"/>
          <w:highlight w:val="none"/>
        </w:rPr>
      </w:pPr>
      <w:r>
        <w:rPr>
          <w:rFonts w:hint="eastAsia" w:ascii="仿宋" w:hAnsi="仿宋" w:eastAsia="仿宋" w:cs="仿宋"/>
          <w:highlight w:val="none"/>
          <w:lang w:val="zh-CN"/>
        </w:rPr>
        <w:t xml:space="preserve"> </w:t>
      </w:r>
    </w:p>
    <w:p w14:paraId="6A16B1D1">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二、分包供应商中小企业合同份额</w:t>
      </w:r>
    </w:p>
    <w:p w14:paraId="35D3F8DF">
      <w:pPr>
        <w:snapToGrid w:val="0"/>
        <w:spacing w:line="360" w:lineRule="auto"/>
        <w:ind w:firstLine="576"/>
        <w:rPr>
          <w:rFonts w:hint="eastAsia" w:ascii="仿宋" w:hAnsi="仿宋" w:eastAsia="仿宋" w:cs="仿宋"/>
          <w:b/>
          <w:kern w:val="0"/>
          <w:sz w:val="24"/>
          <w:highlight w:val="none"/>
          <w:lang w:val="zh-CN"/>
        </w:rPr>
      </w:pPr>
      <w:r>
        <w:rPr>
          <w:rFonts w:hint="eastAsia" w:ascii="仿宋" w:hAnsi="仿宋" w:eastAsia="仿宋" w:cs="仿宋"/>
          <w:kern w:val="0"/>
          <w:sz w:val="24"/>
          <w:highlight w:val="none"/>
        </w:rPr>
        <w:t>1、</w:t>
      </w:r>
      <w:r>
        <w:rPr>
          <w:rFonts w:hint="eastAsia" w:ascii="仿宋" w:hAnsi="仿宋" w:eastAsia="仿宋" w:cs="仿宋"/>
          <w:kern w:val="0"/>
          <w:sz w:val="24"/>
          <w:highlight w:val="none"/>
          <w:u w:val="single"/>
        </w:rPr>
        <w:t>（分包供应商X,……）提供的服务全部由小微企业承接，</w:t>
      </w:r>
      <w:r>
        <w:rPr>
          <w:rFonts w:hint="eastAsia" w:ascii="仿宋" w:hAnsi="仿宋" w:eastAsia="仿宋" w:cs="仿宋"/>
          <w:kern w:val="0"/>
          <w:sz w:val="24"/>
          <w:highlight w:val="none"/>
        </w:rPr>
        <w:t>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highlight w:val="none"/>
        </w:rPr>
        <w:t>。</w:t>
      </w:r>
      <w:r>
        <w:rPr>
          <w:rFonts w:hint="eastAsia" w:ascii="仿宋" w:hAnsi="仿宋" w:eastAsia="仿宋" w:cs="仿宋"/>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highlight w:val="none"/>
        </w:rPr>
        <w:t>拟享受以上价格扣除政策的，填写有关内容</w:t>
      </w:r>
      <w:r>
        <w:rPr>
          <w:rFonts w:hint="eastAsia" w:ascii="仿宋" w:hAnsi="仿宋" w:eastAsia="仿宋" w:cs="仿宋"/>
          <w:b/>
          <w:kern w:val="0"/>
          <w:sz w:val="24"/>
          <w:highlight w:val="none"/>
          <w:lang w:val="zh-CN"/>
        </w:rPr>
        <w:t>）</w:t>
      </w:r>
    </w:p>
    <w:p w14:paraId="3CFA011A">
      <w:pPr>
        <w:spacing w:line="360" w:lineRule="auto"/>
        <w:ind w:firstLine="480" w:firstLineChars="200"/>
        <w:rPr>
          <w:rFonts w:hint="eastAsia" w:ascii="仿宋" w:hAnsi="仿宋" w:eastAsia="仿宋" w:cs="仿宋"/>
          <w:b/>
          <w:bCs/>
          <w:kern w:val="0"/>
          <w:sz w:val="24"/>
          <w:highlight w:val="none"/>
          <w:lang w:val="zh-CN"/>
        </w:rPr>
      </w:pPr>
      <w:r>
        <w:rPr>
          <w:rFonts w:hint="eastAsia" w:ascii="仿宋" w:hAnsi="仿宋" w:eastAsia="仿宋" w:cs="仿宋"/>
          <w:sz w:val="24"/>
          <w:highlight w:val="none"/>
        </w:rPr>
        <w:t>2、中小企业合同金额达到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r>
        <w:rPr>
          <w:rFonts w:hint="eastAsia" w:ascii="仿宋" w:hAnsi="仿宋" w:eastAsia="仿宋" w:cs="仿宋"/>
          <w:b/>
          <w:bCs/>
          <w:kern w:val="0"/>
          <w:sz w:val="24"/>
          <w:highlight w:val="none"/>
          <w:lang w:val="zh-CN"/>
        </w:rPr>
        <w:t>（</w:t>
      </w:r>
      <w:r>
        <w:rPr>
          <w:rFonts w:hint="eastAsia" w:ascii="仿宋" w:hAnsi="仿宋" w:eastAsia="仿宋" w:cs="仿宋"/>
          <w:b/>
          <w:bCs/>
          <w:sz w:val="24"/>
          <w:highlight w:val="none"/>
        </w:rPr>
        <w:t>要求合同分包形式参加的项目或采购包，供应商按招标文件第一部分招标公告申请人的资格要求中规定的</w:t>
      </w:r>
      <w:r>
        <w:rPr>
          <w:rFonts w:hint="eastAsia" w:ascii="仿宋" w:hAnsi="仿宋" w:eastAsia="仿宋" w:cs="仿宋"/>
          <w:b/>
          <w:kern w:val="0"/>
          <w:sz w:val="24"/>
          <w:highlight w:val="none"/>
          <w:lang w:val="zh-CN"/>
        </w:rPr>
        <w:t>分包意向协议</w:t>
      </w:r>
      <w:r>
        <w:rPr>
          <w:rFonts w:hint="eastAsia" w:ascii="仿宋" w:hAnsi="仿宋" w:eastAsia="仿宋" w:cs="仿宋"/>
          <w:b/>
          <w:bCs/>
          <w:sz w:val="24"/>
          <w:highlight w:val="none"/>
        </w:rPr>
        <w:t>中中小企业、小微企业合同金额应当达到的比例要求填写</w:t>
      </w:r>
      <w:r>
        <w:rPr>
          <w:rFonts w:hint="eastAsia" w:ascii="仿宋" w:hAnsi="仿宋" w:eastAsia="仿宋" w:cs="仿宋"/>
          <w:b/>
          <w:bCs/>
          <w:kern w:val="0"/>
          <w:sz w:val="24"/>
          <w:highlight w:val="none"/>
          <w:lang w:val="zh-CN"/>
        </w:rPr>
        <w:t>）</w:t>
      </w:r>
    </w:p>
    <w:p w14:paraId="24525E32">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三、分包工作履行期限、地点、方式</w:t>
      </w:r>
    </w:p>
    <w:p w14:paraId="18FA53E4">
      <w:pPr>
        <w:snapToGrid w:val="0"/>
        <w:spacing w:line="360" w:lineRule="auto"/>
        <w:ind w:firstLine="576"/>
        <w:rPr>
          <w:rFonts w:hint="eastAsia" w:ascii="仿宋" w:hAnsi="仿宋" w:eastAsia="仿宋" w:cs="仿宋"/>
          <w:highlight w:val="none"/>
          <w:u w:val="single"/>
        </w:rPr>
      </w:pPr>
      <w:r>
        <w:rPr>
          <w:rFonts w:hint="eastAsia" w:ascii="仿宋" w:hAnsi="仿宋" w:eastAsia="仿宋" w:cs="仿宋"/>
          <w:highlight w:val="none"/>
          <w:u w:val="single"/>
        </w:rPr>
        <w:t xml:space="preserve">                                                                                  </w:t>
      </w:r>
    </w:p>
    <w:p w14:paraId="38294DBD">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四、质量</w:t>
      </w:r>
    </w:p>
    <w:p w14:paraId="5176B99B">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3534495E">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五、价款或者报酬</w:t>
      </w:r>
    </w:p>
    <w:p w14:paraId="3BE1F704">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0C67CD8D">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六、违约责任</w:t>
      </w:r>
    </w:p>
    <w:p w14:paraId="0E75F1D1">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683F6F43">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七、争议解决的办法</w:t>
      </w:r>
    </w:p>
    <w:p w14:paraId="7A7EF1D0">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01FB4846">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八、其他</w:t>
      </w:r>
    </w:p>
    <w:p w14:paraId="7014BCA2">
      <w:pPr>
        <w:snapToGrid w:val="0"/>
        <w:spacing w:line="360" w:lineRule="auto"/>
        <w:ind w:left="5758" w:leftChars="342" w:hanging="5040" w:hangingChars="2100"/>
        <w:rPr>
          <w:rFonts w:hint="eastAsia" w:ascii="仿宋" w:hAnsi="仿宋" w:eastAsia="仿宋" w:cs="仿宋"/>
          <w:kern w:val="0"/>
          <w:sz w:val="24"/>
          <w:highlight w:val="none"/>
          <w:lang w:val="zh-CN"/>
        </w:rPr>
      </w:pPr>
      <w:r>
        <w:rPr>
          <w:rFonts w:hint="eastAsia" w:ascii="仿宋" w:hAnsi="仿宋" w:eastAsia="仿宋" w:cs="仿宋"/>
          <w:sz w:val="24"/>
          <w:highlight w:val="none"/>
        </w:rPr>
        <w:t>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 xml:space="preserve">  。                                           投标人名称(电子签名)：</w:t>
      </w:r>
    </w:p>
    <w:p w14:paraId="66D1026F">
      <w:pPr>
        <w:snapToGrid w:val="0"/>
        <w:spacing w:line="360" w:lineRule="auto"/>
        <w:jc w:val="righ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分包供应商名称(电子签名/公章)：</w:t>
      </w:r>
    </w:p>
    <w:p w14:paraId="31166F51">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2B27A5AE">
      <w:pPr>
        <w:snapToGrid w:val="0"/>
        <w:spacing w:line="360" w:lineRule="auto"/>
        <w:ind w:left="5758" w:leftChars="342" w:hanging="5040" w:hanging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013F2AE1">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75856226">
      <w:pPr>
        <w:rPr>
          <w:rFonts w:hint="eastAsia" w:ascii="仿宋" w:hAnsi="仿宋" w:eastAsia="仿宋" w:cs="仿宋"/>
          <w:b/>
          <w:spacing w:val="6"/>
          <w:sz w:val="32"/>
          <w:szCs w:val="32"/>
          <w:highlight w:val="none"/>
        </w:rPr>
      </w:pPr>
    </w:p>
    <w:p w14:paraId="1C9B77CC">
      <w:pP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29D8C2CE">
      <w:pPr>
        <w:autoSpaceDE w:val="0"/>
        <w:autoSpaceDN w:val="0"/>
        <w:jc w:val="center"/>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附件7：</w:t>
      </w:r>
      <w:r>
        <w:rPr>
          <w:rFonts w:hint="eastAsia" w:ascii="仿宋" w:hAnsi="仿宋" w:eastAsia="仿宋" w:cs="仿宋"/>
          <w:b/>
          <w:sz w:val="32"/>
          <w:szCs w:val="32"/>
          <w:highlight w:val="none"/>
        </w:rPr>
        <w:t>中小企业声明函</w:t>
      </w:r>
    </w:p>
    <w:p w14:paraId="59949D96">
      <w:pPr>
        <w:spacing w:line="360" w:lineRule="auto"/>
        <w:jc w:val="center"/>
        <w:rPr>
          <w:rFonts w:hint="eastAsia" w:ascii="仿宋" w:hAnsi="仿宋" w:eastAsia="仿宋" w:cs="仿宋"/>
          <w:sz w:val="24"/>
          <w:highlight w:val="none"/>
          <w:u w:val="single"/>
        </w:rPr>
      </w:pPr>
    </w:p>
    <w:p w14:paraId="739C7654">
      <w:pPr>
        <w:rPr>
          <w:rFonts w:hint="eastAsia" w:ascii="仿宋" w:hAnsi="仿宋" w:eastAsia="仿宋" w:cs="仿宋"/>
          <w:bCs/>
          <w:sz w:val="24"/>
          <w:highlight w:val="none"/>
        </w:rPr>
      </w:pPr>
      <w:r>
        <w:rPr>
          <w:rFonts w:hint="eastAsia" w:ascii="仿宋" w:hAnsi="仿宋" w:eastAsia="仿宋" w:cs="仿宋"/>
          <w:bCs/>
          <w:sz w:val="24"/>
          <w:highlight w:val="none"/>
        </w:rPr>
        <w:t>（资格文件部分有示范格式）</w:t>
      </w:r>
    </w:p>
    <w:p w14:paraId="259D24B6">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中小企业声明函（货物）</w:t>
      </w:r>
    </w:p>
    <w:p w14:paraId="505ADE1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本公司（联合体）郑重声明，根据《政府采购促进中小企业发展管理办法》（财库﹝2020﹞46 号）的规定，本公司（联</w:t>
      </w:r>
      <w:r>
        <w:rPr>
          <w:rFonts w:hint="eastAsia" w:ascii="仿宋" w:hAnsi="仿宋" w:eastAsia="仿宋" w:cs="仿宋"/>
          <w:color w:val="auto"/>
          <w:sz w:val="24"/>
          <w:highlight w:val="none"/>
        </w:rPr>
        <w:t>合体）参加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采购人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采购活动，提供的货物全部由符合政策要求的中小企业制造。相关企业（含联合体中</w:t>
      </w:r>
      <w:r>
        <w:rPr>
          <w:rFonts w:hint="eastAsia" w:ascii="仿宋" w:hAnsi="仿宋" w:eastAsia="仿宋" w:cs="仿宋"/>
          <w:sz w:val="24"/>
          <w:highlight w:val="none"/>
        </w:rPr>
        <w:t>的中小企业、签订分包意向协议的中小企业）的具体情况如下：</w:t>
      </w:r>
    </w:p>
    <w:p w14:paraId="13056FB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 ，属于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731003A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 ，属于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2E2AA13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p>
    <w:p w14:paraId="69D1DEC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73C9AD3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1961066F">
      <w:pPr>
        <w:snapToGrid w:val="0"/>
        <w:spacing w:line="360" w:lineRule="auto"/>
        <w:ind w:firstLine="4320" w:firstLineChars="1800"/>
        <w:rPr>
          <w:rFonts w:hint="eastAsia" w:ascii="仿宋" w:hAnsi="仿宋" w:eastAsia="仿宋" w:cs="仿宋"/>
          <w:kern w:val="0"/>
          <w:sz w:val="24"/>
          <w:highlight w:val="none"/>
          <w:lang w:val="zh-CN"/>
        </w:rPr>
      </w:pPr>
    </w:p>
    <w:p w14:paraId="22BBB16E">
      <w:pPr>
        <w:snapToGrid w:val="0"/>
        <w:spacing w:line="360" w:lineRule="auto"/>
        <w:ind w:firstLine="4320" w:firstLineChars="1800"/>
        <w:rPr>
          <w:rFonts w:hint="eastAsia" w:ascii="仿宋" w:hAnsi="仿宋" w:eastAsia="仿宋" w:cs="仿宋"/>
          <w:kern w:val="0"/>
          <w:sz w:val="24"/>
          <w:highlight w:val="none"/>
          <w:lang w:val="zh-CN"/>
        </w:rPr>
      </w:pPr>
    </w:p>
    <w:p w14:paraId="3DB36375">
      <w:pPr>
        <w:snapToGrid w:val="0"/>
        <w:spacing w:line="360" w:lineRule="auto"/>
        <w:ind w:firstLine="4320" w:firstLineChars="18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投标人名称(电子签名)：</w:t>
      </w:r>
    </w:p>
    <w:p w14:paraId="3834A32C">
      <w:pPr>
        <w:spacing w:line="360" w:lineRule="auto"/>
        <w:ind w:right="1120" w:firstLine="4680" w:firstLineChars="1950"/>
        <w:rPr>
          <w:rFonts w:hint="eastAsia" w:ascii="仿宋" w:hAnsi="仿宋" w:eastAsia="仿宋" w:cs="仿宋"/>
          <w:sz w:val="24"/>
          <w:highlight w:val="none"/>
        </w:rPr>
      </w:pPr>
      <w:r>
        <w:rPr>
          <w:rFonts w:hint="eastAsia" w:ascii="仿宋" w:hAnsi="仿宋" w:eastAsia="仿宋" w:cs="仿宋"/>
          <w:kern w:val="0"/>
          <w:sz w:val="24"/>
          <w:highlight w:val="none"/>
          <w:lang w:val="zh-CN"/>
        </w:rPr>
        <w:t xml:space="preserve"> 日期</w:t>
      </w:r>
      <w:r>
        <w:rPr>
          <w:rFonts w:hint="eastAsia" w:ascii="仿宋" w:hAnsi="仿宋" w:eastAsia="仿宋" w:cs="仿宋"/>
          <w:kern w:val="0"/>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27E02695">
      <w:pPr>
        <w:spacing w:line="360" w:lineRule="auto"/>
        <w:ind w:firstLine="310" w:firstLineChars="147"/>
        <w:jc w:val="left"/>
        <w:rPr>
          <w:rFonts w:hint="eastAsia" w:ascii="仿宋" w:hAnsi="仿宋" w:eastAsia="仿宋" w:cs="仿宋"/>
          <w:b/>
          <w:szCs w:val="21"/>
          <w:highlight w:val="none"/>
        </w:rPr>
      </w:pPr>
    </w:p>
    <w:p w14:paraId="5280355B">
      <w:pPr>
        <w:spacing w:line="360" w:lineRule="auto"/>
        <w:ind w:right="420"/>
        <w:rPr>
          <w:rFonts w:hint="eastAsia" w:ascii="仿宋" w:hAnsi="仿宋" w:eastAsia="仿宋" w:cs="仿宋"/>
          <w:sz w:val="24"/>
          <w:highlight w:val="none"/>
        </w:rPr>
      </w:pPr>
    </w:p>
    <w:p w14:paraId="1A2DC85E">
      <w:pPr>
        <w:spacing w:line="360" w:lineRule="auto"/>
        <w:ind w:right="420"/>
        <w:rPr>
          <w:rFonts w:hint="eastAsia" w:ascii="仿宋" w:hAnsi="仿宋" w:eastAsia="仿宋" w:cs="仿宋"/>
          <w:highlight w:val="none"/>
        </w:rPr>
      </w:pPr>
      <w:r>
        <w:rPr>
          <w:rFonts w:hint="eastAsia" w:ascii="仿宋" w:hAnsi="仿宋" w:eastAsia="仿宋" w:cs="仿宋"/>
          <w:sz w:val="24"/>
          <w:highlight w:val="none"/>
        </w:rPr>
        <w:t xml:space="preserve">   </w:t>
      </w:r>
      <w:r>
        <w:rPr>
          <w:rFonts w:hint="eastAsia" w:ascii="仿宋" w:hAnsi="仿宋" w:eastAsia="仿宋" w:cs="仿宋"/>
          <w:color w:val="000000" w:themeColor="text1"/>
          <w:szCs w:val="21"/>
          <w:highlight w:val="none"/>
          <w:lang w:val="zh-CN"/>
          <w14:textFill>
            <w14:solidFill>
              <w14:schemeClr w14:val="tx1"/>
            </w14:solidFill>
          </w14:textFill>
        </w:rPr>
        <w:t>注</w:t>
      </w:r>
      <w:r>
        <w:rPr>
          <w:rFonts w:hint="eastAsia" w:ascii="仿宋" w:hAnsi="仿宋" w:eastAsia="仿宋" w:cs="仿宋"/>
          <w:color w:val="000000" w:themeColor="text1"/>
          <w:szCs w:val="21"/>
          <w:highlight w:val="none"/>
          <w:lang w:val="zh-CN" w:eastAsia="zh-CN"/>
          <w14:textFill>
            <w14:solidFill>
              <w14:schemeClr w14:val="tx1"/>
            </w14:solidFill>
          </w14:textFill>
        </w:rPr>
        <w:t>：①</w:t>
      </w:r>
      <w:r>
        <w:rPr>
          <w:rFonts w:hint="eastAsia" w:ascii="仿宋" w:hAnsi="仿宋" w:eastAsia="仿宋" w:cs="仿宋"/>
          <w:color w:val="000000" w:themeColor="text1"/>
          <w:szCs w:val="21"/>
          <w:highlight w:val="none"/>
          <w:lang w:val="zh-CN"/>
          <w14:textFill>
            <w14:solidFill>
              <w14:schemeClr w14:val="tx1"/>
            </w14:solidFill>
          </w14:textFill>
        </w:rPr>
        <w:t>从业人员、营业收入、资产总额填报上一年度数据，无上一年度数据的新成立企业可不填报</w:t>
      </w:r>
      <w:r>
        <w:rPr>
          <w:rFonts w:hint="eastAsia" w:ascii="仿宋" w:hAnsi="仿宋" w:eastAsia="仿宋" w:cs="仿宋"/>
          <w:color w:val="000000" w:themeColor="text1"/>
          <w:szCs w:val="21"/>
          <w:highlight w:val="none"/>
          <w:lang w:val="zh-CN" w:eastAsia="zh-CN"/>
          <w14:textFill>
            <w14:solidFill>
              <w14:schemeClr w14:val="tx1"/>
            </w14:solidFill>
          </w14:textFill>
        </w:rPr>
        <w:t>。②</w:t>
      </w:r>
      <w:r>
        <w:rPr>
          <w:rFonts w:hint="eastAsia" w:ascii="仿宋" w:hAnsi="仿宋" w:eastAsia="仿宋" w:cs="仿宋"/>
          <w:color w:val="000000" w:themeColor="text1"/>
          <w:szCs w:val="21"/>
          <w:highlight w:val="none"/>
          <w:lang w:val="zh-CN"/>
          <w14:textFill>
            <w14:solidFill>
              <w14:schemeClr w14:val="tx1"/>
            </w14:solidFill>
          </w14:textFill>
        </w:rPr>
        <w:t>《中小企业声明函》中“标的名称”、“采购文件中明确的所属行业”依据招标文件第二部分投标人须知前附表中“采购标的及其对应的中小企业划分标准所属行业”的指引，逐一填写，不得缺漏。</w:t>
      </w:r>
    </w:p>
    <w:p w14:paraId="1D77F34B">
      <w:pPr>
        <w:spacing w:line="360" w:lineRule="auto"/>
        <w:ind w:right="420"/>
        <w:rPr>
          <w:rFonts w:hint="eastAsia" w:ascii="仿宋" w:hAnsi="仿宋" w:eastAsia="仿宋" w:cs="仿宋"/>
          <w:highlight w:val="none"/>
        </w:rPr>
      </w:pPr>
    </w:p>
    <w:p w14:paraId="125AA260">
      <w:pPr>
        <w:pStyle w:val="186"/>
        <w:widowControl w:val="0"/>
        <w:adjustRightInd w:val="0"/>
        <w:snapToGrid w:val="0"/>
        <w:spacing w:line="360" w:lineRule="auto"/>
        <w:jc w:val="both"/>
        <w:rPr>
          <w:rFonts w:hint="eastAsia" w:ascii="仿宋" w:hAnsi="仿宋" w:eastAsia="仿宋" w:cs="仿宋"/>
          <w:b/>
          <w:sz w:val="30"/>
          <w:szCs w:val="30"/>
          <w:highlight w:val="none"/>
        </w:rPr>
        <w:sectPr>
          <w:headerReference r:id="rId11" w:type="default"/>
          <w:footerReference r:id="rId12" w:type="default"/>
          <w:pgSz w:w="11906" w:h="16838"/>
          <w:pgMar w:top="1247" w:right="1588" w:bottom="1089" w:left="1588" w:header="851" w:footer="992" w:gutter="0"/>
          <w:cols w:space="720" w:num="1"/>
          <w:docGrid w:linePitch="312" w:charSpace="0"/>
        </w:sectPr>
      </w:pPr>
    </w:p>
    <w:p w14:paraId="5A152DFC">
      <w:pPr>
        <w:autoSpaceDE w:val="0"/>
        <w:autoSpaceDN w:val="0"/>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其他</w:t>
      </w:r>
    </w:p>
    <w:p w14:paraId="0644B8F6">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关于钱塘区政府采购支持中小企业信用融资相关事项通知</w:t>
      </w:r>
    </w:p>
    <w:p w14:paraId="2245E9DF">
      <w:pPr>
        <w:spacing w:line="360" w:lineRule="auto"/>
        <w:jc w:val="center"/>
        <w:rPr>
          <w:rFonts w:hint="eastAsia" w:ascii="仿宋" w:hAnsi="仿宋" w:eastAsia="仿宋" w:cs="仿宋"/>
          <w:b/>
          <w:sz w:val="10"/>
          <w:szCs w:val="10"/>
          <w:highlight w:val="none"/>
        </w:rPr>
      </w:pPr>
    </w:p>
    <w:p w14:paraId="49308586">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为支持和促进中小企业发展，进一步发挥政府采购政策功能，根据《杭州市政府采购支持中小企业信用融资管理办法》《关于钱塘区政府采购支持中小企业信用融资有关事项的通知》，现将相关事项通知如下：</w:t>
      </w:r>
    </w:p>
    <w:p w14:paraId="43CAA624">
      <w:pPr>
        <w:spacing w:line="360" w:lineRule="auto"/>
        <w:ind w:firstLine="422" w:firstLineChars="200"/>
        <w:rPr>
          <w:rFonts w:hint="eastAsia" w:ascii="仿宋" w:hAnsi="仿宋" w:eastAsia="仿宋" w:cs="仿宋"/>
          <w:b/>
          <w:szCs w:val="21"/>
          <w:highlight w:val="none"/>
        </w:rPr>
      </w:pPr>
      <w:r>
        <w:rPr>
          <w:rFonts w:hint="eastAsia" w:ascii="仿宋" w:hAnsi="仿宋" w:eastAsia="仿宋" w:cs="仿宋"/>
          <w:b/>
          <w:szCs w:val="21"/>
          <w:highlight w:val="none"/>
        </w:rPr>
        <w:t>一、适用对象</w:t>
      </w:r>
    </w:p>
    <w:p w14:paraId="0BA9E5BC">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在浙江“政采云”平台注册入库，并取得钱塘区政府采购合同的中小企业供应商。</w:t>
      </w:r>
    </w:p>
    <w:p w14:paraId="519560FA">
      <w:pPr>
        <w:spacing w:line="360" w:lineRule="auto"/>
        <w:ind w:firstLine="422" w:firstLineChars="200"/>
        <w:rPr>
          <w:rFonts w:hint="eastAsia" w:ascii="仿宋" w:hAnsi="仿宋" w:eastAsia="仿宋" w:cs="仿宋"/>
          <w:b/>
          <w:szCs w:val="21"/>
          <w:highlight w:val="none"/>
        </w:rPr>
      </w:pPr>
      <w:r>
        <w:rPr>
          <w:rFonts w:hint="eastAsia" w:ascii="仿宋" w:hAnsi="仿宋" w:eastAsia="仿宋" w:cs="仿宋"/>
          <w:b/>
          <w:szCs w:val="21"/>
          <w:highlight w:val="none"/>
        </w:rPr>
        <w:t>二、相关信息获取方式</w:t>
      </w:r>
    </w:p>
    <w:p w14:paraId="705374D0">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请登陆杭州钱塘区管理委员会官网（http://qt.hangzhou.gov.cn） “公告公示”专栏，查看信用融资政策文件及各相关银行服务方案。</w:t>
      </w:r>
    </w:p>
    <w:p w14:paraId="5B77FDA2">
      <w:pPr>
        <w:spacing w:line="360" w:lineRule="auto"/>
        <w:ind w:firstLine="422" w:firstLineChars="200"/>
        <w:rPr>
          <w:rFonts w:hint="eastAsia" w:ascii="仿宋" w:hAnsi="仿宋" w:eastAsia="仿宋" w:cs="仿宋"/>
          <w:b/>
          <w:szCs w:val="21"/>
          <w:highlight w:val="none"/>
        </w:rPr>
      </w:pPr>
      <w:r>
        <w:rPr>
          <w:rFonts w:hint="eastAsia" w:ascii="仿宋" w:hAnsi="仿宋" w:eastAsia="仿宋" w:cs="仿宋"/>
          <w:b/>
          <w:szCs w:val="21"/>
          <w:highlight w:val="none"/>
        </w:rPr>
        <w:t>三、申请方式和步骤</w:t>
      </w:r>
    </w:p>
    <w:p w14:paraId="638D8814">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1、供应商若有融资意向，需先与钱塘区财政金融局合作的银行对接，办理相关融资前期手续；</w:t>
      </w:r>
    </w:p>
    <w:p w14:paraId="743B2666">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2、中标后，供应商应与采购单位或者采购代理机构及时联系，告知融资需求；</w:t>
      </w:r>
    </w:p>
    <w:p w14:paraId="5F59E40C">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3、相关合作银行联系并审核供应商及相关中标信息，办理相关融资事宜；</w:t>
      </w:r>
    </w:p>
    <w:p w14:paraId="4CDFF706">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4、采购单位或者采购代理机构在政府采购信息系统录入中标合同信息时，须标注合同为信用融资合同，并选择相应的信用融资合作银行，录入账号信息；</w:t>
      </w:r>
    </w:p>
    <w:p w14:paraId="5C16385D">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5、采购人应及时将信用融资合同提交财政金融局备案。</w:t>
      </w:r>
    </w:p>
    <w:p w14:paraId="30FFFF25">
      <w:pPr>
        <w:spacing w:line="360" w:lineRule="auto"/>
        <w:ind w:firstLine="422" w:firstLineChars="200"/>
        <w:rPr>
          <w:rFonts w:hint="eastAsia" w:ascii="仿宋" w:hAnsi="仿宋" w:eastAsia="仿宋" w:cs="仿宋"/>
          <w:b/>
          <w:szCs w:val="21"/>
          <w:highlight w:val="none"/>
        </w:rPr>
      </w:pPr>
      <w:r>
        <w:rPr>
          <w:rFonts w:hint="eastAsia" w:ascii="仿宋" w:hAnsi="仿宋" w:eastAsia="仿宋" w:cs="仿宋"/>
          <w:b/>
          <w:szCs w:val="21"/>
          <w:highlight w:val="none"/>
        </w:rPr>
        <w:t>四、注意事项</w:t>
      </w:r>
    </w:p>
    <w:p w14:paraId="5618C611">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请各采购单位和采购代理机构积极支持和配合政府采购信用融资工作，在合同备案环节务必请仔细核对收款银行、账号信息等内容，一旦录入将无法修改。</w:t>
      </w:r>
    </w:p>
    <w:p w14:paraId="25562C69">
      <w:pPr>
        <w:spacing w:line="360" w:lineRule="auto"/>
        <w:ind w:firstLine="422" w:firstLineChars="200"/>
        <w:rPr>
          <w:rFonts w:hint="eastAsia" w:ascii="仿宋" w:hAnsi="仿宋" w:eastAsia="仿宋" w:cs="仿宋"/>
          <w:b/>
          <w:szCs w:val="21"/>
          <w:highlight w:val="none"/>
        </w:rPr>
      </w:pPr>
      <w:r>
        <w:rPr>
          <w:rFonts w:hint="eastAsia" w:ascii="仿宋" w:hAnsi="仿宋" w:eastAsia="仿宋" w:cs="仿宋"/>
          <w:b/>
          <w:szCs w:val="21"/>
          <w:highlight w:val="none"/>
        </w:rPr>
        <w:t>五、合作银行及联系方式</w:t>
      </w:r>
    </w:p>
    <w:tbl>
      <w:tblPr>
        <w:tblStyle w:val="45"/>
        <w:tblW w:w="8740" w:type="dxa"/>
        <w:tblInd w:w="95" w:type="dxa"/>
        <w:tblLayout w:type="fixed"/>
        <w:tblCellMar>
          <w:top w:w="0" w:type="dxa"/>
          <w:left w:w="108" w:type="dxa"/>
          <w:bottom w:w="0" w:type="dxa"/>
          <w:right w:w="108" w:type="dxa"/>
        </w:tblCellMar>
      </w:tblPr>
      <w:tblGrid>
        <w:gridCol w:w="1080"/>
        <w:gridCol w:w="3020"/>
        <w:gridCol w:w="1420"/>
        <w:gridCol w:w="3220"/>
      </w:tblGrid>
      <w:tr w14:paraId="40A8EC3C">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58D686F4">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序号</w:t>
            </w:r>
          </w:p>
        </w:tc>
        <w:tc>
          <w:tcPr>
            <w:tcW w:w="3020" w:type="dxa"/>
            <w:tcBorders>
              <w:top w:val="single" w:color="auto" w:sz="4" w:space="0"/>
              <w:left w:val="nil"/>
              <w:bottom w:val="single" w:color="auto" w:sz="4" w:space="0"/>
              <w:right w:val="single" w:color="auto" w:sz="4" w:space="0"/>
            </w:tcBorders>
            <w:noWrap/>
            <w:vAlign w:val="center"/>
          </w:tcPr>
          <w:p w14:paraId="15C07813">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银行</w:t>
            </w:r>
          </w:p>
        </w:tc>
        <w:tc>
          <w:tcPr>
            <w:tcW w:w="1420" w:type="dxa"/>
            <w:tcBorders>
              <w:top w:val="single" w:color="auto" w:sz="4" w:space="0"/>
              <w:left w:val="nil"/>
              <w:bottom w:val="single" w:color="auto" w:sz="4" w:space="0"/>
              <w:right w:val="single" w:color="auto" w:sz="4" w:space="0"/>
            </w:tcBorders>
            <w:noWrap/>
            <w:vAlign w:val="center"/>
          </w:tcPr>
          <w:p w14:paraId="56CAB230">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联系人</w:t>
            </w:r>
          </w:p>
        </w:tc>
        <w:tc>
          <w:tcPr>
            <w:tcW w:w="3220" w:type="dxa"/>
            <w:tcBorders>
              <w:top w:val="single" w:color="auto" w:sz="4" w:space="0"/>
              <w:left w:val="nil"/>
              <w:bottom w:val="single" w:color="auto" w:sz="4" w:space="0"/>
              <w:right w:val="single" w:color="auto" w:sz="4" w:space="0"/>
            </w:tcBorders>
            <w:noWrap/>
            <w:vAlign w:val="center"/>
          </w:tcPr>
          <w:p w14:paraId="1BC734BB">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电话</w:t>
            </w:r>
          </w:p>
        </w:tc>
      </w:tr>
      <w:tr w14:paraId="1A2A924F">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1C4554B8">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1</w:t>
            </w:r>
          </w:p>
        </w:tc>
        <w:tc>
          <w:tcPr>
            <w:tcW w:w="3020" w:type="dxa"/>
            <w:tcBorders>
              <w:top w:val="nil"/>
              <w:left w:val="nil"/>
              <w:bottom w:val="single" w:color="auto" w:sz="4" w:space="0"/>
              <w:right w:val="single" w:color="auto" w:sz="4" w:space="0"/>
            </w:tcBorders>
            <w:noWrap/>
            <w:vAlign w:val="center"/>
          </w:tcPr>
          <w:p w14:paraId="534C6BA7">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建行开发区支行</w:t>
            </w:r>
          </w:p>
        </w:tc>
        <w:tc>
          <w:tcPr>
            <w:tcW w:w="1420" w:type="dxa"/>
            <w:tcBorders>
              <w:top w:val="nil"/>
              <w:left w:val="nil"/>
              <w:bottom w:val="single" w:color="auto" w:sz="4" w:space="0"/>
              <w:right w:val="single" w:color="auto" w:sz="4" w:space="0"/>
            </w:tcBorders>
            <w:noWrap/>
            <w:vAlign w:val="center"/>
          </w:tcPr>
          <w:p w14:paraId="6F4E0363">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罗兴、王强</w:t>
            </w:r>
          </w:p>
        </w:tc>
        <w:tc>
          <w:tcPr>
            <w:tcW w:w="3220" w:type="dxa"/>
            <w:tcBorders>
              <w:top w:val="nil"/>
              <w:left w:val="nil"/>
              <w:bottom w:val="single" w:color="auto" w:sz="4" w:space="0"/>
              <w:right w:val="single" w:color="auto" w:sz="4" w:space="0"/>
            </w:tcBorders>
            <w:noWrap/>
            <w:vAlign w:val="center"/>
          </w:tcPr>
          <w:p w14:paraId="49A63ED2">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86910319，13588718187</w:t>
            </w:r>
          </w:p>
        </w:tc>
      </w:tr>
      <w:tr w14:paraId="340F4690">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36C003E7">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2</w:t>
            </w:r>
          </w:p>
        </w:tc>
        <w:tc>
          <w:tcPr>
            <w:tcW w:w="3020" w:type="dxa"/>
            <w:tcBorders>
              <w:top w:val="nil"/>
              <w:left w:val="nil"/>
              <w:bottom w:val="single" w:color="auto" w:sz="4" w:space="0"/>
              <w:right w:val="single" w:color="auto" w:sz="4" w:space="0"/>
            </w:tcBorders>
            <w:noWrap/>
            <w:vAlign w:val="center"/>
          </w:tcPr>
          <w:p w14:paraId="08AED522">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中信银行开发支行</w:t>
            </w:r>
          </w:p>
        </w:tc>
        <w:tc>
          <w:tcPr>
            <w:tcW w:w="1420" w:type="dxa"/>
            <w:tcBorders>
              <w:top w:val="nil"/>
              <w:left w:val="nil"/>
              <w:bottom w:val="single" w:color="auto" w:sz="4" w:space="0"/>
              <w:right w:val="single" w:color="auto" w:sz="4" w:space="0"/>
            </w:tcBorders>
            <w:noWrap/>
            <w:vAlign w:val="center"/>
          </w:tcPr>
          <w:p w14:paraId="14FB368C">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左劼</w:t>
            </w:r>
          </w:p>
        </w:tc>
        <w:tc>
          <w:tcPr>
            <w:tcW w:w="3220" w:type="dxa"/>
            <w:tcBorders>
              <w:top w:val="nil"/>
              <w:left w:val="nil"/>
              <w:bottom w:val="single" w:color="auto" w:sz="4" w:space="0"/>
              <w:right w:val="single" w:color="auto" w:sz="4" w:space="0"/>
            </w:tcBorders>
            <w:noWrap/>
            <w:vAlign w:val="center"/>
          </w:tcPr>
          <w:p w14:paraId="7B282D4A">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13777889798</w:t>
            </w:r>
          </w:p>
        </w:tc>
      </w:tr>
      <w:tr w14:paraId="19E5EBE2">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788535C2">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3</w:t>
            </w:r>
          </w:p>
        </w:tc>
        <w:tc>
          <w:tcPr>
            <w:tcW w:w="3020" w:type="dxa"/>
            <w:tcBorders>
              <w:top w:val="nil"/>
              <w:left w:val="nil"/>
              <w:bottom w:val="single" w:color="auto" w:sz="4" w:space="0"/>
              <w:right w:val="single" w:color="auto" w:sz="4" w:space="0"/>
            </w:tcBorders>
            <w:noWrap/>
            <w:vAlign w:val="center"/>
          </w:tcPr>
          <w:p w14:paraId="1130E569">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民生银行下沙支行</w:t>
            </w:r>
          </w:p>
        </w:tc>
        <w:tc>
          <w:tcPr>
            <w:tcW w:w="1420" w:type="dxa"/>
            <w:tcBorders>
              <w:top w:val="nil"/>
              <w:left w:val="nil"/>
              <w:bottom w:val="single" w:color="auto" w:sz="4" w:space="0"/>
              <w:right w:val="single" w:color="auto" w:sz="4" w:space="0"/>
            </w:tcBorders>
            <w:noWrap/>
            <w:vAlign w:val="center"/>
          </w:tcPr>
          <w:p w14:paraId="191080D1">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吕刚</w:t>
            </w:r>
          </w:p>
        </w:tc>
        <w:tc>
          <w:tcPr>
            <w:tcW w:w="3220" w:type="dxa"/>
            <w:tcBorders>
              <w:top w:val="nil"/>
              <w:left w:val="nil"/>
              <w:bottom w:val="single" w:color="auto" w:sz="4" w:space="0"/>
              <w:right w:val="single" w:color="auto" w:sz="4" w:space="0"/>
            </w:tcBorders>
            <w:noWrap/>
            <w:vAlign w:val="center"/>
          </w:tcPr>
          <w:p w14:paraId="46D839E2">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13906811832</w:t>
            </w:r>
          </w:p>
        </w:tc>
      </w:tr>
      <w:tr w14:paraId="14161E78">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09215BFF">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4</w:t>
            </w:r>
          </w:p>
        </w:tc>
        <w:tc>
          <w:tcPr>
            <w:tcW w:w="3020" w:type="dxa"/>
            <w:tcBorders>
              <w:top w:val="nil"/>
              <w:left w:val="nil"/>
              <w:bottom w:val="single" w:color="auto" w:sz="4" w:space="0"/>
              <w:right w:val="single" w:color="auto" w:sz="4" w:space="0"/>
            </w:tcBorders>
            <w:noWrap/>
            <w:vAlign w:val="center"/>
          </w:tcPr>
          <w:p w14:paraId="19699E99">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杭州银行下沙开发区支行</w:t>
            </w:r>
          </w:p>
        </w:tc>
        <w:tc>
          <w:tcPr>
            <w:tcW w:w="1420" w:type="dxa"/>
            <w:tcBorders>
              <w:top w:val="nil"/>
              <w:left w:val="nil"/>
              <w:bottom w:val="single" w:color="auto" w:sz="4" w:space="0"/>
              <w:right w:val="single" w:color="auto" w:sz="4" w:space="0"/>
            </w:tcBorders>
            <w:noWrap/>
            <w:vAlign w:val="center"/>
          </w:tcPr>
          <w:p w14:paraId="2A12D49E">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费莎</w:t>
            </w:r>
          </w:p>
        </w:tc>
        <w:tc>
          <w:tcPr>
            <w:tcW w:w="3220" w:type="dxa"/>
            <w:tcBorders>
              <w:top w:val="nil"/>
              <w:left w:val="nil"/>
              <w:bottom w:val="single" w:color="auto" w:sz="4" w:space="0"/>
              <w:right w:val="single" w:color="auto" w:sz="4" w:space="0"/>
            </w:tcBorders>
            <w:noWrap/>
            <w:vAlign w:val="center"/>
          </w:tcPr>
          <w:p w14:paraId="4A86C9A1">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13388617781</w:t>
            </w:r>
          </w:p>
        </w:tc>
      </w:tr>
      <w:tr w14:paraId="02E76476">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07402ACD">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5</w:t>
            </w:r>
          </w:p>
        </w:tc>
        <w:tc>
          <w:tcPr>
            <w:tcW w:w="3020" w:type="dxa"/>
            <w:tcBorders>
              <w:top w:val="nil"/>
              <w:left w:val="nil"/>
              <w:bottom w:val="single" w:color="auto" w:sz="4" w:space="0"/>
              <w:right w:val="single" w:color="auto" w:sz="4" w:space="0"/>
            </w:tcBorders>
            <w:noWrap/>
            <w:vAlign w:val="center"/>
          </w:tcPr>
          <w:p w14:paraId="1435C88F">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兴业银行开发区支行</w:t>
            </w:r>
          </w:p>
        </w:tc>
        <w:tc>
          <w:tcPr>
            <w:tcW w:w="1420" w:type="dxa"/>
            <w:tcBorders>
              <w:top w:val="nil"/>
              <w:left w:val="nil"/>
              <w:bottom w:val="single" w:color="auto" w:sz="4" w:space="0"/>
              <w:right w:val="single" w:color="auto" w:sz="4" w:space="0"/>
            </w:tcBorders>
            <w:noWrap/>
            <w:vAlign w:val="center"/>
          </w:tcPr>
          <w:p w14:paraId="3C9A102E">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丁萍</w:t>
            </w:r>
          </w:p>
        </w:tc>
        <w:tc>
          <w:tcPr>
            <w:tcW w:w="3220" w:type="dxa"/>
            <w:tcBorders>
              <w:top w:val="nil"/>
              <w:left w:val="nil"/>
              <w:bottom w:val="single" w:color="auto" w:sz="4" w:space="0"/>
              <w:right w:val="single" w:color="auto" w:sz="4" w:space="0"/>
            </w:tcBorders>
            <w:noWrap/>
            <w:vAlign w:val="center"/>
          </w:tcPr>
          <w:p w14:paraId="1D3589D4">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13777421564</w:t>
            </w:r>
          </w:p>
        </w:tc>
      </w:tr>
      <w:tr w14:paraId="207B7257">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10DE6D63">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6</w:t>
            </w:r>
          </w:p>
        </w:tc>
        <w:tc>
          <w:tcPr>
            <w:tcW w:w="3020" w:type="dxa"/>
            <w:tcBorders>
              <w:top w:val="nil"/>
              <w:left w:val="nil"/>
              <w:bottom w:val="single" w:color="auto" w:sz="4" w:space="0"/>
              <w:right w:val="single" w:color="auto" w:sz="4" w:space="0"/>
            </w:tcBorders>
            <w:noWrap/>
            <w:vAlign w:val="center"/>
          </w:tcPr>
          <w:p w14:paraId="623061C0">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中国银行钱塘支行</w:t>
            </w:r>
          </w:p>
        </w:tc>
        <w:tc>
          <w:tcPr>
            <w:tcW w:w="1420" w:type="dxa"/>
            <w:tcBorders>
              <w:top w:val="nil"/>
              <w:left w:val="nil"/>
              <w:bottom w:val="single" w:color="auto" w:sz="4" w:space="0"/>
              <w:right w:val="single" w:color="auto" w:sz="4" w:space="0"/>
            </w:tcBorders>
            <w:noWrap/>
            <w:vAlign w:val="center"/>
          </w:tcPr>
          <w:p w14:paraId="1EDF90E0">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高飞</w:t>
            </w:r>
          </w:p>
        </w:tc>
        <w:tc>
          <w:tcPr>
            <w:tcW w:w="3220" w:type="dxa"/>
            <w:tcBorders>
              <w:top w:val="nil"/>
              <w:left w:val="nil"/>
              <w:bottom w:val="single" w:color="auto" w:sz="4" w:space="0"/>
              <w:right w:val="single" w:color="auto" w:sz="4" w:space="0"/>
            </w:tcBorders>
            <w:noWrap/>
            <w:vAlign w:val="center"/>
          </w:tcPr>
          <w:p w14:paraId="17EC8549">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86722499</w:t>
            </w:r>
          </w:p>
        </w:tc>
      </w:tr>
      <w:tr w14:paraId="16101885">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419B1EEA">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7</w:t>
            </w:r>
          </w:p>
        </w:tc>
        <w:tc>
          <w:tcPr>
            <w:tcW w:w="3020" w:type="dxa"/>
            <w:tcBorders>
              <w:top w:val="nil"/>
              <w:left w:val="nil"/>
              <w:bottom w:val="single" w:color="auto" w:sz="4" w:space="0"/>
              <w:right w:val="single" w:color="auto" w:sz="4" w:space="0"/>
            </w:tcBorders>
            <w:noWrap/>
            <w:vAlign w:val="center"/>
          </w:tcPr>
          <w:p w14:paraId="57E4D028">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工行开发区支行</w:t>
            </w:r>
          </w:p>
        </w:tc>
        <w:tc>
          <w:tcPr>
            <w:tcW w:w="1420" w:type="dxa"/>
            <w:tcBorders>
              <w:top w:val="nil"/>
              <w:left w:val="nil"/>
              <w:bottom w:val="single" w:color="auto" w:sz="4" w:space="0"/>
              <w:right w:val="single" w:color="auto" w:sz="4" w:space="0"/>
            </w:tcBorders>
            <w:noWrap/>
            <w:vAlign w:val="center"/>
          </w:tcPr>
          <w:p w14:paraId="20DC68E6">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吴建恩</w:t>
            </w:r>
          </w:p>
        </w:tc>
        <w:tc>
          <w:tcPr>
            <w:tcW w:w="3220" w:type="dxa"/>
            <w:tcBorders>
              <w:top w:val="nil"/>
              <w:left w:val="nil"/>
              <w:bottom w:val="single" w:color="auto" w:sz="4" w:space="0"/>
              <w:right w:val="single" w:color="auto" w:sz="4" w:space="0"/>
            </w:tcBorders>
            <w:noWrap/>
            <w:vAlign w:val="center"/>
          </w:tcPr>
          <w:p w14:paraId="55A05D48">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13646861493</w:t>
            </w:r>
          </w:p>
        </w:tc>
      </w:tr>
      <w:tr w14:paraId="7F284C66">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14:paraId="15F38B7B">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8</w:t>
            </w:r>
          </w:p>
        </w:tc>
        <w:tc>
          <w:tcPr>
            <w:tcW w:w="3020" w:type="dxa"/>
            <w:tcBorders>
              <w:top w:val="nil"/>
              <w:left w:val="nil"/>
              <w:bottom w:val="single" w:color="auto" w:sz="4" w:space="0"/>
              <w:right w:val="single" w:color="auto" w:sz="4" w:space="0"/>
            </w:tcBorders>
            <w:noWrap/>
            <w:vAlign w:val="center"/>
          </w:tcPr>
          <w:p w14:paraId="0FFF7925">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宁波银行开发区支行</w:t>
            </w:r>
          </w:p>
        </w:tc>
        <w:tc>
          <w:tcPr>
            <w:tcW w:w="1420" w:type="dxa"/>
            <w:tcBorders>
              <w:top w:val="nil"/>
              <w:left w:val="nil"/>
              <w:bottom w:val="single" w:color="auto" w:sz="4" w:space="0"/>
              <w:right w:val="single" w:color="auto" w:sz="4" w:space="0"/>
            </w:tcBorders>
            <w:noWrap/>
            <w:vAlign w:val="center"/>
          </w:tcPr>
          <w:p w14:paraId="10E6ED49">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贾磊</w:t>
            </w:r>
          </w:p>
        </w:tc>
        <w:tc>
          <w:tcPr>
            <w:tcW w:w="3220" w:type="dxa"/>
            <w:tcBorders>
              <w:top w:val="nil"/>
              <w:left w:val="nil"/>
              <w:bottom w:val="single" w:color="auto" w:sz="4" w:space="0"/>
              <w:right w:val="single" w:color="auto" w:sz="4" w:space="0"/>
            </w:tcBorders>
            <w:noWrap/>
            <w:vAlign w:val="center"/>
          </w:tcPr>
          <w:p w14:paraId="490766CF">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13575745232</w:t>
            </w:r>
          </w:p>
        </w:tc>
      </w:tr>
      <w:tr w14:paraId="5B2135A0">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14:paraId="1ABFF162">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9</w:t>
            </w:r>
          </w:p>
        </w:tc>
        <w:tc>
          <w:tcPr>
            <w:tcW w:w="3020" w:type="dxa"/>
            <w:tcBorders>
              <w:top w:val="nil"/>
              <w:left w:val="nil"/>
              <w:bottom w:val="single" w:color="auto" w:sz="4" w:space="0"/>
              <w:right w:val="single" w:color="auto" w:sz="4" w:space="0"/>
            </w:tcBorders>
            <w:noWrap/>
            <w:vAlign w:val="center"/>
          </w:tcPr>
          <w:p w14:paraId="2AEE54FB">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杭州联合银行下沙支行</w:t>
            </w:r>
          </w:p>
        </w:tc>
        <w:tc>
          <w:tcPr>
            <w:tcW w:w="1420" w:type="dxa"/>
            <w:tcBorders>
              <w:top w:val="nil"/>
              <w:left w:val="nil"/>
              <w:bottom w:val="single" w:color="auto" w:sz="4" w:space="0"/>
              <w:right w:val="single" w:color="auto" w:sz="4" w:space="0"/>
            </w:tcBorders>
            <w:noWrap/>
            <w:vAlign w:val="center"/>
          </w:tcPr>
          <w:p w14:paraId="2E689A3B">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王宁</w:t>
            </w:r>
          </w:p>
        </w:tc>
        <w:tc>
          <w:tcPr>
            <w:tcW w:w="3220" w:type="dxa"/>
            <w:tcBorders>
              <w:top w:val="nil"/>
              <w:left w:val="nil"/>
              <w:bottom w:val="single" w:color="auto" w:sz="4" w:space="0"/>
              <w:right w:val="single" w:color="auto" w:sz="4" w:space="0"/>
            </w:tcBorders>
            <w:noWrap/>
            <w:vAlign w:val="center"/>
          </w:tcPr>
          <w:p w14:paraId="46AF4635">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18906520030</w:t>
            </w:r>
          </w:p>
        </w:tc>
      </w:tr>
      <w:tr w14:paraId="770A3CB2">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14:paraId="66C61ABD">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10</w:t>
            </w:r>
          </w:p>
        </w:tc>
        <w:tc>
          <w:tcPr>
            <w:tcW w:w="3020" w:type="dxa"/>
            <w:tcBorders>
              <w:top w:val="nil"/>
              <w:left w:val="nil"/>
              <w:bottom w:val="single" w:color="auto" w:sz="4" w:space="0"/>
              <w:right w:val="single" w:color="auto" w:sz="4" w:space="0"/>
            </w:tcBorders>
            <w:noWrap/>
            <w:vAlign w:val="center"/>
          </w:tcPr>
          <w:p w14:paraId="40ECB46B">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农业银行杭州下沙支行</w:t>
            </w:r>
          </w:p>
        </w:tc>
        <w:tc>
          <w:tcPr>
            <w:tcW w:w="1420" w:type="dxa"/>
            <w:tcBorders>
              <w:top w:val="nil"/>
              <w:left w:val="nil"/>
              <w:bottom w:val="single" w:color="auto" w:sz="4" w:space="0"/>
              <w:right w:val="single" w:color="auto" w:sz="4" w:space="0"/>
            </w:tcBorders>
            <w:noWrap/>
            <w:vAlign w:val="center"/>
          </w:tcPr>
          <w:p w14:paraId="663B3C26">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施伟东</w:t>
            </w:r>
          </w:p>
        </w:tc>
        <w:tc>
          <w:tcPr>
            <w:tcW w:w="3220" w:type="dxa"/>
            <w:tcBorders>
              <w:top w:val="nil"/>
              <w:left w:val="nil"/>
              <w:bottom w:val="single" w:color="auto" w:sz="4" w:space="0"/>
              <w:right w:val="single" w:color="auto" w:sz="4" w:space="0"/>
            </w:tcBorders>
            <w:noWrap/>
            <w:vAlign w:val="center"/>
          </w:tcPr>
          <w:p w14:paraId="7E5260CC">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86912948,15988106601</w:t>
            </w:r>
          </w:p>
        </w:tc>
      </w:tr>
      <w:tr w14:paraId="3EC73828">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14:paraId="38F00237">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11</w:t>
            </w:r>
          </w:p>
        </w:tc>
        <w:tc>
          <w:tcPr>
            <w:tcW w:w="3020" w:type="dxa"/>
            <w:tcBorders>
              <w:top w:val="nil"/>
              <w:left w:val="nil"/>
              <w:bottom w:val="single" w:color="auto" w:sz="4" w:space="0"/>
              <w:right w:val="single" w:color="auto" w:sz="4" w:space="0"/>
            </w:tcBorders>
            <w:noWrap/>
            <w:vAlign w:val="center"/>
          </w:tcPr>
          <w:p w14:paraId="7B674C09">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建行杭州大江东支行</w:t>
            </w:r>
          </w:p>
        </w:tc>
        <w:tc>
          <w:tcPr>
            <w:tcW w:w="1420" w:type="dxa"/>
            <w:tcBorders>
              <w:top w:val="nil"/>
              <w:left w:val="nil"/>
              <w:bottom w:val="single" w:color="auto" w:sz="4" w:space="0"/>
              <w:right w:val="single" w:color="auto" w:sz="4" w:space="0"/>
            </w:tcBorders>
            <w:noWrap/>
            <w:vAlign w:val="center"/>
          </w:tcPr>
          <w:p w14:paraId="528E50EE">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朱丽丹</w:t>
            </w:r>
          </w:p>
        </w:tc>
        <w:tc>
          <w:tcPr>
            <w:tcW w:w="3220" w:type="dxa"/>
            <w:tcBorders>
              <w:top w:val="nil"/>
              <w:left w:val="nil"/>
              <w:bottom w:val="single" w:color="auto" w:sz="4" w:space="0"/>
              <w:right w:val="single" w:color="auto" w:sz="4" w:space="0"/>
            </w:tcBorders>
            <w:noWrap/>
            <w:vAlign w:val="center"/>
          </w:tcPr>
          <w:p w14:paraId="36EED396">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13732249271</w:t>
            </w:r>
          </w:p>
        </w:tc>
      </w:tr>
      <w:tr w14:paraId="2BCD239E">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14:paraId="2B9A9078">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12</w:t>
            </w:r>
          </w:p>
        </w:tc>
        <w:tc>
          <w:tcPr>
            <w:tcW w:w="3020" w:type="dxa"/>
            <w:tcBorders>
              <w:top w:val="nil"/>
              <w:left w:val="nil"/>
              <w:bottom w:val="single" w:color="auto" w:sz="4" w:space="0"/>
              <w:right w:val="single" w:color="auto" w:sz="4" w:space="0"/>
            </w:tcBorders>
            <w:noWrap/>
            <w:vAlign w:val="center"/>
          </w:tcPr>
          <w:p w14:paraId="6EE77275">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农业银行临江支行</w:t>
            </w:r>
          </w:p>
        </w:tc>
        <w:tc>
          <w:tcPr>
            <w:tcW w:w="1420" w:type="dxa"/>
            <w:tcBorders>
              <w:top w:val="nil"/>
              <w:left w:val="nil"/>
              <w:bottom w:val="single" w:color="auto" w:sz="4" w:space="0"/>
              <w:right w:val="single" w:color="auto" w:sz="4" w:space="0"/>
            </w:tcBorders>
            <w:noWrap/>
            <w:vAlign w:val="center"/>
          </w:tcPr>
          <w:p w14:paraId="74ABE1CA">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张学民</w:t>
            </w:r>
          </w:p>
        </w:tc>
        <w:tc>
          <w:tcPr>
            <w:tcW w:w="3220" w:type="dxa"/>
            <w:tcBorders>
              <w:top w:val="nil"/>
              <w:left w:val="nil"/>
              <w:bottom w:val="single" w:color="auto" w:sz="4" w:space="0"/>
              <w:right w:val="single" w:color="auto" w:sz="4" w:space="0"/>
            </w:tcBorders>
            <w:noWrap/>
            <w:vAlign w:val="center"/>
          </w:tcPr>
          <w:p w14:paraId="2C3D1438">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82198699，13867197838</w:t>
            </w:r>
          </w:p>
        </w:tc>
      </w:tr>
    </w:tbl>
    <w:p w14:paraId="0D9843E3">
      <w:pPr>
        <w:pStyle w:val="186"/>
        <w:widowControl w:val="0"/>
        <w:adjustRightInd w:val="0"/>
        <w:snapToGrid w:val="0"/>
        <w:spacing w:line="360" w:lineRule="auto"/>
        <w:jc w:val="both"/>
        <w:rPr>
          <w:rFonts w:hint="eastAsia" w:ascii="仿宋" w:hAnsi="仿宋" w:eastAsia="仿宋" w:cs="仿宋"/>
          <w:b/>
          <w:sz w:val="30"/>
          <w:szCs w:val="30"/>
          <w:highlight w:val="none"/>
        </w:rPr>
        <w:sectPr>
          <w:pgSz w:w="11906" w:h="16838"/>
          <w:pgMar w:top="1247" w:right="1588" w:bottom="1089" w:left="1588" w:header="851" w:footer="992" w:gutter="0"/>
          <w:cols w:space="720" w:num="1"/>
          <w:docGrid w:linePitch="312" w:charSpace="0"/>
        </w:sectPr>
      </w:pPr>
    </w:p>
    <w:p w14:paraId="30DE14F0">
      <w:pPr>
        <w:pStyle w:val="186"/>
        <w:widowControl w:val="0"/>
        <w:snapToGrid w:val="0"/>
        <w:spacing w:line="500" w:lineRule="exact"/>
        <w:ind w:left="0" w:leftChars="0" w:firstLine="0" w:firstLineChars="0"/>
        <w:rPr>
          <w:rFonts w:hint="eastAsia" w:ascii="仿宋" w:hAnsi="仿宋" w:eastAsia="仿宋" w:cs="仿宋"/>
          <w:b/>
          <w:i w:val="0"/>
          <w:iCs w:val="0"/>
          <w:sz w:val="28"/>
          <w:szCs w:val="28"/>
          <w:highlight w:val="none"/>
        </w:rPr>
      </w:pPr>
      <w:r>
        <w:rPr>
          <w:rFonts w:hint="eastAsia" w:ascii="仿宋" w:hAnsi="仿宋" w:eastAsia="仿宋" w:cs="仿宋"/>
          <w:i w:val="0"/>
          <w:iCs w:val="0"/>
          <w:kern w:val="0"/>
          <w:szCs w:val="21"/>
          <w:highlight w:val="none"/>
        </w:rPr>
        <w:t>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4C51BF5E">
      <w:pPr>
        <w:pStyle w:val="186"/>
        <w:widowControl w:val="0"/>
        <w:snapToGrid w:val="0"/>
        <w:spacing w:line="500" w:lineRule="exact"/>
        <w:jc w:val="center"/>
        <w:rPr>
          <w:rFonts w:hint="eastAsia" w:ascii="仿宋" w:hAnsi="仿宋" w:eastAsia="仿宋" w:cs="仿宋"/>
          <w:b/>
          <w:i w:val="0"/>
          <w:iCs w:val="0"/>
          <w:sz w:val="28"/>
          <w:szCs w:val="28"/>
          <w:highlight w:val="none"/>
        </w:rPr>
      </w:pPr>
      <w:r>
        <w:rPr>
          <w:rFonts w:hint="eastAsia" w:ascii="仿宋" w:hAnsi="仿宋" w:eastAsia="仿宋" w:cs="仿宋"/>
          <w:b/>
          <w:i w:val="0"/>
          <w:iCs w:val="0"/>
          <w:sz w:val="28"/>
          <w:szCs w:val="28"/>
          <w:highlight w:val="none"/>
        </w:rPr>
        <w:t>中小企业划型标准规定</w:t>
      </w:r>
    </w:p>
    <w:p w14:paraId="5B2BF34C">
      <w:pPr>
        <w:pStyle w:val="186"/>
        <w:widowControl w:val="0"/>
        <w:adjustRightInd w:val="0"/>
        <w:snapToGrid w:val="0"/>
        <w:spacing w:line="360" w:lineRule="auto"/>
        <w:ind w:firstLine="444" w:firstLineChars="200"/>
        <w:jc w:val="both"/>
        <w:rPr>
          <w:rFonts w:hint="eastAsia" w:ascii="仿宋" w:hAnsi="仿宋" w:eastAsia="仿宋" w:cs="仿宋"/>
          <w:i w:val="0"/>
          <w:iCs w:val="0"/>
          <w:spacing w:val="6"/>
          <w:szCs w:val="21"/>
          <w:highlight w:val="none"/>
        </w:rPr>
      </w:pPr>
    </w:p>
    <w:p w14:paraId="13BB5C3B">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一、根据《中华人民共和国中小企业促进法》和《</w:t>
      </w:r>
      <w:r>
        <w:rPr>
          <w:rFonts w:hint="eastAsia" w:ascii="仿宋" w:hAnsi="仿宋" w:eastAsia="仿宋" w:cs="仿宋"/>
          <w:i w:val="0"/>
          <w:iCs w:val="0"/>
          <w:highlight w:val="none"/>
        </w:rPr>
        <w:fldChar w:fldCharType="begin"/>
      </w:r>
      <w:r>
        <w:rPr>
          <w:rFonts w:hint="eastAsia" w:ascii="仿宋" w:hAnsi="仿宋" w:eastAsia="仿宋" w:cs="仿宋"/>
          <w:i w:val="0"/>
          <w:iCs w:val="0"/>
          <w:highlight w:val="none"/>
        </w:rPr>
        <w:instrText xml:space="preserve"> HYPERLINK "https://www.shui5.cn/article/47/26142.html" </w:instrText>
      </w:r>
      <w:r>
        <w:rPr>
          <w:rFonts w:hint="eastAsia" w:ascii="仿宋" w:hAnsi="仿宋" w:eastAsia="仿宋" w:cs="仿宋"/>
          <w:i w:val="0"/>
          <w:iCs w:val="0"/>
          <w:highlight w:val="none"/>
        </w:rPr>
        <w:fldChar w:fldCharType="separate"/>
      </w:r>
      <w:r>
        <w:rPr>
          <w:rFonts w:hint="eastAsia" w:ascii="仿宋" w:hAnsi="仿宋" w:eastAsia="仿宋" w:cs="仿宋"/>
          <w:i w:val="0"/>
          <w:iCs w:val="0"/>
          <w:spacing w:val="6"/>
          <w:szCs w:val="21"/>
          <w:highlight w:val="none"/>
        </w:rPr>
        <w:t>国务院关于进一步促进中小企业发展的若干意见</w:t>
      </w:r>
      <w:r>
        <w:rPr>
          <w:rFonts w:hint="eastAsia" w:ascii="仿宋" w:hAnsi="仿宋" w:eastAsia="仿宋" w:cs="仿宋"/>
          <w:i w:val="0"/>
          <w:iCs w:val="0"/>
          <w:spacing w:val="6"/>
          <w:szCs w:val="21"/>
          <w:highlight w:val="none"/>
        </w:rPr>
        <w:fldChar w:fldCharType="end"/>
      </w:r>
      <w:r>
        <w:rPr>
          <w:rFonts w:hint="eastAsia" w:ascii="仿宋" w:hAnsi="仿宋" w:eastAsia="仿宋" w:cs="仿宋"/>
          <w:i w:val="0"/>
          <w:iCs w:val="0"/>
          <w:spacing w:val="6"/>
          <w:szCs w:val="21"/>
          <w:highlight w:val="none"/>
        </w:rPr>
        <w:t>》（</w:t>
      </w:r>
      <w:r>
        <w:rPr>
          <w:rFonts w:hint="eastAsia" w:ascii="仿宋" w:hAnsi="仿宋" w:eastAsia="仿宋" w:cs="仿宋"/>
          <w:i w:val="0"/>
          <w:iCs w:val="0"/>
          <w:highlight w:val="none"/>
        </w:rPr>
        <w:fldChar w:fldCharType="begin"/>
      </w:r>
      <w:r>
        <w:rPr>
          <w:rFonts w:hint="eastAsia" w:ascii="仿宋" w:hAnsi="仿宋" w:eastAsia="仿宋" w:cs="仿宋"/>
          <w:i w:val="0"/>
          <w:iCs w:val="0"/>
          <w:highlight w:val="none"/>
        </w:rPr>
        <w:instrText xml:space="preserve"> HYPERLINK "https://www.shui5.cn/article/47/26142.html" </w:instrText>
      </w:r>
      <w:r>
        <w:rPr>
          <w:rFonts w:hint="eastAsia" w:ascii="仿宋" w:hAnsi="仿宋" w:eastAsia="仿宋" w:cs="仿宋"/>
          <w:i w:val="0"/>
          <w:iCs w:val="0"/>
          <w:highlight w:val="none"/>
        </w:rPr>
        <w:fldChar w:fldCharType="separate"/>
      </w:r>
      <w:r>
        <w:rPr>
          <w:rFonts w:hint="eastAsia" w:ascii="仿宋" w:hAnsi="仿宋" w:eastAsia="仿宋" w:cs="仿宋"/>
          <w:i w:val="0"/>
          <w:iCs w:val="0"/>
          <w:spacing w:val="6"/>
          <w:szCs w:val="21"/>
          <w:highlight w:val="none"/>
        </w:rPr>
        <w:t>国发〔2009〕36号</w:t>
      </w:r>
      <w:r>
        <w:rPr>
          <w:rFonts w:hint="eastAsia" w:ascii="仿宋" w:hAnsi="仿宋" w:eastAsia="仿宋" w:cs="仿宋"/>
          <w:i w:val="0"/>
          <w:iCs w:val="0"/>
          <w:spacing w:val="6"/>
          <w:szCs w:val="21"/>
          <w:highlight w:val="none"/>
        </w:rPr>
        <w:fldChar w:fldCharType="end"/>
      </w:r>
      <w:r>
        <w:rPr>
          <w:rFonts w:hint="eastAsia" w:ascii="仿宋" w:hAnsi="仿宋" w:eastAsia="仿宋" w:cs="仿宋"/>
          <w:i w:val="0"/>
          <w:iCs w:val="0"/>
          <w:spacing w:val="6"/>
          <w:szCs w:val="21"/>
          <w:highlight w:val="none"/>
        </w:rPr>
        <w:t>)，制定本规定。</w:t>
      </w:r>
    </w:p>
    <w:p w14:paraId="326260BF">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二、中小企业划分为中型、小型、微型三种类型，具体标准根据企业从业人员、营业收入、资产总额等指标，结合行业特点制定。</w:t>
      </w:r>
    </w:p>
    <w:p w14:paraId="41D16BAE">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6DCE88C">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四、各行业划型标准为：</w:t>
      </w:r>
    </w:p>
    <w:p w14:paraId="3667D2A4">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（一）农、林、牧、渔业。营业收入20000万元以下的为中小微型企业。其中，营业收入500万元及以上的为中型企业，营业收入50万元及以上的为小型企业，营业收入50万元以下的为微型企业。</w:t>
      </w:r>
    </w:p>
    <w:p w14:paraId="7D43B76B">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FAA6409">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9B0BD7F">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36EF149">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33B6401">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63F6D5C">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2EB625F">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7633636">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7018872">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605D097">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E24C35A">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553266A">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140941C">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59AE8ED">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E5DE49B">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17F7B51A">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五、企业类型的划分以统计部门的统计数据为依据。</w:t>
      </w:r>
    </w:p>
    <w:p w14:paraId="5CE07CF0">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六、本规定适用于在中华人民共和国境内依法设立的各类所有制和各种组织形式的企业。个体工商户和本规定以外的行业，参照本规定进行划型。</w:t>
      </w:r>
    </w:p>
    <w:p w14:paraId="74078B05">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61D72262">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八、本规定由工业和信息化部、国家统计局会同有关部门根据《国民经济行业分类》修订情况和企业发展变化情况适时修订。</w:t>
      </w:r>
    </w:p>
    <w:p w14:paraId="50EEE43E">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九、本规定由工业和信息化部、国家统计局会同有关部门负责解释。</w:t>
      </w:r>
    </w:p>
    <w:p w14:paraId="0A134B50">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highlight w:val="none"/>
        </w:rPr>
      </w:pPr>
      <w:r>
        <w:rPr>
          <w:rFonts w:hint="eastAsia" w:ascii="仿宋" w:hAnsi="仿宋" w:eastAsia="仿宋" w:cs="仿宋"/>
          <w:i w:val="0"/>
          <w:iCs w:val="0"/>
          <w:spacing w:val="6"/>
          <w:szCs w:val="21"/>
          <w:highlight w:val="none"/>
        </w:rPr>
        <w:t>十、本规定自发布之日起执行，原国家经贸委、原国家计委、财政部和国家统计局2003年颁布的《</w:t>
      </w:r>
      <w:r>
        <w:rPr>
          <w:rFonts w:hint="eastAsia" w:ascii="仿宋" w:hAnsi="仿宋" w:eastAsia="仿宋" w:cs="仿宋"/>
          <w:i w:val="0"/>
          <w:iCs w:val="0"/>
          <w:highlight w:val="none"/>
        </w:rPr>
        <w:fldChar w:fldCharType="begin"/>
      </w:r>
      <w:r>
        <w:rPr>
          <w:rFonts w:hint="eastAsia" w:ascii="仿宋" w:hAnsi="仿宋" w:eastAsia="仿宋" w:cs="仿宋"/>
          <w:i w:val="0"/>
          <w:iCs w:val="0"/>
          <w:highlight w:val="none"/>
        </w:rPr>
        <w:instrText xml:space="preserve"> HYPERLINK "https://www.shui5.cn/article/df/24263.html" </w:instrText>
      </w:r>
      <w:r>
        <w:rPr>
          <w:rFonts w:hint="eastAsia" w:ascii="仿宋" w:hAnsi="仿宋" w:eastAsia="仿宋" w:cs="仿宋"/>
          <w:i w:val="0"/>
          <w:iCs w:val="0"/>
          <w:highlight w:val="none"/>
        </w:rPr>
        <w:fldChar w:fldCharType="separate"/>
      </w:r>
      <w:r>
        <w:rPr>
          <w:rFonts w:hint="eastAsia" w:ascii="仿宋" w:hAnsi="仿宋" w:eastAsia="仿宋" w:cs="仿宋"/>
          <w:i w:val="0"/>
          <w:iCs w:val="0"/>
          <w:spacing w:val="6"/>
          <w:szCs w:val="21"/>
          <w:highlight w:val="none"/>
        </w:rPr>
        <w:t>中小企业标准暂行规定</w:t>
      </w:r>
      <w:r>
        <w:rPr>
          <w:rFonts w:hint="eastAsia" w:ascii="仿宋" w:hAnsi="仿宋" w:eastAsia="仿宋" w:cs="仿宋"/>
          <w:i w:val="0"/>
          <w:iCs w:val="0"/>
          <w:spacing w:val="6"/>
          <w:szCs w:val="21"/>
          <w:highlight w:val="none"/>
        </w:rPr>
        <w:fldChar w:fldCharType="end"/>
      </w:r>
      <w:r>
        <w:rPr>
          <w:rFonts w:hint="eastAsia" w:ascii="仿宋" w:hAnsi="仿宋" w:eastAsia="仿宋" w:cs="仿宋"/>
          <w:i w:val="0"/>
          <w:iCs w:val="0"/>
          <w:spacing w:val="6"/>
          <w:szCs w:val="21"/>
          <w:highlight w:val="none"/>
        </w:rPr>
        <w:t>》</w:t>
      </w:r>
      <w:r>
        <w:rPr>
          <w:rFonts w:hint="eastAsia" w:ascii="仿宋" w:hAnsi="仿宋" w:eastAsia="仿宋" w:cs="仿宋"/>
          <w:i w:val="0"/>
          <w:iCs w:val="0"/>
          <w:highlight w:val="none"/>
        </w:rPr>
        <w:fldChar w:fldCharType="begin"/>
      </w:r>
      <w:r>
        <w:rPr>
          <w:rFonts w:hint="eastAsia" w:ascii="仿宋" w:hAnsi="仿宋" w:eastAsia="仿宋" w:cs="仿宋"/>
          <w:i w:val="0"/>
          <w:iCs w:val="0"/>
          <w:highlight w:val="none"/>
        </w:rPr>
        <w:instrText xml:space="preserve"> HYPERLINK "https://www.shui5.cn/article/df/24263.html" </w:instrText>
      </w:r>
      <w:r>
        <w:rPr>
          <w:rFonts w:hint="eastAsia" w:ascii="仿宋" w:hAnsi="仿宋" w:eastAsia="仿宋" w:cs="仿宋"/>
          <w:i w:val="0"/>
          <w:iCs w:val="0"/>
          <w:highlight w:val="none"/>
        </w:rPr>
        <w:fldChar w:fldCharType="separate"/>
      </w:r>
      <w:r>
        <w:rPr>
          <w:rFonts w:hint="eastAsia" w:ascii="仿宋" w:hAnsi="仿宋" w:eastAsia="仿宋" w:cs="仿宋"/>
          <w:i w:val="0"/>
          <w:iCs w:val="0"/>
          <w:spacing w:val="6"/>
          <w:szCs w:val="21"/>
          <w:highlight w:val="none"/>
        </w:rPr>
        <w:t>国经贸中小企〔2003〕143号</w:t>
      </w:r>
      <w:r>
        <w:rPr>
          <w:rFonts w:hint="eastAsia" w:ascii="仿宋" w:hAnsi="仿宋" w:eastAsia="仿宋" w:cs="仿宋"/>
          <w:i w:val="0"/>
          <w:iCs w:val="0"/>
          <w:spacing w:val="6"/>
          <w:szCs w:val="21"/>
          <w:highlight w:val="none"/>
        </w:rPr>
        <w:fldChar w:fldCharType="end"/>
      </w:r>
      <w:r>
        <w:rPr>
          <w:rFonts w:hint="eastAsia" w:ascii="仿宋" w:hAnsi="仿宋" w:eastAsia="仿宋" w:cs="仿宋"/>
          <w:i w:val="0"/>
          <w:iCs w:val="0"/>
          <w:spacing w:val="6"/>
          <w:szCs w:val="21"/>
          <w:highlight w:val="none"/>
        </w:rPr>
        <w:t>同时废止。</w:t>
      </w:r>
    </w:p>
    <w:sectPr>
      <w:pgSz w:w="11906" w:h="16838"/>
      <w:pgMar w:top="1247" w:right="1588" w:bottom="1089"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modern"/>
    <w:pitch w:val="default"/>
    <w:sig w:usb0="800002BF" w:usb1="38CF7CFA" w:usb2="00000016"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_x000B__x000C_">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Narrow">
    <w:altName w:val="Arial"/>
    <w:panose1 w:val="020B0606020202030204"/>
    <w:charset w:val="00"/>
    <w:family w:val="swiss"/>
    <w:pitch w:val="default"/>
    <w:sig w:usb0="00000000" w:usb1="00000000" w:usb2="00000000" w:usb3="00000000" w:csb0="2000009F" w:csb1="DFD70000"/>
  </w:font>
  <w:font w:name="Helvetica">
    <w:panose1 w:val="020B0604020202020204"/>
    <w:charset w:val="00"/>
    <w:family w:val="swiss"/>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
    <w:altName w:val="Segoe Print"/>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DokChampa">
    <w:altName w:val="Microsoft Sans Serif"/>
    <w:panose1 w:val="020B0604020202020204"/>
    <w:charset w:val="DE"/>
    <w:family w:val="swiss"/>
    <w:pitch w:val="default"/>
    <w:sig w:usb0="00000000" w:usb1="00000000" w:usb2="00000000" w:usb3="00000000" w:csb0="40010001" w:csb1="00000000"/>
  </w:font>
  <w:font w:name="Microsoft Sans Serif">
    <w:panose1 w:val="020B0604020202020204"/>
    <w:charset w:val="00"/>
    <w:family w:val="auto"/>
    <w:pitch w:val="default"/>
    <w:sig w:usb0="E5002EFF" w:usb1="C000605B" w:usb2="00000029" w:usb3="00000000" w:csb0="200101FF" w:csb1="20280000"/>
  </w:font>
  <w:font w:name="MicrosoftYaHei">
    <w:altName w:val="Segoe Print"/>
    <w:panose1 w:val="00000000000000000000"/>
    <w:charset w:val="00"/>
    <w:family w:val="auto"/>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66A9A">
    <w:pPr>
      <w:pStyle w:val="2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F4C9C52">
                          <w:pPr>
                            <w:pStyle w:val="29"/>
                            <w:rPr>
                              <w:rFonts w:eastAsia="宋体"/>
                            </w:rPr>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LkK7vQAQAApQMAAA4AAABkcnMvZTJvRG9jLnhtbK1TS27bMBDd&#10;F8gdCO5ryQbSCoLloIWRoEDRFkhzAJoiLQL8gUNb8gXaG3TVTfc9l8/RISU5QbLJohtqhjPzOO/N&#10;aH0zGE2OIoBytqHLRUmJsNy1yu4b+vD99m1FCURmW6adFQ09CaA3m6s3697XYuU6p1sRCIJYqHvf&#10;0C5GXxcF8E4YBgvnhcWgdMGwiG7YF21gPaIbXazK8l3Ru9D64LgAwNvtGKQTYngNoJNScbF1/GCE&#10;jSNqEJpFpASd8kA3uVspBY9fpQQRiW4oMo35xEfQ3qWz2KxZvQ/Md4pPLbDXtPCMk2HK4qMXqC2L&#10;jByCegFlFA8OnIwL7kwxEsmKIItl+Uyb+455kbmg1OAvosP/g+Vfjt8CUW1DV5RYZnDg518/z7//&#10;nv/8IMskT++hxqx7j3lx+OgGXJr5HvAysR5kMOmLfAjGUdzTRVwxRMJTUbWqqhJDHGOzg/jFY7kP&#10;EO+EMyQZDQ04vSwqO36GOKbOKek1626V1nmC2pIeUa+r99e54hJCdG1TssjLMOEkTmPvyYrDbpiI&#10;7lx7Qp49LkRDLe4/JfqTRb3T7sxGmI3dZCR88B8OERvKfSbUEQr5JQenl5lOm5bW46mfsx7/rs0/&#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PLkK7vQAQAApQMAAA4AAAAAAAAAAQAgAAAAIgEA&#10;AGRycy9lMm9Eb2MueG1sUEsFBgAAAAAGAAYAWQEAAGQFAAAAAA==&#10;">
              <v:fill on="f" focussize="0,0"/>
              <v:stroke on="f" weight="1.25pt"/>
              <v:imagedata o:title=""/>
              <o:lock v:ext="edit" aspectratio="f"/>
              <v:textbox inset="0mm,0mm,0mm,0mm" style="mso-fit-shape-to-text:t;">
                <w:txbxContent>
                  <w:p w14:paraId="7F4C9C52">
                    <w:pPr>
                      <w:pStyle w:val="29"/>
                      <w:rPr>
                        <w:rFonts w:eastAsia="宋体"/>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E7C99">
    <w:pPr>
      <w:pStyle w:val="29"/>
      <w:tabs>
        <w:tab w:val="left" w:pos="900"/>
        <w:tab w:val="clear" w:pos="4153"/>
        <w:tab w:val="clear" w:pos="8306"/>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C7B9E37">
                          <w:pPr>
                            <w:pStyle w:val="29"/>
                            <w:rPr>
                              <w:rFonts w:eastAsia="宋体"/>
                            </w:rPr>
                          </w:pPr>
                          <w:r>
                            <w:fldChar w:fldCharType="begin"/>
                          </w:r>
                          <w:r>
                            <w:instrText xml:space="preserve"> PAGE  \* MERGEFORMAT </w:instrText>
                          </w:r>
                          <w:r>
                            <w:fldChar w:fldCharType="separate"/>
                          </w:r>
                          <w:r>
                            <w:t>38</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lGAjQAQAApQMAAA4AAABkcnMvZTJvRG9jLnhtbK1TS27bMBDd&#10;F8gdCO5rKQbcCoLloIWRoEDRFkhzAJoiLQL8gUNb8gXaG3TVTfc9l8/RISU5QbLJohtqhjPzOO/N&#10;aH0zGE2OIoBytqHXi5ISYblrld039OH77duKEojMtkw7Kxp6EkBvNldv1r2vxdJ1TrciEASxUPe+&#10;oV2Mvi4K4J0wDBbOC4tB6YJhEd2wL9rAekQ3uliW5buid6H1wXEBgLfbMUgnxPAaQCel4mLr+MEI&#10;G0fUIDSLSAk65YFucrdSCh6/SgkiEt1QZBrziY+gvUtnsVmzeh+Y7xSfWmCvaeEZJ8OUxUcvUFsW&#10;GTkE9QLKKB4cOBkX3JliJJIVQRbX5TNt7jvmReaCUoO/iA7/D5Z/OX4LRLUNXVFimcGBn3/9PP/+&#10;e/7zgyyTPL2HGrPuPebF4aMbcGnme8DLxHqQwaQv8iEYR3FPF3HFEAlPRdWyqkoMcYzNDuIXj+U+&#10;QLwTzpBkNDTg9LKo7PgZ4pg6p6TXrLtVWucJakt6RF1V71e54hJCdG1TssjLMOEkTmPvyYrDbpiI&#10;7lx7Qp49LkRDLe4/JfqTRb3T7sxGmI3dZCR88B8OERvKfSbUEQr5JQenl5lOm5bW46mfsx7/rs0/&#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glGAjQAQAApQMAAA4AAAAAAAAAAQAgAAAAIgEA&#10;AGRycy9lMm9Eb2MueG1sUEsFBgAAAAAGAAYAWQEAAGQFAAAAAA==&#10;">
              <v:fill on="f" focussize="0,0"/>
              <v:stroke on="f" weight="1.25pt"/>
              <v:imagedata o:title=""/>
              <o:lock v:ext="edit" aspectratio="f"/>
              <v:textbox inset="0mm,0mm,0mm,0mm" style="mso-fit-shape-to-text:t;">
                <w:txbxContent>
                  <w:p w14:paraId="5C7B9E37">
                    <w:pPr>
                      <w:pStyle w:val="29"/>
                      <w:rPr>
                        <w:rFonts w:eastAsia="宋体"/>
                      </w:rPr>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ABBB5">
    <w:pPr>
      <w:pStyle w:val="29"/>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8FC7B13">
                          <w:pPr>
                            <w:pStyle w:val="29"/>
                            <w:rPr>
                              <w:rFonts w:eastAsia="宋体"/>
                            </w:rPr>
                          </w:pPr>
                          <w:r>
                            <w:fldChar w:fldCharType="begin"/>
                          </w:r>
                          <w:r>
                            <w:instrText xml:space="preserve"> PAGE  \* MERGEFORMAT </w:instrText>
                          </w:r>
                          <w:r>
                            <w:fldChar w:fldCharType="separate"/>
                          </w:r>
                          <w:r>
                            <w:t>68</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CyjzRAQAApQMAAA4AAABkcnMvZTJvRG9jLnhtbK1TS27bMBDd&#10;F8gdCO5jKQ6SCoLloIWRoEDRFkh6AJoiLQL8gUNb8gXaG3TVTfc9l8/RISU5RbrJohtqhjPzOO/N&#10;aHU3GE0OIoBytqFXi5ISYblrld019OvT/WVFCURmW6adFQ09CqB364s3q97XYuk6p1sRCIJYqHvf&#10;0C5GXxcF8E4YBgvnhcWgdMGwiG7YFW1gPaIbXSzL8rboXWh9cFwA4O1mDNIJMbwG0EmpuNg4vjfC&#10;xhE1CM0iUoJOeaDr3K2UgsfPUoKIRDcUmcZ84iNob9NZrFes3gXmO8WnFthrWnjByTBl8dEz1IZF&#10;RvZB/QNlFA8OnIwL7kwxEsmKIIur8oU2jx3zInNBqcGfRYf/B8s/Hb4EotqG3lJimcGBn358P/38&#10;ffr1jVwneXoPNWY9esyLw3s34NLM94CXifUgg0lf5EMwjuIez+KKIRKeiqplVZUY4hibHcQvnst9&#10;gPggnCHJaGjA6WVR2eEjxDF1TkmvWXevtM4T1Jb0iHpTvb3JFecQomubkkVehgkncRp7T1YctsNE&#10;dOvaI/LscSEaanH/KdEfLOqddmc2wmxsJyPhg3+3j9hQ7jOhjlDILzk4vcx02rS0Hn/7Oev571r/&#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gso80QEAAKUDAAAOAAAAAAAAAAEAIAAAACIB&#10;AABkcnMvZTJvRG9jLnhtbFBLBQYAAAAABgAGAFkBAABlBQAAAAA=&#10;">
              <v:fill on="f" focussize="0,0"/>
              <v:stroke on="f" weight="1.25pt"/>
              <v:imagedata o:title=""/>
              <o:lock v:ext="edit" aspectratio="f"/>
              <v:textbox inset="0mm,0mm,0mm,0mm" style="mso-fit-shape-to-text:t;">
                <w:txbxContent>
                  <w:p w14:paraId="38FC7B13">
                    <w:pPr>
                      <w:pStyle w:val="29"/>
                      <w:rPr>
                        <w:rFonts w:eastAsia="宋体"/>
                      </w:rPr>
                    </w:pPr>
                    <w:r>
                      <w:fldChar w:fldCharType="begin"/>
                    </w:r>
                    <w:r>
                      <w:instrText xml:space="preserve"> PAGE  \* MERGEFORMAT </w:instrText>
                    </w:r>
                    <w:r>
                      <w:fldChar w:fldCharType="separate"/>
                    </w:r>
                    <w:r>
                      <w:t>68</w:t>
                    </w:r>
                    <w:r>
                      <w:fldChar w:fldCharType="end"/>
                    </w:r>
                  </w:p>
                </w:txbxContent>
              </v:textbox>
            </v:shape>
          </w:pict>
        </mc:Fallback>
      </mc:AlternateContent>
    </w:r>
  </w:p>
  <w:p w14:paraId="330B8B17">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040AD">
    <w:pPr>
      <w:pStyle w:val="29"/>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F562261">
                          <w:pPr>
                            <w:pStyle w:val="29"/>
                            <w:rPr>
                              <w:rFonts w:eastAsia="宋体"/>
                            </w:rPr>
                          </w:pPr>
                          <w:r>
                            <w:fldChar w:fldCharType="begin"/>
                          </w:r>
                          <w:r>
                            <w:instrText xml:space="preserve"> PAGE  \* MERGEFORMAT </w:instrText>
                          </w:r>
                          <w:r>
                            <w:fldChar w:fldCharType="separate"/>
                          </w:r>
                          <w:r>
                            <w:t>70</w:t>
                          </w:r>
                          <w: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RbBb3RAQAApQMAAA4AAABkcnMvZTJvRG9jLnhtbK1TS27bMBDd&#10;F8gdCO5jKUbSCILloIWRoEDRFkh6AJoiLQL8gUNb8gXaG3TVTfc9l8/RISU5RbrJohtqhjPzOO/N&#10;aHU3GE0OIoBytqFXi5ISYblrld019OvT/WVFCURmW6adFQ09CqB364s3q97XYuk6p1sRCIJYqHvf&#10;0C5GXxcF8E4YBgvnhcWgdMGwiG7YFW1gPaIbXSzL8m3Ru9D64LgAwNvNGKQTYngNoJNScbFxfG+E&#10;jSNqEJpFpASd8kDXuVspBY+fpQQRiW4oMo35xEfQ3qazWK9YvQvMd4pPLbDXtPCCk2HK4qNnqA2L&#10;jOyD+gfKKB4cOBkX3JliJJIVQRZX5QttHjvmReaCUoM/iw7/D5Z/OnwJRLUNvaXEMoMDP/34fvr5&#10;+/TrG7lO8vQeasx69JgXh/duwKWZ7wEvE+tBBpO+yIdgHMU9nsUVQyQ8FVXLqioxxDE2O4hfPJf7&#10;APFBOEOS0dCA08uissNHiGPqnJJes+5eaZ0nqC3pEfWmur3JFecQomubkkVehgkncRp7T1YctsNE&#10;dOvaI/LscSEaanH/KdEfLOqddmc2wmxsJyPhg3+3j9hQ7jOhjlDILzk4vcx02rS0Hn/7Oev571r/&#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UWwW90QEAAKUDAAAOAAAAAAAAAAEAIAAAACIB&#10;AABkcnMvZTJvRG9jLnhtbFBLBQYAAAAABgAGAFkBAABlBQAAAAA=&#10;">
              <v:fill on="f" focussize="0,0"/>
              <v:stroke on="f" weight="1.25pt"/>
              <v:imagedata o:title=""/>
              <o:lock v:ext="edit" aspectratio="f"/>
              <v:textbox inset="0mm,0mm,0mm,0mm" style="mso-fit-shape-to-text:t;">
                <w:txbxContent>
                  <w:p w14:paraId="1F562261">
                    <w:pPr>
                      <w:pStyle w:val="29"/>
                      <w:rPr>
                        <w:rFonts w:eastAsia="宋体"/>
                      </w:rPr>
                    </w:pPr>
                    <w:r>
                      <w:fldChar w:fldCharType="begin"/>
                    </w:r>
                    <w:r>
                      <w:instrText xml:space="preserve"> PAGE  \* MERGEFORMAT </w:instrText>
                    </w:r>
                    <w:r>
                      <w:fldChar w:fldCharType="separate"/>
                    </w:r>
                    <w:r>
                      <w:t>70</w:t>
                    </w:r>
                    <w:r>
                      <w:fldChar w:fldCharType="end"/>
                    </w:r>
                  </w:p>
                </w:txbxContent>
              </v:textbox>
            </v:shape>
          </w:pict>
        </mc:Fallback>
      </mc:AlternateContent>
    </w:r>
  </w:p>
  <w:p w14:paraId="47A4651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542AB">
    <w:pPr>
      <w:pStyle w:val="29"/>
      <w:ind w:right="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A596D35">
                          <w:pPr>
                            <w:pStyle w:val="29"/>
                            <w:rPr>
                              <w:rFonts w:eastAsia="宋体"/>
                            </w:rPr>
                          </w:pPr>
                          <w:r>
                            <w:fldChar w:fldCharType="begin"/>
                          </w:r>
                          <w:r>
                            <w:instrText xml:space="preserve"> PAGE  \* MERGEFORMAT </w:instrText>
                          </w:r>
                          <w:r>
                            <w:fldChar w:fldCharType="separate"/>
                          </w:r>
                          <w:r>
                            <w:t>88</w:t>
                          </w:r>
                          <w: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oH3IHQAQAApQMAAA4AAABkcnMvZTJvRG9jLnhtbK1TS27bMBDd&#10;F8gdCO5rKQbcCoLloIWRoEDRFkhzAJoiLQL8gUNb8gXaG3TVTfc9l8/RISU5QbLJohtqhjPzOO/N&#10;aH0zGE2OIoBytqHXi5ISYblrld039OH77duKEojMtkw7Kxp6EkBvNldv1r2vxdJ1TrciEASxUPe+&#10;oV2Mvi4K4J0wDBbOC4tB6YJhEd2wL9rAekQ3uliW5buid6H1wXEBgLfbMUgnxPAaQCel4mLr+MEI&#10;G0fUIDSLSAk65YFucrdSCh6/SgkiEt1QZBrziY+gvUtnsVmzeh+Y7xSfWmCvaeEZJ8OUxUcvUFsW&#10;GTkE9QLKKB4cOBkX3JliJJIVQRbX5TNt7jvmReaCUoO/iA7/D5Z/OX4LRLUNxbFbZnDg518/z7//&#10;nv/8IKskT++hxqx7j3lx+OgGXJr5HvAysR5kMOmLfAjGUdzTRVwxRMJTUbWsqhJDHGOzg/jFY7kP&#10;EO+EMyQZDQ04vSwqO36GOKbOKek1626V1nmC2pIeUVfV+1WuuIQQXduULPIyTDiJ09h7suKwGyai&#10;O9eekGePC9FQi/tPif5kUe+0O7MRZmM3GQkf/IdDxIZynwl1hEJ+ycHpZabTpqX1eOrnrMe/a/M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EoH3IHQAQAApQMAAA4AAAAAAAAAAQAgAAAAIgEA&#10;AGRycy9lMm9Eb2MueG1sUEsFBgAAAAAGAAYAWQEAAGQFAAAAAA==&#10;">
              <v:fill on="f" focussize="0,0"/>
              <v:stroke on="f" weight="1.25pt"/>
              <v:imagedata o:title=""/>
              <o:lock v:ext="edit" aspectratio="f"/>
              <v:textbox inset="0mm,0mm,0mm,0mm" style="mso-fit-shape-to-text:t;">
                <w:txbxContent>
                  <w:p w14:paraId="2A596D35">
                    <w:pPr>
                      <w:pStyle w:val="29"/>
                      <w:rPr>
                        <w:rFonts w:eastAsia="宋体"/>
                      </w:rPr>
                    </w:pPr>
                    <w:r>
                      <w:fldChar w:fldCharType="begin"/>
                    </w:r>
                    <w:r>
                      <w:instrText xml:space="preserve"> PAGE  \* MERGEFORMAT </w:instrText>
                    </w:r>
                    <w:r>
                      <w:fldChar w:fldCharType="separate"/>
                    </w:r>
                    <w:r>
                      <w:t>88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8783A">
    <w:pPr>
      <w:pStyle w:val="3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9F99E">
    <w:pPr>
      <w:pStyle w:val="31"/>
      <w:pBdr>
        <w:bottom w:val="none" w:color="auto" w:sz="0" w:space="1"/>
      </w:pBdr>
    </w:pPr>
  </w:p>
  <w:p w14:paraId="5ABD6B9C">
    <w:pPr>
      <w:pStyle w:val="42"/>
      <w:tabs>
        <w:tab w:val="center" w:pos="4535"/>
        <w:tab w:val="right" w:pos="9070"/>
        <w:tab w:val="clear" w:pos="1200"/>
      </w:tabs>
      <w:spacing w:after="480"/>
      <w:ind w:left="1441" w:leftChars="686" w:firstLine="300" w:firstLineChars="100"/>
      <w:jc w:val="both"/>
      <w:rPr>
        <w:rFonts w:ascii="仿宋_GB2312" w:eastAsia="仿宋_GB2312"/>
        <w:b w:val="0"/>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E9751">
    <w:pPr>
      <w:pStyle w:val="31"/>
      <w:pBdr>
        <w:bottom w:val="none" w:color="auto" w:sz="0" w:space="1"/>
      </w:pBdr>
      <w:jc w:val="right"/>
      <w:rPr>
        <w:rFonts w:ascii="仿宋_GB2312" w:eastAsia="仿宋_GB2312"/>
        <w:b/>
        <w:i/>
        <w:u w:val="single"/>
      </w:rPr>
    </w:pPr>
  </w:p>
  <w:p w14:paraId="5E231677">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7922A">
    <w:pPr>
      <w:pStyle w:val="31"/>
      <w:pBdr>
        <w:bottom w:val="none" w:color="auto" w:sz="0" w:space="1"/>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9E7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D9EC99C5"/>
    <w:multiLevelType w:val="singleLevel"/>
    <w:tmpl w:val="D9EC99C5"/>
    <w:lvl w:ilvl="0" w:tentative="0">
      <w:start w:val="1"/>
      <w:numFmt w:val="decimal"/>
      <w:lvlText w:val="(%1)"/>
      <w:lvlJc w:val="left"/>
      <w:pPr>
        <w:ind w:left="425" w:hanging="425"/>
      </w:pPr>
      <w:rPr>
        <w:rFonts w:hint="default"/>
      </w:rPr>
    </w:lvl>
  </w:abstractNum>
  <w:abstractNum w:abstractNumId="3">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1818B8E5"/>
    <w:multiLevelType w:val="multilevel"/>
    <w:tmpl w:val="1818B8E5"/>
    <w:lvl w:ilvl="0" w:tentative="0">
      <w:start w:val="1"/>
      <w:numFmt w:val="decimal"/>
      <w:lvlText w:val="%1."/>
      <w:lvlJc w:val="left"/>
      <w:pPr>
        <w:tabs>
          <w:tab w:val="left" w:pos="399"/>
        </w:tabs>
        <w:ind w:left="405" w:hanging="405"/>
      </w:pPr>
      <w:rPr>
        <w:rFonts w:hint="default"/>
        <w:b/>
        <w:sz w:val="24"/>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47338FBC"/>
    <w:multiLevelType w:val="singleLevel"/>
    <w:tmpl w:val="47338FBC"/>
    <w:lvl w:ilvl="0" w:tentative="0">
      <w:start w:val="3"/>
      <w:numFmt w:val="decimal"/>
      <w:suff w:val="nothing"/>
      <w:lvlText w:val="%1、"/>
      <w:lvlJc w:val="left"/>
    </w:lvl>
  </w:abstractNum>
  <w:abstractNum w:abstractNumId="7">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513F8985"/>
    <w:multiLevelType w:val="singleLevel"/>
    <w:tmpl w:val="513F8985"/>
    <w:lvl w:ilvl="0" w:tentative="0">
      <w:start w:val="1"/>
      <w:numFmt w:val="decimal"/>
      <w:lvlText w:val="(%1)"/>
      <w:lvlJc w:val="left"/>
      <w:pPr>
        <w:ind w:left="425" w:hanging="425"/>
      </w:pPr>
      <w:rPr>
        <w:rFonts w:hint="default"/>
      </w:rPr>
    </w:lvl>
  </w:abstractNum>
  <w:abstractNum w:abstractNumId="9">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6BCB5E2A"/>
    <w:multiLevelType w:val="singleLevel"/>
    <w:tmpl w:val="6BCB5E2A"/>
    <w:lvl w:ilvl="0" w:tentative="0">
      <w:start w:val="1"/>
      <w:numFmt w:val="decimal"/>
      <w:suff w:val="space"/>
      <w:lvlText w:val="%1."/>
      <w:lvlJc w:val="left"/>
    </w:lvl>
  </w:abstractNum>
  <w:num w:numId="1">
    <w:abstractNumId w:val="1"/>
  </w:num>
  <w:num w:numId="2">
    <w:abstractNumId w:val="2"/>
  </w:num>
  <w:num w:numId="3">
    <w:abstractNumId w:val="7"/>
  </w:num>
  <w:num w:numId="4">
    <w:abstractNumId w:val="6"/>
  </w:num>
  <w:num w:numId="5">
    <w:abstractNumId w:val="0"/>
  </w:num>
  <w:num w:numId="6">
    <w:abstractNumId w:val="5"/>
  </w:num>
  <w:num w:numId="7">
    <w:abstractNumId w:val="9"/>
  </w:num>
  <w:num w:numId="8">
    <w:abstractNumId w:val="3"/>
  </w:num>
  <w:num w:numId="9">
    <w:abstractNumId w:val="4"/>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MGExYzQ5NDk2OTJiODgzOWVmMWVlZmFhNWQ2ODcifQ=="/>
    <w:docVar w:name="KSO_WPS_MARK_KEY" w:val="15fc9457-032d-4820-a755-71fbbbcd9d9f"/>
  </w:docVars>
  <w:rsids>
    <w:rsidRoot w:val="00172A27"/>
    <w:rsid w:val="00000693"/>
    <w:rsid w:val="00000CB0"/>
    <w:rsid w:val="00001E56"/>
    <w:rsid w:val="0000396E"/>
    <w:rsid w:val="000041FD"/>
    <w:rsid w:val="00004478"/>
    <w:rsid w:val="00006FBB"/>
    <w:rsid w:val="00011AE8"/>
    <w:rsid w:val="000128E2"/>
    <w:rsid w:val="000151EB"/>
    <w:rsid w:val="00015A40"/>
    <w:rsid w:val="000173D9"/>
    <w:rsid w:val="00020EBC"/>
    <w:rsid w:val="00023C95"/>
    <w:rsid w:val="00024054"/>
    <w:rsid w:val="00026AFD"/>
    <w:rsid w:val="00033168"/>
    <w:rsid w:val="00033EE6"/>
    <w:rsid w:val="000364DE"/>
    <w:rsid w:val="00036535"/>
    <w:rsid w:val="000371E8"/>
    <w:rsid w:val="000445EB"/>
    <w:rsid w:val="00044C38"/>
    <w:rsid w:val="00045960"/>
    <w:rsid w:val="00046A23"/>
    <w:rsid w:val="00050BD9"/>
    <w:rsid w:val="00053E49"/>
    <w:rsid w:val="00054AB6"/>
    <w:rsid w:val="0005711D"/>
    <w:rsid w:val="00062E5D"/>
    <w:rsid w:val="00063A1A"/>
    <w:rsid w:val="00063C10"/>
    <w:rsid w:val="00065EDE"/>
    <w:rsid w:val="0006711B"/>
    <w:rsid w:val="0006742A"/>
    <w:rsid w:val="00067A80"/>
    <w:rsid w:val="00067D63"/>
    <w:rsid w:val="000740E5"/>
    <w:rsid w:val="000744B7"/>
    <w:rsid w:val="00074D21"/>
    <w:rsid w:val="0007753E"/>
    <w:rsid w:val="000776B6"/>
    <w:rsid w:val="00080EDD"/>
    <w:rsid w:val="0008108E"/>
    <w:rsid w:val="00082EC3"/>
    <w:rsid w:val="00084499"/>
    <w:rsid w:val="00086D73"/>
    <w:rsid w:val="00091E58"/>
    <w:rsid w:val="00093619"/>
    <w:rsid w:val="000960A4"/>
    <w:rsid w:val="000961B6"/>
    <w:rsid w:val="00096A49"/>
    <w:rsid w:val="000A26A0"/>
    <w:rsid w:val="000A7899"/>
    <w:rsid w:val="000B0696"/>
    <w:rsid w:val="000B5D16"/>
    <w:rsid w:val="000B7C98"/>
    <w:rsid w:val="000C24E2"/>
    <w:rsid w:val="000C296B"/>
    <w:rsid w:val="000C2F65"/>
    <w:rsid w:val="000C314E"/>
    <w:rsid w:val="000C7C36"/>
    <w:rsid w:val="000D021A"/>
    <w:rsid w:val="000D17E7"/>
    <w:rsid w:val="000D45A6"/>
    <w:rsid w:val="000D6467"/>
    <w:rsid w:val="000E5537"/>
    <w:rsid w:val="000F7411"/>
    <w:rsid w:val="00100AB6"/>
    <w:rsid w:val="0011022C"/>
    <w:rsid w:val="0011283B"/>
    <w:rsid w:val="00112CD4"/>
    <w:rsid w:val="00114CF3"/>
    <w:rsid w:val="00116F1F"/>
    <w:rsid w:val="001202AA"/>
    <w:rsid w:val="00120DB1"/>
    <w:rsid w:val="001236DA"/>
    <w:rsid w:val="001307EB"/>
    <w:rsid w:val="00132794"/>
    <w:rsid w:val="00132FF2"/>
    <w:rsid w:val="00137837"/>
    <w:rsid w:val="0014060C"/>
    <w:rsid w:val="00140949"/>
    <w:rsid w:val="0014692D"/>
    <w:rsid w:val="001474A4"/>
    <w:rsid w:val="001503C2"/>
    <w:rsid w:val="001505B8"/>
    <w:rsid w:val="0015619F"/>
    <w:rsid w:val="0015799C"/>
    <w:rsid w:val="00161128"/>
    <w:rsid w:val="00163236"/>
    <w:rsid w:val="00163F29"/>
    <w:rsid w:val="00164FC3"/>
    <w:rsid w:val="0016537A"/>
    <w:rsid w:val="001662B9"/>
    <w:rsid w:val="00167D55"/>
    <w:rsid w:val="00172A27"/>
    <w:rsid w:val="00177349"/>
    <w:rsid w:val="00196AB7"/>
    <w:rsid w:val="001A1B64"/>
    <w:rsid w:val="001A2705"/>
    <w:rsid w:val="001A2D89"/>
    <w:rsid w:val="001A3C11"/>
    <w:rsid w:val="001A42DB"/>
    <w:rsid w:val="001A74D9"/>
    <w:rsid w:val="001B3D36"/>
    <w:rsid w:val="001B666B"/>
    <w:rsid w:val="001B7A47"/>
    <w:rsid w:val="001C1815"/>
    <w:rsid w:val="001C3846"/>
    <w:rsid w:val="001C3E5B"/>
    <w:rsid w:val="001C45D1"/>
    <w:rsid w:val="001C5282"/>
    <w:rsid w:val="001D028B"/>
    <w:rsid w:val="001D0DE0"/>
    <w:rsid w:val="001D2F82"/>
    <w:rsid w:val="001E035C"/>
    <w:rsid w:val="001E07E0"/>
    <w:rsid w:val="001F08E9"/>
    <w:rsid w:val="001F136F"/>
    <w:rsid w:val="001F4AAA"/>
    <w:rsid w:val="001F5FDA"/>
    <w:rsid w:val="002011AD"/>
    <w:rsid w:val="0020144A"/>
    <w:rsid w:val="00202D63"/>
    <w:rsid w:val="00202E28"/>
    <w:rsid w:val="00203BFE"/>
    <w:rsid w:val="00205FDC"/>
    <w:rsid w:val="00207AE5"/>
    <w:rsid w:val="00212A5F"/>
    <w:rsid w:val="00213954"/>
    <w:rsid w:val="00215C15"/>
    <w:rsid w:val="002161CA"/>
    <w:rsid w:val="00216329"/>
    <w:rsid w:val="00216906"/>
    <w:rsid w:val="00222740"/>
    <w:rsid w:val="00222F7A"/>
    <w:rsid w:val="00223F62"/>
    <w:rsid w:val="002261A8"/>
    <w:rsid w:val="0022730E"/>
    <w:rsid w:val="00231B07"/>
    <w:rsid w:val="00240555"/>
    <w:rsid w:val="00240D7E"/>
    <w:rsid w:val="002433D2"/>
    <w:rsid w:val="00244BE9"/>
    <w:rsid w:val="00252D74"/>
    <w:rsid w:val="00254D31"/>
    <w:rsid w:val="00255979"/>
    <w:rsid w:val="00255D75"/>
    <w:rsid w:val="002561BF"/>
    <w:rsid w:val="00260A47"/>
    <w:rsid w:val="00261C5B"/>
    <w:rsid w:val="00270D92"/>
    <w:rsid w:val="00271A3C"/>
    <w:rsid w:val="00273D40"/>
    <w:rsid w:val="00275D45"/>
    <w:rsid w:val="00276FA1"/>
    <w:rsid w:val="0027757B"/>
    <w:rsid w:val="00280335"/>
    <w:rsid w:val="002851C3"/>
    <w:rsid w:val="002868A7"/>
    <w:rsid w:val="002925D3"/>
    <w:rsid w:val="00297F15"/>
    <w:rsid w:val="002A0A4C"/>
    <w:rsid w:val="002A1790"/>
    <w:rsid w:val="002A4342"/>
    <w:rsid w:val="002A6597"/>
    <w:rsid w:val="002B35FC"/>
    <w:rsid w:val="002B5CC9"/>
    <w:rsid w:val="002B5F03"/>
    <w:rsid w:val="002B7F8B"/>
    <w:rsid w:val="002C0D02"/>
    <w:rsid w:val="002C2B43"/>
    <w:rsid w:val="002C3E6B"/>
    <w:rsid w:val="002C413D"/>
    <w:rsid w:val="002C4630"/>
    <w:rsid w:val="002D3FEA"/>
    <w:rsid w:val="002D6BB8"/>
    <w:rsid w:val="002D780C"/>
    <w:rsid w:val="002E1B20"/>
    <w:rsid w:val="002E4523"/>
    <w:rsid w:val="002E5354"/>
    <w:rsid w:val="002E6548"/>
    <w:rsid w:val="002E7540"/>
    <w:rsid w:val="002E78C0"/>
    <w:rsid w:val="002F1BCB"/>
    <w:rsid w:val="002F27F9"/>
    <w:rsid w:val="002F5751"/>
    <w:rsid w:val="002F716B"/>
    <w:rsid w:val="0030170F"/>
    <w:rsid w:val="00301A3B"/>
    <w:rsid w:val="0030358B"/>
    <w:rsid w:val="00310A86"/>
    <w:rsid w:val="00311BFC"/>
    <w:rsid w:val="00312338"/>
    <w:rsid w:val="003167FF"/>
    <w:rsid w:val="003217B8"/>
    <w:rsid w:val="003237D9"/>
    <w:rsid w:val="003309B8"/>
    <w:rsid w:val="0033361A"/>
    <w:rsid w:val="00337214"/>
    <w:rsid w:val="0033728A"/>
    <w:rsid w:val="00340FBD"/>
    <w:rsid w:val="00343EC5"/>
    <w:rsid w:val="00344E97"/>
    <w:rsid w:val="003458DD"/>
    <w:rsid w:val="00346FD6"/>
    <w:rsid w:val="003472F5"/>
    <w:rsid w:val="003510EC"/>
    <w:rsid w:val="003515A8"/>
    <w:rsid w:val="0035269E"/>
    <w:rsid w:val="003543BC"/>
    <w:rsid w:val="00355298"/>
    <w:rsid w:val="00356AB6"/>
    <w:rsid w:val="00356B73"/>
    <w:rsid w:val="003577F6"/>
    <w:rsid w:val="00361C53"/>
    <w:rsid w:val="00362447"/>
    <w:rsid w:val="00371116"/>
    <w:rsid w:val="0037302D"/>
    <w:rsid w:val="00373515"/>
    <w:rsid w:val="00373E7F"/>
    <w:rsid w:val="00375001"/>
    <w:rsid w:val="00376577"/>
    <w:rsid w:val="00377D84"/>
    <w:rsid w:val="00380738"/>
    <w:rsid w:val="00383306"/>
    <w:rsid w:val="00384482"/>
    <w:rsid w:val="003846B2"/>
    <w:rsid w:val="00385E52"/>
    <w:rsid w:val="00387970"/>
    <w:rsid w:val="00391928"/>
    <w:rsid w:val="003919E1"/>
    <w:rsid w:val="00392692"/>
    <w:rsid w:val="00395172"/>
    <w:rsid w:val="003A0651"/>
    <w:rsid w:val="003A34DC"/>
    <w:rsid w:val="003A360E"/>
    <w:rsid w:val="003A48E1"/>
    <w:rsid w:val="003A7211"/>
    <w:rsid w:val="003B0B64"/>
    <w:rsid w:val="003B3663"/>
    <w:rsid w:val="003C1FBD"/>
    <w:rsid w:val="003C2091"/>
    <w:rsid w:val="003C2474"/>
    <w:rsid w:val="003C34D8"/>
    <w:rsid w:val="003C7DB6"/>
    <w:rsid w:val="003D0F5F"/>
    <w:rsid w:val="003D4FE5"/>
    <w:rsid w:val="003D62AA"/>
    <w:rsid w:val="003E078E"/>
    <w:rsid w:val="003E1944"/>
    <w:rsid w:val="003E3B36"/>
    <w:rsid w:val="003E445D"/>
    <w:rsid w:val="003E4D6D"/>
    <w:rsid w:val="003E76A2"/>
    <w:rsid w:val="003F03B2"/>
    <w:rsid w:val="003F19B5"/>
    <w:rsid w:val="003F1CA1"/>
    <w:rsid w:val="003F298D"/>
    <w:rsid w:val="003F58B4"/>
    <w:rsid w:val="003F710E"/>
    <w:rsid w:val="00401289"/>
    <w:rsid w:val="0040513D"/>
    <w:rsid w:val="004074F3"/>
    <w:rsid w:val="00410BB9"/>
    <w:rsid w:val="004137FD"/>
    <w:rsid w:val="00413EFB"/>
    <w:rsid w:val="00416D63"/>
    <w:rsid w:val="0041740B"/>
    <w:rsid w:val="00421230"/>
    <w:rsid w:val="004241E3"/>
    <w:rsid w:val="00424FA0"/>
    <w:rsid w:val="004278F1"/>
    <w:rsid w:val="004279A4"/>
    <w:rsid w:val="0043095A"/>
    <w:rsid w:val="00431055"/>
    <w:rsid w:val="00433B4B"/>
    <w:rsid w:val="0043486C"/>
    <w:rsid w:val="00436CA8"/>
    <w:rsid w:val="00437005"/>
    <w:rsid w:val="00452379"/>
    <w:rsid w:val="004535C1"/>
    <w:rsid w:val="00455128"/>
    <w:rsid w:val="0046017A"/>
    <w:rsid w:val="0046312D"/>
    <w:rsid w:val="004652D2"/>
    <w:rsid w:val="004663CB"/>
    <w:rsid w:val="0047157C"/>
    <w:rsid w:val="00471CFD"/>
    <w:rsid w:val="00474574"/>
    <w:rsid w:val="004814E7"/>
    <w:rsid w:val="0048307C"/>
    <w:rsid w:val="004921BB"/>
    <w:rsid w:val="004943B1"/>
    <w:rsid w:val="004A1324"/>
    <w:rsid w:val="004A14C9"/>
    <w:rsid w:val="004A2A96"/>
    <w:rsid w:val="004A3F59"/>
    <w:rsid w:val="004A51F3"/>
    <w:rsid w:val="004B212A"/>
    <w:rsid w:val="004B2422"/>
    <w:rsid w:val="004C0F6C"/>
    <w:rsid w:val="004C3143"/>
    <w:rsid w:val="004C3774"/>
    <w:rsid w:val="004C4A58"/>
    <w:rsid w:val="004C636A"/>
    <w:rsid w:val="004D09F0"/>
    <w:rsid w:val="004D1FE1"/>
    <w:rsid w:val="004D4D0B"/>
    <w:rsid w:val="004E0204"/>
    <w:rsid w:val="004E0815"/>
    <w:rsid w:val="004E2CF8"/>
    <w:rsid w:val="004F010A"/>
    <w:rsid w:val="004F220B"/>
    <w:rsid w:val="004F29EC"/>
    <w:rsid w:val="004F2FE1"/>
    <w:rsid w:val="004F3A58"/>
    <w:rsid w:val="004F54AA"/>
    <w:rsid w:val="004F550E"/>
    <w:rsid w:val="004F653D"/>
    <w:rsid w:val="00500F82"/>
    <w:rsid w:val="00505E44"/>
    <w:rsid w:val="005100A3"/>
    <w:rsid w:val="00524564"/>
    <w:rsid w:val="0052516E"/>
    <w:rsid w:val="00527334"/>
    <w:rsid w:val="00527F3E"/>
    <w:rsid w:val="00542801"/>
    <w:rsid w:val="0054542F"/>
    <w:rsid w:val="005465D1"/>
    <w:rsid w:val="00550C9D"/>
    <w:rsid w:val="0055186A"/>
    <w:rsid w:val="00553E42"/>
    <w:rsid w:val="00554D43"/>
    <w:rsid w:val="00556628"/>
    <w:rsid w:val="00565B42"/>
    <w:rsid w:val="00566AEF"/>
    <w:rsid w:val="005671D0"/>
    <w:rsid w:val="00572057"/>
    <w:rsid w:val="005730A2"/>
    <w:rsid w:val="00575415"/>
    <w:rsid w:val="005777CB"/>
    <w:rsid w:val="00577D97"/>
    <w:rsid w:val="00585068"/>
    <w:rsid w:val="005873D7"/>
    <w:rsid w:val="005923FB"/>
    <w:rsid w:val="00593A0C"/>
    <w:rsid w:val="0059694F"/>
    <w:rsid w:val="005A1025"/>
    <w:rsid w:val="005A19B1"/>
    <w:rsid w:val="005A325F"/>
    <w:rsid w:val="005A4A6C"/>
    <w:rsid w:val="005A5089"/>
    <w:rsid w:val="005B5322"/>
    <w:rsid w:val="005C1A23"/>
    <w:rsid w:val="005C1AB3"/>
    <w:rsid w:val="005C57E0"/>
    <w:rsid w:val="005C5869"/>
    <w:rsid w:val="005D3123"/>
    <w:rsid w:val="005D5AA2"/>
    <w:rsid w:val="005D7F80"/>
    <w:rsid w:val="005E0958"/>
    <w:rsid w:val="005E181F"/>
    <w:rsid w:val="005E6149"/>
    <w:rsid w:val="005F4032"/>
    <w:rsid w:val="00600A3F"/>
    <w:rsid w:val="00602112"/>
    <w:rsid w:val="00602465"/>
    <w:rsid w:val="00603844"/>
    <w:rsid w:val="00612BAB"/>
    <w:rsid w:val="00612C94"/>
    <w:rsid w:val="00613CC5"/>
    <w:rsid w:val="00614865"/>
    <w:rsid w:val="00616459"/>
    <w:rsid w:val="006169F8"/>
    <w:rsid w:val="00620666"/>
    <w:rsid w:val="006237B1"/>
    <w:rsid w:val="00623EAF"/>
    <w:rsid w:val="0062725D"/>
    <w:rsid w:val="0063089E"/>
    <w:rsid w:val="00631685"/>
    <w:rsid w:val="00633363"/>
    <w:rsid w:val="00633EE9"/>
    <w:rsid w:val="006357EE"/>
    <w:rsid w:val="006358C5"/>
    <w:rsid w:val="0064230B"/>
    <w:rsid w:val="006430A0"/>
    <w:rsid w:val="0064529F"/>
    <w:rsid w:val="00646EED"/>
    <w:rsid w:val="00652C80"/>
    <w:rsid w:val="00652C89"/>
    <w:rsid w:val="006636FB"/>
    <w:rsid w:val="0066425D"/>
    <w:rsid w:val="00670568"/>
    <w:rsid w:val="00675EBC"/>
    <w:rsid w:val="00677BE4"/>
    <w:rsid w:val="006802A2"/>
    <w:rsid w:val="006907C1"/>
    <w:rsid w:val="0069218D"/>
    <w:rsid w:val="006939FC"/>
    <w:rsid w:val="006948D7"/>
    <w:rsid w:val="00697C01"/>
    <w:rsid w:val="006A1BBD"/>
    <w:rsid w:val="006A232A"/>
    <w:rsid w:val="006A31F3"/>
    <w:rsid w:val="006A5767"/>
    <w:rsid w:val="006B43BE"/>
    <w:rsid w:val="006B55CD"/>
    <w:rsid w:val="006B7043"/>
    <w:rsid w:val="006C1236"/>
    <w:rsid w:val="006C5936"/>
    <w:rsid w:val="006C6366"/>
    <w:rsid w:val="006D1682"/>
    <w:rsid w:val="006D1F6D"/>
    <w:rsid w:val="006D3A10"/>
    <w:rsid w:val="006D753A"/>
    <w:rsid w:val="006E1167"/>
    <w:rsid w:val="006E284A"/>
    <w:rsid w:val="006E2A6C"/>
    <w:rsid w:val="006E3886"/>
    <w:rsid w:val="006E4B6B"/>
    <w:rsid w:val="006F15FC"/>
    <w:rsid w:val="006F27C9"/>
    <w:rsid w:val="006F3E6E"/>
    <w:rsid w:val="006F4AC7"/>
    <w:rsid w:val="006F6A39"/>
    <w:rsid w:val="006F6D41"/>
    <w:rsid w:val="00700BC8"/>
    <w:rsid w:val="0070194D"/>
    <w:rsid w:val="007031BD"/>
    <w:rsid w:val="007060EC"/>
    <w:rsid w:val="007112C6"/>
    <w:rsid w:val="0071174F"/>
    <w:rsid w:val="00714842"/>
    <w:rsid w:val="0071519C"/>
    <w:rsid w:val="007206D2"/>
    <w:rsid w:val="00720826"/>
    <w:rsid w:val="00722C13"/>
    <w:rsid w:val="00722E58"/>
    <w:rsid w:val="007239AA"/>
    <w:rsid w:val="00723BA4"/>
    <w:rsid w:val="007347A8"/>
    <w:rsid w:val="00734FB0"/>
    <w:rsid w:val="00736912"/>
    <w:rsid w:val="007477CE"/>
    <w:rsid w:val="00750320"/>
    <w:rsid w:val="007524E0"/>
    <w:rsid w:val="00753344"/>
    <w:rsid w:val="007536BE"/>
    <w:rsid w:val="007539DE"/>
    <w:rsid w:val="00754522"/>
    <w:rsid w:val="00755513"/>
    <w:rsid w:val="007606DF"/>
    <w:rsid w:val="00760BAB"/>
    <w:rsid w:val="00764575"/>
    <w:rsid w:val="007704B1"/>
    <w:rsid w:val="007704D8"/>
    <w:rsid w:val="00772D82"/>
    <w:rsid w:val="00775D40"/>
    <w:rsid w:val="0077691E"/>
    <w:rsid w:val="00781837"/>
    <w:rsid w:val="00782352"/>
    <w:rsid w:val="007823CF"/>
    <w:rsid w:val="00785412"/>
    <w:rsid w:val="00792D0A"/>
    <w:rsid w:val="0079652A"/>
    <w:rsid w:val="007A13A6"/>
    <w:rsid w:val="007A5DE1"/>
    <w:rsid w:val="007B2FD0"/>
    <w:rsid w:val="007B3A50"/>
    <w:rsid w:val="007C552C"/>
    <w:rsid w:val="007C69C5"/>
    <w:rsid w:val="007D22C7"/>
    <w:rsid w:val="007D3403"/>
    <w:rsid w:val="007D5983"/>
    <w:rsid w:val="007D5F7A"/>
    <w:rsid w:val="007E0BF9"/>
    <w:rsid w:val="007E1963"/>
    <w:rsid w:val="007E380E"/>
    <w:rsid w:val="007E4E1F"/>
    <w:rsid w:val="007F0641"/>
    <w:rsid w:val="007F2E55"/>
    <w:rsid w:val="007F5CA2"/>
    <w:rsid w:val="0080136F"/>
    <w:rsid w:val="0080168E"/>
    <w:rsid w:val="008049C7"/>
    <w:rsid w:val="00806699"/>
    <w:rsid w:val="00807C1C"/>
    <w:rsid w:val="00811AE1"/>
    <w:rsid w:val="00813D33"/>
    <w:rsid w:val="00817233"/>
    <w:rsid w:val="00823BDB"/>
    <w:rsid w:val="008249DC"/>
    <w:rsid w:val="008249DD"/>
    <w:rsid w:val="0082579B"/>
    <w:rsid w:val="00827882"/>
    <w:rsid w:val="00831073"/>
    <w:rsid w:val="00831871"/>
    <w:rsid w:val="00831C85"/>
    <w:rsid w:val="008340DA"/>
    <w:rsid w:val="00834AEB"/>
    <w:rsid w:val="00835279"/>
    <w:rsid w:val="00843933"/>
    <w:rsid w:val="008523D4"/>
    <w:rsid w:val="008561C8"/>
    <w:rsid w:val="00863B15"/>
    <w:rsid w:val="0086431F"/>
    <w:rsid w:val="00866FE0"/>
    <w:rsid w:val="00873832"/>
    <w:rsid w:val="00882251"/>
    <w:rsid w:val="0088474D"/>
    <w:rsid w:val="00886E7D"/>
    <w:rsid w:val="00886E83"/>
    <w:rsid w:val="008877CA"/>
    <w:rsid w:val="00890235"/>
    <w:rsid w:val="008928ED"/>
    <w:rsid w:val="00893C95"/>
    <w:rsid w:val="0089426F"/>
    <w:rsid w:val="008957F8"/>
    <w:rsid w:val="00896DBE"/>
    <w:rsid w:val="00897B38"/>
    <w:rsid w:val="008A0D51"/>
    <w:rsid w:val="008A27A6"/>
    <w:rsid w:val="008A2DFE"/>
    <w:rsid w:val="008A58C0"/>
    <w:rsid w:val="008B2B43"/>
    <w:rsid w:val="008B365F"/>
    <w:rsid w:val="008B5440"/>
    <w:rsid w:val="008B6EF3"/>
    <w:rsid w:val="008C194F"/>
    <w:rsid w:val="008C3443"/>
    <w:rsid w:val="008C4537"/>
    <w:rsid w:val="008C4BC7"/>
    <w:rsid w:val="008C597D"/>
    <w:rsid w:val="008C6342"/>
    <w:rsid w:val="008C7B40"/>
    <w:rsid w:val="008D0582"/>
    <w:rsid w:val="008D38ED"/>
    <w:rsid w:val="008D3C24"/>
    <w:rsid w:val="008D43D1"/>
    <w:rsid w:val="008E1482"/>
    <w:rsid w:val="008E1AD7"/>
    <w:rsid w:val="008E2546"/>
    <w:rsid w:val="008E3E0C"/>
    <w:rsid w:val="008E637C"/>
    <w:rsid w:val="008E63ED"/>
    <w:rsid w:val="008F38D9"/>
    <w:rsid w:val="008F7D01"/>
    <w:rsid w:val="00902DA8"/>
    <w:rsid w:val="00904A11"/>
    <w:rsid w:val="009072E5"/>
    <w:rsid w:val="00910F4C"/>
    <w:rsid w:val="00917251"/>
    <w:rsid w:val="00917B9E"/>
    <w:rsid w:val="00917D8D"/>
    <w:rsid w:val="00921D9A"/>
    <w:rsid w:val="009221B0"/>
    <w:rsid w:val="00924071"/>
    <w:rsid w:val="00930024"/>
    <w:rsid w:val="00932140"/>
    <w:rsid w:val="00932BD4"/>
    <w:rsid w:val="0093363C"/>
    <w:rsid w:val="0093430C"/>
    <w:rsid w:val="00934CB3"/>
    <w:rsid w:val="009353C6"/>
    <w:rsid w:val="0093710F"/>
    <w:rsid w:val="00937E5F"/>
    <w:rsid w:val="00941770"/>
    <w:rsid w:val="009432AF"/>
    <w:rsid w:val="009506F2"/>
    <w:rsid w:val="00950B8B"/>
    <w:rsid w:val="00953BD5"/>
    <w:rsid w:val="00955C4D"/>
    <w:rsid w:val="0095633B"/>
    <w:rsid w:val="00956499"/>
    <w:rsid w:val="00957596"/>
    <w:rsid w:val="009677C0"/>
    <w:rsid w:val="00970C02"/>
    <w:rsid w:val="00971B09"/>
    <w:rsid w:val="00972F0D"/>
    <w:rsid w:val="00973D4B"/>
    <w:rsid w:val="00975676"/>
    <w:rsid w:val="00981962"/>
    <w:rsid w:val="00990003"/>
    <w:rsid w:val="00990C17"/>
    <w:rsid w:val="00991B32"/>
    <w:rsid w:val="009937E4"/>
    <w:rsid w:val="0099473A"/>
    <w:rsid w:val="00997B4B"/>
    <w:rsid w:val="009A0651"/>
    <w:rsid w:val="009A2BF5"/>
    <w:rsid w:val="009A5E7E"/>
    <w:rsid w:val="009A5F06"/>
    <w:rsid w:val="009B2A91"/>
    <w:rsid w:val="009B2C10"/>
    <w:rsid w:val="009B3BC2"/>
    <w:rsid w:val="009B589E"/>
    <w:rsid w:val="009B59D2"/>
    <w:rsid w:val="009C0591"/>
    <w:rsid w:val="009C090E"/>
    <w:rsid w:val="009C0E6D"/>
    <w:rsid w:val="009C1567"/>
    <w:rsid w:val="009C33D5"/>
    <w:rsid w:val="009C56CE"/>
    <w:rsid w:val="009C5B37"/>
    <w:rsid w:val="009C67E9"/>
    <w:rsid w:val="009C797E"/>
    <w:rsid w:val="009D0543"/>
    <w:rsid w:val="009D0DDC"/>
    <w:rsid w:val="009D1220"/>
    <w:rsid w:val="009D25EA"/>
    <w:rsid w:val="009D7429"/>
    <w:rsid w:val="009D7EFB"/>
    <w:rsid w:val="009E060E"/>
    <w:rsid w:val="009E20C5"/>
    <w:rsid w:val="009E281B"/>
    <w:rsid w:val="009E29F7"/>
    <w:rsid w:val="009E4950"/>
    <w:rsid w:val="009F206D"/>
    <w:rsid w:val="009F2627"/>
    <w:rsid w:val="009F3DCA"/>
    <w:rsid w:val="009F4908"/>
    <w:rsid w:val="009F557F"/>
    <w:rsid w:val="009F7369"/>
    <w:rsid w:val="009F78C8"/>
    <w:rsid w:val="00A00775"/>
    <w:rsid w:val="00A02ABC"/>
    <w:rsid w:val="00A03707"/>
    <w:rsid w:val="00A047AA"/>
    <w:rsid w:val="00A04A75"/>
    <w:rsid w:val="00A04F8F"/>
    <w:rsid w:val="00A10C7D"/>
    <w:rsid w:val="00A1343F"/>
    <w:rsid w:val="00A21BFB"/>
    <w:rsid w:val="00A23CA2"/>
    <w:rsid w:val="00A24A90"/>
    <w:rsid w:val="00A2501C"/>
    <w:rsid w:val="00A33282"/>
    <w:rsid w:val="00A33491"/>
    <w:rsid w:val="00A34D63"/>
    <w:rsid w:val="00A34F2B"/>
    <w:rsid w:val="00A36443"/>
    <w:rsid w:val="00A412F8"/>
    <w:rsid w:val="00A44745"/>
    <w:rsid w:val="00A50C08"/>
    <w:rsid w:val="00A57527"/>
    <w:rsid w:val="00A64A15"/>
    <w:rsid w:val="00A702A9"/>
    <w:rsid w:val="00A70D13"/>
    <w:rsid w:val="00A73497"/>
    <w:rsid w:val="00A75327"/>
    <w:rsid w:val="00A8066B"/>
    <w:rsid w:val="00A80F56"/>
    <w:rsid w:val="00A92FFB"/>
    <w:rsid w:val="00A93FC0"/>
    <w:rsid w:val="00A94D98"/>
    <w:rsid w:val="00A94F6C"/>
    <w:rsid w:val="00A97D06"/>
    <w:rsid w:val="00AA190E"/>
    <w:rsid w:val="00AA410D"/>
    <w:rsid w:val="00AA6793"/>
    <w:rsid w:val="00AA7912"/>
    <w:rsid w:val="00AB1869"/>
    <w:rsid w:val="00AB1E3E"/>
    <w:rsid w:val="00AC0163"/>
    <w:rsid w:val="00AC0256"/>
    <w:rsid w:val="00AC2B0D"/>
    <w:rsid w:val="00AC5D27"/>
    <w:rsid w:val="00AC5E3E"/>
    <w:rsid w:val="00AD1B07"/>
    <w:rsid w:val="00AD4DAB"/>
    <w:rsid w:val="00AD5656"/>
    <w:rsid w:val="00AD77EE"/>
    <w:rsid w:val="00AE0282"/>
    <w:rsid w:val="00AE1009"/>
    <w:rsid w:val="00AE1A20"/>
    <w:rsid w:val="00AE4E6E"/>
    <w:rsid w:val="00AE5958"/>
    <w:rsid w:val="00AF341D"/>
    <w:rsid w:val="00B00363"/>
    <w:rsid w:val="00B012CD"/>
    <w:rsid w:val="00B01301"/>
    <w:rsid w:val="00B01644"/>
    <w:rsid w:val="00B04046"/>
    <w:rsid w:val="00B0444C"/>
    <w:rsid w:val="00B057FD"/>
    <w:rsid w:val="00B06D74"/>
    <w:rsid w:val="00B12E13"/>
    <w:rsid w:val="00B14E38"/>
    <w:rsid w:val="00B1695A"/>
    <w:rsid w:val="00B234C2"/>
    <w:rsid w:val="00B23F78"/>
    <w:rsid w:val="00B27DD7"/>
    <w:rsid w:val="00B330B3"/>
    <w:rsid w:val="00B345BB"/>
    <w:rsid w:val="00B35E3D"/>
    <w:rsid w:val="00B37663"/>
    <w:rsid w:val="00B46A67"/>
    <w:rsid w:val="00B46D44"/>
    <w:rsid w:val="00B5153E"/>
    <w:rsid w:val="00B51E27"/>
    <w:rsid w:val="00B53656"/>
    <w:rsid w:val="00B63DF2"/>
    <w:rsid w:val="00B65DFA"/>
    <w:rsid w:val="00B700E2"/>
    <w:rsid w:val="00B71FCC"/>
    <w:rsid w:val="00B7334B"/>
    <w:rsid w:val="00B750BD"/>
    <w:rsid w:val="00B8058F"/>
    <w:rsid w:val="00B8103A"/>
    <w:rsid w:val="00B83E0D"/>
    <w:rsid w:val="00B85CD0"/>
    <w:rsid w:val="00B878F6"/>
    <w:rsid w:val="00B92CBD"/>
    <w:rsid w:val="00B92F23"/>
    <w:rsid w:val="00B95DA7"/>
    <w:rsid w:val="00B96E56"/>
    <w:rsid w:val="00BA10CB"/>
    <w:rsid w:val="00BA1E0D"/>
    <w:rsid w:val="00BA30BC"/>
    <w:rsid w:val="00BA577A"/>
    <w:rsid w:val="00BA64EB"/>
    <w:rsid w:val="00BA78D7"/>
    <w:rsid w:val="00BB2521"/>
    <w:rsid w:val="00BB4518"/>
    <w:rsid w:val="00BB6771"/>
    <w:rsid w:val="00BC170D"/>
    <w:rsid w:val="00BC46F3"/>
    <w:rsid w:val="00BC518A"/>
    <w:rsid w:val="00BD10F2"/>
    <w:rsid w:val="00BD2331"/>
    <w:rsid w:val="00BD2D21"/>
    <w:rsid w:val="00BE4640"/>
    <w:rsid w:val="00BE4F5F"/>
    <w:rsid w:val="00BF40B3"/>
    <w:rsid w:val="00BF5027"/>
    <w:rsid w:val="00C022FB"/>
    <w:rsid w:val="00C056B3"/>
    <w:rsid w:val="00C06B0F"/>
    <w:rsid w:val="00C105E7"/>
    <w:rsid w:val="00C12F00"/>
    <w:rsid w:val="00C1372F"/>
    <w:rsid w:val="00C13CF4"/>
    <w:rsid w:val="00C146B3"/>
    <w:rsid w:val="00C14E03"/>
    <w:rsid w:val="00C15D7E"/>
    <w:rsid w:val="00C17F0A"/>
    <w:rsid w:val="00C239C7"/>
    <w:rsid w:val="00C33DC5"/>
    <w:rsid w:val="00C346E8"/>
    <w:rsid w:val="00C36642"/>
    <w:rsid w:val="00C366EA"/>
    <w:rsid w:val="00C3672B"/>
    <w:rsid w:val="00C36CB6"/>
    <w:rsid w:val="00C379B8"/>
    <w:rsid w:val="00C37ACA"/>
    <w:rsid w:val="00C40DE5"/>
    <w:rsid w:val="00C43D33"/>
    <w:rsid w:val="00C43E3F"/>
    <w:rsid w:val="00C45A11"/>
    <w:rsid w:val="00C4636D"/>
    <w:rsid w:val="00C5391A"/>
    <w:rsid w:val="00C54003"/>
    <w:rsid w:val="00C568C3"/>
    <w:rsid w:val="00C623D9"/>
    <w:rsid w:val="00C708E4"/>
    <w:rsid w:val="00C747A1"/>
    <w:rsid w:val="00C76B54"/>
    <w:rsid w:val="00C76F02"/>
    <w:rsid w:val="00C77444"/>
    <w:rsid w:val="00C80386"/>
    <w:rsid w:val="00C81CE0"/>
    <w:rsid w:val="00C83733"/>
    <w:rsid w:val="00C85117"/>
    <w:rsid w:val="00C85FC2"/>
    <w:rsid w:val="00C9094B"/>
    <w:rsid w:val="00C90DED"/>
    <w:rsid w:val="00C91CF0"/>
    <w:rsid w:val="00C95402"/>
    <w:rsid w:val="00CA4188"/>
    <w:rsid w:val="00CA4F76"/>
    <w:rsid w:val="00CA5C47"/>
    <w:rsid w:val="00CA64AB"/>
    <w:rsid w:val="00CB1099"/>
    <w:rsid w:val="00CB22AE"/>
    <w:rsid w:val="00CB5D2B"/>
    <w:rsid w:val="00CB6394"/>
    <w:rsid w:val="00CB705B"/>
    <w:rsid w:val="00CB7A0A"/>
    <w:rsid w:val="00CC089A"/>
    <w:rsid w:val="00CC09DA"/>
    <w:rsid w:val="00CC1307"/>
    <w:rsid w:val="00CC1AE6"/>
    <w:rsid w:val="00CC1D10"/>
    <w:rsid w:val="00CC6586"/>
    <w:rsid w:val="00CC7090"/>
    <w:rsid w:val="00CD00BB"/>
    <w:rsid w:val="00CD0199"/>
    <w:rsid w:val="00CD4ED5"/>
    <w:rsid w:val="00CD6124"/>
    <w:rsid w:val="00CE3A8D"/>
    <w:rsid w:val="00CE70F7"/>
    <w:rsid w:val="00CE78DD"/>
    <w:rsid w:val="00CF365B"/>
    <w:rsid w:val="00CF4CC8"/>
    <w:rsid w:val="00CF77A8"/>
    <w:rsid w:val="00D027DA"/>
    <w:rsid w:val="00D0540A"/>
    <w:rsid w:val="00D05FAF"/>
    <w:rsid w:val="00D11F79"/>
    <w:rsid w:val="00D1761F"/>
    <w:rsid w:val="00D20019"/>
    <w:rsid w:val="00D20B54"/>
    <w:rsid w:val="00D2195C"/>
    <w:rsid w:val="00D227EA"/>
    <w:rsid w:val="00D2534B"/>
    <w:rsid w:val="00D26CA6"/>
    <w:rsid w:val="00D3126C"/>
    <w:rsid w:val="00D31DA9"/>
    <w:rsid w:val="00D3350D"/>
    <w:rsid w:val="00D34B9F"/>
    <w:rsid w:val="00D35A66"/>
    <w:rsid w:val="00D35E8E"/>
    <w:rsid w:val="00D36681"/>
    <w:rsid w:val="00D42BD4"/>
    <w:rsid w:val="00D439A9"/>
    <w:rsid w:val="00D457B6"/>
    <w:rsid w:val="00D515D2"/>
    <w:rsid w:val="00D60E52"/>
    <w:rsid w:val="00D61159"/>
    <w:rsid w:val="00D61F52"/>
    <w:rsid w:val="00D62ED8"/>
    <w:rsid w:val="00D65057"/>
    <w:rsid w:val="00D70C12"/>
    <w:rsid w:val="00D71BDF"/>
    <w:rsid w:val="00D71F9C"/>
    <w:rsid w:val="00D755AB"/>
    <w:rsid w:val="00D75C8A"/>
    <w:rsid w:val="00D85686"/>
    <w:rsid w:val="00D92A03"/>
    <w:rsid w:val="00D95431"/>
    <w:rsid w:val="00D97C70"/>
    <w:rsid w:val="00DA0114"/>
    <w:rsid w:val="00DA2635"/>
    <w:rsid w:val="00DA289C"/>
    <w:rsid w:val="00DA692B"/>
    <w:rsid w:val="00DA7011"/>
    <w:rsid w:val="00DB1250"/>
    <w:rsid w:val="00DB3BE4"/>
    <w:rsid w:val="00DC2D9B"/>
    <w:rsid w:val="00DC3E7C"/>
    <w:rsid w:val="00DC518F"/>
    <w:rsid w:val="00DC7119"/>
    <w:rsid w:val="00DC71BF"/>
    <w:rsid w:val="00DD12E1"/>
    <w:rsid w:val="00DD1A81"/>
    <w:rsid w:val="00DD699C"/>
    <w:rsid w:val="00DE01F1"/>
    <w:rsid w:val="00DE7222"/>
    <w:rsid w:val="00DF070C"/>
    <w:rsid w:val="00DF2E31"/>
    <w:rsid w:val="00DF4AA0"/>
    <w:rsid w:val="00DF56AD"/>
    <w:rsid w:val="00DF5723"/>
    <w:rsid w:val="00E00A58"/>
    <w:rsid w:val="00E01F08"/>
    <w:rsid w:val="00E03397"/>
    <w:rsid w:val="00E03B78"/>
    <w:rsid w:val="00E04E07"/>
    <w:rsid w:val="00E05071"/>
    <w:rsid w:val="00E0708F"/>
    <w:rsid w:val="00E131F7"/>
    <w:rsid w:val="00E15D29"/>
    <w:rsid w:val="00E16921"/>
    <w:rsid w:val="00E169CF"/>
    <w:rsid w:val="00E16BA3"/>
    <w:rsid w:val="00E20818"/>
    <w:rsid w:val="00E23444"/>
    <w:rsid w:val="00E25909"/>
    <w:rsid w:val="00E260E6"/>
    <w:rsid w:val="00E27795"/>
    <w:rsid w:val="00E30990"/>
    <w:rsid w:val="00E309C7"/>
    <w:rsid w:val="00E32D71"/>
    <w:rsid w:val="00E3691C"/>
    <w:rsid w:val="00E41D4E"/>
    <w:rsid w:val="00E41F23"/>
    <w:rsid w:val="00E42E5E"/>
    <w:rsid w:val="00E42F2B"/>
    <w:rsid w:val="00E43723"/>
    <w:rsid w:val="00E438FF"/>
    <w:rsid w:val="00E43DC1"/>
    <w:rsid w:val="00E465CF"/>
    <w:rsid w:val="00E50A45"/>
    <w:rsid w:val="00E50AC6"/>
    <w:rsid w:val="00E53716"/>
    <w:rsid w:val="00E56245"/>
    <w:rsid w:val="00E568CF"/>
    <w:rsid w:val="00E61F24"/>
    <w:rsid w:val="00E631AC"/>
    <w:rsid w:val="00E63BF1"/>
    <w:rsid w:val="00E63DB4"/>
    <w:rsid w:val="00E63FAF"/>
    <w:rsid w:val="00E716A6"/>
    <w:rsid w:val="00E7367E"/>
    <w:rsid w:val="00E76F26"/>
    <w:rsid w:val="00E81D48"/>
    <w:rsid w:val="00E83604"/>
    <w:rsid w:val="00E901C8"/>
    <w:rsid w:val="00E90AD7"/>
    <w:rsid w:val="00E90F53"/>
    <w:rsid w:val="00E93E0F"/>
    <w:rsid w:val="00E94094"/>
    <w:rsid w:val="00E941BD"/>
    <w:rsid w:val="00EA55DA"/>
    <w:rsid w:val="00EA717C"/>
    <w:rsid w:val="00EB1799"/>
    <w:rsid w:val="00EB17DC"/>
    <w:rsid w:val="00EC359A"/>
    <w:rsid w:val="00EC4FF2"/>
    <w:rsid w:val="00ED0811"/>
    <w:rsid w:val="00ED23D6"/>
    <w:rsid w:val="00ED2A0D"/>
    <w:rsid w:val="00ED581F"/>
    <w:rsid w:val="00ED7E04"/>
    <w:rsid w:val="00EE2187"/>
    <w:rsid w:val="00EE5966"/>
    <w:rsid w:val="00EF1462"/>
    <w:rsid w:val="00EF222F"/>
    <w:rsid w:val="00EF231F"/>
    <w:rsid w:val="00EF2A1A"/>
    <w:rsid w:val="00EF502F"/>
    <w:rsid w:val="00F04998"/>
    <w:rsid w:val="00F057E6"/>
    <w:rsid w:val="00F05FFE"/>
    <w:rsid w:val="00F11557"/>
    <w:rsid w:val="00F1486C"/>
    <w:rsid w:val="00F16532"/>
    <w:rsid w:val="00F173C6"/>
    <w:rsid w:val="00F17641"/>
    <w:rsid w:val="00F20DC4"/>
    <w:rsid w:val="00F251D9"/>
    <w:rsid w:val="00F263DC"/>
    <w:rsid w:val="00F27055"/>
    <w:rsid w:val="00F32409"/>
    <w:rsid w:val="00F3248B"/>
    <w:rsid w:val="00F3307C"/>
    <w:rsid w:val="00F33F05"/>
    <w:rsid w:val="00F36DFF"/>
    <w:rsid w:val="00F3767D"/>
    <w:rsid w:val="00F37FDF"/>
    <w:rsid w:val="00F42052"/>
    <w:rsid w:val="00F46ECA"/>
    <w:rsid w:val="00F52B2E"/>
    <w:rsid w:val="00F53CE7"/>
    <w:rsid w:val="00F548C4"/>
    <w:rsid w:val="00F5592B"/>
    <w:rsid w:val="00F61D7D"/>
    <w:rsid w:val="00F6312D"/>
    <w:rsid w:val="00F64AA5"/>
    <w:rsid w:val="00F6671F"/>
    <w:rsid w:val="00F67079"/>
    <w:rsid w:val="00F723A9"/>
    <w:rsid w:val="00F7301D"/>
    <w:rsid w:val="00F75EB6"/>
    <w:rsid w:val="00F804AD"/>
    <w:rsid w:val="00F8405C"/>
    <w:rsid w:val="00F8490D"/>
    <w:rsid w:val="00F84D4B"/>
    <w:rsid w:val="00F86D16"/>
    <w:rsid w:val="00F93265"/>
    <w:rsid w:val="00F93EFE"/>
    <w:rsid w:val="00F96135"/>
    <w:rsid w:val="00FA18E4"/>
    <w:rsid w:val="00FA1C44"/>
    <w:rsid w:val="00FA348E"/>
    <w:rsid w:val="00FA3B25"/>
    <w:rsid w:val="00FB2B49"/>
    <w:rsid w:val="00FB352D"/>
    <w:rsid w:val="00FB4431"/>
    <w:rsid w:val="00FB6DBC"/>
    <w:rsid w:val="00FC1946"/>
    <w:rsid w:val="00FC38CF"/>
    <w:rsid w:val="00FC43EC"/>
    <w:rsid w:val="00FC6360"/>
    <w:rsid w:val="00FD09D1"/>
    <w:rsid w:val="00FD5426"/>
    <w:rsid w:val="00FE00BE"/>
    <w:rsid w:val="00FE2BA1"/>
    <w:rsid w:val="00FE431D"/>
    <w:rsid w:val="00FE56AD"/>
    <w:rsid w:val="00FE5CC3"/>
    <w:rsid w:val="00FE61FC"/>
    <w:rsid w:val="00FE6D09"/>
    <w:rsid w:val="00FF0D46"/>
    <w:rsid w:val="00FF26E4"/>
    <w:rsid w:val="00FF3F0D"/>
    <w:rsid w:val="00FF466A"/>
    <w:rsid w:val="00FF4774"/>
    <w:rsid w:val="00FF5203"/>
    <w:rsid w:val="00FF5B62"/>
    <w:rsid w:val="011C7C7F"/>
    <w:rsid w:val="01242C13"/>
    <w:rsid w:val="0126127D"/>
    <w:rsid w:val="012F6D31"/>
    <w:rsid w:val="013F0BAE"/>
    <w:rsid w:val="01426CB7"/>
    <w:rsid w:val="014C15F0"/>
    <w:rsid w:val="016A18BB"/>
    <w:rsid w:val="01746760"/>
    <w:rsid w:val="01767F39"/>
    <w:rsid w:val="0178774A"/>
    <w:rsid w:val="01837032"/>
    <w:rsid w:val="01891C53"/>
    <w:rsid w:val="018D0C98"/>
    <w:rsid w:val="018F3568"/>
    <w:rsid w:val="01A026F0"/>
    <w:rsid w:val="01AF1DEF"/>
    <w:rsid w:val="01B5447A"/>
    <w:rsid w:val="01C045F9"/>
    <w:rsid w:val="01C23D30"/>
    <w:rsid w:val="01D85D7E"/>
    <w:rsid w:val="01DD653E"/>
    <w:rsid w:val="01F03100"/>
    <w:rsid w:val="01F91FE9"/>
    <w:rsid w:val="01FC6168"/>
    <w:rsid w:val="020B2A81"/>
    <w:rsid w:val="02205968"/>
    <w:rsid w:val="022E0EC5"/>
    <w:rsid w:val="023C6877"/>
    <w:rsid w:val="023D593B"/>
    <w:rsid w:val="023F1E59"/>
    <w:rsid w:val="024A4B3B"/>
    <w:rsid w:val="02546DDA"/>
    <w:rsid w:val="025E069A"/>
    <w:rsid w:val="02647ECA"/>
    <w:rsid w:val="02676E1B"/>
    <w:rsid w:val="02731095"/>
    <w:rsid w:val="02772BD8"/>
    <w:rsid w:val="027F4191"/>
    <w:rsid w:val="028539D0"/>
    <w:rsid w:val="02952E03"/>
    <w:rsid w:val="029F7028"/>
    <w:rsid w:val="02A77100"/>
    <w:rsid w:val="02C00B3F"/>
    <w:rsid w:val="02EF0CFB"/>
    <w:rsid w:val="02EF19D6"/>
    <w:rsid w:val="02EF4373"/>
    <w:rsid w:val="02F77757"/>
    <w:rsid w:val="02FA23A8"/>
    <w:rsid w:val="031F446C"/>
    <w:rsid w:val="032062CB"/>
    <w:rsid w:val="032F0848"/>
    <w:rsid w:val="03310592"/>
    <w:rsid w:val="033A0E9D"/>
    <w:rsid w:val="033F29FA"/>
    <w:rsid w:val="034641C3"/>
    <w:rsid w:val="03485A0F"/>
    <w:rsid w:val="0351799C"/>
    <w:rsid w:val="035B47DA"/>
    <w:rsid w:val="036D3BCF"/>
    <w:rsid w:val="036D5065"/>
    <w:rsid w:val="037557A7"/>
    <w:rsid w:val="03756445"/>
    <w:rsid w:val="0379245F"/>
    <w:rsid w:val="037E4B04"/>
    <w:rsid w:val="03851606"/>
    <w:rsid w:val="038652C6"/>
    <w:rsid w:val="03936BB9"/>
    <w:rsid w:val="03A9328A"/>
    <w:rsid w:val="03B234AE"/>
    <w:rsid w:val="03C17E5B"/>
    <w:rsid w:val="03DB2543"/>
    <w:rsid w:val="03E5647E"/>
    <w:rsid w:val="03FC0994"/>
    <w:rsid w:val="042451DA"/>
    <w:rsid w:val="04266BBA"/>
    <w:rsid w:val="04281C40"/>
    <w:rsid w:val="042E4DD9"/>
    <w:rsid w:val="04325931"/>
    <w:rsid w:val="044302E9"/>
    <w:rsid w:val="04513859"/>
    <w:rsid w:val="045F036E"/>
    <w:rsid w:val="046532AA"/>
    <w:rsid w:val="04735F53"/>
    <w:rsid w:val="04757F77"/>
    <w:rsid w:val="04813F74"/>
    <w:rsid w:val="0486555E"/>
    <w:rsid w:val="04950609"/>
    <w:rsid w:val="049B4ADB"/>
    <w:rsid w:val="04A21EFD"/>
    <w:rsid w:val="04A76479"/>
    <w:rsid w:val="04B63BFF"/>
    <w:rsid w:val="04BB391E"/>
    <w:rsid w:val="04CE1F73"/>
    <w:rsid w:val="04D32E79"/>
    <w:rsid w:val="04D57147"/>
    <w:rsid w:val="04EA35AB"/>
    <w:rsid w:val="04F11AB8"/>
    <w:rsid w:val="04F82F7C"/>
    <w:rsid w:val="04FA4853"/>
    <w:rsid w:val="04FC5702"/>
    <w:rsid w:val="04FE5BD1"/>
    <w:rsid w:val="050A784F"/>
    <w:rsid w:val="050B0CD7"/>
    <w:rsid w:val="050E113B"/>
    <w:rsid w:val="052203F1"/>
    <w:rsid w:val="052841DE"/>
    <w:rsid w:val="053179BA"/>
    <w:rsid w:val="053921E2"/>
    <w:rsid w:val="053E62FD"/>
    <w:rsid w:val="05407769"/>
    <w:rsid w:val="0549386E"/>
    <w:rsid w:val="054E5ED7"/>
    <w:rsid w:val="056151C5"/>
    <w:rsid w:val="056B4BA9"/>
    <w:rsid w:val="05757C7C"/>
    <w:rsid w:val="059557B1"/>
    <w:rsid w:val="059F0331"/>
    <w:rsid w:val="05A0616A"/>
    <w:rsid w:val="05A133AA"/>
    <w:rsid w:val="05C45420"/>
    <w:rsid w:val="05D62E8D"/>
    <w:rsid w:val="05EB7976"/>
    <w:rsid w:val="05F077D4"/>
    <w:rsid w:val="06091935"/>
    <w:rsid w:val="060D4D85"/>
    <w:rsid w:val="060F45F1"/>
    <w:rsid w:val="06136FCC"/>
    <w:rsid w:val="061834A6"/>
    <w:rsid w:val="063F1073"/>
    <w:rsid w:val="06456839"/>
    <w:rsid w:val="06477A15"/>
    <w:rsid w:val="064C7D14"/>
    <w:rsid w:val="065426BE"/>
    <w:rsid w:val="06545B13"/>
    <w:rsid w:val="06565F89"/>
    <w:rsid w:val="065E3C59"/>
    <w:rsid w:val="06711361"/>
    <w:rsid w:val="0676065B"/>
    <w:rsid w:val="069A1931"/>
    <w:rsid w:val="069B792B"/>
    <w:rsid w:val="069E7501"/>
    <w:rsid w:val="06A11AE7"/>
    <w:rsid w:val="06AD2B3B"/>
    <w:rsid w:val="06B4101E"/>
    <w:rsid w:val="06D74D2C"/>
    <w:rsid w:val="06D87FE9"/>
    <w:rsid w:val="06D956E3"/>
    <w:rsid w:val="06DD48E9"/>
    <w:rsid w:val="06E40402"/>
    <w:rsid w:val="06F14E7D"/>
    <w:rsid w:val="06F15F3E"/>
    <w:rsid w:val="06F53A22"/>
    <w:rsid w:val="070736C4"/>
    <w:rsid w:val="070B300A"/>
    <w:rsid w:val="0717197A"/>
    <w:rsid w:val="07272FEF"/>
    <w:rsid w:val="072A05F0"/>
    <w:rsid w:val="07387D99"/>
    <w:rsid w:val="074618E0"/>
    <w:rsid w:val="0756170A"/>
    <w:rsid w:val="075848D7"/>
    <w:rsid w:val="07611FC2"/>
    <w:rsid w:val="07701844"/>
    <w:rsid w:val="07810992"/>
    <w:rsid w:val="078656CD"/>
    <w:rsid w:val="07881B83"/>
    <w:rsid w:val="079F1279"/>
    <w:rsid w:val="07A267CB"/>
    <w:rsid w:val="07A85F84"/>
    <w:rsid w:val="07B572E3"/>
    <w:rsid w:val="07C766EF"/>
    <w:rsid w:val="07CE3CE7"/>
    <w:rsid w:val="07D37E8D"/>
    <w:rsid w:val="07DB1942"/>
    <w:rsid w:val="07DB6632"/>
    <w:rsid w:val="07E6588F"/>
    <w:rsid w:val="07E67990"/>
    <w:rsid w:val="07EB52FC"/>
    <w:rsid w:val="07F6398C"/>
    <w:rsid w:val="08007C66"/>
    <w:rsid w:val="08066D92"/>
    <w:rsid w:val="080F5EFD"/>
    <w:rsid w:val="08163E4D"/>
    <w:rsid w:val="081E7C8D"/>
    <w:rsid w:val="08444D3B"/>
    <w:rsid w:val="084F6F27"/>
    <w:rsid w:val="085B2896"/>
    <w:rsid w:val="085B47AE"/>
    <w:rsid w:val="085E00A1"/>
    <w:rsid w:val="08752AC1"/>
    <w:rsid w:val="08757F68"/>
    <w:rsid w:val="08895C65"/>
    <w:rsid w:val="088D5E8C"/>
    <w:rsid w:val="08904B46"/>
    <w:rsid w:val="089153C7"/>
    <w:rsid w:val="08936E11"/>
    <w:rsid w:val="08A344C0"/>
    <w:rsid w:val="08AD7D17"/>
    <w:rsid w:val="08B7057E"/>
    <w:rsid w:val="08BD56F0"/>
    <w:rsid w:val="08BF66FF"/>
    <w:rsid w:val="08D351BE"/>
    <w:rsid w:val="08D86664"/>
    <w:rsid w:val="08DD1D65"/>
    <w:rsid w:val="08DD2846"/>
    <w:rsid w:val="08E13796"/>
    <w:rsid w:val="08E21174"/>
    <w:rsid w:val="08E32E74"/>
    <w:rsid w:val="08F740E9"/>
    <w:rsid w:val="08F84BFB"/>
    <w:rsid w:val="09000221"/>
    <w:rsid w:val="09023E0B"/>
    <w:rsid w:val="090E5904"/>
    <w:rsid w:val="091A29D4"/>
    <w:rsid w:val="091D5275"/>
    <w:rsid w:val="092422D4"/>
    <w:rsid w:val="092E0CF2"/>
    <w:rsid w:val="0941147D"/>
    <w:rsid w:val="0948744F"/>
    <w:rsid w:val="094E5EB9"/>
    <w:rsid w:val="09503F28"/>
    <w:rsid w:val="09647A9E"/>
    <w:rsid w:val="0967778B"/>
    <w:rsid w:val="0972141D"/>
    <w:rsid w:val="098B5CEE"/>
    <w:rsid w:val="09B0689E"/>
    <w:rsid w:val="09B213D0"/>
    <w:rsid w:val="09E0485F"/>
    <w:rsid w:val="09E55B4E"/>
    <w:rsid w:val="09EF6144"/>
    <w:rsid w:val="09FB16A7"/>
    <w:rsid w:val="09FD39CA"/>
    <w:rsid w:val="0A030A5B"/>
    <w:rsid w:val="0A110ED0"/>
    <w:rsid w:val="0A2A682C"/>
    <w:rsid w:val="0A2C7D49"/>
    <w:rsid w:val="0A4707FD"/>
    <w:rsid w:val="0A4D6348"/>
    <w:rsid w:val="0A690634"/>
    <w:rsid w:val="0A6E1C10"/>
    <w:rsid w:val="0A7609B0"/>
    <w:rsid w:val="0AA350C7"/>
    <w:rsid w:val="0AA867C8"/>
    <w:rsid w:val="0AB16EAD"/>
    <w:rsid w:val="0AB77E64"/>
    <w:rsid w:val="0AC92E5A"/>
    <w:rsid w:val="0AE67C59"/>
    <w:rsid w:val="0AEB64A8"/>
    <w:rsid w:val="0AED3445"/>
    <w:rsid w:val="0AEF60E1"/>
    <w:rsid w:val="0AF315E8"/>
    <w:rsid w:val="0AF344E1"/>
    <w:rsid w:val="0AFE6184"/>
    <w:rsid w:val="0B1449F6"/>
    <w:rsid w:val="0B1A1E43"/>
    <w:rsid w:val="0B2912D0"/>
    <w:rsid w:val="0B361B49"/>
    <w:rsid w:val="0B476BBC"/>
    <w:rsid w:val="0B48684A"/>
    <w:rsid w:val="0B4D48A4"/>
    <w:rsid w:val="0B507925"/>
    <w:rsid w:val="0B533B29"/>
    <w:rsid w:val="0B631A54"/>
    <w:rsid w:val="0B7E7850"/>
    <w:rsid w:val="0B823FD1"/>
    <w:rsid w:val="0B871E95"/>
    <w:rsid w:val="0B9630C2"/>
    <w:rsid w:val="0B975356"/>
    <w:rsid w:val="0B9B7B36"/>
    <w:rsid w:val="0BA7004E"/>
    <w:rsid w:val="0BA8144D"/>
    <w:rsid w:val="0BAD7ADF"/>
    <w:rsid w:val="0BB4611C"/>
    <w:rsid w:val="0BBD4675"/>
    <w:rsid w:val="0BDC640E"/>
    <w:rsid w:val="0BE0144B"/>
    <w:rsid w:val="0BE10566"/>
    <w:rsid w:val="0BEB5940"/>
    <w:rsid w:val="0BF34F39"/>
    <w:rsid w:val="0C013897"/>
    <w:rsid w:val="0C176CBC"/>
    <w:rsid w:val="0C3236E7"/>
    <w:rsid w:val="0C352A19"/>
    <w:rsid w:val="0C372ED1"/>
    <w:rsid w:val="0C494A35"/>
    <w:rsid w:val="0C49575D"/>
    <w:rsid w:val="0C545B8D"/>
    <w:rsid w:val="0C6A2581"/>
    <w:rsid w:val="0C6D71DA"/>
    <w:rsid w:val="0C6F619B"/>
    <w:rsid w:val="0C756558"/>
    <w:rsid w:val="0C7905D8"/>
    <w:rsid w:val="0C952C04"/>
    <w:rsid w:val="0C95435A"/>
    <w:rsid w:val="0C9D3858"/>
    <w:rsid w:val="0C9F748A"/>
    <w:rsid w:val="0CA87625"/>
    <w:rsid w:val="0CAD6CD5"/>
    <w:rsid w:val="0CAF4411"/>
    <w:rsid w:val="0CB02F58"/>
    <w:rsid w:val="0CB71182"/>
    <w:rsid w:val="0CC7607D"/>
    <w:rsid w:val="0CD31EEE"/>
    <w:rsid w:val="0D14741D"/>
    <w:rsid w:val="0D181D78"/>
    <w:rsid w:val="0D2546FA"/>
    <w:rsid w:val="0D2B6157"/>
    <w:rsid w:val="0D3244DD"/>
    <w:rsid w:val="0D5864B2"/>
    <w:rsid w:val="0D6A1AC0"/>
    <w:rsid w:val="0D6B0852"/>
    <w:rsid w:val="0D6D3302"/>
    <w:rsid w:val="0D7F3975"/>
    <w:rsid w:val="0D8C26CD"/>
    <w:rsid w:val="0D9A0057"/>
    <w:rsid w:val="0DA27718"/>
    <w:rsid w:val="0DB1010B"/>
    <w:rsid w:val="0DBB55AD"/>
    <w:rsid w:val="0DCF7FD6"/>
    <w:rsid w:val="0DE57D7F"/>
    <w:rsid w:val="0E096E39"/>
    <w:rsid w:val="0E1C1EC9"/>
    <w:rsid w:val="0E206931"/>
    <w:rsid w:val="0E442EAE"/>
    <w:rsid w:val="0E4C3071"/>
    <w:rsid w:val="0E60507D"/>
    <w:rsid w:val="0E971A66"/>
    <w:rsid w:val="0EA72BA6"/>
    <w:rsid w:val="0EAA475B"/>
    <w:rsid w:val="0EAC11AD"/>
    <w:rsid w:val="0EC74501"/>
    <w:rsid w:val="0EC915D0"/>
    <w:rsid w:val="0EDA0876"/>
    <w:rsid w:val="0EEB4C90"/>
    <w:rsid w:val="0EF162BD"/>
    <w:rsid w:val="0F000F7B"/>
    <w:rsid w:val="0F032F2D"/>
    <w:rsid w:val="0F14495A"/>
    <w:rsid w:val="0F2E3D57"/>
    <w:rsid w:val="0F305AAD"/>
    <w:rsid w:val="0F321605"/>
    <w:rsid w:val="0F3353B7"/>
    <w:rsid w:val="0F48505B"/>
    <w:rsid w:val="0F5342DC"/>
    <w:rsid w:val="0F566845"/>
    <w:rsid w:val="0F684F69"/>
    <w:rsid w:val="0F68565B"/>
    <w:rsid w:val="0F687084"/>
    <w:rsid w:val="0F6C18F7"/>
    <w:rsid w:val="0F757FCC"/>
    <w:rsid w:val="0F7B6A00"/>
    <w:rsid w:val="0F814668"/>
    <w:rsid w:val="0F8A27DB"/>
    <w:rsid w:val="0F90063F"/>
    <w:rsid w:val="0F96006E"/>
    <w:rsid w:val="0F9F1B67"/>
    <w:rsid w:val="0FA56B5C"/>
    <w:rsid w:val="0FBD56FA"/>
    <w:rsid w:val="0FBF5BD9"/>
    <w:rsid w:val="0FC05753"/>
    <w:rsid w:val="0FC05E5A"/>
    <w:rsid w:val="0FC30C2E"/>
    <w:rsid w:val="0FC929CF"/>
    <w:rsid w:val="0FD41F31"/>
    <w:rsid w:val="0FDB7383"/>
    <w:rsid w:val="0FDD6D95"/>
    <w:rsid w:val="0FE81479"/>
    <w:rsid w:val="0FFE1577"/>
    <w:rsid w:val="100737A9"/>
    <w:rsid w:val="101A342B"/>
    <w:rsid w:val="101F7C33"/>
    <w:rsid w:val="103C541A"/>
    <w:rsid w:val="1042335F"/>
    <w:rsid w:val="104735C4"/>
    <w:rsid w:val="104C1B16"/>
    <w:rsid w:val="1051038C"/>
    <w:rsid w:val="10804688"/>
    <w:rsid w:val="1082485A"/>
    <w:rsid w:val="10884916"/>
    <w:rsid w:val="109673A7"/>
    <w:rsid w:val="109C580E"/>
    <w:rsid w:val="10A55503"/>
    <w:rsid w:val="10A82ECB"/>
    <w:rsid w:val="10A906A7"/>
    <w:rsid w:val="10AA2A25"/>
    <w:rsid w:val="10AD7AF8"/>
    <w:rsid w:val="10B15399"/>
    <w:rsid w:val="10DA0204"/>
    <w:rsid w:val="10E87676"/>
    <w:rsid w:val="10F378F4"/>
    <w:rsid w:val="10F55783"/>
    <w:rsid w:val="110765F0"/>
    <w:rsid w:val="111649EF"/>
    <w:rsid w:val="111C76BD"/>
    <w:rsid w:val="111F3BCF"/>
    <w:rsid w:val="112A66B2"/>
    <w:rsid w:val="11382462"/>
    <w:rsid w:val="113B37D8"/>
    <w:rsid w:val="114306D4"/>
    <w:rsid w:val="11506166"/>
    <w:rsid w:val="11567833"/>
    <w:rsid w:val="115A0E16"/>
    <w:rsid w:val="116228F0"/>
    <w:rsid w:val="1163689E"/>
    <w:rsid w:val="117F37A7"/>
    <w:rsid w:val="118514D5"/>
    <w:rsid w:val="11896F02"/>
    <w:rsid w:val="118D0A84"/>
    <w:rsid w:val="118E3A37"/>
    <w:rsid w:val="1194645C"/>
    <w:rsid w:val="11967803"/>
    <w:rsid w:val="11A163D0"/>
    <w:rsid w:val="11B23EB0"/>
    <w:rsid w:val="11B562D3"/>
    <w:rsid w:val="11D37A4F"/>
    <w:rsid w:val="11D83EE0"/>
    <w:rsid w:val="11DB1F31"/>
    <w:rsid w:val="11DC0428"/>
    <w:rsid w:val="11E7187D"/>
    <w:rsid w:val="11F65457"/>
    <w:rsid w:val="1203249B"/>
    <w:rsid w:val="1207675D"/>
    <w:rsid w:val="12264A1C"/>
    <w:rsid w:val="122E4B3D"/>
    <w:rsid w:val="12361FE3"/>
    <w:rsid w:val="1238092A"/>
    <w:rsid w:val="12392542"/>
    <w:rsid w:val="12491D3D"/>
    <w:rsid w:val="124C0824"/>
    <w:rsid w:val="124F70F5"/>
    <w:rsid w:val="125011C5"/>
    <w:rsid w:val="12665CAA"/>
    <w:rsid w:val="126A3793"/>
    <w:rsid w:val="1273400A"/>
    <w:rsid w:val="127759F8"/>
    <w:rsid w:val="1288457B"/>
    <w:rsid w:val="128B45A0"/>
    <w:rsid w:val="12A30010"/>
    <w:rsid w:val="12A400B1"/>
    <w:rsid w:val="12B94748"/>
    <w:rsid w:val="12CE6A83"/>
    <w:rsid w:val="12E60856"/>
    <w:rsid w:val="12EB69CE"/>
    <w:rsid w:val="12ED3A80"/>
    <w:rsid w:val="12F2222C"/>
    <w:rsid w:val="12F2530F"/>
    <w:rsid w:val="13021A2C"/>
    <w:rsid w:val="13152DB4"/>
    <w:rsid w:val="132A3E1B"/>
    <w:rsid w:val="133632F5"/>
    <w:rsid w:val="133828A6"/>
    <w:rsid w:val="134224E3"/>
    <w:rsid w:val="13465BC3"/>
    <w:rsid w:val="1347361C"/>
    <w:rsid w:val="13500091"/>
    <w:rsid w:val="13560D8B"/>
    <w:rsid w:val="136620F4"/>
    <w:rsid w:val="1366701C"/>
    <w:rsid w:val="1379231B"/>
    <w:rsid w:val="139713B3"/>
    <w:rsid w:val="139E5A9A"/>
    <w:rsid w:val="13A4359A"/>
    <w:rsid w:val="13B445A5"/>
    <w:rsid w:val="13BB084D"/>
    <w:rsid w:val="13BC32D0"/>
    <w:rsid w:val="13CA1266"/>
    <w:rsid w:val="13D72474"/>
    <w:rsid w:val="13D971D2"/>
    <w:rsid w:val="13E94203"/>
    <w:rsid w:val="13E95D91"/>
    <w:rsid w:val="13F15346"/>
    <w:rsid w:val="140E0CD1"/>
    <w:rsid w:val="14120CA8"/>
    <w:rsid w:val="141D6D49"/>
    <w:rsid w:val="142B1664"/>
    <w:rsid w:val="144654D8"/>
    <w:rsid w:val="144759A8"/>
    <w:rsid w:val="14587641"/>
    <w:rsid w:val="145B492E"/>
    <w:rsid w:val="146769B7"/>
    <w:rsid w:val="14791424"/>
    <w:rsid w:val="147B2758"/>
    <w:rsid w:val="148C5ED1"/>
    <w:rsid w:val="14961447"/>
    <w:rsid w:val="149B3737"/>
    <w:rsid w:val="149D6626"/>
    <w:rsid w:val="149F2901"/>
    <w:rsid w:val="14A44639"/>
    <w:rsid w:val="14A7200E"/>
    <w:rsid w:val="14AF0F09"/>
    <w:rsid w:val="14AF52CE"/>
    <w:rsid w:val="14B34ACE"/>
    <w:rsid w:val="14B8155B"/>
    <w:rsid w:val="14C678DA"/>
    <w:rsid w:val="14C84654"/>
    <w:rsid w:val="14CB4D1A"/>
    <w:rsid w:val="14D64FA0"/>
    <w:rsid w:val="14DE22A2"/>
    <w:rsid w:val="14F54092"/>
    <w:rsid w:val="14F64B17"/>
    <w:rsid w:val="1525553B"/>
    <w:rsid w:val="15296903"/>
    <w:rsid w:val="152B75D2"/>
    <w:rsid w:val="153C5776"/>
    <w:rsid w:val="154755A3"/>
    <w:rsid w:val="154C573A"/>
    <w:rsid w:val="155265F4"/>
    <w:rsid w:val="15604361"/>
    <w:rsid w:val="157B0A32"/>
    <w:rsid w:val="15847260"/>
    <w:rsid w:val="15896493"/>
    <w:rsid w:val="15B51DDE"/>
    <w:rsid w:val="15B55363"/>
    <w:rsid w:val="15B61275"/>
    <w:rsid w:val="15C169AC"/>
    <w:rsid w:val="15EE0A89"/>
    <w:rsid w:val="15F00A00"/>
    <w:rsid w:val="15F65082"/>
    <w:rsid w:val="160024AA"/>
    <w:rsid w:val="160B2645"/>
    <w:rsid w:val="160F1942"/>
    <w:rsid w:val="161578BF"/>
    <w:rsid w:val="16162EF0"/>
    <w:rsid w:val="16261317"/>
    <w:rsid w:val="16337E88"/>
    <w:rsid w:val="163927D2"/>
    <w:rsid w:val="1640771C"/>
    <w:rsid w:val="164E4741"/>
    <w:rsid w:val="164E668F"/>
    <w:rsid w:val="165635D9"/>
    <w:rsid w:val="1658525F"/>
    <w:rsid w:val="165B2FB9"/>
    <w:rsid w:val="16611327"/>
    <w:rsid w:val="169D25F5"/>
    <w:rsid w:val="16A1133A"/>
    <w:rsid w:val="16B001AD"/>
    <w:rsid w:val="16CD690B"/>
    <w:rsid w:val="16F5338F"/>
    <w:rsid w:val="16F83846"/>
    <w:rsid w:val="16FF7F43"/>
    <w:rsid w:val="1700661C"/>
    <w:rsid w:val="17136D2B"/>
    <w:rsid w:val="17193A6D"/>
    <w:rsid w:val="171D2783"/>
    <w:rsid w:val="171F52F1"/>
    <w:rsid w:val="172C3D13"/>
    <w:rsid w:val="175207E1"/>
    <w:rsid w:val="175A32D2"/>
    <w:rsid w:val="176424DC"/>
    <w:rsid w:val="1767731A"/>
    <w:rsid w:val="176C179B"/>
    <w:rsid w:val="176F6360"/>
    <w:rsid w:val="17790994"/>
    <w:rsid w:val="1783643C"/>
    <w:rsid w:val="178B7F80"/>
    <w:rsid w:val="178C1D45"/>
    <w:rsid w:val="17A54A43"/>
    <w:rsid w:val="17E57F7D"/>
    <w:rsid w:val="17E97420"/>
    <w:rsid w:val="17E979B2"/>
    <w:rsid w:val="17F36885"/>
    <w:rsid w:val="17F36B48"/>
    <w:rsid w:val="18004438"/>
    <w:rsid w:val="1809236A"/>
    <w:rsid w:val="180E3449"/>
    <w:rsid w:val="18105287"/>
    <w:rsid w:val="18110CF1"/>
    <w:rsid w:val="181D0DEF"/>
    <w:rsid w:val="182527C9"/>
    <w:rsid w:val="182C2AE2"/>
    <w:rsid w:val="183E5722"/>
    <w:rsid w:val="18423C4B"/>
    <w:rsid w:val="18670C19"/>
    <w:rsid w:val="187637AB"/>
    <w:rsid w:val="187D6A8B"/>
    <w:rsid w:val="18866D16"/>
    <w:rsid w:val="188B0AC6"/>
    <w:rsid w:val="18902376"/>
    <w:rsid w:val="18AB3B04"/>
    <w:rsid w:val="18AB7E54"/>
    <w:rsid w:val="18E17C22"/>
    <w:rsid w:val="18ED7DF7"/>
    <w:rsid w:val="18FC0A05"/>
    <w:rsid w:val="190A3949"/>
    <w:rsid w:val="190D3E7D"/>
    <w:rsid w:val="19221422"/>
    <w:rsid w:val="19250B27"/>
    <w:rsid w:val="19264BDF"/>
    <w:rsid w:val="19346A4B"/>
    <w:rsid w:val="19371F32"/>
    <w:rsid w:val="193B3A99"/>
    <w:rsid w:val="1940592C"/>
    <w:rsid w:val="195722CB"/>
    <w:rsid w:val="195C5947"/>
    <w:rsid w:val="19671C74"/>
    <w:rsid w:val="196A76A5"/>
    <w:rsid w:val="19776586"/>
    <w:rsid w:val="199146A9"/>
    <w:rsid w:val="19930F16"/>
    <w:rsid w:val="19A60451"/>
    <w:rsid w:val="19A74E14"/>
    <w:rsid w:val="19AB7B63"/>
    <w:rsid w:val="19AC7816"/>
    <w:rsid w:val="19C31A2B"/>
    <w:rsid w:val="19D27DA3"/>
    <w:rsid w:val="19D34CDE"/>
    <w:rsid w:val="19D4436D"/>
    <w:rsid w:val="19DC7A10"/>
    <w:rsid w:val="19E26DAC"/>
    <w:rsid w:val="19ED3CEA"/>
    <w:rsid w:val="19F02457"/>
    <w:rsid w:val="19F93831"/>
    <w:rsid w:val="1A052686"/>
    <w:rsid w:val="1A0770C2"/>
    <w:rsid w:val="1A2A5F83"/>
    <w:rsid w:val="1A343559"/>
    <w:rsid w:val="1A3437B8"/>
    <w:rsid w:val="1A3641C6"/>
    <w:rsid w:val="1A4F04C3"/>
    <w:rsid w:val="1A4F1C7C"/>
    <w:rsid w:val="1A5176FD"/>
    <w:rsid w:val="1A617DCC"/>
    <w:rsid w:val="1A6C2697"/>
    <w:rsid w:val="1A6D1B43"/>
    <w:rsid w:val="1A7E3CBC"/>
    <w:rsid w:val="1A831294"/>
    <w:rsid w:val="1A8D1997"/>
    <w:rsid w:val="1A8D3F8F"/>
    <w:rsid w:val="1A9100C3"/>
    <w:rsid w:val="1A941D72"/>
    <w:rsid w:val="1A9D75F4"/>
    <w:rsid w:val="1ABB3DE0"/>
    <w:rsid w:val="1AC62341"/>
    <w:rsid w:val="1AC6675E"/>
    <w:rsid w:val="1AD556E9"/>
    <w:rsid w:val="1AEA7E63"/>
    <w:rsid w:val="1AEE0B2F"/>
    <w:rsid w:val="1AEE1B94"/>
    <w:rsid w:val="1AFD065A"/>
    <w:rsid w:val="1B03409D"/>
    <w:rsid w:val="1B111517"/>
    <w:rsid w:val="1B152B4D"/>
    <w:rsid w:val="1B2A45D6"/>
    <w:rsid w:val="1B372915"/>
    <w:rsid w:val="1B516834"/>
    <w:rsid w:val="1B55025B"/>
    <w:rsid w:val="1B5A2E9D"/>
    <w:rsid w:val="1B980AFF"/>
    <w:rsid w:val="1B9A3B85"/>
    <w:rsid w:val="1B9E46F5"/>
    <w:rsid w:val="1BA12479"/>
    <w:rsid w:val="1BA454FB"/>
    <w:rsid w:val="1BAF5235"/>
    <w:rsid w:val="1BB3174C"/>
    <w:rsid w:val="1BBF6440"/>
    <w:rsid w:val="1BC06EA2"/>
    <w:rsid w:val="1BC21757"/>
    <w:rsid w:val="1BC34195"/>
    <w:rsid w:val="1BC34FCD"/>
    <w:rsid w:val="1BC50628"/>
    <w:rsid w:val="1BC50972"/>
    <w:rsid w:val="1BC55301"/>
    <w:rsid w:val="1BC57B47"/>
    <w:rsid w:val="1BC82618"/>
    <w:rsid w:val="1BD74EFE"/>
    <w:rsid w:val="1BDE3B4C"/>
    <w:rsid w:val="1BFC0AEA"/>
    <w:rsid w:val="1C0E3977"/>
    <w:rsid w:val="1C1A6FEC"/>
    <w:rsid w:val="1C1C7659"/>
    <w:rsid w:val="1C1E2754"/>
    <w:rsid w:val="1C225C02"/>
    <w:rsid w:val="1C254629"/>
    <w:rsid w:val="1C2D471C"/>
    <w:rsid w:val="1C3768C3"/>
    <w:rsid w:val="1C393D1E"/>
    <w:rsid w:val="1C3C55D4"/>
    <w:rsid w:val="1C4943A4"/>
    <w:rsid w:val="1C4A6789"/>
    <w:rsid w:val="1C577B84"/>
    <w:rsid w:val="1C5C3956"/>
    <w:rsid w:val="1C654987"/>
    <w:rsid w:val="1C6D3780"/>
    <w:rsid w:val="1C723F66"/>
    <w:rsid w:val="1C746750"/>
    <w:rsid w:val="1C8054A9"/>
    <w:rsid w:val="1C825C78"/>
    <w:rsid w:val="1C8E121B"/>
    <w:rsid w:val="1C8F233B"/>
    <w:rsid w:val="1CA86307"/>
    <w:rsid w:val="1CBA6E7B"/>
    <w:rsid w:val="1CBE2B3D"/>
    <w:rsid w:val="1CD90366"/>
    <w:rsid w:val="1CDE1582"/>
    <w:rsid w:val="1CEE2D5A"/>
    <w:rsid w:val="1D03191B"/>
    <w:rsid w:val="1D0B7C6D"/>
    <w:rsid w:val="1D0D5C23"/>
    <w:rsid w:val="1D0F7823"/>
    <w:rsid w:val="1D1207F7"/>
    <w:rsid w:val="1D1252E8"/>
    <w:rsid w:val="1D185B98"/>
    <w:rsid w:val="1D1F3740"/>
    <w:rsid w:val="1D28001A"/>
    <w:rsid w:val="1D2E4533"/>
    <w:rsid w:val="1D361885"/>
    <w:rsid w:val="1D3C5954"/>
    <w:rsid w:val="1D45790F"/>
    <w:rsid w:val="1D542175"/>
    <w:rsid w:val="1D556879"/>
    <w:rsid w:val="1D625BC2"/>
    <w:rsid w:val="1D763161"/>
    <w:rsid w:val="1D767C76"/>
    <w:rsid w:val="1D7F6A99"/>
    <w:rsid w:val="1D8E03FA"/>
    <w:rsid w:val="1D8F2F1D"/>
    <w:rsid w:val="1D944D0C"/>
    <w:rsid w:val="1D982ACF"/>
    <w:rsid w:val="1DB14064"/>
    <w:rsid w:val="1DC23D0F"/>
    <w:rsid w:val="1DD261D8"/>
    <w:rsid w:val="1DD71650"/>
    <w:rsid w:val="1DE43A17"/>
    <w:rsid w:val="1DEE1EFA"/>
    <w:rsid w:val="1E12611C"/>
    <w:rsid w:val="1E157A3A"/>
    <w:rsid w:val="1E171E3D"/>
    <w:rsid w:val="1E240A4E"/>
    <w:rsid w:val="1E3078D5"/>
    <w:rsid w:val="1E4644CC"/>
    <w:rsid w:val="1E61167C"/>
    <w:rsid w:val="1E7077F5"/>
    <w:rsid w:val="1E873F99"/>
    <w:rsid w:val="1E8B73A7"/>
    <w:rsid w:val="1E970166"/>
    <w:rsid w:val="1E9811D0"/>
    <w:rsid w:val="1EAA335B"/>
    <w:rsid w:val="1EAE6ECC"/>
    <w:rsid w:val="1EBB2DC6"/>
    <w:rsid w:val="1EBE7E01"/>
    <w:rsid w:val="1ED0548E"/>
    <w:rsid w:val="1EE77E9F"/>
    <w:rsid w:val="1F0625DD"/>
    <w:rsid w:val="1F161228"/>
    <w:rsid w:val="1F1906B6"/>
    <w:rsid w:val="1F1D3032"/>
    <w:rsid w:val="1F2B32BE"/>
    <w:rsid w:val="1F390D89"/>
    <w:rsid w:val="1F3E7F5B"/>
    <w:rsid w:val="1F4A124B"/>
    <w:rsid w:val="1F513ECC"/>
    <w:rsid w:val="1F583E13"/>
    <w:rsid w:val="1F686EA8"/>
    <w:rsid w:val="1F6A3BAE"/>
    <w:rsid w:val="1F6F027D"/>
    <w:rsid w:val="1F7B7564"/>
    <w:rsid w:val="1F885F5F"/>
    <w:rsid w:val="1F8B0D13"/>
    <w:rsid w:val="1FB3007D"/>
    <w:rsid w:val="1FC86FB2"/>
    <w:rsid w:val="1FE039FF"/>
    <w:rsid w:val="1FEA5730"/>
    <w:rsid w:val="1FFD682A"/>
    <w:rsid w:val="20017C8D"/>
    <w:rsid w:val="200E563D"/>
    <w:rsid w:val="2022167F"/>
    <w:rsid w:val="203C1C0C"/>
    <w:rsid w:val="20412465"/>
    <w:rsid w:val="20570026"/>
    <w:rsid w:val="20583861"/>
    <w:rsid w:val="206E7E55"/>
    <w:rsid w:val="2071673B"/>
    <w:rsid w:val="207724C8"/>
    <w:rsid w:val="20831771"/>
    <w:rsid w:val="208D5545"/>
    <w:rsid w:val="2097311F"/>
    <w:rsid w:val="20A7230E"/>
    <w:rsid w:val="20A77D62"/>
    <w:rsid w:val="20A84CA6"/>
    <w:rsid w:val="20BA620C"/>
    <w:rsid w:val="20BD50EA"/>
    <w:rsid w:val="20C22280"/>
    <w:rsid w:val="20C51FFF"/>
    <w:rsid w:val="20C90FE1"/>
    <w:rsid w:val="20CB1F1C"/>
    <w:rsid w:val="20CE35DC"/>
    <w:rsid w:val="20D91FEB"/>
    <w:rsid w:val="20E07EB6"/>
    <w:rsid w:val="20EB4450"/>
    <w:rsid w:val="20EC236D"/>
    <w:rsid w:val="20F85BCF"/>
    <w:rsid w:val="20F862CA"/>
    <w:rsid w:val="20FA4D71"/>
    <w:rsid w:val="20FB633F"/>
    <w:rsid w:val="20FF4C3E"/>
    <w:rsid w:val="210260CC"/>
    <w:rsid w:val="210F1461"/>
    <w:rsid w:val="211E07C8"/>
    <w:rsid w:val="211E47B1"/>
    <w:rsid w:val="213B0E23"/>
    <w:rsid w:val="21410A8D"/>
    <w:rsid w:val="214915A6"/>
    <w:rsid w:val="214F3C0C"/>
    <w:rsid w:val="21535276"/>
    <w:rsid w:val="21812056"/>
    <w:rsid w:val="21902632"/>
    <w:rsid w:val="219C4CA5"/>
    <w:rsid w:val="21A56EDA"/>
    <w:rsid w:val="21AF01FD"/>
    <w:rsid w:val="21B002AA"/>
    <w:rsid w:val="21B5199E"/>
    <w:rsid w:val="21BF6859"/>
    <w:rsid w:val="21C32279"/>
    <w:rsid w:val="21D867B6"/>
    <w:rsid w:val="21DB0BBB"/>
    <w:rsid w:val="21DF79B5"/>
    <w:rsid w:val="21E156B9"/>
    <w:rsid w:val="21F029E2"/>
    <w:rsid w:val="21F5181A"/>
    <w:rsid w:val="22054352"/>
    <w:rsid w:val="22147AF1"/>
    <w:rsid w:val="221701F3"/>
    <w:rsid w:val="223751DC"/>
    <w:rsid w:val="2244378B"/>
    <w:rsid w:val="224C7E9B"/>
    <w:rsid w:val="2254079F"/>
    <w:rsid w:val="22795451"/>
    <w:rsid w:val="228372A6"/>
    <w:rsid w:val="22855412"/>
    <w:rsid w:val="228B768D"/>
    <w:rsid w:val="22A74B6A"/>
    <w:rsid w:val="22AC4FD3"/>
    <w:rsid w:val="22B1623E"/>
    <w:rsid w:val="22B22C63"/>
    <w:rsid w:val="22B318BC"/>
    <w:rsid w:val="22B83C0A"/>
    <w:rsid w:val="22B85552"/>
    <w:rsid w:val="22C71DA9"/>
    <w:rsid w:val="22DA316B"/>
    <w:rsid w:val="22E80A9D"/>
    <w:rsid w:val="22EC0514"/>
    <w:rsid w:val="22F70D69"/>
    <w:rsid w:val="23061CAF"/>
    <w:rsid w:val="230963C7"/>
    <w:rsid w:val="230B64DF"/>
    <w:rsid w:val="23151973"/>
    <w:rsid w:val="231A52F5"/>
    <w:rsid w:val="231A6657"/>
    <w:rsid w:val="231F64C9"/>
    <w:rsid w:val="23295C0A"/>
    <w:rsid w:val="232E7024"/>
    <w:rsid w:val="233A4131"/>
    <w:rsid w:val="233A4278"/>
    <w:rsid w:val="233E4A36"/>
    <w:rsid w:val="23607F20"/>
    <w:rsid w:val="23664E71"/>
    <w:rsid w:val="23846FD7"/>
    <w:rsid w:val="2386717E"/>
    <w:rsid w:val="23B25529"/>
    <w:rsid w:val="23B420F8"/>
    <w:rsid w:val="23BC0851"/>
    <w:rsid w:val="23C1595F"/>
    <w:rsid w:val="23CD6B0E"/>
    <w:rsid w:val="23ED1676"/>
    <w:rsid w:val="23FE2357"/>
    <w:rsid w:val="24624308"/>
    <w:rsid w:val="2466664F"/>
    <w:rsid w:val="246F5780"/>
    <w:rsid w:val="247C28FF"/>
    <w:rsid w:val="2499166B"/>
    <w:rsid w:val="24A905E3"/>
    <w:rsid w:val="24AA7332"/>
    <w:rsid w:val="24AC37E9"/>
    <w:rsid w:val="24AF4AB0"/>
    <w:rsid w:val="24B81E16"/>
    <w:rsid w:val="24C63A20"/>
    <w:rsid w:val="24D562C0"/>
    <w:rsid w:val="24DE0E5E"/>
    <w:rsid w:val="24FB111E"/>
    <w:rsid w:val="251878D7"/>
    <w:rsid w:val="251F3280"/>
    <w:rsid w:val="25203277"/>
    <w:rsid w:val="252C2FED"/>
    <w:rsid w:val="253E3EBC"/>
    <w:rsid w:val="25401C79"/>
    <w:rsid w:val="25404CD9"/>
    <w:rsid w:val="25416241"/>
    <w:rsid w:val="254B1650"/>
    <w:rsid w:val="2553463D"/>
    <w:rsid w:val="255B0BA0"/>
    <w:rsid w:val="2575341F"/>
    <w:rsid w:val="25763B01"/>
    <w:rsid w:val="257858B7"/>
    <w:rsid w:val="257D1B5A"/>
    <w:rsid w:val="25853324"/>
    <w:rsid w:val="25931026"/>
    <w:rsid w:val="25BC5CB5"/>
    <w:rsid w:val="25BE7846"/>
    <w:rsid w:val="25C757F6"/>
    <w:rsid w:val="25CA0C55"/>
    <w:rsid w:val="25D0543A"/>
    <w:rsid w:val="25DB00D2"/>
    <w:rsid w:val="25E70335"/>
    <w:rsid w:val="25EB0B51"/>
    <w:rsid w:val="25ED2BD0"/>
    <w:rsid w:val="25EE39A1"/>
    <w:rsid w:val="26020D1E"/>
    <w:rsid w:val="260A5655"/>
    <w:rsid w:val="260B3108"/>
    <w:rsid w:val="260C5E52"/>
    <w:rsid w:val="261301D0"/>
    <w:rsid w:val="26140373"/>
    <w:rsid w:val="26195456"/>
    <w:rsid w:val="26280C7C"/>
    <w:rsid w:val="26460C0D"/>
    <w:rsid w:val="26517D5A"/>
    <w:rsid w:val="265A1637"/>
    <w:rsid w:val="265D4D90"/>
    <w:rsid w:val="266427D3"/>
    <w:rsid w:val="266A5519"/>
    <w:rsid w:val="266A6683"/>
    <w:rsid w:val="2670658E"/>
    <w:rsid w:val="2675674A"/>
    <w:rsid w:val="26843375"/>
    <w:rsid w:val="26846979"/>
    <w:rsid w:val="26851904"/>
    <w:rsid w:val="268B606C"/>
    <w:rsid w:val="269359D8"/>
    <w:rsid w:val="269F54AF"/>
    <w:rsid w:val="26A4798B"/>
    <w:rsid w:val="26B20DF7"/>
    <w:rsid w:val="26B2210E"/>
    <w:rsid w:val="26D1232B"/>
    <w:rsid w:val="26EE0FB2"/>
    <w:rsid w:val="27000709"/>
    <w:rsid w:val="273A03D9"/>
    <w:rsid w:val="27512D73"/>
    <w:rsid w:val="27515A3B"/>
    <w:rsid w:val="27540081"/>
    <w:rsid w:val="275A1503"/>
    <w:rsid w:val="275C2488"/>
    <w:rsid w:val="27707D9F"/>
    <w:rsid w:val="27710808"/>
    <w:rsid w:val="277736B5"/>
    <w:rsid w:val="2777522A"/>
    <w:rsid w:val="27A256BD"/>
    <w:rsid w:val="27A9643E"/>
    <w:rsid w:val="27AE05E7"/>
    <w:rsid w:val="27B0758A"/>
    <w:rsid w:val="27BA2806"/>
    <w:rsid w:val="27BC244A"/>
    <w:rsid w:val="27C93226"/>
    <w:rsid w:val="27E04F87"/>
    <w:rsid w:val="27E3520A"/>
    <w:rsid w:val="27F14AEF"/>
    <w:rsid w:val="27F76560"/>
    <w:rsid w:val="280C2F29"/>
    <w:rsid w:val="280E3E73"/>
    <w:rsid w:val="281A5069"/>
    <w:rsid w:val="28357586"/>
    <w:rsid w:val="2838132E"/>
    <w:rsid w:val="283C47A1"/>
    <w:rsid w:val="28447CD2"/>
    <w:rsid w:val="284F6DA3"/>
    <w:rsid w:val="28621296"/>
    <w:rsid w:val="286B3E9F"/>
    <w:rsid w:val="286D568F"/>
    <w:rsid w:val="28771649"/>
    <w:rsid w:val="287A5694"/>
    <w:rsid w:val="28907A65"/>
    <w:rsid w:val="28926C90"/>
    <w:rsid w:val="2895355D"/>
    <w:rsid w:val="289F2FF8"/>
    <w:rsid w:val="28A74874"/>
    <w:rsid w:val="28AC48F5"/>
    <w:rsid w:val="28AF48FE"/>
    <w:rsid w:val="28B30360"/>
    <w:rsid w:val="28B700D8"/>
    <w:rsid w:val="28B81A59"/>
    <w:rsid w:val="28BC0025"/>
    <w:rsid w:val="28BD749A"/>
    <w:rsid w:val="28BF5BE1"/>
    <w:rsid w:val="28C838C3"/>
    <w:rsid w:val="28DE736F"/>
    <w:rsid w:val="28E215E7"/>
    <w:rsid w:val="28E75C23"/>
    <w:rsid w:val="28F66F27"/>
    <w:rsid w:val="28F74D45"/>
    <w:rsid w:val="28FE3091"/>
    <w:rsid w:val="28FF44FC"/>
    <w:rsid w:val="29004CA4"/>
    <w:rsid w:val="29060DC1"/>
    <w:rsid w:val="29077127"/>
    <w:rsid w:val="2908154A"/>
    <w:rsid w:val="29122857"/>
    <w:rsid w:val="293B2E83"/>
    <w:rsid w:val="293E708B"/>
    <w:rsid w:val="294D292D"/>
    <w:rsid w:val="29594737"/>
    <w:rsid w:val="295E4802"/>
    <w:rsid w:val="2967522D"/>
    <w:rsid w:val="296E63D4"/>
    <w:rsid w:val="29764B01"/>
    <w:rsid w:val="297D2E22"/>
    <w:rsid w:val="29931A80"/>
    <w:rsid w:val="299E45D3"/>
    <w:rsid w:val="299F2675"/>
    <w:rsid w:val="29A12A77"/>
    <w:rsid w:val="29A671D2"/>
    <w:rsid w:val="29AC6EB1"/>
    <w:rsid w:val="29AD6F45"/>
    <w:rsid w:val="29B444FC"/>
    <w:rsid w:val="29BD120F"/>
    <w:rsid w:val="29C769C8"/>
    <w:rsid w:val="29D74EB6"/>
    <w:rsid w:val="29E2264F"/>
    <w:rsid w:val="29E4464B"/>
    <w:rsid w:val="29F36D30"/>
    <w:rsid w:val="29F714A0"/>
    <w:rsid w:val="29F84CE2"/>
    <w:rsid w:val="2A0343F7"/>
    <w:rsid w:val="2A277F19"/>
    <w:rsid w:val="2A297DD4"/>
    <w:rsid w:val="2A4B31B4"/>
    <w:rsid w:val="2A516722"/>
    <w:rsid w:val="2A676A61"/>
    <w:rsid w:val="2A77544F"/>
    <w:rsid w:val="2A7C4B41"/>
    <w:rsid w:val="2A8C5942"/>
    <w:rsid w:val="2AA059B0"/>
    <w:rsid w:val="2AA2170A"/>
    <w:rsid w:val="2AAC3BC6"/>
    <w:rsid w:val="2AC15811"/>
    <w:rsid w:val="2ACE3624"/>
    <w:rsid w:val="2ACF5A8C"/>
    <w:rsid w:val="2AD40EF4"/>
    <w:rsid w:val="2ADF4AAE"/>
    <w:rsid w:val="2AED28A3"/>
    <w:rsid w:val="2AF51552"/>
    <w:rsid w:val="2AFE28F4"/>
    <w:rsid w:val="2B0C00B5"/>
    <w:rsid w:val="2B0F60E3"/>
    <w:rsid w:val="2B1534EE"/>
    <w:rsid w:val="2B171B79"/>
    <w:rsid w:val="2B2621F1"/>
    <w:rsid w:val="2B2E661F"/>
    <w:rsid w:val="2B3561CA"/>
    <w:rsid w:val="2B3E61BC"/>
    <w:rsid w:val="2B4A673E"/>
    <w:rsid w:val="2B646A04"/>
    <w:rsid w:val="2B833DCF"/>
    <w:rsid w:val="2B9C72A6"/>
    <w:rsid w:val="2BA867E1"/>
    <w:rsid w:val="2BAA72ED"/>
    <w:rsid w:val="2BAD5346"/>
    <w:rsid w:val="2BB03333"/>
    <w:rsid w:val="2BB32876"/>
    <w:rsid w:val="2BC10759"/>
    <w:rsid w:val="2BC67E03"/>
    <w:rsid w:val="2BCC0AF7"/>
    <w:rsid w:val="2BDA19F5"/>
    <w:rsid w:val="2BDC54EB"/>
    <w:rsid w:val="2BE9306B"/>
    <w:rsid w:val="2BF93228"/>
    <w:rsid w:val="2BFC41C0"/>
    <w:rsid w:val="2BFF6824"/>
    <w:rsid w:val="2C002162"/>
    <w:rsid w:val="2C0E1ED5"/>
    <w:rsid w:val="2C225F8B"/>
    <w:rsid w:val="2C37329E"/>
    <w:rsid w:val="2C3A254F"/>
    <w:rsid w:val="2C4D331F"/>
    <w:rsid w:val="2C710E04"/>
    <w:rsid w:val="2C7E0919"/>
    <w:rsid w:val="2C8F010A"/>
    <w:rsid w:val="2CA05BB5"/>
    <w:rsid w:val="2CA820AE"/>
    <w:rsid w:val="2CB949F3"/>
    <w:rsid w:val="2CC17B44"/>
    <w:rsid w:val="2CCA2003"/>
    <w:rsid w:val="2CD10B96"/>
    <w:rsid w:val="2CD52350"/>
    <w:rsid w:val="2CFA7B94"/>
    <w:rsid w:val="2D076456"/>
    <w:rsid w:val="2D0A3C12"/>
    <w:rsid w:val="2D1947D7"/>
    <w:rsid w:val="2D200AE1"/>
    <w:rsid w:val="2D2D366D"/>
    <w:rsid w:val="2D43121A"/>
    <w:rsid w:val="2D485824"/>
    <w:rsid w:val="2D6B7AAF"/>
    <w:rsid w:val="2D71509A"/>
    <w:rsid w:val="2D734381"/>
    <w:rsid w:val="2D7979A9"/>
    <w:rsid w:val="2D90359F"/>
    <w:rsid w:val="2D962D8D"/>
    <w:rsid w:val="2DA210D2"/>
    <w:rsid w:val="2DA65AC5"/>
    <w:rsid w:val="2DAD5937"/>
    <w:rsid w:val="2DCD664C"/>
    <w:rsid w:val="2DD11D00"/>
    <w:rsid w:val="2DDA12DB"/>
    <w:rsid w:val="2DDC0D17"/>
    <w:rsid w:val="2DDD3AA0"/>
    <w:rsid w:val="2DE0049D"/>
    <w:rsid w:val="2DE07B9D"/>
    <w:rsid w:val="2DE87C4A"/>
    <w:rsid w:val="2DE90351"/>
    <w:rsid w:val="2DFD7CA4"/>
    <w:rsid w:val="2DFE4473"/>
    <w:rsid w:val="2E0C18B0"/>
    <w:rsid w:val="2E0C73C5"/>
    <w:rsid w:val="2E0D3FF0"/>
    <w:rsid w:val="2E187A37"/>
    <w:rsid w:val="2E273777"/>
    <w:rsid w:val="2E3E1438"/>
    <w:rsid w:val="2E4B657B"/>
    <w:rsid w:val="2E6469A0"/>
    <w:rsid w:val="2E7656FD"/>
    <w:rsid w:val="2E7F2143"/>
    <w:rsid w:val="2E822F30"/>
    <w:rsid w:val="2E857D2F"/>
    <w:rsid w:val="2E8E5CB9"/>
    <w:rsid w:val="2E9417EC"/>
    <w:rsid w:val="2E9C1C84"/>
    <w:rsid w:val="2EAD0874"/>
    <w:rsid w:val="2EB53575"/>
    <w:rsid w:val="2EE45EB9"/>
    <w:rsid w:val="2EE72AF7"/>
    <w:rsid w:val="2EE87514"/>
    <w:rsid w:val="2EF36922"/>
    <w:rsid w:val="2EF62E8D"/>
    <w:rsid w:val="2EFF15EE"/>
    <w:rsid w:val="2F000DF7"/>
    <w:rsid w:val="2F10450B"/>
    <w:rsid w:val="2F130058"/>
    <w:rsid w:val="2F1468C2"/>
    <w:rsid w:val="2F277E48"/>
    <w:rsid w:val="2F5F5B1B"/>
    <w:rsid w:val="2F6971AB"/>
    <w:rsid w:val="2F6C5CA5"/>
    <w:rsid w:val="2F6C7A55"/>
    <w:rsid w:val="2F6D3FB3"/>
    <w:rsid w:val="2F957CAF"/>
    <w:rsid w:val="2F9D34D5"/>
    <w:rsid w:val="2FC836E2"/>
    <w:rsid w:val="2FCF2A28"/>
    <w:rsid w:val="2FD97E44"/>
    <w:rsid w:val="2FE23FCB"/>
    <w:rsid w:val="2FE5465A"/>
    <w:rsid w:val="2FEA3641"/>
    <w:rsid w:val="2FF454EA"/>
    <w:rsid w:val="2FFB9F57"/>
    <w:rsid w:val="300264A9"/>
    <w:rsid w:val="30042D9F"/>
    <w:rsid w:val="300F506A"/>
    <w:rsid w:val="30194492"/>
    <w:rsid w:val="302152AE"/>
    <w:rsid w:val="30235E16"/>
    <w:rsid w:val="30387810"/>
    <w:rsid w:val="303956AD"/>
    <w:rsid w:val="30424923"/>
    <w:rsid w:val="30442EDE"/>
    <w:rsid w:val="304864B8"/>
    <w:rsid w:val="30527FC5"/>
    <w:rsid w:val="3053398E"/>
    <w:rsid w:val="30542F6B"/>
    <w:rsid w:val="305B2034"/>
    <w:rsid w:val="30652C14"/>
    <w:rsid w:val="306D31AB"/>
    <w:rsid w:val="307427C9"/>
    <w:rsid w:val="309950F4"/>
    <w:rsid w:val="30AE7BC9"/>
    <w:rsid w:val="30B14C74"/>
    <w:rsid w:val="30B73992"/>
    <w:rsid w:val="30B94808"/>
    <w:rsid w:val="30BD6ACE"/>
    <w:rsid w:val="30BF415F"/>
    <w:rsid w:val="30C72B81"/>
    <w:rsid w:val="30C82D31"/>
    <w:rsid w:val="30CB5389"/>
    <w:rsid w:val="30E62F57"/>
    <w:rsid w:val="30ED06E7"/>
    <w:rsid w:val="3106371A"/>
    <w:rsid w:val="310900FE"/>
    <w:rsid w:val="310D28FD"/>
    <w:rsid w:val="310F3B05"/>
    <w:rsid w:val="31132938"/>
    <w:rsid w:val="312406A1"/>
    <w:rsid w:val="312622CD"/>
    <w:rsid w:val="31282B8E"/>
    <w:rsid w:val="312C75A1"/>
    <w:rsid w:val="313A3CC4"/>
    <w:rsid w:val="313A706C"/>
    <w:rsid w:val="31411253"/>
    <w:rsid w:val="3156310C"/>
    <w:rsid w:val="315A1862"/>
    <w:rsid w:val="316049FB"/>
    <w:rsid w:val="31680A34"/>
    <w:rsid w:val="3172154C"/>
    <w:rsid w:val="317A2589"/>
    <w:rsid w:val="3188610E"/>
    <w:rsid w:val="318A4E74"/>
    <w:rsid w:val="318D5CFE"/>
    <w:rsid w:val="319627F6"/>
    <w:rsid w:val="319F3C19"/>
    <w:rsid w:val="31C132B8"/>
    <w:rsid w:val="31C632CA"/>
    <w:rsid w:val="31D16BBF"/>
    <w:rsid w:val="31EC526E"/>
    <w:rsid w:val="31F65A58"/>
    <w:rsid w:val="320B1A06"/>
    <w:rsid w:val="3210733A"/>
    <w:rsid w:val="32263C46"/>
    <w:rsid w:val="32267886"/>
    <w:rsid w:val="322B2A37"/>
    <w:rsid w:val="322B6746"/>
    <w:rsid w:val="3234133F"/>
    <w:rsid w:val="3237213F"/>
    <w:rsid w:val="323A36BC"/>
    <w:rsid w:val="323B186D"/>
    <w:rsid w:val="323E147B"/>
    <w:rsid w:val="3240048E"/>
    <w:rsid w:val="32435C17"/>
    <w:rsid w:val="325724E4"/>
    <w:rsid w:val="326738A9"/>
    <w:rsid w:val="327A0086"/>
    <w:rsid w:val="327B7538"/>
    <w:rsid w:val="32816F96"/>
    <w:rsid w:val="328B3D6E"/>
    <w:rsid w:val="32903F19"/>
    <w:rsid w:val="32A457A0"/>
    <w:rsid w:val="32A503EC"/>
    <w:rsid w:val="32AD4FBB"/>
    <w:rsid w:val="32AE10A0"/>
    <w:rsid w:val="32B54566"/>
    <w:rsid w:val="32B76E6E"/>
    <w:rsid w:val="32B84446"/>
    <w:rsid w:val="32C67C77"/>
    <w:rsid w:val="32D3412D"/>
    <w:rsid w:val="32E7022E"/>
    <w:rsid w:val="330271CA"/>
    <w:rsid w:val="330320F8"/>
    <w:rsid w:val="330E5872"/>
    <w:rsid w:val="330E7FD6"/>
    <w:rsid w:val="33161561"/>
    <w:rsid w:val="331E7F08"/>
    <w:rsid w:val="331F6A4D"/>
    <w:rsid w:val="334603F1"/>
    <w:rsid w:val="3353338A"/>
    <w:rsid w:val="33701A05"/>
    <w:rsid w:val="33702795"/>
    <w:rsid w:val="337C00DB"/>
    <w:rsid w:val="338A5133"/>
    <w:rsid w:val="33C62D00"/>
    <w:rsid w:val="33CE4A55"/>
    <w:rsid w:val="33D90570"/>
    <w:rsid w:val="33DE50CB"/>
    <w:rsid w:val="33E123CD"/>
    <w:rsid w:val="33E23E40"/>
    <w:rsid w:val="33EC1514"/>
    <w:rsid w:val="33F71155"/>
    <w:rsid w:val="33FF0C21"/>
    <w:rsid w:val="34104BC5"/>
    <w:rsid w:val="341A06B8"/>
    <w:rsid w:val="342C7F98"/>
    <w:rsid w:val="342D0BB1"/>
    <w:rsid w:val="343A3672"/>
    <w:rsid w:val="34416C0A"/>
    <w:rsid w:val="34460B76"/>
    <w:rsid w:val="344D5388"/>
    <w:rsid w:val="346E46B7"/>
    <w:rsid w:val="3471177D"/>
    <w:rsid w:val="34726277"/>
    <w:rsid w:val="34795411"/>
    <w:rsid w:val="347B23B3"/>
    <w:rsid w:val="34821BE3"/>
    <w:rsid w:val="34832720"/>
    <w:rsid w:val="34871985"/>
    <w:rsid w:val="34915EA2"/>
    <w:rsid w:val="34940253"/>
    <w:rsid w:val="34983684"/>
    <w:rsid w:val="34A04BD9"/>
    <w:rsid w:val="34A57D6A"/>
    <w:rsid w:val="34A913BC"/>
    <w:rsid w:val="34BC2226"/>
    <w:rsid w:val="34C03AF1"/>
    <w:rsid w:val="34D5003A"/>
    <w:rsid w:val="34E87B0F"/>
    <w:rsid w:val="34F26658"/>
    <w:rsid w:val="34FA62E8"/>
    <w:rsid w:val="34FB7282"/>
    <w:rsid w:val="34FC4642"/>
    <w:rsid w:val="351B0D3E"/>
    <w:rsid w:val="3520042F"/>
    <w:rsid w:val="3521031A"/>
    <w:rsid w:val="35210A8D"/>
    <w:rsid w:val="35216B3A"/>
    <w:rsid w:val="35354DFA"/>
    <w:rsid w:val="35393D99"/>
    <w:rsid w:val="35485A54"/>
    <w:rsid w:val="354E3B51"/>
    <w:rsid w:val="35522C36"/>
    <w:rsid w:val="355B4C65"/>
    <w:rsid w:val="355D0FE5"/>
    <w:rsid w:val="356C52F9"/>
    <w:rsid w:val="35852EE6"/>
    <w:rsid w:val="35936C62"/>
    <w:rsid w:val="35945057"/>
    <w:rsid w:val="359B56A3"/>
    <w:rsid w:val="35A270E4"/>
    <w:rsid w:val="35C8653B"/>
    <w:rsid w:val="35D30C65"/>
    <w:rsid w:val="35D61456"/>
    <w:rsid w:val="35D65B34"/>
    <w:rsid w:val="35DA5022"/>
    <w:rsid w:val="35DF52F8"/>
    <w:rsid w:val="35E644CB"/>
    <w:rsid w:val="35E81A7F"/>
    <w:rsid w:val="35F24C09"/>
    <w:rsid w:val="35F3004D"/>
    <w:rsid w:val="360139B8"/>
    <w:rsid w:val="360311CD"/>
    <w:rsid w:val="36070CBD"/>
    <w:rsid w:val="36127207"/>
    <w:rsid w:val="36200754"/>
    <w:rsid w:val="36256DC5"/>
    <w:rsid w:val="36290C2F"/>
    <w:rsid w:val="36301CAE"/>
    <w:rsid w:val="3630569C"/>
    <w:rsid w:val="3637718E"/>
    <w:rsid w:val="36384921"/>
    <w:rsid w:val="36435665"/>
    <w:rsid w:val="366B14B6"/>
    <w:rsid w:val="368045CB"/>
    <w:rsid w:val="36900EB9"/>
    <w:rsid w:val="36A24CBE"/>
    <w:rsid w:val="36A85C45"/>
    <w:rsid w:val="36AF6AB1"/>
    <w:rsid w:val="36B36BA8"/>
    <w:rsid w:val="36BC7D30"/>
    <w:rsid w:val="36C515C6"/>
    <w:rsid w:val="36C7685E"/>
    <w:rsid w:val="36C8518D"/>
    <w:rsid w:val="36D70F63"/>
    <w:rsid w:val="36D911EF"/>
    <w:rsid w:val="36DF7544"/>
    <w:rsid w:val="36E93F55"/>
    <w:rsid w:val="36EE3F4B"/>
    <w:rsid w:val="36F1357C"/>
    <w:rsid w:val="36F679D7"/>
    <w:rsid w:val="36FE1C40"/>
    <w:rsid w:val="37035E09"/>
    <w:rsid w:val="37096C73"/>
    <w:rsid w:val="37110A52"/>
    <w:rsid w:val="371C79AA"/>
    <w:rsid w:val="371F3DE4"/>
    <w:rsid w:val="372248E3"/>
    <w:rsid w:val="37230362"/>
    <w:rsid w:val="37283FBD"/>
    <w:rsid w:val="37310A0F"/>
    <w:rsid w:val="373A41EA"/>
    <w:rsid w:val="37465029"/>
    <w:rsid w:val="37543839"/>
    <w:rsid w:val="37585C03"/>
    <w:rsid w:val="37614314"/>
    <w:rsid w:val="376B44C4"/>
    <w:rsid w:val="376D0E2E"/>
    <w:rsid w:val="37802D3A"/>
    <w:rsid w:val="37850091"/>
    <w:rsid w:val="379116A8"/>
    <w:rsid w:val="379E11AD"/>
    <w:rsid w:val="37A60983"/>
    <w:rsid w:val="37A93BCE"/>
    <w:rsid w:val="37B704C1"/>
    <w:rsid w:val="37B71B23"/>
    <w:rsid w:val="37BB194B"/>
    <w:rsid w:val="37BF843D"/>
    <w:rsid w:val="37CF5451"/>
    <w:rsid w:val="37DA2CF5"/>
    <w:rsid w:val="37DF0D06"/>
    <w:rsid w:val="37E64902"/>
    <w:rsid w:val="37EF25FC"/>
    <w:rsid w:val="37F7120E"/>
    <w:rsid w:val="37FE5FF1"/>
    <w:rsid w:val="38035DBC"/>
    <w:rsid w:val="38082ACA"/>
    <w:rsid w:val="380D2520"/>
    <w:rsid w:val="380F56A1"/>
    <w:rsid w:val="38134DDD"/>
    <w:rsid w:val="381B6DB3"/>
    <w:rsid w:val="38305B7D"/>
    <w:rsid w:val="383B13D4"/>
    <w:rsid w:val="384A501C"/>
    <w:rsid w:val="38546D78"/>
    <w:rsid w:val="385566B6"/>
    <w:rsid w:val="386144A9"/>
    <w:rsid w:val="386D3BA5"/>
    <w:rsid w:val="38785F5F"/>
    <w:rsid w:val="38797874"/>
    <w:rsid w:val="387F1C72"/>
    <w:rsid w:val="388B52AB"/>
    <w:rsid w:val="389D1465"/>
    <w:rsid w:val="389D5144"/>
    <w:rsid w:val="38A34CC6"/>
    <w:rsid w:val="38A66177"/>
    <w:rsid w:val="38A74DA6"/>
    <w:rsid w:val="38AB6509"/>
    <w:rsid w:val="38BA7231"/>
    <w:rsid w:val="38BC45D1"/>
    <w:rsid w:val="38C67BAB"/>
    <w:rsid w:val="38D47011"/>
    <w:rsid w:val="38E9013C"/>
    <w:rsid w:val="38F65019"/>
    <w:rsid w:val="38FD5AC6"/>
    <w:rsid w:val="38FF2F74"/>
    <w:rsid w:val="38FF4EFB"/>
    <w:rsid w:val="390B3713"/>
    <w:rsid w:val="391928A0"/>
    <w:rsid w:val="391C5320"/>
    <w:rsid w:val="39243F17"/>
    <w:rsid w:val="392B7BAB"/>
    <w:rsid w:val="392C18C2"/>
    <w:rsid w:val="39481B04"/>
    <w:rsid w:val="394C66DD"/>
    <w:rsid w:val="396122B0"/>
    <w:rsid w:val="396A3375"/>
    <w:rsid w:val="39730461"/>
    <w:rsid w:val="397440DA"/>
    <w:rsid w:val="39764D37"/>
    <w:rsid w:val="397D3525"/>
    <w:rsid w:val="399D5052"/>
    <w:rsid w:val="39AD78D2"/>
    <w:rsid w:val="39AE5A5B"/>
    <w:rsid w:val="39B72078"/>
    <w:rsid w:val="39B96310"/>
    <w:rsid w:val="39BB0FB8"/>
    <w:rsid w:val="39C830C2"/>
    <w:rsid w:val="39EC7D3C"/>
    <w:rsid w:val="39ED1A22"/>
    <w:rsid w:val="3A10410D"/>
    <w:rsid w:val="3A2053A6"/>
    <w:rsid w:val="3A26050E"/>
    <w:rsid w:val="3A265CF7"/>
    <w:rsid w:val="3A271F33"/>
    <w:rsid w:val="3A446E54"/>
    <w:rsid w:val="3A465B2C"/>
    <w:rsid w:val="3A5244D1"/>
    <w:rsid w:val="3A602052"/>
    <w:rsid w:val="3A6B361F"/>
    <w:rsid w:val="3A714511"/>
    <w:rsid w:val="3A7FA0D8"/>
    <w:rsid w:val="3A894E1A"/>
    <w:rsid w:val="3A985B80"/>
    <w:rsid w:val="3AA51A0D"/>
    <w:rsid w:val="3ABD00AF"/>
    <w:rsid w:val="3AC76E36"/>
    <w:rsid w:val="3ACB56B9"/>
    <w:rsid w:val="3AD8035A"/>
    <w:rsid w:val="3ADF037E"/>
    <w:rsid w:val="3AE22C48"/>
    <w:rsid w:val="3AEF41B2"/>
    <w:rsid w:val="3AF07D51"/>
    <w:rsid w:val="3AFD60FD"/>
    <w:rsid w:val="3B040FE4"/>
    <w:rsid w:val="3B0D0484"/>
    <w:rsid w:val="3B111703"/>
    <w:rsid w:val="3B1744D9"/>
    <w:rsid w:val="3B195861"/>
    <w:rsid w:val="3B2B14C0"/>
    <w:rsid w:val="3B3D0765"/>
    <w:rsid w:val="3B510961"/>
    <w:rsid w:val="3B641997"/>
    <w:rsid w:val="3B6762C9"/>
    <w:rsid w:val="3B723AD4"/>
    <w:rsid w:val="3B7B4897"/>
    <w:rsid w:val="3B7B4EF3"/>
    <w:rsid w:val="3B802375"/>
    <w:rsid w:val="3B8D4FDE"/>
    <w:rsid w:val="3B90605D"/>
    <w:rsid w:val="3B9C425A"/>
    <w:rsid w:val="3BA53444"/>
    <w:rsid w:val="3BA81601"/>
    <w:rsid w:val="3BAC507F"/>
    <w:rsid w:val="3BB13E90"/>
    <w:rsid w:val="3BC05C20"/>
    <w:rsid w:val="3BC242CB"/>
    <w:rsid w:val="3BC255BB"/>
    <w:rsid w:val="3BCA6B4D"/>
    <w:rsid w:val="3BD70D98"/>
    <w:rsid w:val="3BDD43F0"/>
    <w:rsid w:val="3BE922D2"/>
    <w:rsid w:val="3BEA2018"/>
    <w:rsid w:val="3C1C68FB"/>
    <w:rsid w:val="3C266052"/>
    <w:rsid w:val="3C28373B"/>
    <w:rsid w:val="3C2A5FA7"/>
    <w:rsid w:val="3C322630"/>
    <w:rsid w:val="3C390C19"/>
    <w:rsid w:val="3C3B092C"/>
    <w:rsid w:val="3C4131D2"/>
    <w:rsid w:val="3C544530"/>
    <w:rsid w:val="3C5D3905"/>
    <w:rsid w:val="3C5E7B6B"/>
    <w:rsid w:val="3C720A34"/>
    <w:rsid w:val="3C731522"/>
    <w:rsid w:val="3C7438DB"/>
    <w:rsid w:val="3C7B26C4"/>
    <w:rsid w:val="3C8D6778"/>
    <w:rsid w:val="3C935899"/>
    <w:rsid w:val="3C9E74DC"/>
    <w:rsid w:val="3CA40291"/>
    <w:rsid w:val="3CAE3FCB"/>
    <w:rsid w:val="3CB35C1A"/>
    <w:rsid w:val="3CB46D18"/>
    <w:rsid w:val="3CCA127C"/>
    <w:rsid w:val="3D066D21"/>
    <w:rsid w:val="3D0E1D7A"/>
    <w:rsid w:val="3D146378"/>
    <w:rsid w:val="3D155535"/>
    <w:rsid w:val="3D1A551E"/>
    <w:rsid w:val="3D1D0DC6"/>
    <w:rsid w:val="3D2364DC"/>
    <w:rsid w:val="3D3313E5"/>
    <w:rsid w:val="3D3B13BE"/>
    <w:rsid w:val="3D414A19"/>
    <w:rsid w:val="3D4566E6"/>
    <w:rsid w:val="3D617252"/>
    <w:rsid w:val="3D636911"/>
    <w:rsid w:val="3D690E22"/>
    <w:rsid w:val="3D8865AD"/>
    <w:rsid w:val="3D9D0729"/>
    <w:rsid w:val="3DA9101D"/>
    <w:rsid w:val="3DA917B8"/>
    <w:rsid w:val="3DAC39CF"/>
    <w:rsid w:val="3DAE434A"/>
    <w:rsid w:val="3DB377D0"/>
    <w:rsid w:val="3DC44B1D"/>
    <w:rsid w:val="3DCB1B13"/>
    <w:rsid w:val="3DCD4D10"/>
    <w:rsid w:val="3DD223B2"/>
    <w:rsid w:val="3DEA0E7D"/>
    <w:rsid w:val="3DEA4188"/>
    <w:rsid w:val="3DFD3C46"/>
    <w:rsid w:val="3E047890"/>
    <w:rsid w:val="3E0D2BA2"/>
    <w:rsid w:val="3E234D34"/>
    <w:rsid w:val="3E28157C"/>
    <w:rsid w:val="3E313576"/>
    <w:rsid w:val="3E36697B"/>
    <w:rsid w:val="3E493FE3"/>
    <w:rsid w:val="3E4B6981"/>
    <w:rsid w:val="3E672EB4"/>
    <w:rsid w:val="3E695273"/>
    <w:rsid w:val="3E6D11EF"/>
    <w:rsid w:val="3E777477"/>
    <w:rsid w:val="3E89310E"/>
    <w:rsid w:val="3E8D5C11"/>
    <w:rsid w:val="3EA22D08"/>
    <w:rsid w:val="3EA610B6"/>
    <w:rsid w:val="3EA6508A"/>
    <w:rsid w:val="3EB04CAF"/>
    <w:rsid w:val="3EB70181"/>
    <w:rsid w:val="3EBB151E"/>
    <w:rsid w:val="3EBC352D"/>
    <w:rsid w:val="3EBD7904"/>
    <w:rsid w:val="3EBE084F"/>
    <w:rsid w:val="3EC076B5"/>
    <w:rsid w:val="3EC32B74"/>
    <w:rsid w:val="3ED715C1"/>
    <w:rsid w:val="3ED71712"/>
    <w:rsid w:val="3ED92825"/>
    <w:rsid w:val="3EDB7087"/>
    <w:rsid w:val="3EF7CD57"/>
    <w:rsid w:val="3F040999"/>
    <w:rsid w:val="3F062266"/>
    <w:rsid w:val="3F2179D0"/>
    <w:rsid w:val="3F265678"/>
    <w:rsid w:val="3F28434E"/>
    <w:rsid w:val="3F326DBB"/>
    <w:rsid w:val="3F360EA4"/>
    <w:rsid w:val="3F3A7F44"/>
    <w:rsid w:val="3F3E3276"/>
    <w:rsid w:val="3F4D6969"/>
    <w:rsid w:val="3F4E4B32"/>
    <w:rsid w:val="3F59010B"/>
    <w:rsid w:val="3F5E56C6"/>
    <w:rsid w:val="3F6C4251"/>
    <w:rsid w:val="3F9135C0"/>
    <w:rsid w:val="3F955FB9"/>
    <w:rsid w:val="3F9A3294"/>
    <w:rsid w:val="3FA834DC"/>
    <w:rsid w:val="3FAE7BFF"/>
    <w:rsid w:val="3FAEC77E"/>
    <w:rsid w:val="3FB079D9"/>
    <w:rsid w:val="3FB44390"/>
    <w:rsid w:val="3FBE48F8"/>
    <w:rsid w:val="3FD010CB"/>
    <w:rsid w:val="3FD049EC"/>
    <w:rsid w:val="3FDA1D33"/>
    <w:rsid w:val="3FE261F2"/>
    <w:rsid w:val="3FE815EE"/>
    <w:rsid w:val="3FEA6BFC"/>
    <w:rsid w:val="3FF76861"/>
    <w:rsid w:val="40023C70"/>
    <w:rsid w:val="40086A92"/>
    <w:rsid w:val="402158C5"/>
    <w:rsid w:val="402F7539"/>
    <w:rsid w:val="40400646"/>
    <w:rsid w:val="404264F9"/>
    <w:rsid w:val="405F542D"/>
    <w:rsid w:val="406518C8"/>
    <w:rsid w:val="40736AAC"/>
    <w:rsid w:val="40774C91"/>
    <w:rsid w:val="40872663"/>
    <w:rsid w:val="408847A8"/>
    <w:rsid w:val="409E08F6"/>
    <w:rsid w:val="40A36975"/>
    <w:rsid w:val="40A92D7E"/>
    <w:rsid w:val="40B26929"/>
    <w:rsid w:val="40DC05C4"/>
    <w:rsid w:val="40EC294D"/>
    <w:rsid w:val="41112814"/>
    <w:rsid w:val="41220DC3"/>
    <w:rsid w:val="41336AA7"/>
    <w:rsid w:val="413A078C"/>
    <w:rsid w:val="413C022C"/>
    <w:rsid w:val="414508EB"/>
    <w:rsid w:val="41465A7C"/>
    <w:rsid w:val="414A27E7"/>
    <w:rsid w:val="41567FFC"/>
    <w:rsid w:val="415A2C36"/>
    <w:rsid w:val="416C6812"/>
    <w:rsid w:val="417A2E1B"/>
    <w:rsid w:val="419A3818"/>
    <w:rsid w:val="419C55D6"/>
    <w:rsid w:val="419F3437"/>
    <w:rsid w:val="41CC0CFB"/>
    <w:rsid w:val="41CE1449"/>
    <w:rsid w:val="41DC7A85"/>
    <w:rsid w:val="41DE664A"/>
    <w:rsid w:val="41E31636"/>
    <w:rsid w:val="41E6684E"/>
    <w:rsid w:val="41EB00BA"/>
    <w:rsid w:val="42007BC3"/>
    <w:rsid w:val="420C1A57"/>
    <w:rsid w:val="42187677"/>
    <w:rsid w:val="421D399E"/>
    <w:rsid w:val="422657F0"/>
    <w:rsid w:val="422723C1"/>
    <w:rsid w:val="422E7705"/>
    <w:rsid w:val="42347BEE"/>
    <w:rsid w:val="4239502A"/>
    <w:rsid w:val="42397651"/>
    <w:rsid w:val="423D7BE4"/>
    <w:rsid w:val="423F278B"/>
    <w:rsid w:val="42902FAB"/>
    <w:rsid w:val="42931A06"/>
    <w:rsid w:val="42954F65"/>
    <w:rsid w:val="42974896"/>
    <w:rsid w:val="429F402B"/>
    <w:rsid w:val="42AB6297"/>
    <w:rsid w:val="42AC1AFD"/>
    <w:rsid w:val="42BD5589"/>
    <w:rsid w:val="42C13E24"/>
    <w:rsid w:val="42C260BF"/>
    <w:rsid w:val="42C304D8"/>
    <w:rsid w:val="42C80099"/>
    <w:rsid w:val="42D03DF9"/>
    <w:rsid w:val="42DA2207"/>
    <w:rsid w:val="42DC4996"/>
    <w:rsid w:val="42DF438F"/>
    <w:rsid w:val="42E04ECD"/>
    <w:rsid w:val="42EE5C1F"/>
    <w:rsid w:val="42F052B7"/>
    <w:rsid w:val="42F80A8C"/>
    <w:rsid w:val="430E697C"/>
    <w:rsid w:val="431E6379"/>
    <w:rsid w:val="431E7646"/>
    <w:rsid w:val="432039E0"/>
    <w:rsid w:val="432675D2"/>
    <w:rsid w:val="432A1D61"/>
    <w:rsid w:val="433208D1"/>
    <w:rsid w:val="4338529B"/>
    <w:rsid w:val="433F7EB7"/>
    <w:rsid w:val="43463727"/>
    <w:rsid w:val="43470476"/>
    <w:rsid w:val="4348702B"/>
    <w:rsid w:val="4351111A"/>
    <w:rsid w:val="43804A43"/>
    <w:rsid w:val="438324EF"/>
    <w:rsid w:val="43891467"/>
    <w:rsid w:val="43963B42"/>
    <w:rsid w:val="43994D0F"/>
    <w:rsid w:val="43A05748"/>
    <w:rsid w:val="43B07F6C"/>
    <w:rsid w:val="43BA09D8"/>
    <w:rsid w:val="43BE2A16"/>
    <w:rsid w:val="43C9547E"/>
    <w:rsid w:val="43DC17D0"/>
    <w:rsid w:val="43DF4ED4"/>
    <w:rsid w:val="43F84BB0"/>
    <w:rsid w:val="441060A4"/>
    <w:rsid w:val="441C6B00"/>
    <w:rsid w:val="441F3CEF"/>
    <w:rsid w:val="442C445F"/>
    <w:rsid w:val="44304E5A"/>
    <w:rsid w:val="443B5510"/>
    <w:rsid w:val="44564556"/>
    <w:rsid w:val="445B5D66"/>
    <w:rsid w:val="445C25FF"/>
    <w:rsid w:val="4462582D"/>
    <w:rsid w:val="446272E5"/>
    <w:rsid w:val="446374FE"/>
    <w:rsid w:val="44643E47"/>
    <w:rsid w:val="44836571"/>
    <w:rsid w:val="44897E3F"/>
    <w:rsid w:val="448C6DF0"/>
    <w:rsid w:val="449A179A"/>
    <w:rsid w:val="449A71A0"/>
    <w:rsid w:val="44A92E36"/>
    <w:rsid w:val="44C25CAA"/>
    <w:rsid w:val="44C9538F"/>
    <w:rsid w:val="44D85483"/>
    <w:rsid w:val="44DF52E6"/>
    <w:rsid w:val="44F17CAA"/>
    <w:rsid w:val="44FB3D04"/>
    <w:rsid w:val="44FE4D41"/>
    <w:rsid w:val="450A1954"/>
    <w:rsid w:val="45184507"/>
    <w:rsid w:val="451A1E03"/>
    <w:rsid w:val="451F4451"/>
    <w:rsid w:val="45201CD0"/>
    <w:rsid w:val="45261C17"/>
    <w:rsid w:val="45297843"/>
    <w:rsid w:val="452A22D2"/>
    <w:rsid w:val="4533463C"/>
    <w:rsid w:val="453426AB"/>
    <w:rsid w:val="45360362"/>
    <w:rsid w:val="453B4135"/>
    <w:rsid w:val="453B4205"/>
    <w:rsid w:val="453F19E0"/>
    <w:rsid w:val="454049A0"/>
    <w:rsid w:val="454436DE"/>
    <w:rsid w:val="45521467"/>
    <w:rsid w:val="455A7EC7"/>
    <w:rsid w:val="45705E8D"/>
    <w:rsid w:val="45766896"/>
    <w:rsid w:val="458B08FC"/>
    <w:rsid w:val="458B1BBC"/>
    <w:rsid w:val="45956E7E"/>
    <w:rsid w:val="45A95584"/>
    <w:rsid w:val="45AE4A0E"/>
    <w:rsid w:val="45B60FB3"/>
    <w:rsid w:val="45C378EF"/>
    <w:rsid w:val="45C412DE"/>
    <w:rsid w:val="45C42B72"/>
    <w:rsid w:val="45C65B0E"/>
    <w:rsid w:val="45C70A4F"/>
    <w:rsid w:val="45C94C5D"/>
    <w:rsid w:val="45D16D59"/>
    <w:rsid w:val="45E10B02"/>
    <w:rsid w:val="45E56CA3"/>
    <w:rsid w:val="45EB06EF"/>
    <w:rsid w:val="45F17488"/>
    <w:rsid w:val="45FD6F20"/>
    <w:rsid w:val="460F492E"/>
    <w:rsid w:val="46186197"/>
    <w:rsid w:val="461934A2"/>
    <w:rsid w:val="461A4C1A"/>
    <w:rsid w:val="46332BF8"/>
    <w:rsid w:val="46362EF9"/>
    <w:rsid w:val="463E476D"/>
    <w:rsid w:val="46445707"/>
    <w:rsid w:val="464610B0"/>
    <w:rsid w:val="465638A4"/>
    <w:rsid w:val="4662784A"/>
    <w:rsid w:val="4675215E"/>
    <w:rsid w:val="467B0514"/>
    <w:rsid w:val="467B30A8"/>
    <w:rsid w:val="467B4EE0"/>
    <w:rsid w:val="4691113B"/>
    <w:rsid w:val="469C3D47"/>
    <w:rsid w:val="46A85E78"/>
    <w:rsid w:val="46B04AE1"/>
    <w:rsid w:val="46B21EA4"/>
    <w:rsid w:val="46B40B6B"/>
    <w:rsid w:val="46BA47C2"/>
    <w:rsid w:val="46BB765E"/>
    <w:rsid w:val="46C94ED6"/>
    <w:rsid w:val="46D64DD7"/>
    <w:rsid w:val="46D7495C"/>
    <w:rsid w:val="46DA02D9"/>
    <w:rsid w:val="46F25071"/>
    <w:rsid w:val="46F427C7"/>
    <w:rsid w:val="46F438F7"/>
    <w:rsid w:val="46F43BD9"/>
    <w:rsid w:val="46F95916"/>
    <w:rsid w:val="46FE5DB8"/>
    <w:rsid w:val="470D2F62"/>
    <w:rsid w:val="4710374A"/>
    <w:rsid w:val="4718603E"/>
    <w:rsid w:val="471D4CB0"/>
    <w:rsid w:val="4723541D"/>
    <w:rsid w:val="47256588"/>
    <w:rsid w:val="472C3214"/>
    <w:rsid w:val="473050C1"/>
    <w:rsid w:val="47326D4E"/>
    <w:rsid w:val="475B786F"/>
    <w:rsid w:val="475FADFC"/>
    <w:rsid w:val="4765206C"/>
    <w:rsid w:val="477B2B8E"/>
    <w:rsid w:val="47814304"/>
    <w:rsid w:val="47843F76"/>
    <w:rsid w:val="478B7614"/>
    <w:rsid w:val="479F6D48"/>
    <w:rsid w:val="47A345BE"/>
    <w:rsid w:val="47A74A6E"/>
    <w:rsid w:val="47B2140D"/>
    <w:rsid w:val="47B279FC"/>
    <w:rsid w:val="47B70B10"/>
    <w:rsid w:val="47C76806"/>
    <w:rsid w:val="47E328E4"/>
    <w:rsid w:val="47E76DB5"/>
    <w:rsid w:val="47F241AB"/>
    <w:rsid w:val="47F44E19"/>
    <w:rsid w:val="47FF773A"/>
    <w:rsid w:val="47FFF4BB"/>
    <w:rsid w:val="48025E63"/>
    <w:rsid w:val="48096E61"/>
    <w:rsid w:val="48164085"/>
    <w:rsid w:val="48282106"/>
    <w:rsid w:val="484323CF"/>
    <w:rsid w:val="484564C5"/>
    <w:rsid w:val="4854681C"/>
    <w:rsid w:val="485D351D"/>
    <w:rsid w:val="485E64DF"/>
    <w:rsid w:val="48797688"/>
    <w:rsid w:val="487F180D"/>
    <w:rsid w:val="488327FF"/>
    <w:rsid w:val="48874608"/>
    <w:rsid w:val="489E2F22"/>
    <w:rsid w:val="48A279E5"/>
    <w:rsid w:val="48AE07FB"/>
    <w:rsid w:val="48CA5BDD"/>
    <w:rsid w:val="48D70F23"/>
    <w:rsid w:val="48D7347B"/>
    <w:rsid w:val="48D91E9A"/>
    <w:rsid w:val="48D95C14"/>
    <w:rsid w:val="48E1229C"/>
    <w:rsid w:val="48FD3F53"/>
    <w:rsid w:val="48FE483B"/>
    <w:rsid w:val="490A31EA"/>
    <w:rsid w:val="49204394"/>
    <w:rsid w:val="49273E0A"/>
    <w:rsid w:val="492809FC"/>
    <w:rsid w:val="49295B00"/>
    <w:rsid w:val="493605C1"/>
    <w:rsid w:val="49371193"/>
    <w:rsid w:val="49383978"/>
    <w:rsid w:val="49422109"/>
    <w:rsid w:val="4944592C"/>
    <w:rsid w:val="494758DD"/>
    <w:rsid w:val="494F77BB"/>
    <w:rsid w:val="495163FD"/>
    <w:rsid w:val="498F6B83"/>
    <w:rsid w:val="4990050C"/>
    <w:rsid w:val="49905F6E"/>
    <w:rsid w:val="49926105"/>
    <w:rsid w:val="49984919"/>
    <w:rsid w:val="499968D8"/>
    <w:rsid w:val="49A202BD"/>
    <w:rsid w:val="49B7467B"/>
    <w:rsid w:val="49BB4DFF"/>
    <w:rsid w:val="49DA6140"/>
    <w:rsid w:val="49ED5CD0"/>
    <w:rsid w:val="49F6782D"/>
    <w:rsid w:val="4A006538"/>
    <w:rsid w:val="4A060E41"/>
    <w:rsid w:val="4A13062D"/>
    <w:rsid w:val="4A210C16"/>
    <w:rsid w:val="4A247656"/>
    <w:rsid w:val="4A27484B"/>
    <w:rsid w:val="4A295BD9"/>
    <w:rsid w:val="4A2E3588"/>
    <w:rsid w:val="4A35554B"/>
    <w:rsid w:val="4A4A7727"/>
    <w:rsid w:val="4A4D4AF3"/>
    <w:rsid w:val="4A551DC2"/>
    <w:rsid w:val="4A5C4BFA"/>
    <w:rsid w:val="4A637FA2"/>
    <w:rsid w:val="4A683F6B"/>
    <w:rsid w:val="4A7578C9"/>
    <w:rsid w:val="4A7D7891"/>
    <w:rsid w:val="4A7E4254"/>
    <w:rsid w:val="4A922B5E"/>
    <w:rsid w:val="4AA3106B"/>
    <w:rsid w:val="4AAA2A7D"/>
    <w:rsid w:val="4AAB7AF7"/>
    <w:rsid w:val="4AAF78C3"/>
    <w:rsid w:val="4AB2178A"/>
    <w:rsid w:val="4ABA6312"/>
    <w:rsid w:val="4ACF6D04"/>
    <w:rsid w:val="4ADB0F88"/>
    <w:rsid w:val="4AE9143A"/>
    <w:rsid w:val="4AE9280F"/>
    <w:rsid w:val="4AF20E05"/>
    <w:rsid w:val="4AF67242"/>
    <w:rsid w:val="4AFA0424"/>
    <w:rsid w:val="4B054CFE"/>
    <w:rsid w:val="4B117368"/>
    <w:rsid w:val="4B2268F4"/>
    <w:rsid w:val="4B23088F"/>
    <w:rsid w:val="4B257BC2"/>
    <w:rsid w:val="4B336442"/>
    <w:rsid w:val="4B3B31C8"/>
    <w:rsid w:val="4B3D4D2C"/>
    <w:rsid w:val="4B432B93"/>
    <w:rsid w:val="4B4817B5"/>
    <w:rsid w:val="4B660844"/>
    <w:rsid w:val="4B6B3337"/>
    <w:rsid w:val="4B7C3D8C"/>
    <w:rsid w:val="4B975535"/>
    <w:rsid w:val="4BA14F47"/>
    <w:rsid w:val="4BA44B18"/>
    <w:rsid w:val="4BB12A34"/>
    <w:rsid w:val="4BB15C21"/>
    <w:rsid w:val="4BCD4D56"/>
    <w:rsid w:val="4BCD5AFB"/>
    <w:rsid w:val="4BDB6776"/>
    <w:rsid w:val="4BE06EB7"/>
    <w:rsid w:val="4BE33950"/>
    <w:rsid w:val="4BEB7DF9"/>
    <w:rsid w:val="4BF13E9C"/>
    <w:rsid w:val="4BF63E77"/>
    <w:rsid w:val="4C171611"/>
    <w:rsid w:val="4C3103F7"/>
    <w:rsid w:val="4C3C127F"/>
    <w:rsid w:val="4C427B95"/>
    <w:rsid w:val="4C4669D2"/>
    <w:rsid w:val="4C871830"/>
    <w:rsid w:val="4C8B0174"/>
    <w:rsid w:val="4C9926CC"/>
    <w:rsid w:val="4CA62D4C"/>
    <w:rsid w:val="4CA75A70"/>
    <w:rsid w:val="4CAA3342"/>
    <w:rsid w:val="4CAA7011"/>
    <w:rsid w:val="4CB656F2"/>
    <w:rsid w:val="4CC3103C"/>
    <w:rsid w:val="4CCB42C5"/>
    <w:rsid w:val="4CCF0711"/>
    <w:rsid w:val="4CCF17BD"/>
    <w:rsid w:val="4CD55BEB"/>
    <w:rsid w:val="4CE81FC6"/>
    <w:rsid w:val="4CF520EB"/>
    <w:rsid w:val="4D020122"/>
    <w:rsid w:val="4D026969"/>
    <w:rsid w:val="4D0C2C77"/>
    <w:rsid w:val="4D137130"/>
    <w:rsid w:val="4D1A1400"/>
    <w:rsid w:val="4D1E4578"/>
    <w:rsid w:val="4D335236"/>
    <w:rsid w:val="4D447064"/>
    <w:rsid w:val="4D4F3090"/>
    <w:rsid w:val="4D6B1C74"/>
    <w:rsid w:val="4D722A68"/>
    <w:rsid w:val="4D7C0D00"/>
    <w:rsid w:val="4D87352F"/>
    <w:rsid w:val="4D931243"/>
    <w:rsid w:val="4DB51809"/>
    <w:rsid w:val="4DBC6539"/>
    <w:rsid w:val="4DC50EEF"/>
    <w:rsid w:val="4DD475D1"/>
    <w:rsid w:val="4DD776AB"/>
    <w:rsid w:val="4DDB5EB1"/>
    <w:rsid w:val="4DE4584A"/>
    <w:rsid w:val="4DF831B6"/>
    <w:rsid w:val="4E08517B"/>
    <w:rsid w:val="4E347D1E"/>
    <w:rsid w:val="4E3653FD"/>
    <w:rsid w:val="4E37755B"/>
    <w:rsid w:val="4E3E4076"/>
    <w:rsid w:val="4E473566"/>
    <w:rsid w:val="4E503CDF"/>
    <w:rsid w:val="4E5972CA"/>
    <w:rsid w:val="4E647908"/>
    <w:rsid w:val="4E681FAD"/>
    <w:rsid w:val="4E784D81"/>
    <w:rsid w:val="4E790CD6"/>
    <w:rsid w:val="4E825454"/>
    <w:rsid w:val="4E837F79"/>
    <w:rsid w:val="4E8B47DA"/>
    <w:rsid w:val="4E971287"/>
    <w:rsid w:val="4E9D0C5E"/>
    <w:rsid w:val="4EA5389D"/>
    <w:rsid w:val="4EA82125"/>
    <w:rsid w:val="4EA968C2"/>
    <w:rsid w:val="4EB173C6"/>
    <w:rsid w:val="4EB733D6"/>
    <w:rsid w:val="4EE17B83"/>
    <w:rsid w:val="4EE6611F"/>
    <w:rsid w:val="4F0AE590"/>
    <w:rsid w:val="4F321DBF"/>
    <w:rsid w:val="4F452886"/>
    <w:rsid w:val="4F4D1362"/>
    <w:rsid w:val="4F510335"/>
    <w:rsid w:val="4F5C39D0"/>
    <w:rsid w:val="4F5E4B10"/>
    <w:rsid w:val="4F701229"/>
    <w:rsid w:val="4F7864E2"/>
    <w:rsid w:val="4F972442"/>
    <w:rsid w:val="4FA25A31"/>
    <w:rsid w:val="4FB91209"/>
    <w:rsid w:val="4FBD1A1F"/>
    <w:rsid w:val="4FBE1DF5"/>
    <w:rsid w:val="4FBF6F62"/>
    <w:rsid w:val="4FC24E8A"/>
    <w:rsid w:val="4FF10B69"/>
    <w:rsid w:val="4FF721D3"/>
    <w:rsid w:val="4FFD57A5"/>
    <w:rsid w:val="500D5DB3"/>
    <w:rsid w:val="5010374D"/>
    <w:rsid w:val="501613EA"/>
    <w:rsid w:val="5033292A"/>
    <w:rsid w:val="503E0ED2"/>
    <w:rsid w:val="504A4CDB"/>
    <w:rsid w:val="505356F4"/>
    <w:rsid w:val="5067527D"/>
    <w:rsid w:val="506816E0"/>
    <w:rsid w:val="50744D60"/>
    <w:rsid w:val="50803083"/>
    <w:rsid w:val="50886413"/>
    <w:rsid w:val="508865A2"/>
    <w:rsid w:val="50937803"/>
    <w:rsid w:val="50A34C80"/>
    <w:rsid w:val="50AD68A1"/>
    <w:rsid w:val="50B22361"/>
    <w:rsid w:val="50B65562"/>
    <w:rsid w:val="50C3153F"/>
    <w:rsid w:val="50C833CB"/>
    <w:rsid w:val="50D51337"/>
    <w:rsid w:val="50EC10D6"/>
    <w:rsid w:val="50EE3A87"/>
    <w:rsid w:val="510224A3"/>
    <w:rsid w:val="51096FBC"/>
    <w:rsid w:val="510C0E2E"/>
    <w:rsid w:val="511023D2"/>
    <w:rsid w:val="513833F4"/>
    <w:rsid w:val="513B4C0C"/>
    <w:rsid w:val="51431745"/>
    <w:rsid w:val="5150081D"/>
    <w:rsid w:val="516171A0"/>
    <w:rsid w:val="5162232C"/>
    <w:rsid w:val="51636DAE"/>
    <w:rsid w:val="5167665C"/>
    <w:rsid w:val="51722F47"/>
    <w:rsid w:val="51767FF0"/>
    <w:rsid w:val="517B6EE9"/>
    <w:rsid w:val="51955D74"/>
    <w:rsid w:val="519B622D"/>
    <w:rsid w:val="51A551DA"/>
    <w:rsid w:val="51AE6FCB"/>
    <w:rsid w:val="51B63DF6"/>
    <w:rsid w:val="51E23F34"/>
    <w:rsid w:val="51E473ED"/>
    <w:rsid w:val="51ED0FAB"/>
    <w:rsid w:val="51EF59C5"/>
    <w:rsid w:val="51F9411A"/>
    <w:rsid w:val="51FD1A5C"/>
    <w:rsid w:val="52211C80"/>
    <w:rsid w:val="5226155A"/>
    <w:rsid w:val="522639F0"/>
    <w:rsid w:val="522919DD"/>
    <w:rsid w:val="522B3864"/>
    <w:rsid w:val="523C2CD5"/>
    <w:rsid w:val="5241072B"/>
    <w:rsid w:val="524C3FFD"/>
    <w:rsid w:val="52523205"/>
    <w:rsid w:val="5254050B"/>
    <w:rsid w:val="52634BD2"/>
    <w:rsid w:val="52682C3F"/>
    <w:rsid w:val="52760D63"/>
    <w:rsid w:val="527F6CB5"/>
    <w:rsid w:val="528668E2"/>
    <w:rsid w:val="528D53C6"/>
    <w:rsid w:val="52A36D3A"/>
    <w:rsid w:val="52B61074"/>
    <w:rsid w:val="52C76A06"/>
    <w:rsid w:val="52CC22C8"/>
    <w:rsid w:val="52D37065"/>
    <w:rsid w:val="52F3427A"/>
    <w:rsid w:val="52F5267F"/>
    <w:rsid w:val="52FA0223"/>
    <w:rsid w:val="530144F2"/>
    <w:rsid w:val="53074D0E"/>
    <w:rsid w:val="53132F1F"/>
    <w:rsid w:val="531C6B04"/>
    <w:rsid w:val="53346DCF"/>
    <w:rsid w:val="53365130"/>
    <w:rsid w:val="533EC6B1"/>
    <w:rsid w:val="534E3116"/>
    <w:rsid w:val="535F4C6A"/>
    <w:rsid w:val="53615D77"/>
    <w:rsid w:val="536754D3"/>
    <w:rsid w:val="537428F6"/>
    <w:rsid w:val="537A110E"/>
    <w:rsid w:val="538A3FFC"/>
    <w:rsid w:val="539908EE"/>
    <w:rsid w:val="53B625F4"/>
    <w:rsid w:val="53BA3A2B"/>
    <w:rsid w:val="53BF452D"/>
    <w:rsid w:val="53C3637A"/>
    <w:rsid w:val="53C7425F"/>
    <w:rsid w:val="53F47C07"/>
    <w:rsid w:val="53FA7012"/>
    <w:rsid w:val="54017C77"/>
    <w:rsid w:val="5405643C"/>
    <w:rsid w:val="54071C4E"/>
    <w:rsid w:val="54154D59"/>
    <w:rsid w:val="54282813"/>
    <w:rsid w:val="543D474F"/>
    <w:rsid w:val="544A47D3"/>
    <w:rsid w:val="545753FB"/>
    <w:rsid w:val="545B53C8"/>
    <w:rsid w:val="54730839"/>
    <w:rsid w:val="547D2F9E"/>
    <w:rsid w:val="547D731B"/>
    <w:rsid w:val="54895F6F"/>
    <w:rsid w:val="548F6CA3"/>
    <w:rsid w:val="5496345A"/>
    <w:rsid w:val="54B30C5E"/>
    <w:rsid w:val="54B8031D"/>
    <w:rsid w:val="54BC4F94"/>
    <w:rsid w:val="54BD088F"/>
    <w:rsid w:val="54DB1C81"/>
    <w:rsid w:val="54DD0277"/>
    <w:rsid w:val="54E04D01"/>
    <w:rsid w:val="54E04D60"/>
    <w:rsid w:val="54E36374"/>
    <w:rsid w:val="54E535D3"/>
    <w:rsid w:val="54EF288B"/>
    <w:rsid w:val="54F070DE"/>
    <w:rsid w:val="550B5058"/>
    <w:rsid w:val="550E21DD"/>
    <w:rsid w:val="55105FF9"/>
    <w:rsid w:val="5515023E"/>
    <w:rsid w:val="551D5901"/>
    <w:rsid w:val="552176E2"/>
    <w:rsid w:val="5535086A"/>
    <w:rsid w:val="553B15EC"/>
    <w:rsid w:val="554076AF"/>
    <w:rsid w:val="554100C8"/>
    <w:rsid w:val="555D3FFE"/>
    <w:rsid w:val="55647267"/>
    <w:rsid w:val="55692886"/>
    <w:rsid w:val="55781630"/>
    <w:rsid w:val="55787787"/>
    <w:rsid w:val="5588360C"/>
    <w:rsid w:val="558C23AE"/>
    <w:rsid w:val="558C4235"/>
    <w:rsid w:val="55A61ABE"/>
    <w:rsid w:val="55B70915"/>
    <w:rsid w:val="55BF392A"/>
    <w:rsid w:val="55C33186"/>
    <w:rsid w:val="55C335FF"/>
    <w:rsid w:val="55D24AB8"/>
    <w:rsid w:val="55D70A42"/>
    <w:rsid w:val="55D903ED"/>
    <w:rsid w:val="55FF46FF"/>
    <w:rsid w:val="56102E1E"/>
    <w:rsid w:val="56124F67"/>
    <w:rsid w:val="56253E24"/>
    <w:rsid w:val="562770B6"/>
    <w:rsid w:val="562F0650"/>
    <w:rsid w:val="56325048"/>
    <w:rsid w:val="564D1EEA"/>
    <w:rsid w:val="564E5475"/>
    <w:rsid w:val="565270C9"/>
    <w:rsid w:val="56556039"/>
    <w:rsid w:val="565D713B"/>
    <w:rsid w:val="566E43CB"/>
    <w:rsid w:val="567134D1"/>
    <w:rsid w:val="567601AC"/>
    <w:rsid w:val="56817115"/>
    <w:rsid w:val="568D1ECF"/>
    <w:rsid w:val="56A032C5"/>
    <w:rsid w:val="56A81C1A"/>
    <w:rsid w:val="56B778AE"/>
    <w:rsid w:val="56C4326C"/>
    <w:rsid w:val="56CB1868"/>
    <w:rsid w:val="56CC25C8"/>
    <w:rsid w:val="56CC4CE7"/>
    <w:rsid w:val="56E056D4"/>
    <w:rsid w:val="56EC3B91"/>
    <w:rsid w:val="56EE30C2"/>
    <w:rsid w:val="56F42740"/>
    <w:rsid w:val="56F813A0"/>
    <w:rsid w:val="57003F7A"/>
    <w:rsid w:val="5701658C"/>
    <w:rsid w:val="57032046"/>
    <w:rsid w:val="57096108"/>
    <w:rsid w:val="571662CD"/>
    <w:rsid w:val="57455942"/>
    <w:rsid w:val="574B0213"/>
    <w:rsid w:val="574F2990"/>
    <w:rsid w:val="575647A8"/>
    <w:rsid w:val="575D4053"/>
    <w:rsid w:val="57672B61"/>
    <w:rsid w:val="57810778"/>
    <w:rsid w:val="578515EA"/>
    <w:rsid w:val="57A83EF8"/>
    <w:rsid w:val="57B45537"/>
    <w:rsid w:val="57CA30B6"/>
    <w:rsid w:val="57D17F4B"/>
    <w:rsid w:val="57F934C0"/>
    <w:rsid w:val="57F93FED"/>
    <w:rsid w:val="58013D55"/>
    <w:rsid w:val="58233E6B"/>
    <w:rsid w:val="583F6838"/>
    <w:rsid w:val="58404354"/>
    <w:rsid w:val="58422934"/>
    <w:rsid w:val="585B5805"/>
    <w:rsid w:val="585F1909"/>
    <w:rsid w:val="58634DD0"/>
    <w:rsid w:val="586844B6"/>
    <w:rsid w:val="587578B0"/>
    <w:rsid w:val="58786C58"/>
    <w:rsid w:val="58951C97"/>
    <w:rsid w:val="58AF735F"/>
    <w:rsid w:val="58B0410D"/>
    <w:rsid w:val="58B6797B"/>
    <w:rsid w:val="58BB21A4"/>
    <w:rsid w:val="58C62C27"/>
    <w:rsid w:val="58C963C2"/>
    <w:rsid w:val="58CA4549"/>
    <w:rsid w:val="58CC2A45"/>
    <w:rsid w:val="58D222ED"/>
    <w:rsid w:val="58E86451"/>
    <w:rsid w:val="58FC5AEF"/>
    <w:rsid w:val="59035AFA"/>
    <w:rsid w:val="5904247D"/>
    <w:rsid w:val="59121B0B"/>
    <w:rsid w:val="59147540"/>
    <w:rsid w:val="59184546"/>
    <w:rsid w:val="591E45BB"/>
    <w:rsid w:val="59201ECA"/>
    <w:rsid w:val="592F1BA0"/>
    <w:rsid w:val="593E64CA"/>
    <w:rsid w:val="594556FD"/>
    <w:rsid w:val="59534CCC"/>
    <w:rsid w:val="595A2183"/>
    <w:rsid w:val="596379A9"/>
    <w:rsid w:val="597115A7"/>
    <w:rsid w:val="59772EB0"/>
    <w:rsid w:val="59787FEA"/>
    <w:rsid w:val="597D0736"/>
    <w:rsid w:val="59834524"/>
    <w:rsid w:val="598B6C60"/>
    <w:rsid w:val="5991071A"/>
    <w:rsid w:val="59934B4F"/>
    <w:rsid w:val="599B2EE3"/>
    <w:rsid w:val="599D1E62"/>
    <w:rsid w:val="59AA1CA3"/>
    <w:rsid w:val="59AB5A7E"/>
    <w:rsid w:val="59AC3E0E"/>
    <w:rsid w:val="59B30318"/>
    <w:rsid w:val="59C02604"/>
    <w:rsid w:val="59C5588A"/>
    <w:rsid w:val="59CF1ADD"/>
    <w:rsid w:val="59D17D75"/>
    <w:rsid w:val="59D471D7"/>
    <w:rsid w:val="59E37B16"/>
    <w:rsid w:val="59E61693"/>
    <w:rsid w:val="5A030835"/>
    <w:rsid w:val="5A1317F0"/>
    <w:rsid w:val="5A2646DB"/>
    <w:rsid w:val="5A2B57AE"/>
    <w:rsid w:val="5A321BEA"/>
    <w:rsid w:val="5A366F84"/>
    <w:rsid w:val="5A3F0176"/>
    <w:rsid w:val="5A442FFB"/>
    <w:rsid w:val="5A4951C6"/>
    <w:rsid w:val="5A6D2DB1"/>
    <w:rsid w:val="5A6E407A"/>
    <w:rsid w:val="5A7E74F9"/>
    <w:rsid w:val="5A8E165E"/>
    <w:rsid w:val="5AA72176"/>
    <w:rsid w:val="5AAE0441"/>
    <w:rsid w:val="5AAE5BEC"/>
    <w:rsid w:val="5AD1351F"/>
    <w:rsid w:val="5AD339D9"/>
    <w:rsid w:val="5AD85B99"/>
    <w:rsid w:val="5AE8322E"/>
    <w:rsid w:val="5AEC73A3"/>
    <w:rsid w:val="5AEF1185"/>
    <w:rsid w:val="5AF11C14"/>
    <w:rsid w:val="5AFA3298"/>
    <w:rsid w:val="5B016D34"/>
    <w:rsid w:val="5B0B39F4"/>
    <w:rsid w:val="5B0D7295"/>
    <w:rsid w:val="5B206399"/>
    <w:rsid w:val="5B224853"/>
    <w:rsid w:val="5B456E93"/>
    <w:rsid w:val="5B4C2ADE"/>
    <w:rsid w:val="5B5137E3"/>
    <w:rsid w:val="5B51735D"/>
    <w:rsid w:val="5B673616"/>
    <w:rsid w:val="5B681B2C"/>
    <w:rsid w:val="5B694FAE"/>
    <w:rsid w:val="5B83792C"/>
    <w:rsid w:val="5B902EC7"/>
    <w:rsid w:val="5B9E223B"/>
    <w:rsid w:val="5BA14F87"/>
    <w:rsid w:val="5BAD3BAD"/>
    <w:rsid w:val="5BAD73DC"/>
    <w:rsid w:val="5BBB4917"/>
    <w:rsid w:val="5BD133DF"/>
    <w:rsid w:val="5BD366A4"/>
    <w:rsid w:val="5BE3130E"/>
    <w:rsid w:val="5BED3C29"/>
    <w:rsid w:val="5BF51E6A"/>
    <w:rsid w:val="5C093177"/>
    <w:rsid w:val="5C0D0073"/>
    <w:rsid w:val="5C144FCE"/>
    <w:rsid w:val="5C3E78DA"/>
    <w:rsid w:val="5C5342DE"/>
    <w:rsid w:val="5C5E1DE9"/>
    <w:rsid w:val="5C611C30"/>
    <w:rsid w:val="5C640E34"/>
    <w:rsid w:val="5C654CF3"/>
    <w:rsid w:val="5C692CEC"/>
    <w:rsid w:val="5C6D3417"/>
    <w:rsid w:val="5C8D2EAA"/>
    <w:rsid w:val="5C9256E7"/>
    <w:rsid w:val="5CA531D1"/>
    <w:rsid w:val="5CAD5B70"/>
    <w:rsid w:val="5CB75213"/>
    <w:rsid w:val="5CBA1507"/>
    <w:rsid w:val="5CBC5D91"/>
    <w:rsid w:val="5CC20563"/>
    <w:rsid w:val="5CCA12C8"/>
    <w:rsid w:val="5CD374BB"/>
    <w:rsid w:val="5CF1327E"/>
    <w:rsid w:val="5CFB164F"/>
    <w:rsid w:val="5D160E63"/>
    <w:rsid w:val="5D170048"/>
    <w:rsid w:val="5D17051D"/>
    <w:rsid w:val="5D2E727E"/>
    <w:rsid w:val="5D40035D"/>
    <w:rsid w:val="5D49706D"/>
    <w:rsid w:val="5D5F77DD"/>
    <w:rsid w:val="5D717B18"/>
    <w:rsid w:val="5D7E5B54"/>
    <w:rsid w:val="5D840C43"/>
    <w:rsid w:val="5D91140D"/>
    <w:rsid w:val="5D9B10BC"/>
    <w:rsid w:val="5DAA3645"/>
    <w:rsid w:val="5DAE77A4"/>
    <w:rsid w:val="5DAF73C1"/>
    <w:rsid w:val="5DB57EF0"/>
    <w:rsid w:val="5DB6074F"/>
    <w:rsid w:val="5DD45079"/>
    <w:rsid w:val="5DE8676B"/>
    <w:rsid w:val="5DE96D9A"/>
    <w:rsid w:val="5DF47894"/>
    <w:rsid w:val="5E0C65C1"/>
    <w:rsid w:val="5E1044A2"/>
    <w:rsid w:val="5E162F9C"/>
    <w:rsid w:val="5E192361"/>
    <w:rsid w:val="5E1F592C"/>
    <w:rsid w:val="5E2B3F08"/>
    <w:rsid w:val="5E366F27"/>
    <w:rsid w:val="5E386453"/>
    <w:rsid w:val="5E3A712D"/>
    <w:rsid w:val="5E415746"/>
    <w:rsid w:val="5E67210D"/>
    <w:rsid w:val="5E7D126D"/>
    <w:rsid w:val="5E8001BD"/>
    <w:rsid w:val="5E8A7599"/>
    <w:rsid w:val="5E915FF6"/>
    <w:rsid w:val="5E9206AE"/>
    <w:rsid w:val="5EB455C5"/>
    <w:rsid w:val="5EBE29B5"/>
    <w:rsid w:val="5ED351EB"/>
    <w:rsid w:val="5EE335F7"/>
    <w:rsid w:val="5EFC45A8"/>
    <w:rsid w:val="5EFD4006"/>
    <w:rsid w:val="5EFF0ED2"/>
    <w:rsid w:val="5F126D05"/>
    <w:rsid w:val="5F204F1D"/>
    <w:rsid w:val="5F2832B2"/>
    <w:rsid w:val="5F2B1DCB"/>
    <w:rsid w:val="5F401BE4"/>
    <w:rsid w:val="5F4A1EBB"/>
    <w:rsid w:val="5F4B5E88"/>
    <w:rsid w:val="5F5305C9"/>
    <w:rsid w:val="5F533C7C"/>
    <w:rsid w:val="5F595662"/>
    <w:rsid w:val="5F597B7C"/>
    <w:rsid w:val="5F5B7782"/>
    <w:rsid w:val="5F5E1936"/>
    <w:rsid w:val="5F675B22"/>
    <w:rsid w:val="5F6C4C79"/>
    <w:rsid w:val="5F732EBB"/>
    <w:rsid w:val="5F7D448F"/>
    <w:rsid w:val="5F8250FF"/>
    <w:rsid w:val="5F906917"/>
    <w:rsid w:val="5F912ACF"/>
    <w:rsid w:val="5F9173F4"/>
    <w:rsid w:val="5F954394"/>
    <w:rsid w:val="5FA20BE3"/>
    <w:rsid w:val="5FBE282E"/>
    <w:rsid w:val="5FD15BC7"/>
    <w:rsid w:val="5FD367A6"/>
    <w:rsid w:val="5FD73AA6"/>
    <w:rsid w:val="5FD85EAF"/>
    <w:rsid w:val="5FF41C37"/>
    <w:rsid w:val="60104EE3"/>
    <w:rsid w:val="602533C0"/>
    <w:rsid w:val="6027337A"/>
    <w:rsid w:val="6028470C"/>
    <w:rsid w:val="604C1BAD"/>
    <w:rsid w:val="605B4538"/>
    <w:rsid w:val="60765321"/>
    <w:rsid w:val="60896264"/>
    <w:rsid w:val="608F1BD3"/>
    <w:rsid w:val="60A13248"/>
    <w:rsid w:val="60C5330A"/>
    <w:rsid w:val="60D11BBA"/>
    <w:rsid w:val="60D43683"/>
    <w:rsid w:val="60EB7AA8"/>
    <w:rsid w:val="60EF15B2"/>
    <w:rsid w:val="61001229"/>
    <w:rsid w:val="6121322E"/>
    <w:rsid w:val="61243429"/>
    <w:rsid w:val="61296ACD"/>
    <w:rsid w:val="612C2A9A"/>
    <w:rsid w:val="613D24A2"/>
    <w:rsid w:val="613D3287"/>
    <w:rsid w:val="614149F3"/>
    <w:rsid w:val="61476428"/>
    <w:rsid w:val="616638A2"/>
    <w:rsid w:val="616E30DB"/>
    <w:rsid w:val="6180258F"/>
    <w:rsid w:val="61862C2F"/>
    <w:rsid w:val="618C70A4"/>
    <w:rsid w:val="61A23F59"/>
    <w:rsid w:val="61B90BF2"/>
    <w:rsid w:val="61BC1E65"/>
    <w:rsid w:val="61E8288B"/>
    <w:rsid w:val="61F93300"/>
    <w:rsid w:val="62033646"/>
    <w:rsid w:val="6203710A"/>
    <w:rsid w:val="621F3FC7"/>
    <w:rsid w:val="62320ECD"/>
    <w:rsid w:val="62321792"/>
    <w:rsid w:val="623873CB"/>
    <w:rsid w:val="62420D5E"/>
    <w:rsid w:val="624256F1"/>
    <w:rsid w:val="62461BBC"/>
    <w:rsid w:val="62480825"/>
    <w:rsid w:val="62540C44"/>
    <w:rsid w:val="625A4E9B"/>
    <w:rsid w:val="62635350"/>
    <w:rsid w:val="626A7DDF"/>
    <w:rsid w:val="62871B8B"/>
    <w:rsid w:val="628B5453"/>
    <w:rsid w:val="62983D63"/>
    <w:rsid w:val="62AB33F4"/>
    <w:rsid w:val="62AB3A40"/>
    <w:rsid w:val="62AB4430"/>
    <w:rsid w:val="62C671FE"/>
    <w:rsid w:val="62CC09DC"/>
    <w:rsid w:val="62CD11E8"/>
    <w:rsid w:val="62DF39AC"/>
    <w:rsid w:val="62F7131A"/>
    <w:rsid w:val="63111189"/>
    <w:rsid w:val="63252E32"/>
    <w:rsid w:val="63277B43"/>
    <w:rsid w:val="6337309B"/>
    <w:rsid w:val="633A09A7"/>
    <w:rsid w:val="633C776F"/>
    <w:rsid w:val="63471651"/>
    <w:rsid w:val="636176F3"/>
    <w:rsid w:val="636F572B"/>
    <w:rsid w:val="6374316D"/>
    <w:rsid w:val="63877230"/>
    <w:rsid w:val="638C249A"/>
    <w:rsid w:val="63A8579E"/>
    <w:rsid w:val="63AF2E7A"/>
    <w:rsid w:val="63B1353D"/>
    <w:rsid w:val="63B425DD"/>
    <w:rsid w:val="63B558BF"/>
    <w:rsid w:val="63BE7084"/>
    <w:rsid w:val="63CD3460"/>
    <w:rsid w:val="63DF1582"/>
    <w:rsid w:val="63E646FF"/>
    <w:rsid w:val="63EF3DEF"/>
    <w:rsid w:val="63FE569C"/>
    <w:rsid w:val="63FF336A"/>
    <w:rsid w:val="6412191B"/>
    <w:rsid w:val="641240B1"/>
    <w:rsid w:val="64161F52"/>
    <w:rsid w:val="64171D73"/>
    <w:rsid w:val="642B3479"/>
    <w:rsid w:val="642F70DC"/>
    <w:rsid w:val="64425440"/>
    <w:rsid w:val="644E2285"/>
    <w:rsid w:val="647F7413"/>
    <w:rsid w:val="648D414A"/>
    <w:rsid w:val="64A14C54"/>
    <w:rsid w:val="64A357A5"/>
    <w:rsid w:val="64A55457"/>
    <w:rsid w:val="64AF0893"/>
    <w:rsid w:val="64B0068F"/>
    <w:rsid w:val="64B0634B"/>
    <w:rsid w:val="64B7DBF3"/>
    <w:rsid w:val="64BC5A53"/>
    <w:rsid w:val="64BD61FD"/>
    <w:rsid w:val="64C60289"/>
    <w:rsid w:val="64CD7386"/>
    <w:rsid w:val="64D03662"/>
    <w:rsid w:val="64E35BA2"/>
    <w:rsid w:val="64E71808"/>
    <w:rsid w:val="64F302E2"/>
    <w:rsid w:val="64F44A85"/>
    <w:rsid w:val="64FC3B23"/>
    <w:rsid w:val="65043CB2"/>
    <w:rsid w:val="650F4BE9"/>
    <w:rsid w:val="651E0B7C"/>
    <w:rsid w:val="65301037"/>
    <w:rsid w:val="653D4887"/>
    <w:rsid w:val="655D27A0"/>
    <w:rsid w:val="65655D8C"/>
    <w:rsid w:val="65691302"/>
    <w:rsid w:val="656B45D6"/>
    <w:rsid w:val="6577186E"/>
    <w:rsid w:val="6583118B"/>
    <w:rsid w:val="6583791F"/>
    <w:rsid w:val="658F1D57"/>
    <w:rsid w:val="658F6146"/>
    <w:rsid w:val="658F6F58"/>
    <w:rsid w:val="65995DFE"/>
    <w:rsid w:val="659A3745"/>
    <w:rsid w:val="65A05841"/>
    <w:rsid w:val="65A62B21"/>
    <w:rsid w:val="65AD379D"/>
    <w:rsid w:val="65BB7BCB"/>
    <w:rsid w:val="65C36687"/>
    <w:rsid w:val="65CE14C4"/>
    <w:rsid w:val="65D63B34"/>
    <w:rsid w:val="65DB4320"/>
    <w:rsid w:val="65DD0D4C"/>
    <w:rsid w:val="65E6167B"/>
    <w:rsid w:val="65E842FE"/>
    <w:rsid w:val="65F21C27"/>
    <w:rsid w:val="65F63A27"/>
    <w:rsid w:val="660A6E49"/>
    <w:rsid w:val="661360BB"/>
    <w:rsid w:val="66253C88"/>
    <w:rsid w:val="66292964"/>
    <w:rsid w:val="6629362D"/>
    <w:rsid w:val="663C2578"/>
    <w:rsid w:val="663D2E15"/>
    <w:rsid w:val="663F36BF"/>
    <w:rsid w:val="66482D7B"/>
    <w:rsid w:val="66497400"/>
    <w:rsid w:val="664D3C1B"/>
    <w:rsid w:val="66517729"/>
    <w:rsid w:val="666F5074"/>
    <w:rsid w:val="667558EB"/>
    <w:rsid w:val="66866840"/>
    <w:rsid w:val="66950E06"/>
    <w:rsid w:val="66A12504"/>
    <w:rsid w:val="66A46015"/>
    <w:rsid w:val="66BB34F8"/>
    <w:rsid w:val="66BE2423"/>
    <w:rsid w:val="66CF4C55"/>
    <w:rsid w:val="66D11DEE"/>
    <w:rsid w:val="66D63CEA"/>
    <w:rsid w:val="66DD70A5"/>
    <w:rsid w:val="66E40448"/>
    <w:rsid w:val="66F47B37"/>
    <w:rsid w:val="6703542F"/>
    <w:rsid w:val="670871A8"/>
    <w:rsid w:val="672D3127"/>
    <w:rsid w:val="67420658"/>
    <w:rsid w:val="67451124"/>
    <w:rsid w:val="674533A1"/>
    <w:rsid w:val="67505C4C"/>
    <w:rsid w:val="675178A4"/>
    <w:rsid w:val="67782CEF"/>
    <w:rsid w:val="677835B0"/>
    <w:rsid w:val="677F7F0C"/>
    <w:rsid w:val="67802496"/>
    <w:rsid w:val="678540B5"/>
    <w:rsid w:val="6788348E"/>
    <w:rsid w:val="678B2A98"/>
    <w:rsid w:val="679735E0"/>
    <w:rsid w:val="6797CC6D"/>
    <w:rsid w:val="67A400CA"/>
    <w:rsid w:val="67A50830"/>
    <w:rsid w:val="67A538BA"/>
    <w:rsid w:val="67A73955"/>
    <w:rsid w:val="67A90441"/>
    <w:rsid w:val="67C20C79"/>
    <w:rsid w:val="67C57F48"/>
    <w:rsid w:val="67D4457A"/>
    <w:rsid w:val="67D60266"/>
    <w:rsid w:val="67DE4EEE"/>
    <w:rsid w:val="67E46554"/>
    <w:rsid w:val="67ED5955"/>
    <w:rsid w:val="68022E63"/>
    <w:rsid w:val="68052F36"/>
    <w:rsid w:val="6808141A"/>
    <w:rsid w:val="68150768"/>
    <w:rsid w:val="681A272F"/>
    <w:rsid w:val="68366331"/>
    <w:rsid w:val="68400AB2"/>
    <w:rsid w:val="6841737C"/>
    <w:rsid w:val="684406DE"/>
    <w:rsid w:val="68455B1A"/>
    <w:rsid w:val="684D63BA"/>
    <w:rsid w:val="68536D0C"/>
    <w:rsid w:val="686B3644"/>
    <w:rsid w:val="687122A5"/>
    <w:rsid w:val="68806747"/>
    <w:rsid w:val="68827E4E"/>
    <w:rsid w:val="68866D0B"/>
    <w:rsid w:val="688C2726"/>
    <w:rsid w:val="689474C6"/>
    <w:rsid w:val="689A44D2"/>
    <w:rsid w:val="68AD5620"/>
    <w:rsid w:val="68BA7E2F"/>
    <w:rsid w:val="68CE48DE"/>
    <w:rsid w:val="68D044F1"/>
    <w:rsid w:val="68E47A64"/>
    <w:rsid w:val="68E94352"/>
    <w:rsid w:val="68EC7D6D"/>
    <w:rsid w:val="68F058E5"/>
    <w:rsid w:val="68F20AA9"/>
    <w:rsid w:val="6902255E"/>
    <w:rsid w:val="69081F0D"/>
    <w:rsid w:val="69120C40"/>
    <w:rsid w:val="69185E16"/>
    <w:rsid w:val="691B0000"/>
    <w:rsid w:val="6922628D"/>
    <w:rsid w:val="69243CCB"/>
    <w:rsid w:val="692D10A8"/>
    <w:rsid w:val="694E1343"/>
    <w:rsid w:val="696778E1"/>
    <w:rsid w:val="6976628D"/>
    <w:rsid w:val="69781887"/>
    <w:rsid w:val="6979522C"/>
    <w:rsid w:val="69911493"/>
    <w:rsid w:val="69945F1A"/>
    <w:rsid w:val="69A264FB"/>
    <w:rsid w:val="69A463E4"/>
    <w:rsid w:val="69C159B6"/>
    <w:rsid w:val="69C356D6"/>
    <w:rsid w:val="69D152E0"/>
    <w:rsid w:val="69D54C7F"/>
    <w:rsid w:val="69DA7E3E"/>
    <w:rsid w:val="69E00A4D"/>
    <w:rsid w:val="69EB2D32"/>
    <w:rsid w:val="69FB5FAE"/>
    <w:rsid w:val="69FD50EC"/>
    <w:rsid w:val="6A0D33A8"/>
    <w:rsid w:val="6A1C386D"/>
    <w:rsid w:val="6A276531"/>
    <w:rsid w:val="6A2E5337"/>
    <w:rsid w:val="6A345BC3"/>
    <w:rsid w:val="6A3B1068"/>
    <w:rsid w:val="6A4E57F6"/>
    <w:rsid w:val="6A4F412A"/>
    <w:rsid w:val="6A5F7EB4"/>
    <w:rsid w:val="6A7202D9"/>
    <w:rsid w:val="6A8479E7"/>
    <w:rsid w:val="6A856090"/>
    <w:rsid w:val="6A8E7D3F"/>
    <w:rsid w:val="6A9B7BF1"/>
    <w:rsid w:val="6A9F3D8E"/>
    <w:rsid w:val="6AA04EB0"/>
    <w:rsid w:val="6ABD3F83"/>
    <w:rsid w:val="6AC86960"/>
    <w:rsid w:val="6ACB1AF0"/>
    <w:rsid w:val="6ACD4F83"/>
    <w:rsid w:val="6ADB2C10"/>
    <w:rsid w:val="6ADFB8F3"/>
    <w:rsid w:val="6AF14EA4"/>
    <w:rsid w:val="6B004DE3"/>
    <w:rsid w:val="6B0933D8"/>
    <w:rsid w:val="6B1E06AB"/>
    <w:rsid w:val="6B2347F8"/>
    <w:rsid w:val="6B2D2415"/>
    <w:rsid w:val="6B316BBE"/>
    <w:rsid w:val="6B353BDC"/>
    <w:rsid w:val="6B4B429B"/>
    <w:rsid w:val="6B554422"/>
    <w:rsid w:val="6B57260F"/>
    <w:rsid w:val="6B810BED"/>
    <w:rsid w:val="6B8428B4"/>
    <w:rsid w:val="6B851189"/>
    <w:rsid w:val="6B91457B"/>
    <w:rsid w:val="6B930274"/>
    <w:rsid w:val="6BA47A68"/>
    <w:rsid w:val="6BBFA03B"/>
    <w:rsid w:val="6BCF2AB2"/>
    <w:rsid w:val="6BDB04B7"/>
    <w:rsid w:val="6BF61AFE"/>
    <w:rsid w:val="6C005156"/>
    <w:rsid w:val="6C0D7E8A"/>
    <w:rsid w:val="6C1D7BEB"/>
    <w:rsid w:val="6C261FA5"/>
    <w:rsid w:val="6C267CEF"/>
    <w:rsid w:val="6C271424"/>
    <w:rsid w:val="6C4F3C53"/>
    <w:rsid w:val="6C4F4761"/>
    <w:rsid w:val="6C5B7F78"/>
    <w:rsid w:val="6C63308B"/>
    <w:rsid w:val="6C736123"/>
    <w:rsid w:val="6C7A1C7C"/>
    <w:rsid w:val="6C915824"/>
    <w:rsid w:val="6C98717A"/>
    <w:rsid w:val="6C9A696F"/>
    <w:rsid w:val="6C9E3F84"/>
    <w:rsid w:val="6C9F2ED4"/>
    <w:rsid w:val="6CA45DFE"/>
    <w:rsid w:val="6CB26586"/>
    <w:rsid w:val="6CB77895"/>
    <w:rsid w:val="6CC32DC1"/>
    <w:rsid w:val="6CCB2A5C"/>
    <w:rsid w:val="6CCB57A9"/>
    <w:rsid w:val="6CCE109B"/>
    <w:rsid w:val="6CDBD50C"/>
    <w:rsid w:val="6CE47F86"/>
    <w:rsid w:val="6CEB4C3D"/>
    <w:rsid w:val="6CEF474A"/>
    <w:rsid w:val="6D0E6DEA"/>
    <w:rsid w:val="6D2C27DC"/>
    <w:rsid w:val="6D3A60CF"/>
    <w:rsid w:val="6D3E2220"/>
    <w:rsid w:val="6D3F63B2"/>
    <w:rsid w:val="6D4548B0"/>
    <w:rsid w:val="6D552A99"/>
    <w:rsid w:val="6D5D40D0"/>
    <w:rsid w:val="6D626FF2"/>
    <w:rsid w:val="6D652811"/>
    <w:rsid w:val="6D7573C9"/>
    <w:rsid w:val="6D9C0D39"/>
    <w:rsid w:val="6D9D3448"/>
    <w:rsid w:val="6DA45E1A"/>
    <w:rsid w:val="6DB02E03"/>
    <w:rsid w:val="6DB3306B"/>
    <w:rsid w:val="6DC00159"/>
    <w:rsid w:val="6DD72E6A"/>
    <w:rsid w:val="6DED76D5"/>
    <w:rsid w:val="6DEF3963"/>
    <w:rsid w:val="6DF1261C"/>
    <w:rsid w:val="6DF633D0"/>
    <w:rsid w:val="6E090707"/>
    <w:rsid w:val="6E0D2F31"/>
    <w:rsid w:val="6E196277"/>
    <w:rsid w:val="6E35541C"/>
    <w:rsid w:val="6E451788"/>
    <w:rsid w:val="6E4C1361"/>
    <w:rsid w:val="6E541B46"/>
    <w:rsid w:val="6E641F84"/>
    <w:rsid w:val="6E6C3A9A"/>
    <w:rsid w:val="6E726FC5"/>
    <w:rsid w:val="6E7D66A2"/>
    <w:rsid w:val="6E7F6649"/>
    <w:rsid w:val="6E8C7D79"/>
    <w:rsid w:val="6E957A3F"/>
    <w:rsid w:val="6EA77046"/>
    <w:rsid w:val="6EB83E57"/>
    <w:rsid w:val="6EC553D5"/>
    <w:rsid w:val="6EE7018C"/>
    <w:rsid w:val="6EF5C34B"/>
    <w:rsid w:val="6EF76DEC"/>
    <w:rsid w:val="6F074349"/>
    <w:rsid w:val="6F0B05C6"/>
    <w:rsid w:val="6F130C23"/>
    <w:rsid w:val="6F150B51"/>
    <w:rsid w:val="6F155D42"/>
    <w:rsid w:val="6F193BD1"/>
    <w:rsid w:val="6F270A73"/>
    <w:rsid w:val="6F364C63"/>
    <w:rsid w:val="6F572727"/>
    <w:rsid w:val="6F5C26F0"/>
    <w:rsid w:val="6F68212E"/>
    <w:rsid w:val="6F757176"/>
    <w:rsid w:val="6F792725"/>
    <w:rsid w:val="6F88611E"/>
    <w:rsid w:val="6F8D2902"/>
    <w:rsid w:val="6F9E3156"/>
    <w:rsid w:val="6FA303AB"/>
    <w:rsid w:val="6FA6D380"/>
    <w:rsid w:val="6FAA58A9"/>
    <w:rsid w:val="6FB6420C"/>
    <w:rsid w:val="6FB81081"/>
    <w:rsid w:val="6FBC0361"/>
    <w:rsid w:val="6FC844B0"/>
    <w:rsid w:val="6FC91D09"/>
    <w:rsid w:val="6FCF744E"/>
    <w:rsid w:val="6FDB250C"/>
    <w:rsid w:val="6FDBACE9"/>
    <w:rsid w:val="6FE03DA0"/>
    <w:rsid w:val="6FE27002"/>
    <w:rsid w:val="6FEA3F10"/>
    <w:rsid w:val="6FEA761E"/>
    <w:rsid w:val="6FEC76E2"/>
    <w:rsid w:val="6FF6867F"/>
    <w:rsid w:val="6FF925B2"/>
    <w:rsid w:val="6FFFB0FE"/>
    <w:rsid w:val="70004270"/>
    <w:rsid w:val="70062004"/>
    <w:rsid w:val="700F02F2"/>
    <w:rsid w:val="701D4C6D"/>
    <w:rsid w:val="702211B8"/>
    <w:rsid w:val="70285C83"/>
    <w:rsid w:val="70313C65"/>
    <w:rsid w:val="70360700"/>
    <w:rsid w:val="7049745E"/>
    <w:rsid w:val="704B6227"/>
    <w:rsid w:val="704D743B"/>
    <w:rsid w:val="704F480E"/>
    <w:rsid w:val="70531176"/>
    <w:rsid w:val="70553DF8"/>
    <w:rsid w:val="705B1D46"/>
    <w:rsid w:val="706C295C"/>
    <w:rsid w:val="7073427E"/>
    <w:rsid w:val="70753CEA"/>
    <w:rsid w:val="70CB1949"/>
    <w:rsid w:val="70CE3CD6"/>
    <w:rsid w:val="70D5200B"/>
    <w:rsid w:val="70D77435"/>
    <w:rsid w:val="70D86A93"/>
    <w:rsid w:val="70E72C7C"/>
    <w:rsid w:val="70F30CAD"/>
    <w:rsid w:val="70F33611"/>
    <w:rsid w:val="70FC164A"/>
    <w:rsid w:val="70FE3E55"/>
    <w:rsid w:val="71105C72"/>
    <w:rsid w:val="711F5147"/>
    <w:rsid w:val="71333A0D"/>
    <w:rsid w:val="713664A7"/>
    <w:rsid w:val="713E00F5"/>
    <w:rsid w:val="713F2452"/>
    <w:rsid w:val="714F7DC5"/>
    <w:rsid w:val="71606F55"/>
    <w:rsid w:val="7164280C"/>
    <w:rsid w:val="716763F1"/>
    <w:rsid w:val="716B28F4"/>
    <w:rsid w:val="717568BB"/>
    <w:rsid w:val="7176061E"/>
    <w:rsid w:val="719368F2"/>
    <w:rsid w:val="719426FE"/>
    <w:rsid w:val="719460D6"/>
    <w:rsid w:val="71A71FCA"/>
    <w:rsid w:val="71AE1825"/>
    <w:rsid w:val="71B23F18"/>
    <w:rsid w:val="71BF7712"/>
    <w:rsid w:val="71CF510A"/>
    <w:rsid w:val="71D11979"/>
    <w:rsid w:val="71D23CA4"/>
    <w:rsid w:val="71D821BD"/>
    <w:rsid w:val="71E40978"/>
    <w:rsid w:val="71E54C93"/>
    <w:rsid w:val="71FB2A90"/>
    <w:rsid w:val="720B2724"/>
    <w:rsid w:val="72264CCC"/>
    <w:rsid w:val="722A0E8A"/>
    <w:rsid w:val="722C78DA"/>
    <w:rsid w:val="72361EFD"/>
    <w:rsid w:val="72391B27"/>
    <w:rsid w:val="723F6347"/>
    <w:rsid w:val="724D0CB0"/>
    <w:rsid w:val="725E5BA2"/>
    <w:rsid w:val="726B261E"/>
    <w:rsid w:val="72787113"/>
    <w:rsid w:val="728D3332"/>
    <w:rsid w:val="729B26AC"/>
    <w:rsid w:val="72B56CCB"/>
    <w:rsid w:val="72D1040D"/>
    <w:rsid w:val="72DE24DB"/>
    <w:rsid w:val="72EA0498"/>
    <w:rsid w:val="72EA3482"/>
    <w:rsid w:val="72F40F30"/>
    <w:rsid w:val="72F56855"/>
    <w:rsid w:val="72FC651D"/>
    <w:rsid w:val="7304299B"/>
    <w:rsid w:val="730A2B08"/>
    <w:rsid w:val="730A558D"/>
    <w:rsid w:val="730E1865"/>
    <w:rsid w:val="731A35C3"/>
    <w:rsid w:val="731A6169"/>
    <w:rsid w:val="73223DF1"/>
    <w:rsid w:val="733116B7"/>
    <w:rsid w:val="73330D90"/>
    <w:rsid w:val="733A737E"/>
    <w:rsid w:val="7351635F"/>
    <w:rsid w:val="73582E26"/>
    <w:rsid w:val="735F45EB"/>
    <w:rsid w:val="736572B2"/>
    <w:rsid w:val="73877A4C"/>
    <w:rsid w:val="738A46F3"/>
    <w:rsid w:val="739F7602"/>
    <w:rsid w:val="73A40733"/>
    <w:rsid w:val="73B9469D"/>
    <w:rsid w:val="73D3764A"/>
    <w:rsid w:val="73D9089C"/>
    <w:rsid w:val="73DB32B4"/>
    <w:rsid w:val="73EA000A"/>
    <w:rsid w:val="73F67F63"/>
    <w:rsid w:val="73F723FE"/>
    <w:rsid w:val="73FE361A"/>
    <w:rsid w:val="740800C7"/>
    <w:rsid w:val="74187158"/>
    <w:rsid w:val="74225CAE"/>
    <w:rsid w:val="74232A0F"/>
    <w:rsid w:val="74356168"/>
    <w:rsid w:val="7438012B"/>
    <w:rsid w:val="74394754"/>
    <w:rsid w:val="744276DF"/>
    <w:rsid w:val="74450836"/>
    <w:rsid w:val="744566B3"/>
    <w:rsid w:val="744C3BB8"/>
    <w:rsid w:val="744E15D3"/>
    <w:rsid w:val="744F5D6A"/>
    <w:rsid w:val="745500FA"/>
    <w:rsid w:val="74587119"/>
    <w:rsid w:val="74591A28"/>
    <w:rsid w:val="74633D61"/>
    <w:rsid w:val="74682B38"/>
    <w:rsid w:val="74897BA8"/>
    <w:rsid w:val="74921949"/>
    <w:rsid w:val="74981804"/>
    <w:rsid w:val="74A62A32"/>
    <w:rsid w:val="74AF7E07"/>
    <w:rsid w:val="74C11A94"/>
    <w:rsid w:val="74C303AA"/>
    <w:rsid w:val="74D53759"/>
    <w:rsid w:val="74DA01CE"/>
    <w:rsid w:val="74E11CE7"/>
    <w:rsid w:val="74EA0887"/>
    <w:rsid w:val="74F2528E"/>
    <w:rsid w:val="74F54377"/>
    <w:rsid w:val="75070B5E"/>
    <w:rsid w:val="751B69AC"/>
    <w:rsid w:val="75227415"/>
    <w:rsid w:val="75285984"/>
    <w:rsid w:val="752B18E8"/>
    <w:rsid w:val="752B58CD"/>
    <w:rsid w:val="75550DBA"/>
    <w:rsid w:val="75562889"/>
    <w:rsid w:val="756225D4"/>
    <w:rsid w:val="75646065"/>
    <w:rsid w:val="756677F3"/>
    <w:rsid w:val="7571709E"/>
    <w:rsid w:val="757172FE"/>
    <w:rsid w:val="757A24EA"/>
    <w:rsid w:val="758868F7"/>
    <w:rsid w:val="75913442"/>
    <w:rsid w:val="759D41D5"/>
    <w:rsid w:val="759F6E47"/>
    <w:rsid w:val="75AE3429"/>
    <w:rsid w:val="75BD26ED"/>
    <w:rsid w:val="75D32087"/>
    <w:rsid w:val="75DF28CE"/>
    <w:rsid w:val="75E53387"/>
    <w:rsid w:val="75E874E8"/>
    <w:rsid w:val="75FD4BCD"/>
    <w:rsid w:val="760602D2"/>
    <w:rsid w:val="760729A8"/>
    <w:rsid w:val="76164029"/>
    <w:rsid w:val="761C63DD"/>
    <w:rsid w:val="76204870"/>
    <w:rsid w:val="762215B7"/>
    <w:rsid w:val="76342A16"/>
    <w:rsid w:val="76521AC3"/>
    <w:rsid w:val="76674DB7"/>
    <w:rsid w:val="7673773D"/>
    <w:rsid w:val="7679161C"/>
    <w:rsid w:val="76873085"/>
    <w:rsid w:val="76944D75"/>
    <w:rsid w:val="76976535"/>
    <w:rsid w:val="769774FD"/>
    <w:rsid w:val="769B0408"/>
    <w:rsid w:val="76A7418D"/>
    <w:rsid w:val="76B157DF"/>
    <w:rsid w:val="76B51266"/>
    <w:rsid w:val="76BA1A53"/>
    <w:rsid w:val="76BB6653"/>
    <w:rsid w:val="76C54672"/>
    <w:rsid w:val="76CC193D"/>
    <w:rsid w:val="76D65D10"/>
    <w:rsid w:val="76F26294"/>
    <w:rsid w:val="76F62C91"/>
    <w:rsid w:val="77052BDB"/>
    <w:rsid w:val="770E458F"/>
    <w:rsid w:val="772623E4"/>
    <w:rsid w:val="773A2AD5"/>
    <w:rsid w:val="77517517"/>
    <w:rsid w:val="775D7B56"/>
    <w:rsid w:val="77645A0B"/>
    <w:rsid w:val="777B41E0"/>
    <w:rsid w:val="77816B5E"/>
    <w:rsid w:val="778234EF"/>
    <w:rsid w:val="778612B4"/>
    <w:rsid w:val="77861DAE"/>
    <w:rsid w:val="779A3B25"/>
    <w:rsid w:val="77A16F59"/>
    <w:rsid w:val="77A61A19"/>
    <w:rsid w:val="77A8713B"/>
    <w:rsid w:val="77B024F4"/>
    <w:rsid w:val="77B21CAE"/>
    <w:rsid w:val="77BB27AB"/>
    <w:rsid w:val="77C7030D"/>
    <w:rsid w:val="77CA262C"/>
    <w:rsid w:val="77D12E2D"/>
    <w:rsid w:val="77D17AF4"/>
    <w:rsid w:val="77D40517"/>
    <w:rsid w:val="77D73344"/>
    <w:rsid w:val="77DB1D1B"/>
    <w:rsid w:val="77E63610"/>
    <w:rsid w:val="77E804AB"/>
    <w:rsid w:val="77E85E69"/>
    <w:rsid w:val="77ED1164"/>
    <w:rsid w:val="77EE1A98"/>
    <w:rsid w:val="780D018B"/>
    <w:rsid w:val="781A0DB5"/>
    <w:rsid w:val="78256ACF"/>
    <w:rsid w:val="782D7B09"/>
    <w:rsid w:val="78346968"/>
    <w:rsid w:val="783D7C3D"/>
    <w:rsid w:val="784C03CB"/>
    <w:rsid w:val="784D2006"/>
    <w:rsid w:val="7855282E"/>
    <w:rsid w:val="78606362"/>
    <w:rsid w:val="787A665F"/>
    <w:rsid w:val="7884180F"/>
    <w:rsid w:val="78915BE9"/>
    <w:rsid w:val="78957992"/>
    <w:rsid w:val="78B3587F"/>
    <w:rsid w:val="78B37D44"/>
    <w:rsid w:val="78B86EC2"/>
    <w:rsid w:val="78C141FE"/>
    <w:rsid w:val="78C20890"/>
    <w:rsid w:val="78D665EA"/>
    <w:rsid w:val="78D66912"/>
    <w:rsid w:val="78D8401B"/>
    <w:rsid w:val="78D92CE3"/>
    <w:rsid w:val="78E05ACF"/>
    <w:rsid w:val="78E9231B"/>
    <w:rsid w:val="78ED13FE"/>
    <w:rsid w:val="78EE54C1"/>
    <w:rsid w:val="78F27200"/>
    <w:rsid w:val="78F82D58"/>
    <w:rsid w:val="78F856CB"/>
    <w:rsid w:val="7903679E"/>
    <w:rsid w:val="7903780E"/>
    <w:rsid w:val="790C6E07"/>
    <w:rsid w:val="791A21AC"/>
    <w:rsid w:val="791F2A74"/>
    <w:rsid w:val="792030F5"/>
    <w:rsid w:val="792D7407"/>
    <w:rsid w:val="79425135"/>
    <w:rsid w:val="79456370"/>
    <w:rsid w:val="794701C8"/>
    <w:rsid w:val="794A14B1"/>
    <w:rsid w:val="7953089D"/>
    <w:rsid w:val="795403AF"/>
    <w:rsid w:val="795A247F"/>
    <w:rsid w:val="795F670E"/>
    <w:rsid w:val="79647BD1"/>
    <w:rsid w:val="796513FD"/>
    <w:rsid w:val="7965523F"/>
    <w:rsid w:val="79660E3F"/>
    <w:rsid w:val="79683E73"/>
    <w:rsid w:val="797236C0"/>
    <w:rsid w:val="797876C3"/>
    <w:rsid w:val="797A12D2"/>
    <w:rsid w:val="797E3AEE"/>
    <w:rsid w:val="79821501"/>
    <w:rsid w:val="798F5BB2"/>
    <w:rsid w:val="79A57893"/>
    <w:rsid w:val="79A64908"/>
    <w:rsid w:val="79BA5C30"/>
    <w:rsid w:val="79C721B0"/>
    <w:rsid w:val="79CC3B9C"/>
    <w:rsid w:val="79CF4756"/>
    <w:rsid w:val="79D17055"/>
    <w:rsid w:val="79D81A97"/>
    <w:rsid w:val="79DB0FFE"/>
    <w:rsid w:val="79E93CD4"/>
    <w:rsid w:val="79EA3EAF"/>
    <w:rsid w:val="79F15391"/>
    <w:rsid w:val="7A122883"/>
    <w:rsid w:val="7A1F19C3"/>
    <w:rsid w:val="7A2B4030"/>
    <w:rsid w:val="7A37269B"/>
    <w:rsid w:val="7A3F46A8"/>
    <w:rsid w:val="7A3F6A69"/>
    <w:rsid w:val="7A4260F2"/>
    <w:rsid w:val="7A492248"/>
    <w:rsid w:val="7A511CEA"/>
    <w:rsid w:val="7A514314"/>
    <w:rsid w:val="7A5B6BF1"/>
    <w:rsid w:val="7A686978"/>
    <w:rsid w:val="7A745689"/>
    <w:rsid w:val="7A74617C"/>
    <w:rsid w:val="7A882AAB"/>
    <w:rsid w:val="7A8935AA"/>
    <w:rsid w:val="7A8C5A62"/>
    <w:rsid w:val="7A9B02A0"/>
    <w:rsid w:val="7AA7242D"/>
    <w:rsid w:val="7AAC493D"/>
    <w:rsid w:val="7AB051EB"/>
    <w:rsid w:val="7AB70A93"/>
    <w:rsid w:val="7AC7367E"/>
    <w:rsid w:val="7AC77AD7"/>
    <w:rsid w:val="7AE4433A"/>
    <w:rsid w:val="7AE56790"/>
    <w:rsid w:val="7AFF5BCE"/>
    <w:rsid w:val="7B10013E"/>
    <w:rsid w:val="7B326C07"/>
    <w:rsid w:val="7B3330E5"/>
    <w:rsid w:val="7B362E62"/>
    <w:rsid w:val="7B4208F5"/>
    <w:rsid w:val="7B556837"/>
    <w:rsid w:val="7B676012"/>
    <w:rsid w:val="7B6A7511"/>
    <w:rsid w:val="7B711CC9"/>
    <w:rsid w:val="7B7A78B6"/>
    <w:rsid w:val="7B890DF9"/>
    <w:rsid w:val="7B9C2817"/>
    <w:rsid w:val="7BA311A3"/>
    <w:rsid w:val="7BA46460"/>
    <w:rsid w:val="7BAF7F22"/>
    <w:rsid w:val="7BB045D8"/>
    <w:rsid w:val="7BBA247E"/>
    <w:rsid w:val="7BBA2AA5"/>
    <w:rsid w:val="7BBB6AF8"/>
    <w:rsid w:val="7BBF2239"/>
    <w:rsid w:val="7BC81986"/>
    <w:rsid w:val="7BD84BDB"/>
    <w:rsid w:val="7BE72A58"/>
    <w:rsid w:val="7BEA1821"/>
    <w:rsid w:val="7BEF2D8B"/>
    <w:rsid w:val="7C1773FB"/>
    <w:rsid w:val="7C1E7985"/>
    <w:rsid w:val="7C277F03"/>
    <w:rsid w:val="7C2F634D"/>
    <w:rsid w:val="7C304464"/>
    <w:rsid w:val="7C357268"/>
    <w:rsid w:val="7C394685"/>
    <w:rsid w:val="7C3946D8"/>
    <w:rsid w:val="7C3B7202"/>
    <w:rsid w:val="7C3C1819"/>
    <w:rsid w:val="7C41114A"/>
    <w:rsid w:val="7C470595"/>
    <w:rsid w:val="7C4E19B5"/>
    <w:rsid w:val="7C5442D6"/>
    <w:rsid w:val="7C5A528B"/>
    <w:rsid w:val="7C620617"/>
    <w:rsid w:val="7C7878E3"/>
    <w:rsid w:val="7C8047D0"/>
    <w:rsid w:val="7C826ECF"/>
    <w:rsid w:val="7C8C0A8D"/>
    <w:rsid w:val="7C8E3BC1"/>
    <w:rsid w:val="7C927AF3"/>
    <w:rsid w:val="7C97014B"/>
    <w:rsid w:val="7CA273D9"/>
    <w:rsid w:val="7CA874EC"/>
    <w:rsid w:val="7CB114CF"/>
    <w:rsid w:val="7CB14A8A"/>
    <w:rsid w:val="7CBC0EDA"/>
    <w:rsid w:val="7CBE6E05"/>
    <w:rsid w:val="7CC01527"/>
    <w:rsid w:val="7CC318EA"/>
    <w:rsid w:val="7CCE5944"/>
    <w:rsid w:val="7CE4315C"/>
    <w:rsid w:val="7CF242BC"/>
    <w:rsid w:val="7CFE6AE4"/>
    <w:rsid w:val="7CFF2B54"/>
    <w:rsid w:val="7D001143"/>
    <w:rsid w:val="7D0905C7"/>
    <w:rsid w:val="7D180251"/>
    <w:rsid w:val="7D2E5F39"/>
    <w:rsid w:val="7D345D3C"/>
    <w:rsid w:val="7D3A23FC"/>
    <w:rsid w:val="7D3D4510"/>
    <w:rsid w:val="7D512219"/>
    <w:rsid w:val="7D596CDC"/>
    <w:rsid w:val="7D6A7CF0"/>
    <w:rsid w:val="7D7BAA86"/>
    <w:rsid w:val="7D7DEBB7"/>
    <w:rsid w:val="7DA024D6"/>
    <w:rsid w:val="7DA77B7C"/>
    <w:rsid w:val="7DAB26E8"/>
    <w:rsid w:val="7DAC3778"/>
    <w:rsid w:val="7DAF3D55"/>
    <w:rsid w:val="7DAF5F30"/>
    <w:rsid w:val="7DB41313"/>
    <w:rsid w:val="7DB8125E"/>
    <w:rsid w:val="7DBC38D5"/>
    <w:rsid w:val="7DC927EE"/>
    <w:rsid w:val="7DCD34A9"/>
    <w:rsid w:val="7DD1602F"/>
    <w:rsid w:val="7DDD79F9"/>
    <w:rsid w:val="7DDE2123"/>
    <w:rsid w:val="7DE37724"/>
    <w:rsid w:val="7DE7410A"/>
    <w:rsid w:val="7DED0007"/>
    <w:rsid w:val="7DEE0D61"/>
    <w:rsid w:val="7DFB187B"/>
    <w:rsid w:val="7DFE4EC7"/>
    <w:rsid w:val="7DFFCB28"/>
    <w:rsid w:val="7E0B4B47"/>
    <w:rsid w:val="7E0D2D37"/>
    <w:rsid w:val="7E1150D6"/>
    <w:rsid w:val="7E2447D7"/>
    <w:rsid w:val="7E3201EE"/>
    <w:rsid w:val="7E3A3239"/>
    <w:rsid w:val="7E3B60E6"/>
    <w:rsid w:val="7E3F0664"/>
    <w:rsid w:val="7E5656C0"/>
    <w:rsid w:val="7E5A3003"/>
    <w:rsid w:val="7E694EB9"/>
    <w:rsid w:val="7E702D4F"/>
    <w:rsid w:val="7E73447D"/>
    <w:rsid w:val="7E746479"/>
    <w:rsid w:val="7E8412AD"/>
    <w:rsid w:val="7E8D6A07"/>
    <w:rsid w:val="7E936085"/>
    <w:rsid w:val="7E955A58"/>
    <w:rsid w:val="7E962A62"/>
    <w:rsid w:val="7EBE700C"/>
    <w:rsid w:val="7EC2393B"/>
    <w:rsid w:val="7ECA5B6E"/>
    <w:rsid w:val="7ED20926"/>
    <w:rsid w:val="7ED95003"/>
    <w:rsid w:val="7EDC604B"/>
    <w:rsid w:val="7EE1028D"/>
    <w:rsid w:val="7EEE78CB"/>
    <w:rsid w:val="7EFE7DEF"/>
    <w:rsid w:val="7F093C4D"/>
    <w:rsid w:val="7F0D5DAE"/>
    <w:rsid w:val="7F0F6AEE"/>
    <w:rsid w:val="7F0F6E3F"/>
    <w:rsid w:val="7F176427"/>
    <w:rsid w:val="7F181840"/>
    <w:rsid w:val="7F2B63DB"/>
    <w:rsid w:val="7F2F0A58"/>
    <w:rsid w:val="7F396F3C"/>
    <w:rsid w:val="7F434859"/>
    <w:rsid w:val="7F4514DB"/>
    <w:rsid w:val="7F505FC9"/>
    <w:rsid w:val="7F556937"/>
    <w:rsid w:val="7F6A4DD4"/>
    <w:rsid w:val="7F77465A"/>
    <w:rsid w:val="7F7B9674"/>
    <w:rsid w:val="7F8830F2"/>
    <w:rsid w:val="7F8D64E6"/>
    <w:rsid w:val="7F930B43"/>
    <w:rsid w:val="7F942DB0"/>
    <w:rsid w:val="7F9BDCC8"/>
    <w:rsid w:val="7F9C24B0"/>
    <w:rsid w:val="7FB73304"/>
    <w:rsid w:val="7FC03CB9"/>
    <w:rsid w:val="7FDE487A"/>
    <w:rsid w:val="7FDFFF44"/>
    <w:rsid w:val="7FECF6BD"/>
    <w:rsid w:val="7FED3ED0"/>
    <w:rsid w:val="7FF11F9E"/>
    <w:rsid w:val="7FF30FA0"/>
    <w:rsid w:val="7FF332A8"/>
    <w:rsid w:val="7FF5C7F9"/>
    <w:rsid w:val="7FFB1D68"/>
    <w:rsid w:val="7FFFE5CE"/>
    <w:rsid w:val="9F7BBE3B"/>
    <w:rsid w:val="A5FF920B"/>
    <w:rsid w:val="A7FF6531"/>
    <w:rsid w:val="AE2FD64D"/>
    <w:rsid w:val="AFF7847B"/>
    <w:rsid w:val="B56A2165"/>
    <w:rsid w:val="B7F4557A"/>
    <w:rsid w:val="B98AB133"/>
    <w:rsid w:val="BBFF417C"/>
    <w:rsid w:val="BF5E733C"/>
    <w:rsid w:val="BF7D0E26"/>
    <w:rsid w:val="BFB78EF0"/>
    <w:rsid w:val="BFBF7B8E"/>
    <w:rsid w:val="C39ACA65"/>
    <w:rsid w:val="CCBF4163"/>
    <w:rsid w:val="CF7E8EF9"/>
    <w:rsid w:val="D4BF86C9"/>
    <w:rsid w:val="D7FF16CF"/>
    <w:rsid w:val="DB2DDDA8"/>
    <w:rsid w:val="DCFFD526"/>
    <w:rsid w:val="DDF7DAF1"/>
    <w:rsid w:val="DEFF1B55"/>
    <w:rsid w:val="E7C71E2C"/>
    <w:rsid w:val="E7F5CFAD"/>
    <w:rsid w:val="E9F92EFF"/>
    <w:rsid w:val="EA5481EC"/>
    <w:rsid w:val="EE7FBE7D"/>
    <w:rsid w:val="EFBFC07B"/>
    <w:rsid w:val="EFD9372C"/>
    <w:rsid w:val="EFDF81C4"/>
    <w:rsid w:val="EFFE9AA7"/>
    <w:rsid w:val="F2FF462E"/>
    <w:rsid w:val="F3D53566"/>
    <w:rsid w:val="F5DFAABC"/>
    <w:rsid w:val="F7D393A2"/>
    <w:rsid w:val="F9D7F67F"/>
    <w:rsid w:val="FB6F6285"/>
    <w:rsid w:val="FDBDDA66"/>
    <w:rsid w:val="FDD82E6C"/>
    <w:rsid w:val="FDF315CB"/>
    <w:rsid w:val="FE3FA395"/>
    <w:rsid w:val="FE5B8028"/>
    <w:rsid w:val="FE7F1E31"/>
    <w:rsid w:val="FEDB3E6A"/>
    <w:rsid w:val="FF75CE6E"/>
    <w:rsid w:val="FF9EA0AC"/>
    <w:rsid w:val="FF9FBD61"/>
    <w:rsid w:val="FFAFF89C"/>
    <w:rsid w:val="FFE6C866"/>
    <w:rsid w:val="FFFF8FA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uiPriority="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name="Balloon Text"/>
    <w:lsdException w:qFormat="1"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68"/>
    <w:qFormat/>
    <w:uiPriority w:val="0"/>
    <w:pPr>
      <w:keepNext/>
      <w:keepLines/>
      <w:spacing w:line="578" w:lineRule="auto"/>
      <w:outlineLvl w:val="0"/>
    </w:pPr>
    <w:rPr>
      <w:rFonts w:ascii="Times New Roman" w:hAnsi="Times New Roman" w:eastAsia="Century Gothic"/>
      <w:b/>
      <w:bCs/>
      <w:kern w:val="44"/>
      <w:sz w:val="44"/>
      <w:szCs w:val="44"/>
    </w:rPr>
  </w:style>
  <w:style w:type="paragraph" w:styleId="5">
    <w:name w:val="heading 2"/>
    <w:basedOn w:val="1"/>
    <w:next w:val="1"/>
    <w:qFormat/>
    <w:uiPriority w:val="0"/>
    <w:pPr>
      <w:keepNext/>
      <w:keepLines/>
      <w:adjustRightInd w:val="0"/>
      <w:spacing w:line="415" w:lineRule="auto"/>
      <w:jc w:val="left"/>
      <w:outlineLvl w:val="1"/>
    </w:pPr>
    <w:rPr>
      <w:rFonts w:ascii="黑体" w:hAnsi="黑体" w:eastAsia="楷体"/>
      <w:b/>
      <w:bCs/>
      <w:sz w:val="32"/>
      <w:szCs w:val="32"/>
    </w:rPr>
  </w:style>
  <w:style w:type="paragraph" w:styleId="6">
    <w:name w:val="heading 3"/>
    <w:basedOn w:val="1"/>
    <w:next w:val="1"/>
    <w:qFormat/>
    <w:uiPriority w:val="0"/>
    <w:pPr>
      <w:keepNext/>
      <w:keepLines/>
      <w:spacing w:line="416" w:lineRule="auto"/>
      <w:outlineLvl w:val="2"/>
    </w:pPr>
    <w:rPr>
      <w:b/>
      <w:bCs/>
      <w:sz w:val="32"/>
      <w:szCs w:val="32"/>
    </w:rPr>
  </w:style>
  <w:style w:type="paragraph" w:styleId="7">
    <w:name w:val="heading 4"/>
    <w:basedOn w:val="1"/>
    <w:next w:val="1"/>
    <w:qFormat/>
    <w:uiPriority w:val="0"/>
    <w:pPr>
      <w:keepNext/>
      <w:widowControl/>
      <w:jc w:val="center"/>
      <w:outlineLvl w:val="3"/>
    </w:pPr>
    <w:rPr>
      <w:rFonts w:ascii="MS Sans Serif" w:hAnsi="仿宋_GB2312" w:eastAsia="MS Sans Serif"/>
      <w:snapToGrid w:val="0"/>
      <w:kern w:val="0"/>
      <w:sz w:val="24"/>
      <w:szCs w:val="20"/>
    </w:rPr>
  </w:style>
  <w:style w:type="paragraph" w:styleId="8">
    <w:name w:val="heading 5"/>
    <w:basedOn w:val="1"/>
    <w:next w:val="1"/>
    <w:qFormat/>
    <w:uiPriority w:val="0"/>
    <w:pPr>
      <w:widowControl/>
      <w:jc w:val="left"/>
      <w:outlineLvl w:val="4"/>
    </w:pPr>
    <w:rPr>
      <w:rFonts w:ascii="MS Sans Serif" w:eastAsia="MS Sans Serif"/>
      <w:kern w:val="0"/>
      <w:sz w:val="24"/>
      <w:szCs w:val="20"/>
    </w:rPr>
  </w:style>
  <w:style w:type="paragraph" w:styleId="9">
    <w:name w:val="heading 6"/>
    <w:basedOn w:val="1"/>
    <w:next w:val="1"/>
    <w:qFormat/>
    <w:uiPriority w:val="0"/>
    <w:pPr>
      <w:keepNext/>
      <w:keepLines/>
      <w:spacing w:line="320" w:lineRule="auto"/>
      <w:outlineLvl w:val="5"/>
    </w:pPr>
    <w:rPr>
      <w:rFonts w:ascii="黑体" w:hAnsi="黑体" w:eastAsia="楷体"/>
      <w:b/>
      <w:sz w:val="24"/>
      <w:szCs w:val="20"/>
    </w:rPr>
  </w:style>
  <w:style w:type="paragraph" w:styleId="10">
    <w:name w:val="heading 7"/>
    <w:basedOn w:val="1"/>
    <w:next w:val="1"/>
    <w:qFormat/>
    <w:uiPriority w:val="0"/>
    <w:pPr>
      <w:keepNext/>
      <w:keepLines/>
      <w:spacing w:line="320" w:lineRule="auto"/>
      <w:outlineLvl w:val="6"/>
    </w:pPr>
    <w:rPr>
      <w:b/>
      <w:sz w:val="24"/>
      <w:szCs w:val="20"/>
    </w:rPr>
  </w:style>
  <w:style w:type="paragraph" w:styleId="11">
    <w:name w:val="heading 8"/>
    <w:basedOn w:val="1"/>
    <w:next w:val="12"/>
    <w:qFormat/>
    <w:uiPriority w:val="0"/>
    <w:pPr>
      <w:keepNext/>
      <w:keepLines/>
      <w:spacing w:line="320" w:lineRule="auto"/>
      <w:outlineLvl w:val="7"/>
    </w:pPr>
    <w:rPr>
      <w:rFonts w:ascii="黑体" w:hAnsi="黑体" w:eastAsia="楷体"/>
      <w:sz w:val="24"/>
      <w:szCs w:val="20"/>
    </w:rPr>
  </w:style>
  <w:style w:type="paragraph" w:styleId="13">
    <w:name w:val="heading 9"/>
    <w:basedOn w:val="1"/>
    <w:next w:val="12"/>
    <w:qFormat/>
    <w:uiPriority w:val="0"/>
    <w:pPr>
      <w:keepNext/>
      <w:keepLines/>
      <w:spacing w:line="320" w:lineRule="auto"/>
      <w:outlineLvl w:val="8"/>
    </w:pPr>
    <w:rPr>
      <w:rFonts w:ascii="黑体" w:hAnsi="黑体" w:eastAsia="楷体"/>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pPr>
  </w:style>
  <w:style w:type="paragraph" w:styleId="3">
    <w:name w:val="Body Text"/>
    <w:basedOn w:val="1"/>
    <w:next w:val="2"/>
    <w:qFormat/>
    <w:uiPriority w:val="0"/>
  </w:style>
  <w:style w:type="paragraph" w:styleId="12">
    <w:name w:val="Normal Indent"/>
    <w:basedOn w:val="1"/>
    <w:next w:val="1"/>
    <w:link w:val="69"/>
    <w:qFormat/>
    <w:uiPriority w:val="0"/>
    <w:pPr>
      <w:widowControl/>
      <w:ind w:firstLine="420"/>
      <w:jc w:val="left"/>
    </w:pPr>
    <w:rPr>
      <w:rFonts w:ascii="Arial" w:hAnsi="Arial" w:cs="Arial"/>
      <w:kern w:val="0"/>
      <w:sz w:val="20"/>
      <w:szCs w:val="20"/>
    </w:rPr>
  </w:style>
  <w:style w:type="paragraph" w:styleId="14">
    <w:name w:val="toc 7"/>
    <w:basedOn w:val="1"/>
    <w:next w:val="1"/>
    <w:semiHidden/>
    <w:qFormat/>
    <w:uiPriority w:val="0"/>
    <w:pPr>
      <w:ind w:left="1260"/>
      <w:jc w:val="left"/>
    </w:pPr>
    <w:rPr>
      <w:sz w:val="18"/>
      <w:szCs w:val="18"/>
    </w:rPr>
  </w:style>
  <w:style w:type="paragraph" w:styleId="15">
    <w:name w:val="List Number"/>
    <w:basedOn w:val="1"/>
    <w:qFormat/>
    <w:uiPriority w:val="0"/>
    <w:pPr>
      <w:widowControl/>
      <w:tabs>
        <w:tab w:val="left" w:pos="420"/>
        <w:tab w:val="left" w:pos="454"/>
      </w:tabs>
      <w:spacing w:afterLines="50"/>
      <w:ind w:left="454" w:hanging="284"/>
      <w:jc w:val="left"/>
    </w:pPr>
    <w:rPr>
      <w:kern w:val="0"/>
      <w:sz w:val="24"/>
      <w:szCs w:val="20"/>
    </w:rPr>
  </w:style>
  <w:style w:type="paragraph" w:styleId="16">
    <w:name w:val="caption"/>
    <w:basedOn w:val="1"/>
    <w:next w:val="1"/>
    <w:qFormat/>
    <w:uiPriority w:val="0"/>
    <w:rPr>
      <w:rFonts w:ascii="黑体" w:hAnsi="黑体" w:eastAsia="楷体" w:cs="黑体"/>
      <w:sz w:val="20"/>
      <w:szCs w:val="20"/>
    </w:rPr>
  </w:style>
  <w:style w:type="paragraph" w:styleId="17">
    <w:name w:val="Document Map"/>
    <w:basedOn w:val="1"/>
    <w:semiHidden/>
    <w:qFormat/>
    <w:uiPriority w:val="0"/>
    <w:pPr>
      <w:shd w:val="clear" w:color="auto" w:fill="000080"/>
    </w:pPr>
  </w:style>
  <w:style w:type="paragraph" w:styleId="18">
    <w:name w:val="annotation text"/>
    <w:basedOn w:val="1"/>
    <w:semiHidden/>
    <w:qFormat/>
    <w:uiPriority w:val="0"/>
    <w:pPr>
      <w:jc w:val="left"/>
    </w:pPr>
  </w:style>
  <w:style w:type="paragraph" w:styleId="19">
    <w:name w:val="Body Text Indent"/>
    <w:basedOn w:val="1"/>
    <w:next w:val="1"/>
    <w:link w:val="70"/>
    <w:qFormat/>
    <w:uiPriority w:val="0"/>
    <w:pPr>
      <w:adjustRightInd w:val="0"/>
      <w:spacing w:line="360" w:lineRule="auto"/>
      <w:ind w:firstLine="490"/>
      <w:jc w:val="left"/>
    </w:pPr>
    <w:rPr>
      <w:rFonts w:ascii="Century Gothic" w:hAnsi="Century Gothic" w:eastAsia="Century Gothic"/>
      <w:sz w:val="24"/>
      <w:szCs w:val="20"/>
    </w:rPr>
  </w:style>
  <w:style w:type="paragraph" w:styleId="20">
    <w:name w:val="List Number 3"/>
    <w:basedOn w:val="1"/>
    <w:qFormat/>
    <w:uiPriority w:val="0"/>
    <w:pPr>
      <w:widowControl/>
      <w:tabs>
        <w:tab w:val="left" w:pos="482"/>
        <w:tab w:val="left" w:pos="1157"/>
      </w:tabs>
      <w:spacing w:afterLines="50"/>
      <w:ind w:left="482" w:hanging="340"/>
      <w:jc w:val="left"/>
    </w:pPr>
    <w:rPr>
      <w:kern w:val="0"/>
      <w:sz w:val="24"/>
      <w:szCs w:val="20"/>
    </w:rPr>
  </w:style>
  <w:style w:type="paragraph" w:styleId="21">
    <w:name w:val="Block Text"/>
    <w:basedOn w:val="1"/>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styleId="22">
    <w:name w:val="toc 5"/>
    <w:basedOn w:val="1"/>
    <w:next w:val="1"/>
    <w:semiHidden/>
    <w:qFormat/>
    <w:uiPriority w:val="0"/>
    <w:pPr>
      <w:ind w:left="840"/>
      <w:jc w:val="left"/>
    </w:pPr>
    <w:rPr>
      <w:sz w:val="18"/>
      <w:szCs w:val="18"/>
    </w:rPr>
  </w:style>
  <w:style w:type="paragraph" w:styleId="23">
    <w:name w:val="toc 3"/>
    <w:basedOn w:val="1"/>
    <w:next w:val="1"/>
    <w:semiHidden/>
    <w:qFormat/>
    <w:uiPriority w:val="0"/>
    <w:pPr>
      <w:ind w:left="420"/>
      <w:jc w:val="left"/>
    </w:pPr>
    <w:rPr>
      <w:i/>
      <w:iCs/>
      <w:sz w:val="20"/>
      <w:szCs w:val="20"/>
    </w:rPr>
  </w:style>
  <w:style w:type="paragraph" w:styleId="24">
    <w:name w:val="Plain Text"/>
    <w:basedOn w:val="1"/>
    <w:next w:val="1"/>
    <w:link w:val="71"/>
    <w:qFormat/>
    <w:uiPriority w:val="0"/>
    <w:rPr>
      <w:rFonts w:ascii="Century Gothic" w:hAnsi="楷体_GB2312" w:eastAsia="Century Gothic" w:cs="楷体_GB2312"/>
      <w:szCs w:val="21"/>
    </w:rPr>
  </w:style>
  <w:style w:type="paragraph" w:styleId="25">
    <w:name w:val="toc 8"/>
    <w:basedOn w:val="1"/>
    <w:next w:val="1"/>
    <w:semiHidden/>
    <w:qFormat/>
    <w:uiPriority w:val="0"/>
    <w:pPr>
      <w:ind w:left="1470"/>
      <w:jc w:val="left"/>
    </w:pPr>
    <w:rPr>
      <w:sz w:val="18"/>
      <w:szCs w:val="18"/>
    </w:rPr>
  </w:style>
  <w:style w:type="paragraph" w:styleId="26">
    <w:name w:val="Date"/>
    <w:basedOn w:val="1"/>
    <w:next w:val="1"/>
    <w:qFormat/>
    <w:uiPriority w:val="0"/>
    <w:pPr>
      <w:ind w:left="100" w:leftChars="2500"/>
    </w:pPr>
  </w:style>
  <w:style w:type="paragraph" w:styleId="27">
    <w:name w:val="Body Text Indent 2"/>
    <w:basedOn w:val="1"/>
    <w:qFormat/>
    <w:uiPriority w:val="0"/>
    <w:pPr>
      <w:adjustRightInd w:val="0"/>
      <w:spacing w:line="360" w:lineRule="auto"/>
      <w:ind w:firstLine="504" w:firstLineChars="210"/>
      <w:jc w:val="left"/>
    </w:pPr>
    <w:rPr>
      <w:rFonts w:hint="eastAsia" w:ascii="Century Gothic" w:hAnsi="Century Gothic"/>
      <w:sz w:val="24"/>
      <w:szCs w:val="20"/>
    </w:rPr>
  </w:style>
  <w:style w:type="paragraph" w:styleId="28">
    <w:name w:val="Balloon Text"/>
    <w:basedOn w:val="1"/>
    <w:semiHidden/>
    <w:qFormat/>
    <w:uiPriority w:val="0"/>
    <w:rPr>
      <w:sz w:val="18"/>
      <w:szCs w:val="18"/>
    </w:rPr>
  </w:style>
  <w:style w:type="paragraph" w:styleId="29">
    <w:name w:val="footer"/>
    <w:basedOn w:val="1"/>
    <w:link w:val="72"/>
    <w:qFormat/>
    <w:uiPriority w:val="0"/>
    <w:pPr>
      <w:tabs>
        <w:tab w:val="center" w:pos="4153"/>
        <w:tab w:val="right" w:pos="8306"/>
      </w:tabs>
      <w:adjustRightInd w:val="0"/>
      <w:jc w:val="left"/>
    </w:pPr>
    <w:rPr>
      <w:rFonts w:ascii="Times New Roman" w:hAnsi="Times New Roman" w:eastAsia="Century Gothic"/>
      <w:sz w:val="18"/>
      <w:szCs w:val="20"/>
    </w:rPr>
  </w:style>
  <w:style w:type="paragraph" w:styleId="30">
    <w:name w:val="envelope return"/>
    <w:basedOn w:val="1"/>
    <w:qFormat/>
    <w:uiPriority w:val="0"/>
    <w:pPr>
      <w:snapToGrid w:val="0"/>
    </w:pPr>
    <w:rPr>
      <w:rFonts w:ascii="Arial" w:hAnsi="Arial"/>
    </w:rPr>
  </w:style>
  <w:style w:type="paragraph" w:styleId="31">
    <w:name w:val="header"/>
    <w:basedOn w:val="1"/>
    <w:qFormat/>
    <w:uiPriority w:val="0"/>
    <w:pPr>
      <w:pBdr>
        <w:bottom w:val="single" w:color="auto" w:sz="6" w:space="1"/>
      </w:pBdr>
      <w:tabs>
        <w:tab w:val="center" w:pos="4153"/>
        <w:tab w:val="right" w:pos="8306"/>
      </w:tabs>
      <w:adjustRightInd w:val="0"/>
      <w:jc w:val="center"/>
    </w:pPr>
    <w:rPr>
      <w:sz w:val="18"/>
      <w:szCs w:val="20"/>
    </w:rPr>
  </w:style>
  <w:style w:type="paragraph" w:styleId="32">
    <w:name w:val="toc 1"/>
    <w:basedOn w:val="1"/>
    <w:next w:val="1"/>
    <w:qFormat/>
    <w:uiPriority w:val="39"/>
    <w:pPr>
      <w:tabs>
        <w:tab w:val="right" w:leader="dot" w:pos="8720"/>
      </w:tabs>
      <w:jc w:val="left"/>
    </w:pPr>
    <w:rPr>
      <w:rFonts w:ascii="Century Gothic" w:hAnsi="Century Gothic"/>
      <w:bCs/>
      <w:caps/>
      <w:sz w:val="20"/>
      <w:szCs w:val="20"/>
    </w:rPr>
  </w:style>
  <w:style w:type="paragraph" w:styleId="33">
    <w:name w:val="toc 4"/>
    <w:basedOn w:val="1"/>
    <w:next w:val="1"/>
    <w:semiHidden/>
    <w:qFormat/>
    <w:uiPriority w:val="0"/>
    <w:pPr>
      <w:ind w:left="630"/>
      <w:jc w:val="left"/>
    </w:pPr>
    <w:rPr>
      <w:sz w:val="18"/>
      <w:szCs w:val="18"/>
    </w:rPr>
  </w:style>
  <w:style w:type="paragraph" w:styleId="34">
    <w:name w:val="toc 6"/>
    <w:basedOn w:val="1"/>
    <w:next w:val="1"/>
    <w:semiHidden/>
    <w:qFormat/>
    <w:uiPriority w:val="0"/>
    <w:pPr>
      <w:ind w:left="1050"/>
      <w:jc w:val="left"/>
    </w:pPr>
    <w:rPr>
      <w:sz w:val="18"/>
      <w:szCs w:val="18"/>
    </w:rPr>
  </w:style>
  <w:style w:type="paragraph" w:styleId="35">
    <w:name w:val="List 5"/>
    <w:basedOn w:val="1"/>
    <w:qFormat/>
    <w:uiPriority w:val="0"/>
    <w:pPr>
      <w:ind w:left="100" w:leftChars="800" w:hanging="200" w:hangingChars="200"/>
    </w:pPr>
    <w:rPr>
      <w:szCs w:val="20"/>
    </w:rPr>
  </w:style>
  <w:style w:type="paragraph" w:styleId="36">
    <w:name w:val="Body Text Indent 3"/>
    <w:basedOn w:val="1"/>
    <w:qFormat/>
    <w:uiPriority w:val="0"/>
    <w:pPr>
      <w:ind w:left="420" w:leftChars="200"/>
    </w:pPr>
    <w:rPr>
      <w:sz w:val="16"/>
      <w:szCs w:val="16"/>
    </w:rPr>
  </w:style>
  <w:style w:type="paragraph" w:styleId="37">
    <w:name w:val="toc 2"/>
    <w:basedOn w:val="1"/>
    <w:next w:val="1"/>
    <w:qFormat/>
    <w:uiPriority w:val="39"/>
    <w:pPr>
      <w:tabs>
        <w:tab w:val="right" w:leader="dot" w:pos="8720"/>
      </w:tabs>
      <w:adjustRightInd w:val="0"/>
      <w:snapToGrid w:val="0"/>
      <w:jc w:val="left"/>
    </w:pPr>
    <w:rPr>
      <w:smallCaps/>
      <w:sz w:val="20"/>
      <w:szCs w:val="20"/>
    </w:rPr>
  </w:style>
  <w:style w:type="paragraph" w:styleId="38">
    <w:name w:val="toc 9"/>
    <w:basedOn w:val="1"/>
    <w:next w:val="1"/>
    <w:semiHidden/>
    <w:qFormat/>
    <w:uiPriority w:val="0"/>
    <w:pPr>
      <w:ind w:left="1680"/>
      <w:jc w:val="left"/>
    </w:pPr>
    <w:rPr>
      <w:sz w:val="18"/>
      <w:szCs w:val="18"/>
    </w:rPr>
  </w:style>
  <w:style w:type="paragraph" w:styleId="39">
    <w:name w:val="Body Text 2"/>
    <w:basedOn w:val="1"/>
    <w:qFormat/>
    <w:uiPriority w:val="0"/>
    <w:rPr>
      <w:sz w:val="24"/>
    </w:rPr>
  </w:style>
  <w:style w:type="paragraph" w:styleId="4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41">
    <w:name w:val="Normal (Web)"/>
    <w:basedOn w:val="1"/>
    <w:qFormat/>
    <w:uiPriority w:val="0"/>
    <w:pPr>
      <w:widowControl/>
      <w:shd w:val="clear" w:color="auto" w:fill="FFFFFF"/>
      <w:spacing w:beforeAutospacing="1" w:afterAutospacing="1"/>
      <w:jc w:val="left"/>
    </w:pPr>
    <w:rPr>
      <w:rFonts w:ascii="Century Gothic" w:hAnsi="Century Gothic"/>
      <w:kern w:val="0"/>
      <w:sz w:val="18"/>
      <w:szCs w:val="18"/>
    </w:rPr>
  </w:style>
  <w:style w:type="paragraph" w:styleId="42">
    <w:name w:val="Title"/>
    <w:basedOn w:val="1"/>
    <w:next w:val="1"/>
    <w:qFormat/>
    <w:uiPriority w:val="0"/>
    <w:pPr>
      <w:tabs>
        <w:tab w:val="left" w:pos="1200"/>
      </w:tabs>
      <w:spacing w:afterLines="200"/>
      <w:ind w:left="1440" w:hanging="720"/>
      <w:jc w:val="center"/>
    </w:pPr>
    <w:rPr>
      <w:b/>
      <w:bCs/>
      <w:spacing w:val="60"/>
      <w:sz w:val="32"/>
    </w:rPr>
  </w:style>
  <w:style w:type="paragraph" w:styleId="43">
    <w:name w:val="annotation subject"/>
    <w:basedOn w:val="18"/>
    <w:next w:val="18"/>
    <w:semiHidden/>
    <w:qFormat/>
    <w:uiPriority w:val="0"/>
    <w:rPr>
      <w:b/>
      <w:bCs/>
    </w:rPr>
  </w:style>
  <w:style w:type="paragraph" w:styleId="44">
    <w:name w:val="Body Text First Indent 2"/>
    <w:basedOn w:val="19"/>
    <w:qFormat/>
    <w:uiPriority w:val="0"/>
    <w:pPr>
      <w:ind w:firstLine="420" w:firstLineChars="200"/>
    </w:pPr>
  </w:style>
  <w:style w:type="table" w:styleId="46">
    <w:name w:val="Table Grid"/>
    <w:basedOn w:val="4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rPr>
  </w:style>
  <w:style w:type="character" w:styleId="49">
    <w:name w:val="page number"/>
    <w:qFormat/>
    <w:uiPriority w:val="0"/>
  </w:style>
  <w:style w:type="character" w:styleId="50">
    <w:name w:val="FollowedHyperlink"/>
    <w:qFormat/>
    <w:uiPriority w:val="0"/>
    <w:rPr>
      <w:color w:val="3177FD"/>
      <w:sz w:val="21"/>
      <w:szCs w:val="21"/>
      <w:u w:val="none"/>
    </w:rPr>
  </w:style>
  <w:style w:type="character" w:styleId="51">
    <w:name w:val="Emphasis"/>
    <w:basedOn w:val="47"/>
    <w:qFormat/>
    <w:uiPriority w:val="0"/>
    <w:rPr>
      <w:color w:val="F73131"/>
    </w:rPr>
  </w:style>
  <w:style w:type="character" w:styleId="52">
    <w:name w:val="HTML Definition"/>
    <w:qFormat/>
    <w:uiPriority w:val="0"/>
    <w:rPr>
      <w:i/>
      <w:color w:val="FFFFFF"/>
      <w:u w:val="none"/>
    </w:rPr>
  </w:style>
  <w:style w:type="character" w:styleId="53">
    <w:name w:val="Hyperlink"/>
    <w:qFormat/>
    <w:uiPriority w:val="0"/>
    <w:rPr>
      <w:color w:val="3177FD"/>
      <w:u w:val="none"/>
    </w:rPr>
  </w:style>
  <w:style w:type="character" w:styleId="54">
    <w:name w:val="HTML Code"/>
    <w:qFormat/>
    <w:uiPriority w:val="0"/>
    <w:rPr>
      <w:rFonts w:hint="default" w:ascii="Consolas" w:hAnsi="Consolas" w:eastAsia="Consolas" w:cs="Consolas"/>
      <w:sz w:val="21"/>
      <w:szCs w:val="21"/>
    </w:rPr>
  </w:style>
  <w:style w:type="character" w:styleId="55">
    <w:name w:val="annotation reference"/>
    <w:semiHidden/>
    <w:qFormat/>
    <w:uiPriority w:val="0"/>
    <w:rPr>
      <w:sz w:val="21"/>
      <w:szCs w:val="21"/>
    </w:rPr>
  </w:style>
  <w:style w:type="character" w:styleId="56">
    <w:name w:val="HTML Cite"/>
    <w:basedOn w:val="47"/>
    <w:qFormat/>
    <w:uiPriority w:val="0"/>
    <w:rPr>
      <w:color w:val="008000"/>
    </w:rPr>
  </w:style>
  <w:style w:type="character" w:styleId="57">
    <w:name w:val="HTML Keyboard"/>
    <w:qFormat/>
    <w:uiPriority w:val="0"/>
    <w:rPr>
      <w:rFonts w:ascii="Consolas" w:hAnsi="Consolas" w:eastAsia="Consolas" w:cs="Consolas"/>
      <w:sz w:val="21"/>
      <w:szCs w:val="21"/>
    </w:rPr>
  </w:style>
  <w:style w:type="character" w:styleId="58">
    <w:name w:val="HTML Sample"/>
    <w:qFormat/>
    <w:uiPriority w:val="0"/>
    <w:rPr>
      <w:rFonts w:hint="default" w:ascii="Consolas" w:hAnsi="Consolas" w:eastAsia="Consolas" w:cs="Consolas"/>
      <w:sz w:val="21"/>
      <w:szCs w:val="21"/>
    </w:rPr>
  </w:style>
  <w:style w:type="paragraph" w:customStyle="1" w:styleId="59">
    <w:name w:val="正文缩进1"/>
    <w:basedOn w:val="60"/>
    <w:next w:val="19"/>
    <w:qFormat/>
    <w:uiPriority w:val="0"/>
    <w:pPr>
      <w:autoSpaceDE w:val="0"/>
      <w:autoSpaceDN w:val="0"/>
      <w:snapToGrid w:val="0"/>
      <w:spacing w:after="120" w:line="360" w:lineRule="auto"/>
      <w:ind w:left="200" w:leftChars="200" w:firstLine="480" w:firstLineChars="200"/>
    </w:pPr>
    <w:rPr>
      <w:sz w:val="24"/>
      <w:szCs w:val="21"/>
    </w:rPr>
  </w:style>
  <w:style w:type="paragraph" w:customStyle="1" w:styleId="60">
    <w:name w:val="正文1"/>
    <w:basedOn w:val="23"/>
    <w:next w:val="1"/>
    <w:qFormat/>
    <w:uiPriority w:val="0"/>
    <w:pPr>
      <w:jc w:val="both"/>
    </w:pPr>
    <w:rPr>
      <w:rFonts w:hint="eastAsia" w:ascii="Times New Roman" w:hAnsi="Times New Roman"/>
      <w:sz w:val="21"/>
    </w:rPr>
  </w:style>
  <w:style w:type="paragraph" w:customStyle="1" w:styleId="61">
    <w:name w:val="[Normal]"/>
    <w:qFormat/>
    <w:uiPriority w:val="0"/>
    <w:rPr>
      <w:rFonts w:ascii="宋体" w:hAnsi="宋体" w:eastAsia="宋体" w:cs="Arial"/>
      <w:sz w:val="24"/>
      <w:szCs w:val="22"/>
      <w:lang w:val="zh-CN" w:eastAsia="zh-CN" w:bidi="ar-SA"/>
    </w:rPr>
  </w:style>
  <w:style w:type="paragraph" w:customStyle="1" w:styleId="6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63">
    <w:name w:val="正文文本首行缩进 21"/>
    <w:basedOn w:val="59"/>
    <w:qFormat/>
    <w:uiPriority w:val="99"/>
    <w:pPr>
      <w:tabs>
        <w:tab w:val="right" w:leader="dot" w:pos="8268"/>
      </w:tabs>
      <w:spacing w:line="200" w:lineRule="atLeast"/>
      <w:ind w:firstLine="420"/>
    </w:pPr>
    <w:rPr>
      <w:spacing w:val="-4"/>
      <w:sz w:val="18"/>
    </w:rPr>
  </w:style>
  <w:style w:type="paragraph" w:styleId="64">
    <w:name w:val="List Paragraph"/>
    <w:basedOn w:val="1"/>
    <w:link w:val="98"/>
    <w:qFormat/>
    <w:uiPriority w:val="34"/>
    <w:pPr>
      <w:ind w:firstLine="420" w:firstLineChars="200"/>
    </w:pPr>
    <w:rPr>
      <w:rFonts w:ascii="Times New Roman" w:hAnsi="Times New Roman"/>
    </w:rPr>
  </w:style>
  <w:style w:type="paragraph" w:customStyle="1" w:styleId="65">
    <w:name w:val="正文文字"/>
    <w:basedOn w:val="1"/>
    <w:qFormat/>
    <w:uiPriority w:val="0"/>
    <w:pPr>
      <w:widowControl/>
      <w:spacing w:line="952" w:lineRule="atLeast"/>
      <w:ind w:firstLine="419"/>
    </w:pPr>
    <w:rPr>
      <w:b/>
      <w:color w:val="000000"/>
      <w:sz w:val="44"/>
      <w:szCs w:val="20"/>
    </w:rPr>
  </w:style>
  <w:style w:type="paragraph" w:customStyle="1" w:styleId="66">
    <w:name w:val="_Style 2"/>
    <w:basedOn w:val="1"/>
    <w:qFormat/>
    <w:uiPriority w:val="0"/>
    <w:pPr>
      <w:ind w:firstLine="200" w:firstLineChars="200"/>
    </w:pPr>
    <w:rPr>
      <w:sz w:val="28"/>
      <w:szCs w:val="22"/>
    </w:rPr>
  </w:style>
  <w:style w:type="paragraph" w:customStyle="1" w:styleId="67">
    <w:name w:val="_Style 1"/>
    <w:qFormat/>
    <w:uiPriority w:val="0"/>
    <w:rPr>
      <w:rFonts w:ascii="Calibri" w:hAnsi="Calibri" w:eastAsia="宋体" w:cs="Times New Roman"/>
      <w:kern w:val="2"/>
      <w:sz w:val="28"/>
      <w:szCs w:val="22"/>
      <w:lang w:val="en-US" w:eastAsia="zh-CN" w:bidi="ar-SA"/>
    </w:rPr>
  </w:style>
  <w:style w:type="character" w:customStyle="1" w:styleId="68">
    <w:name w:val="标题 1 Char"/>
    <w:link w:val="4"/>
    <w:qFormat/>
    <w:uiPriority w:val="0"/>
    <w:rPr>
      <w:rFonts w:eastAsia="Century Gothic"/>
      <w:b/>
      <w:bCs/>
      <w:kern w:val="44"/>
      <w:sz w:val="44"/>
      <w:szCs w:val="44"/>
      <w:lang w:val="en-US" w:eastAsia="zh-CN" w:bidi="ar-SA"/>
    </w:rPr>
  </w:style>
  <w:style w:type="character" w:customStyle="1" w:styleId="69">
    <w:name w:val="正文缩进 Char"/>
    <w:link w:val="12"/>
    <w:qFormat/>
    <w:uiPriority w:val="0"/>
    <w:rPr>
      <w:rFonts w:ascii="Arial" w:hAnsi="Arial" w:eastAsia="宋体" w:cs="Arial"/>
      <w:lang w:val="en-US" w:eastAsia="zh-CN" w:bidi="ar-SA"/>
    </w:rPr>
  </w:style>
  <w:style w:type="character" w:customStyle="1" w:styleId="70">
    <w:name w:val="正文文本缩进 Char"/>
    <w:link w:val="19"/>
    <w:semiHidden/>
    <w:qFormat/>
    <w:uiPriority w:val="0"/>
    <w:rPr>
      <w:rFonts w:ascii="Century Gothic" w:hAnsi="Century Gothic" w:eastAsia="Century Gothic"/>
      <w:kern w:val="2"/>
      <w:sz w:val="24"/>
      <w:lang w:val="en-US" w:eastAsia="zh-CN" w:bidi="ar-SA"/>
    </w:rPr>
  </w:style>
  <w:style w:type="character" w:customStyle="1" w:styleId="71">
    <w:name w:val="纯文本 Char"/>
    <w:link w:val="24"/>
    <w:qFormat/>
    <w:uiPriority w:val="0"/>
    <w:rPr>
      <w:rFonts w:ascii="Century Gothic" w:hAnsi="楷体_GB2312" w:eastAsia="Century Gothic" w:cs="楷体_GB2312"/>
      <w:kern w:val="2"/>
      <w:sz w:val="21"/>
      <w:szCs w:val="21"/>
      <w:lang w:val="en-US" w:eastAsia="zh-CN" w:bidi="ar-SA"/>
    </w:rPr>
  </w:style>
  <w:style w:type="character" w:customStyle="1" w:styleId="72">
    <w:name w:val="页脚 Char"/>
    <w:link w:val="29"/>
    <w:qFormat/>
    <w:uiPriority w:val="0"/>
    <w:rPr>
      <w:rFonts w:eastAsia="Century Gothic"/>
      <w:kern w:val="2"/>
      <w:sz w:val="18"/>
      <w:lang w:val="en-US" w:eastAsia="zh-CN" w:bidi="ar-SA"/>
    </w:rPr>
  </w:style>
  <w:style w:type="character" w:customStyle="1" w:styleId="73">
    <w:name w:val="zbggmain style9"/>
    <w:qFormat/>
    <w:uiPriority w:val="0"/>
    <w:rPr>
      <w:rFonts w:ascii="Courier New" w:eastAsia="Courier New"/>
      <w:b/>
      <w:kern w:val="2"/>
      <w:sz w:val="32"/>
      <w:szCs w:val="32"/>
      <w:lang w:val="en-US" w:eastAsia="zh-CN" w:bidi="ar-SA"/>
    </w:rPr>
  </w:style>
  <w:style w:type="character" w:customStyle="1" w:styleId="74">
    <w:name w:val="temp1"/>
    <w:qFormat/>
    <w:uiPriority w:val="0"/>
  </w:style>
  <w:style w:type="character" w:customStyle="1" w:styleId="75">
    <w:name w:val="Char Char21"/>
    <w:qFormat/>
    <w:uiPriority w:val="0"/>
    <w:rPr>
      <w:rFonts w:eastAsia="Century Gothic"/>
      <w:b/>
      <w:bCs/>
      <w:kern w:val="44"/>
      <w:sz w:val="32"/>
      <w:szCs w:val="44"/>
      <w:lang w:val="en-US" w:eastAsia="zh-CN" w:bidi="ar-SA"/>
    </w:rPr>
  </w:style>
  <w:style w:type="character" w:customStyle="1" w:styleId="76">
    <w:name w:val="Char Char12"/>
    <w:qFormat/>
    <w:uiPriority w:val="0"/>
    <w:rPr>
      <w:rFonts w:ascii="Century Gothic" w:hAnsi="楷体_GB2312" w:eastAsia="Century Gothic" w:cs="楷体_GB2312"/>
      <w:kern w:val="2"/>
      <w:sz w:val="21"/>
      <w:szCs w:val="21"/>
      <w:lang w:val="en-US" w:eastAsia="zh-CN" w:bidi="ar-SA"/>
    </w:rPr>
  </w:style>
  <w:style w:type="character" w:customStyle="1" w:styleId="77">
    <w:name w:val="first-child7"/>
    <w:qFormat/>
    <w:uiPriority w:val="0"/>
  </w:style>
  <w:style w:type="character" w:customStyle="1" w:styleId="78">
    <w:name w:val="ant-select-tree-checkbox"/>
    <w:qFormat/>
    <w:uiPriority w:val="0"/>
  </w:style>
  <w:style w:type="character" w:customStyle="1" w:styleId="79">
    <w:name w:val="tag-type"/>
    <w:qFormat/>
    <w:uiPriority w:val="0"/>
    <w:rPr>
      <w:color w:val="FFFFFF"/>
      <w:sz w:val="18"/>
      <w:szCs w:val="18"/>
      <w:shd w:val="clear" w:color="auto" w:fill="317FFD"/>
    </w:rPr>
  </w:style>
  <w:style w:type="character" w:customStyle="1" w:styleId="80">
    <w:name w:val="ant-select-tree-switcher"/>
    <w:qFormat/>
    <w:uiPriority w:val="0"/>
  </w:style>
  <w:style w:type="character" w:customStyle="1" w:styleId="81">
    <w:name w:val="Default Char"/>
    <w:link w:val="82"/>
    <w:qFormat/>
    <w:uiPriority w:val="0"/>
    <w:rPr>
      <w:rFonts w:ascii="楷体" w:eastAsia="楷体"/>
      <w:color w:val="000000"/>
      <w:sz w:val="24"/>
      <w:szCs w:val="24"/>
      <w:lang w:val="en-US" w:eastAsia="zh-CN" w:bidi="ar-SA"/>
    </w:rPr>
  </w:style>
  <w:style w:type="paragraph" w:customStyle="1" w:styleId="82">
    <w:name w:val="Default"/>
    <w:next w:val="83"/>
    <w:link w:val="81"/>
    <w:qFormat/>
    <w:uiPriority w:val="0"/>
    <w:pPr>
      <w:widowControl w:val="0"/>
      <w:autoSpaceDE w:val="0"/>
      <w:autoSpaceDN w:val="0"/>
      <w:adjustRightInd w:val="0"/>
    </w:pPr>
    <w:rPr>
      <w:rFonts w:ascii="楷体" w:hAnsi="Times New Roman" w:eastAsia="楷体" w:cs="Times New Roman"/>
      <w:color w:val="000000"/>
      <w:sz w:val="24"/>
      <w:szCs w:val="24"/>
      <w:lang w:val="en-US" w:eastAsia="zh-CN" w:bidi="ar-SA"/>
    </w:rPr>
  </w:style>
  <w:style w:type="paragraph" w:customStyle="1" w:styleId="8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5">
    <w:name w:val="普通文字 Char Char1"/>
    <w:qFormat/>
    <w:uiPriority w:val="0"/>
    <w:rPr>
      <w:rFonts w:ascii="Century Gothic" w:hAnsi="楷体_GB2312" w:eastAsia="Century Gothic" w:cs="楷体_GB2312"/>
      <w:kern w:val="2"/>
      <w:sz w:val="21"/>
      <w:szCs w:val="21"/>
      <w:lang w:val="en-US" w:eastAsia="zh-CN" w:bidi="ar-SA"/>
    </w:rPr>
  </w:style>
  <w:style w:type="character" w:customStyle="1" w:styleId="86">
    <w:name w:val="font71"/>
    <w:qFormat/>
    <w:uiPriority w:val="0"/>
    <w:rPr>
      <w:rFonts w:hint="eastAsia" w:ascii="宋体" w:hAnsi="宋体" w:eastAsia="宋体" w:cs="宋体"/>
      <w:color w:val="000000"/>
      <w:sz w:val="20"/>
      <w:szCs w:val="20"/>
      <w:u w:val="none"/>
    </w:rPr>
  </w:style>
  <w:style w:type="character" w:customStyle="1" w:styleId="87">
    <w:name w:val="current"/>
    <w:qFormat/>
    <w:uiPriority w:val="0"/>
    <w:rPr>
      <w:color w:val="00C1DE"/>
    </w:rPr>
  </w:style>
  <w:style w:type="character" w:customStyle="1" w:styleId="88">
    <w:name w:val="last-of-type"/>
    <w:qFormat/>
    <w:uiPriority w:val="0"/>
    <w:rPr>
      <w:color w:val="FF4A44"/>
      <w:sz w:val="27"/>
      <w:szCs w:val="27"/>
    </w:rPr>
  </w:style>
  <w:style w:type="character" w:customStyle="1" w:styleId="89">
    <w:name w:val="font121"/>
    <w:basedOn w:val="47"/>
    <w:qFormat/>
    <w:uiPriority w:val="0"/>
    <w:rPr>
      <w:rFonts w:hint="eastAsia" w:ascii="宋体" w:hAnsi="宋体" w:eastAsia="宋体" w:cs="宋体"/>
      <w:b/>
      <w:color w:val="000000"/>
      <w:sz w:val="20"/>
      <w:szCs w:val="20"/>
      <w:u w:val="none"/>
    </w:rPr>
  </w:style>
  <w:style w:type="character" w:customStyle="1" w:styleId="90">
    <w:name w:val="font01"/>
    <w:basedOn w:val="47"/>
    <w:qFormat/>
    <w:uiPriority w:val="0"/>
    <w:rPr>
      <w:rFonts w:hint="eastAsia" w:ascii="宋体" w:hAnsi="宋体" w:eastAsia="宋体" w:cs="宋体"/>
      <w:color w:val="000000"/>
      <w:sz w:val="20"/>
      <w:szCs w:val="20"/>
      <w:u w:val="none"/>
      <w:vertAlign w:val="superscript"/>
    </w:rPr>
  </w:style>
  <w:style w:type="character" w:customStyle="1" w:styleId="91">
    <w:name w:val="first-child"/>
    <w:qFormat/>
    <w:uiPriority w:val="0"/>
  </w:style>
  <w:style w:type="character" w:customStyle="1" w:styleId="92">
    <w:name w:val="current1"/>
    <w:qFormat/>
    <w:uiPriority w:val="0"/>
    <w:rPr>
      <w:color w:val="00C1DE"/>
    </w:rPr>
  </w:style>
  <w:style w:type="character" w:customStyle="1" w:styleId="93">
    <w:name w:val="zbggtop11 style5"/>
    <w:qFormat/>
    <w:uiPriority w:val="0"/>
  </w:style>
  <w:style w:type="character" w:customStyle="1" w:styleId="94">
    <w:name w:val="style1"/>
    <w:qFormat/>
    <w:uiPriority w:val="0"/>
  </w:style>
  <w:style w:type="character" w:customStyle="1" w:styleId="95">
    <w:name w:val="ant-tree-iconele"/>
    <w:qFormat/>
    <w:uiPriority w:val="0"/>
  </w:style>
  <w:style w:type="character" w:customStyle="1" w:styleId="96">
    <w:name w:val="content"/>
    <w:qFormat/>
    <w:uiPriority w:val="0"/>
  </w:style>
  <w:style w:type="character" w:customStyle="1" w:styleId="97">
    <w:name w:val="font51"/>
    <w:qFormat/>
    <w:uiPriority w:val="0"/>
    <w:rPr>
      <w:rFonts w:hint="eastAsia" w:ascii="宋体" w:hAnsi="宋体" w:eastAsia="宋体" w:cs="宋体"/>
      <w:color w:val="000000"/>
      <w:sz w:val="20"/>
      <w:szCs w:val="20"/>
      <w:u w:val="none"/>
    </w:rPr>
  </w:style>
  <w:style w:type="character" w:customStyle="1" w:styleId="98">
    <w:name w:val="列出段落 Char"/>
    <w:link w:val="64"/>
    <w:qFormat/>
    <w:uiPriority w:val="34"/>
    <w:rPr>
      <w:kern w:val="2"/>
      <w:sz w:val="21"/>
      <w:szCs w:val="24"/>
    </w:rPr>
  </w:style>
  <w:style w:type="character" w:customStyle="1" w:styleId="99">
    <w:name w:val="ant-select-tree-iconele"/>
    <w:qFormat/>
    <w:uiPriority w:val="0"/>
  </w:style>
  <w:style w:type="character" w:customStyle="1" w:styleId="100">
    <w:name w:val="bookmark-item uuid-1588129097073 code-23007 addword single-line-text-input-box-cls readonly"/>
    <w:qFormat/>
    <w:uiPriority w:val="0"/>
  </w:style>
  <w:style w:type="character" w:customStyle="1" w:styleId="101">
    <w:name w:val="ant-badge-status-dot2"/>
    <w:qFormat/>
    <w:uiPriority w:val="0"/>
    <w:rPr>
      <w:shd w:val="clear" w:color="auto" w:fill="FFFFFF"/>
    </w:rPr>
  </w:style>
  <w:style w:type="character" w:customStyle="1" w:styleId="102">
    <w:name w:val="change-camera-place"/>
    <w:qFormat/>
    <w:uiPriority w:val="0"/>
    <w:rPr>
      <w:color w:val="3177FD"/>
    </w:rPr>
  </w:style>
  <w:style w:type="character" w:customStyle="1" w:styleId="103">
    <w:name w:val="last-child1"/>
    <w:qFormat/>
    <w:uiPriority w:val="0"/>
  </w:style>
  <w:style w:type="character" w:customStyle="1" w:styleId="104">
    <w:name w:val="first-child9"/>
    <w:qFormat/>
    <w:uiPriority w:val="0"/>
  </w:style>
  <w:style w:type="character" w:customStyle="1" w:styleId="105">
    <w:name w:val="all-fit-info2"/>
    <w:qFormat/>
    <w:uiPriority w:val="0"/>
    <w:rPr>
      <w:color w:val="939393"/>
    </w:rPr>
  </w:style>
  <w:style w:type="character" w:customStyle="1" w:styleId="106">
    <w:name w:val="ant-tree-switcher"/>
    <w:qFormat/>
    <w:uiPriority w:val="0"/>
  </w:style>
  <w:style w:type="character" w:customStyle="1" w:styleId="107">
    <w:name w:val="temp2"/>
    <w:qFormat/>
    <w:uiPriority w:val="0"/>
  </w:style>
  <w:style w:type="character" w:customStyle="1" w:styleId="108">
    <w:name w:val="tpc_content1"/>
    <w:qFormat/>
    <w:uiPriority w:val="0"/>
    <w:rPr>
      <w:sz w:val="20"/>
      <w:szCs w:val="20"/>
    </w:rPr>
  </w:style>
  <w:style w:type="character" w:customStyle="1" w:styleId="109">
    <w:name w:val="font81"/>
    <w:basedOn w:val="47"/>
    <w:qFormat/>
    <w:uiPriority w:val="0"/>
    <w:rPr>
      <w:rFonts w:hint="eastAsia" w:ascii="宋体" w:hAnsi="宋体" w:eastAsia="宋体" w:cs="宋体"/>
      <w:color w:val="FF0000"/>
      <w:sz w:val="24"/>
      <w:szCs w:val="24"/>
      <w:u w:val="none"/>
    </w:rPr>
  </w:style>
  <w:style w:type="character" w:customStyle="1" w:styleId="110">
    <w:name w:val="tag-type1"/>
    <w:qFormat/>
    <w:uiPriority w:val="0"/>
    <w:rPr>
      <w:color w:val="FFFFFF"/>
      <w:sz w:val="18"/>
      <w:szCs w:val="18"/>
      <w:shd w:val="clear" w:color="auto" w:fill="317FFD"/>
    </w:rPr>
  </w:style>
  <w:style w:type="character" w:customStyle="1" w:styleId="111">
    <w:name w:val="font21"/>
    <w:basedOn w:val="47"/>
    <w:qFormat/>
    <w:uiPriority w:val="0"/>
    <w:rPr>
      <w:rFonts w:hint="default" w:ascii="Arial" w:hAnsi="Arial" w:cs="Arial"/>
      <w:color w:val="000000"/>
      <w:sz w:val="21"/>
      <w:szCs w:val="21"/>
      <w:u w:val="none"/>
    </w:rPr>
  </w:style>
  <w:style w:type="character" w:customStyle="1" w:styleId="112">
    <w:name w:val="last-child2"/>
    <w:qFormat/>
    <w:uiPriority w:val="0"/>
  </w:style>
  <w:style w:type="character" w:customStyle="1" w:styleId="113">
    <w:name w:val="info-content"/>
    <w:qFormat/>
    <w:uiPriority w:val="0"/>
    <w:rPr>
      <w:color w:val="808080"/>
    </w:rPr>
  </w:style>
  <w:style w:type="character" w:customStyle="1" w:styleId="114">
    <w:name w:val="Char Char"/>
    <w:qFormat/>
    <w:uiPriority w:val="0"/>
    <w:rPr>
      <w:rFonts w:ascii="Courier New" w:eastAsia="Courier New"/>
      <w:color w:val="FF0000"/>
      <w:kern w:val="2"/>
      <w:sz w:val="24"/>
      <w:szCs w:val="24"/>
      <w:u w:val="single"/>
      <w:lang w:val="en-US" w:eastAsia="zh-CN" w:bidi="ar-SA"/>
    </w:rPr>
  </w:style>
  <w:style w:type="character" w:customStyle="1" w:styleId="115">
    <w:name w:val="ant-tree-checkbox2"/>
    <w:qFormat/>
    <w:uiPriority w:val="0"/>
  </w:style>
  <w:style w:type="character" w:customStyle="1" w:styleId="116">
    <w:name w:val="label2"/>
    <w:qFormat/>
    <w:uiPriority w:val="0"/>
  </w:style>
  <w:style w:type="character" w:customStyle="1" w:styleId="117">
    <w:name w:val="标准文本 Char"/>
    <w:link w:val="118"/>
    <w:qFormat/>
    <w:uiPriority w:val="0"/>
    <w:rPr>
      <w:rFonts w:eastAsia="宋体" w:cs="宋体"/>
      <w:kern w:val="2"/>
      <w:sz w:val="24"/>
      <w:lang w:val="en-US" w:eastAsia="zh-CN" w:bidi="ar-SA"/>
    </w:rPr>
  </w:style>
  <w:style w:type="paragraph" w:customStyle="1" w:styleId="118">
    <w:name w:val="标准文本"/>
    <w:basedOn w:val="1"/>
    <w:link w:val="117"/>
    <w:qFormat/>
    <w:uiPriority w:val="0"/>
    <w:pPr>
      <w:spacing w:line="360" w:lineRule="auto"/>
      <w:ind w:firstLine="480" w:firstLineChars="200"/>
    </w:pPr>
    <w:rPr>
      <w:rFonts w:ascii="Times New Roman" w:hAnsi="Times New Roman" w:cs="宋体"/>
      <w:sz w:val="24"/>
      <w:szCs w:val="20"/>
    </w:rPr>
  </w:style>
  <w:style w:type="character" w:customStyle="1" w:styleId="119">
    <w:name w:val="正文2 Char"/>
    <w:link w:val="120"/>
    <w:qFormat/>
    <w:uiPriority w:val="0"/>
    <w:rPr>
      <w:rFonts w:eastAsia="宋体"/>
      <w:kern w:val="2"/>
      <w:sz w:val="24"/>
      <w:lang w:val="en-US" w:eastAsia="zh-CN" w:bidi="ar-SA"/>
    </w:rPr>
  </w:style>
  <w:style w:type="paragraph" w:customStyle="1" w:styleId="120">
    <w:name w:val="正文2"/>
    <w:basedOn w:val="1"/>
    <w:link w:val="119"/>
    <w:qFormat/>
    <w:uiPriority w:val="0"/>
    <w:pPr>
      <w:spacing w:line="360" w:lineRule="auto"/>
      <w:ind w:firstLine="510" w:firstLineChars="200"/>
    </w:pPr>
    <w:rPr>
      <w:rFonts w:ascii="Times New Roman" w:hAnsi="Times New Roman"/>
      <w:sz w:val="24"/>
      <w:szCs w:val="20"/>
    </w:rPr>
  </w:style>
  <w:style w:type="character" w:customStyle="1" w:styleId="121">
    <w:name w:val="bulletintext1"/>
    <w:qFormat/>
    <w:uiPriority w:val="0"/>
    <w:rPr>
      <w:color w:val="000000"/>
      <w:sz w:val="18"/>
    </w:rPr>
  </w:style>
  <w:style w:type="character" w:customStyle="1" w:styleId="122">
    <w:name w:val="last-child"/>
    <w:qFormat/>
    <w:uiPriority w:val="0"/>
  </w:style>
  <w:style w:type="character" w:customStyle="1" w:styleId="123">
    <w:name w:val="font101"/>
    <w:basedOn w:val="47"/>
    <w:qFormat/>
    <w:uiPriority w:val="0"/>
    <w:rPr>
      <w:rFonts w:ascii="Calibri" w:hAnsi="Calibri" w:cs="Calibri"/>
      <w:color w:val="000000"/>
      <w:sz w:val="20"/>
      <w:szCs w:val="20"/>
      <w:u w:val="none"/>
    </w:rPr>
  </w:style>
  <w:style w:type="character" w:customStyle="1" w:styleId="124">
    <w:name w:val="font61"/>
    <w:basedOn w:val="47"/>
    <w:qFormat/>
    <w:uiPriority w:val="0"/>
    <w:rPr>
      <w:rFonts w:hint="eastAsia" w:ascii="宋体" w:hAnsi="宋体" w:eastAsia="宋体" w:cs="宋体"/>
      <w:color w:val="161616"/>
      <w:sz w:val="20"/>
      <w:szCs w:val="20"/>
      <w:u w:val="none"/>
    </w:rPr>
  </w:style>
  <w:style w:type="character" w:customStyle="1" w:styleId="125">
    <w:name w:val="all-fit-info"/>
    <w:qFormat/>
    <w:uiPriority w:val="0"/>
    <w:rPr>
      <w:color w:val="939393"/>
    </w:rPr>
  </w:style>
  <w:style w:type="character" w:customStyle="1" w:styleId="126">
    <w:name w:val="ant-tree-checkbox"/>
    <w:qFormat/>
    <w:uiPriority w:val="0"/>
  </w:style>
  <w:style w:type="character" w:customStyle="1" w:styleId="127">
    <w:name w:val="ant-badge-status-dot"/>
    <w:qFormat/>
    <w:uiPriority w:val="0"/>
    <w:rPr>
      <w:shd w:val="clear" w:color="auto" w:fill="FFFFFF"/>
    </w:rPr>
  </w:style>
  <w:style w:type="character" w:customStyle="1" w:styleId="128">
    <w:name w:val="bookmark-item uuid-1591619842642 code-23011 addword date-time-selection-cls"/>
    <w:qFormat/>
    <w:uiPriority w:val="0"/>
  </w:style>
  <w:style w:type="character" w:customStyle="1" w:styleId="129">
    <w:name w:val="content8"/>
    <w:qFormat/>
    <w:uiPriority w:val="0"/>
  </w:style>
  <w:style w:type="character" w:customStyle="1" w:styleId="130">
    <w:name w:val="info-label"/>
    <w:qFormat/>
    <w:uiPriority w:val="0"/>
    <w:rPr>
      <w:b/>
    </w:rPr>
  </w:style>
  <w:style w:type="character" w:customStyle="1" w:styleId="131">
    <w:name w:val="ant-select-tree-checkbox2"/>
    <w:qFormat/>
    <w:uiPriority w:val="0"/>
  </w:style>
  <w:style w:type="character" w:customStyle="1" w:styleId="132">
    <w:name w:val="temp"/>
    <w:qFormat/>
    <w:uiPriority w:val="0"/>
  </w:style>
  <w:style w:type="character" w:customStyle="1" w:styleId="133">
    <w:name w:val="label"/>
    <w:qFormat/>
    <w:uiPriority w:val="0"/>
  </w:style>
  <w:style w:type="character" w:customStyle="1" w:styleId="134">
    <w:name w:val="ant-tree-icon_loading"/>
    <w:qFormat/>
    <w:uiPriority w:val="0"/>
    <w:rPr>
      <w:shd w:val="clear" w:color="auto" w:fill="FFFFFF"/>
    </w:rPr>
  </w:style>
  <w:style w:type="character" w:customStyle="1" w:styleId="135">
    <w:name w:val="last-child3"/>
    <w:qFormat/>
    <w:uiPriority w:val="0"/>
  </w:style>
  <w:style w:type="character" w:customStyle="1" w:styleId="136">
    <w:name w:val="font11"/>
    <w:basedOn w:val="47"/>
    <w:qFormat/>
    <w:uiPriority w:val="0"/>
    <w:rPr>
      <w:rFonts w:hint="eastAsia" w:ascii="宋体" w:hAnsi="宋体" w:eastAsia="宋体" w:cs="宋体"/>
      <w:color w:val="000000"/>
      <w:sz w:val="21"/>
      <w:szCs w:val="21"/>
      <w:u w:val="none"/>
    </w:rPr>
  </w:style>
  <w:style w:type="character" w:customStyle="1" w:styleId="137">
    <w:name w:val="all-fit-info1"/>
    <w:qFormat/>
    <w:uiPriority w:val="0"/>
    <w:rPr>
      <w:color w:val="939393"/>
    </w:rPr>
  </w:style>
  <w:style w:type="paragraph" w:customStyle="1" w:styleId="138">
    <w:name w:val="font5"/>
    <w:basedOn w:val="1"/>
    <w:qFormat/>
    <w:uiPriority w:val="0"/>
    <w:pPr>
      <w:widowControl/>
      <w:spacing w:beforeAutospacing="1" w:afterAutospacing="1"/>
      <w:jc w:val="left"/>
    </w:pPr>
    <w:rPr>
      <w:rFonts w:ascii="Century Gothic" w:hAnsi="Century Gothic" w:cs="Century Gothic"/>
      <w:kern w:val="0"/>
      <w:sz w:val="18"/>
      <w:szCs w:val="18"/>
    </w:rPr>
  </w:style>
  <w:style w:type="paragraph" w:customStyle="1" w:styleId="139">
    <w:name w:val="样式5"/>
    <w:basedOn w:val="7"/>
    <w:qFormat/>
    <w:uiPriority w:val="0"/>
    <w:pPr>
      <w:keepLines/>
      <w:widowControl w:val="0"/>
      <w:spacing w:line="376" w:lineRule="auto"/>
    </w:pPr>
    <w:rPr>
      <w:rFonts w:ascii="Century Gothic" w:hAnsi="Century Gothic" w:eastAsia="Century Gothic"/>
      <w:b/>
      <w:bCs/>
      <w:snapToGrid/>
      <w:kern w:val="2"/>
      <w:sz w:val="32"/>
      <w:szCs w:val="32"/>
    </w:rPr>
  </w:style>
  <w:style w:type="paragraph" w:customStyle="1" w:styleId="140">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41">
    <w:name w:val="标书标题4"/>
    <w:basedOn w:val="7"/>
    <w:qFormat/>
    <w:uiPriority w:val="0"/>
    <w:pPr>
      <w:widowControl w:val="0"/>
      <w:adjustRightInd w:val="0"/>
      <w:snapToGrid w:val="0"/>
      <w:spacing w:line="300" w:lineRule="auto"/>
      <w:jc w:val="both"/>
    </w:pPr>
    <w:rPr>
      <w:rFonts w:ascii="_x000B__x000C_" w:hAnsi="_x000B__x000C_" w:eastAsia="Courier New"/>
      <w:b/>
      <w:snapToGrid/>
      <w:color w:val="000000"/>
      <w:sz w:val="28"/>
      <w:szCs w:val="32"/>
    </w:rPr>
  </w:style>
  <w:style w:type="paragraph" w:customStyle="1" w:styleId="142">
    <w:name w:val="xl34"/>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43">
    <w:name w:val="章正文"/>
    <w:basedOn w:val="1"/>
    <w:qFormat/>
    <w:uiPriority w:val="0"/>
    <w:pPr>
      <w:spacing w:beforeLines="50" w:after="120" w:line="300" w:lineRule="auto"/>
      <w:ind w:firstLine="480" w:firstLineChars="200"/>
    </w:pPr>
    <w:rPr>
      <w:rFonts w:ascii="Helvetica" w:hAnsi="Helvetica"/>
      <w:kern w:val="0"/>
      <w:sz w:val="24"/>
    </w:rPr>
  </w:style>
  <w:style w:type="paragraph" w:customStyle="1" w:styleId="144">
    <w:name w:val="xl36"/>
    <w:basedOn w:val="1"/>
    <w:qFormat/>
    <w:uiPriority w:val="0"/>
    <w:pPr>
      <w:widowControl/>
      <w:pBdr>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45">
    <w:name w:val="xl29"/>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4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font6"/>
    <w:basedOn w:val="1"/>
    <w:qFormat/>
    <w:uiPriority w:val="0"/>
    <w:pPr>
      <w:widowControl/>
      <w:spacing w:beforeAutospacing="1" w:afterAutospacing="1"/>
      <w:jc w:val="left"/>
    </w:pPr>
    <w:rPr>
      <w:kern w:val="0"/>
      <w:sz w:val="18"/>
      <w:szCs w:val="18"/>
    </w:rPr>
  </w:style>
  <w:style w:type="paragraph" w:customStyle="1" w:styleId="14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szCs w:val="20"/>
    </w:rPr>
  </w:style>
  <w:style w:type="paragraph" w:customStyle="1" w:styleId="149">
    <w:name w:val="列出段落1"/>
    <w:basedOn w:val="1"/>
    <w:qFormat/>
    <w:uiPriority w:val="0"/>
    <w:pPr>
      <w:ind w:firstLine="420" w:firstLineChars="200"/>
    </w:pPr>
    <w:rPr>
      <w:rFonts w:ascii="等线" w:hAnsi="等线"/>
      <w:szCs w:val="21"/>
    </w:rPr>
  </w:style>
  <w:style w:type="paragraph" w:customStyle="1" w:styleId="150">
    <w:name w:val="xl27"/>
    <w:basedOn w:val="1"/>
    <w:qFormat/>
    <w:uiPriority w:val="0"/>
    <w:pPr>
      <w:widowControl/>
      <w:pBdr>
        <w:bottom w:val="single" w:color="auto" w:sz="4" w:space="0"/>
      </w:pBdr>
      <w:spacing w:beforeAutospacing="1" w:afterAutospacing="1"/>
      <w:jc w:val="center"/>
      <w:textAlignment w:val="center"/>
    </w:pPr>
    <w:rPr>
      <w:rFonts w:ascii="Arial Narrow" w:hAnsi="Century Gothic" w:eastAsia="Arial Narrow" w:cs="Century Gothic"/>
      <w:kern w:val="0"/>
      <w:sz w:val="36"/>
      <w:szCs w:val="36"/>
    </w:rPr>
  </w:style>
  <w:style w:type="paragraph" w:customStyle="1" w:styleId="151">
    <w:name w:val="BodyText1I"/>
    <w:basedOn w:val="152"/>
    <w:qFormat/>
    <w:uiPriority w:val="0"/>
    <w:pPr>
      <w:spacing w:after="120"/>
      <w:ind w:firstLine="420" w:firstLineChars="100"/>
    </w:pPr>
  </w:style>
  <w:style w:type="paragraph" w:customStyle="1" w:styleId="152">
    <w:name w:val="BodyText"/>
    <w:basedOn w:val="1"/>
    <w:next w:val="151"/>
    <w:qFormat/>
    <w:uiPriority w:val="0"/>
    <w:rPr>
      <w:sz w:val="20"/>
    </w:rPr>
  </w:style>
  <w:style w:type="paragraph" w:customStyle="1" w:styleId="153">
    <w:name w:val="索引 11"/>
    <w:basedOn w:val="1"/>
    <w:next w:val="1"/>
    <w:qFormat/>
    <w:uiPriority w:val="99"/>
    <w:pPr>
      <w:spacing w:line="360" w:lineRule="auto"/>
    </w:pPr>
    <w:rPr>
      <w:rFonts w:ascii="仿宋_GB2312" w:eastAsia="仿宋_GB2312"/>
      <w:sz w:val="24"/>
      <w:szCs w:val="20"/>
    </w:rPr>
  </w:style>
  <w:style w:type="paragraph" w:customStyle="1" w:styleId="154">
    <w:name w:val="Char Char Char Char Char"/>
    <w:basedOn w:val="1"/>
    <w:qFormat/>
    <w:uiPriority w:val="0"/>
    <w:pPr>
      <w:widowControl/>
      <w:spacing w:line="240" w:lineRule="exact"/>
      <w:jc w:val="left"/>
    </w:pPr>
    <w:rPr>
      <w:rFonts w:ascii="Verdana" w:hAnsi="Verdana" w:eastAsia="华文细黑"/>
    </w:rPr>
  </w:style>
  <w:style w:type="paragraph" w:customStyle="1" w:styleId="155">
    <w:name w:val="无间距1"/>
    <w:qFormat/>
    <w:uiPriority w:val="0"/>
    <w:rPr>
      <w:rFonts w:ascii="Times New Roman" w:hAnsi="Times New Roman" w:eastAsia="??" w:cs="宋体"/>
      <w:sz w:val="22"/>
      <w:szCs w:val="22"/>
      <w:lang w:val="en-US" w:eastAsia="en-US" w:bidi="ar-SA"/>
    </w:rPr>
  </w:style>
  <w:style w:type="paragraph" w:customStyle="1" w:styleId="156">
    <w:name w:val="x正文"/>
    <w:basedOn w:val="1"/>
    <w:qFormat/>
    <w:uiPriority w:val="0"/>
    <w:pPr>
      <w:spacing w:line="360" w:lineRule="auto"/>
      <w:ind w:left="482" w:firstLine="480" w:firstLineChars="200"/>
    </w:pPr>
    <w:rPr>
      <w:rFonts w:ascii="宋体" w:hAnsi="宋体"/>
      <w:color w:val="000000"/>
      <w:sz w:val="24"/>
      <w:szCs w:val="22"/>
    </w:rPr>
  </w:style>
  <w:style w:type="paragraph" w:customStyle="1" w:styleId="157">
    <w:name w:val="xl2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58">
    <w:name w:val="方案三级标题"/>
    <w:basedOn w:val="5"/>
    <w:qFormat/>
    <w:uiPriority w:val="0"/>
    <w:pPr>
      <w:spacing w:before="120" w:after="120" w:line="300" w:lineRule="auto"/>
    </w:pPr>
    <w:rPr>
      <w:rFonts w:ascii="宋体" w:hAnsi="宋体" w:eastAsia="宋体"/>
      <w:sz w:val="30"/>
    </w:rPr>
  </w:style>
  <w:style w:type="paragraph" w:customStyle="1" w:styleId="159">
    <w:name w:val="标书标题2"/>
    <w:basedOn w:val="5"/>
    <w:qFormat/>
    <w:uiPriority w:val="0"/>
    <w:pPr>
      <w:keepLines w:val="0"/>
      <w:widowControl/>
      <w:tabs>
        <w:tab w:val="left" w:pos="1320"/>
      </w:tabs>
      <w:snapToGrid w:val="0"/>
      <w:spacing w:beforeLines="50" w:line="300" w:lineRule="auto"/>
      <w:ind w:left="1320" w:hanging="420"/>
      <w:jc w:val="both"/>
    </w:pPr>
    <w:rPr>
      <w:rFonts w:ascii="_x000B__x000C_" w:hAnsi="_x000B__x000C_" w:eastAsia="Courier New"/>
      <w:color w:val="000000"/>
      <w:kern w:val="0"/>
      <w:sz w:val="28"/>
      <w:szCs w:val="20"/>
    </w:rPr>
  </w:style>
  <w:style w:type="paragraph" w:customStyle="1" w:styleId="160">
    <w:name w:val="xl22"/>
    <w:basedOn w:val="1"/>
    <w:qFormat/>
    <w:uiPriority w:val="0"/>
    <w:pPr>
      <w:widowControl/>
      <w:pBdr>
        <w:left w:val="single" w:color="auto" w:sz="4" w:space="0"/>
        <w:bottom w:val="single" w:color="auto" w:sz="4" w:space="0"/>
        <w:right w:val="single" w:color="auto" w:sz="4" w:space="0"/>
      </w:pBdr>
      <w:spacing w:beforeAutospacing="1" w:afterAutospacing="1"/>
      <w:jc w:val="center"/>
    </w:pPr>
    <w:rPr>
      <w:rFonts w:hint="eastAsia" w:ascii="Arial Unicode MS" w:hAnsi="Arial Unicode MS" w:eastAsia="Arial Unicode MS"/>
      <w:kern w:val="0"/>
      <w:sz w:val="24"/>
      <w:szCs w:val="20"/>
    </w:rPr>
  </w:style>
  <w:style w:type="paragraph" w:customStyle="1" w:styleId="161">
    <w:name w:val="正文（缩进）"/>
    <w:basedOn w:val="1"/>
    <w:qFormat/>
    <w:uiPriority w:val="0"/>
    <w:pPr>
      <w:spacing w:before="156" w:after="156"/>
      <w:ind w:firstLine="480"/>
    </w:pPr>
    <w:rPr>
      <w:rFonts w:ascii="Times New Roman" w:hAnsi="Times New Roman"/>
    </w:rPr>
  </w:style>
  <w:style w:type="paragraph" w:customStyle="1" w:styleId="162">
    <w:name w:val="Body Text Indent1"/>
    <w:basedOn w:val="1"/>
    <w:qFormat/>
    <w:uiPriority w:val="0"/>
    <w:pPr>
      <w:spacing w:line="200" w:lineRule="exact"/>
      <w:ind w:firstLine="301"/>
    </w:pPr>
    <w:rPr>
      <w:rFonts w:ascii="宋体" w:hAnsi="Courier New"/>
      <w:spacing w:val="-4"/>
      <w:sz w:val="18"/>
    </w:rPr>
  </w:style>
  <w:style w:type="paragraph" w:customStyle="1" w:styleId="163">
    <w:name w:val="title11"/>
    <w:basedOn w:val="1"/>
    <w:qFormat/>
    <w:uiPriority w:val="0"/>
    <w:pPr>
      <w:spacing w:before="150"/>
      <w:jc w:val="left"/>
    </w:pPr>
    <w:rPr>
      <w:b/>
      <w:kern w:val="0"/>
    </w:rPr>
  </w:style>
  <w:style w:type="paragraph" w:customStyle="1" w:styleId="164">
    <w:name w:val="Char Char Char Char"/>
    <w:basedOn w:val="1"/>
    <w:qFormat/>
    <w:uiPriority w:val="0"/>
    <w:rPr>
      <w:szCs w:val="20"/>
    </w:rPr>
  </w:style>
  <w:style w:type="paragraph" w:customStyle="1" w:styleId="165">
    <w:name w:val="_Style 158"/>
    <w:unhideWhenUsed/>
    <w:qFormat/>
    <w:uiPriority w:val="99"/>
    <w:rPr>
      <w:rFonts w:ascii="Times New Roman" w:hAnsi="Times New Roman" w:eastAsia="宋体" w:cs="Times New Roman"/>
      <w:kern w:val="2"/>
      <w:sz w:val="21"/>
      <w:szCs w:val="24"/>
      <w:lang w:val="en-US" w:eastAsia="zh-CN" w:bidi="ar-SA"/>
    </w:rPr>
  </w:style>
  <w:style w:type="paragraph" w:customStyle="1" w:styleId="166">
    <w:name w:val="纯文本1"/>
    <w:basedOn w:val="1"/>
    <w:qFormat/>
    <w:uiPriority w:val="0"/>
    <w:rPr>
      <w:rFonts w:ascii="宋体" w:hAnsi="Courier New"/>
      <w:kern w:val="0"/>
      <w:sz w:val="20"/>
      <w:szCs w:val="20"/>
    </w:rPr>
  </w:style>
  <w:style w:type="paragraph" w:customStyle="1" w:styleId="167">
    <w:name w:val="xl38"/>
    <w:basedOn w:val="1"/>
    <w:qFormat/>
    <w:uiPriority w:val="0"/>
    <w:pPr>
      <w:widowControl/>
      <w:spacing w:beforeAutospacing="1" w:afterAutospacing="1"/>
      <w:jc w:val="left"/>
    </w:pPr>
    <w:rPr>
      <w:rFonts w:ascii="Century Gothic" w:hAnsi="Century Gothic" w:cs="Century Gothic"/>
      <w:kern w:val="0"/>
      <w:sz w:val="18"/>
      <w:szCs w:val="18"/>
    </w:rPr>
  </w:style>
  <w:style w:type="paragraph" w:customStyle="1" w:styleId="168">
    <w:name w:val="Table Paragraph"/>
    <w:basedOn w:val="1"/>
    <w:qFormat/>
    <w:uiPriority w:val="1"/>
    <w:pPr>
      <w:autoSpaceDE w:val="0"/>
      <w:autoSpaceDN w:val="0"/>
      <w:adjustRightInd w:val="0"/>
      <w:jc w:val="left"/>
    </w:pPr>
    <w:rPr>
      <w:rFonts w:ascii="宋体" w:hAnsi="Times New Roman" w:cs="宋体"/>
      <w:kern w:val="0"/>
      <w:sz w:val="24"/>
    </w:rPr>
  </w:style>
  <w:style w:type="paragraph" w:customStyle="1" w:styleId="169">
    <w:name w:val="标书标题3"/>
    <w:basedOn w:val="6"/>
    <w:qFormat/>
    <w:uiPriority w:val="0"/>
    <w:pPr>
      <w:keepLines w:val="0"/>
      <w:widowControl/>
      <w:adjustRightInd w:val="0"/>
      <w:snapToGrid w:val="0"/>
      <w:spacing w:line="300" w:lineRule="auto"/>
      <w:jc w:val="left"/>
    </w:pPr>
    <w:rPr>
      <w:rFonts w:ascii="_x000B__x000C_" w:hAnsi="_x000B__x000C_" w:eastAsia="Courier New"/>
      <w:b w:val="0"/>
      <w:bCs w:val="0"/>
      <w:color w:val="000000"/>
      <w:kern w:val="0"/>
      <w:sz w:val="28"/>
    </w:rPr>
  </w:style>
  <w:style w:type="paragraph" w:customStyle="1" w:styleId="170">
    <w:name w:val="xl33"/>
    <w:basedOn w:val="1"/>
    <w:qFormat/>
    <w:uiPriority w:val="0"/>
    <w:pPr>
      <w:widowControl/>
      <w:pBdr>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71">
    <w:name w:val="p0"/>
    <w:basedOn w:val="1"/>
    <w:unhideWhenUsed/>
    <w:qFormat/>
    <w:uiPriority w:val="0"/>
    <w:pPr>
      <w:widowControl/>
    </w:pPr>
    <w:rPr>
      <w:rFonts w:hint="eastAsia"/>
    </w:rPr>
  </w:style>
  <w:style w:type="paragraph" w:customStyle="1" w:styleId="172">
    <w:name w:val="正文段"/>
    <w:basedOn w:val="1"/>
    <w:qFormat/>
    <w:uiPriority w:val="0"/>
    <w:pPr>
      <w:widowControl/>
      <w:snapToGrid w:val="0"/>
      <w:spacing w:afterLines="50"/>
      <w:ind w:firstLine="200" w:firstLineChars="200"/>
    </w:pPr>
    <w:rPr>
      <w:kern w:val="0"/>
      <w:sz w:val="24"/>
      <w:szCs w:val="20"/>
    </w:rPr>
  </w:style>
  <w:style w:type="paragraph" w:customStyle="1" w:styleId="173">
    <w:name w:val="节"/>
    <w:basedOn w:val="5"/>
    <w:qFormat/>
    <w:uiPriority w:val="0"/>
    <w:pPr>
      <w:adjustRightInd/>
      <w:spacing w:line="720" w:lineRule="exact"/>
      <w:jc w:val="center"/>
    </w:pPr>
    <w:rPr>
      <w:rFonts w:ascii="Arial" w:hAnsi="Arial"/>
      <w:b w:val="0"/>
      <w:color w:val="000000"/>
      <w:spacing w:val="14"/>
      <w:kern w:val="24"/>
      <w:sz w:val="28"/>
      <w:szCs w:val="20"/>
    </w:rPr>
  </w:style>
  <w:style w:type="paragraph" w:customStyle="1" w:styleId="174">
    <w:name w:val="表头"/>
    <w:basedOn w:val="1"/>
    <w:qFormat/>
    <w:uiPriority w:val="0"/>
    <w:pPr>
      <w:adjustRightInd w:val="0"/>
      <w:spacing w:before="60" w:after="60" w:line="420" w:lineRule="atLeast"/>
      <w:jc w:val="left"/>
      <w:textAlignment w:val="baseline"/>
    </w:pPr>
    <w:rPr>
      <w:rFonts w:ascii="黑体" w:hAnsi="Times New Roman" w:eastAsia="黑体"/>
      <w:b/>
      <w:kern w:val="0"/>
      <w:szCs w:val="20"/>
    </w:rPr>
  </w:style>
  <w:style w:type="paragraph" w:customStyle="1" w:styleId="175">
    <w:name w:val="Char3 Char Char Char"/>
    <w:basedOn w:val="1"/>
    <w:qFormat/>
    <w:uiPriority w:val="0"/>
    <w:pPr>
      <w:widowControl/>
      <w:spacing w:line="240" w:lineRule="exact"/>
      <w:jc w:val="left"/>
    </w:pPr>
    <w:rPr>
      <w:szCs w:val="20"/>
    </w:rPr>
  </w:style>
  <w:style w:type="paragraph" w:customStyle="1" w:styleId="1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77">
    <w:name w:val="xl2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kern w:val="0"/>
      <w:sz w:val="24"/>
    </w:rPr>
  </w:style>
  <w:style w:type="paragraph" w:customStyle="1" w:styleId="178">
    <w:name w:val="小节"/>
    <w:basedOn w:val="6"/>
    <w:qFormat/>
    <w:uiPriority w:val="0"/>
    <w:pPr>
      <w:spacing w:line="560" w:lineRule="exact"/>
      <w:jc w:val="left"/>
    </w:pPr>
    <w:rPr>
      <w:rFonts w:ascii="Century Gothic" w:hAnsi="Century Gothic"/>
      <w:bCs w:val="0"/>
      <w:color w:val="000000"/>
      <w:spacing w:val="10"/>
      <w:kern w:val="24"/>
      <w:sz w:val="28"/>
    </w:rPr>
  </w:style>
  <w:style w:type="paragraph" w:customStyle="1" w:styleId="179">
    <w:name w:val="Heading1"/>
    <w:basedOn w:val="1"/>
    <w:next w:val="1"/>
    <w:qFormat/>
    <w:uiPriority w:val="0"/>
    <w:pPr>
      <w:keepNext/>
      <w:widowControl/>
      <w:spacing w:line="360" w:lineRule="auto"/>
      <w:jc w:val="center"/>
      <w:textAlignment w:val="baseline"/>
    </w:pPr>
    <w:rPr>
      <w:rFonts w:ascii="??" w:hAnsi="??" w:eastAsia="??"/>
      <w:b/>
      <w:kern w:val="36"/>
      <w:sz w:val="32"/>
      <w:szCs w:val="28"/>
    </w:rPr>
  </w:style>
  <w:style w:type="paragraph" w:customStyle="1" w:styleId="180">
    <w:name w:val="1正文"/>
    <w:basedOn w:val="1"/>
    <w:qFormat/>
    <w:uiPriority w:val="0"/>
    <w:rPr>
      <w:rFonts w:ascii="仿宋_GB2312" w:hAnsi="仿宋_GB2312"/>
      <w:szCs w:val="28"/>
    </w:rPr>
  </w:style>
  <w:style w:type="paragraph" w:customStyle="1" w:styleId="181">
    <w:name w:val="xl37"/>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82">
    <w:name w:val="Char1"/>
    <w:basedOn w:val="1"/>
    <w:qFormat/>
    <w:uiPriority w:val="0"/>
    <w:pPr>
      <w:widowControl/>
      <w:spacing w:line="240" w:lineRule="exact"/>
      <w:jc w:val="left"/>
    </w:pPr>
    <w:rPr>
      <w:szCs w:val="20"/>
    </w:rPr>
  </w:style>
  <w:style w:type="paragraph" w:customStyle="1" w:styleId="183">
    <w:name w:val="Char"/>
    <w:basedOn w:val="1"/>
    <w:qFormat/>
    <w:uiPriority w:val="0"/>
  </w:style>
  <w:style w:type="paragraph" w:customStyle="1" w:styleId="184">
    <w:name w:val="正文文字格式"/>
    <w:basedOn w:val="1"/>
    <w:qFormat/>
    <w:uiPriority w:val="0"/>
    <w:pPr>
      <w:spacing w:line="460" w:lineRule="exact"/>
      <w:ind w:firstLine="505"/>
      <w:jc w:val="left"/>
    </w:pPr>
    <w:rPr>
      <w:rFonts w:ascii="Century Gothic"/>
      <w:kern w:val="24"/>
      <w:sz w:val="24"/>
      <w:szCs w:val="20"/>
    </w:rPr>
  </w:style>
  <w:style w:type="paragraph" w:customStyle="1" w:styleId="185">
    <w:name w:val="Char Char11 Char Char Char Char Char Char Char Char Char Char Char"/>
    <w:basedOn w:val="1"/>
    <w:qFormat/>
    <w:uiPriority w:val="0"/>
    <w:pPr>
      <w:spacing w:line="360" w:lineRule="auto"/>
    </w:pPr>
    <w:rPr>
      <w:rFonts w:eastAsia="黑体"/>
      <w:snapToGrid w:val="0"/>
      <w:kern w:val="0"/>
      <w:szCs w:val="21"/>
    </w:rPr>
  </w:style>
  <w:style w:type="paragraph" w:customStyle="1" w:styleId="186">
    <w:name w:val="纯文本2"/>
    <w:basedOn w:val="60"/>
    <w:qFormat/>
    <w:uiPriority w:val="0"/>
    <w:pPr>
      <w:widowControl/>
      <w:jc w:val="left"/>
    </w:pPr>
    <w:rPr>
      <w:rFonts w:ascii="宋体" w:hAnsi="Courier New"/>
    </w:rPr>
  </w:style>
  <w:style w:type="paragraph" w:customStyle="1" w:styleId="187">
    <w:name w:val="Heading2"/>
    <w:basedOn w:val="179"/>
    <w:next w:val="1"/>
    <w:qFormat/>
    <w:uiPriority w:val="0"/>
    <w:pPr>
      <w:keepLines/>
      <w:tabs>
        <w:tab w:val="left" w:pos="706"/>
        <w:tab w:val="left" w:pos="1110"/>
      </w:tabs>
      <w:ind w:left="106" w:firstLine="454"/>
    </w:pPr>
    <w:rPr>
      <w:rFonts w:ascii="Arial" w:hAnsi="Arial" w:cs="Arial"/>
      <w:bCs/>
      <w:szCs w:val="32"/>
    </w:rPr>
  </w:style>
  <w:style w:type="paragraph" w:customStyle="1" w:styleId="188">
    <w:name w:val="样式 标题 1 + 四号 加粗"/>
    <w:basedOn w:val="4"/>
    <w:qFormat/>
    <w:uiPriority w:val="0"/>
    <w:rPr>
      <w:rFonts w:eastAsia="黑体"/>
    </w:rPr>
  </w:style>
  <w:style w:type="paragraph" w:customStyle="1" w:styleId="189">
    <w:name w:val="xl30"/>
    <w:basedOn w:val="1"/>
    <w:qFormat/>
    <w:uiPriority w:val="0"/>
    <w:pPr>
      <w:widowControl/>
      <w:pBdr>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90">
    <w:name w:val="DAS正文"/>
    <w:basedOn w:val="1"/>
    <w:qFormat/>
    <w:uiPriority w:val="0"/>
    <w:pPr>
      <w:spacing w:line="360" w:lineRule="auto"/>
      <w:ind w:right="181" w:firstLine="480" w:firstLineChars="200"/>
    </w:pPr>
    <w:rPr>
      <w:rFonts w:ascii="Verdana" w:hAnsi="Verdana"/>
      <w:sz w:val="24"/>
      <w:szCs w:val="20"/>
    </w:rPr>
  </w:style>
  <w:style w:type="paragraph" w:customStyle="1" w:styleId="19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92">
    <w:name w:val="xl2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93">
    <w:name w:val="xl2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94">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List Paragraph1"/>
    <w:basedOn w:val="1"/>
    <w:qFormat/>
    <w:uiPriority w:val="0"/>
    <w:pPr>
      <w:ind w:firstLine="420" w:firstLineChars="200"/>
    </w:pPr>
  </w:style>
  <w:style w:type="paragraph" w:customStyle="1" w:styleId="196">
    <w:name w:val="纯文本_0_0"/>
    <w:basedOn w:val="146"/>
    <w:qFormat/>
    <w:uiPriority w:val="0"/>
    <w:rPr>
      <w:rFonts w:ascii="宋体" w:hAnsi="Courier New"/>
      <w:szCs w:val="21"/>
    </w:rPr>
  </w:style>
  <w:style w:type="paragraph" w:customStyle="1" w:styleId="197">
    <w:name w:val="p15"/>
    <w:basedOn w:val="1"/>
    <w:qFormat/>
    <w:uiPriority w:val="0"/>
    <w:pPr>
      <w:widowControl/>
      <w:ind w:firstLine="420"/>
    </w:pPr>
    <w:rPr>
      <w:rFonts w:cs="宋体"/>
      <w:kern w:val="0"/>
      <w:szCs w:val="21"/>
    </w:rPr>
  </w:style>
  <w:style w:type="paragraph" w:customStyle="1" w:styleId="198">
    <w:name w:val="xl35"/>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99">
    <w:name w:val="Blockquote"/>
    <w:basedOn w:val="1"/>
    <w:qFormat/>
    <w:uiPriority w:val="0"/>
    <w:pPr>
      <w:autoSpaceDE w:val="0"/>
      <w:autoSpaceDN w:val="0"/>
      <w:adjustRightInd w:val="0"/>
      <w:ind w:left="360" w:right="360"/>
      <w:jc w:val="left"/>
    </w:pPr>
    <w:rPr>
      <w:kern w:val="0"/>
      <w:sz w:val="24"/>
      <w:szCs w:val="20"/>
    </w:rPr>
  </w:style>
  <w:style w:type="paragraph" w:customStyle="1" w:styleId="200">
    <w:name w:val="正文文本 21"/>
    <w:basedOn w:val="1"/>
    <w:qFormat/>
    <w:uiPriority w:val="0"/>
    <w:pPr>
      <w:adjustRightInd w:val="0"/>
      <w:spacing w:line="300" w:lineRule="auto"/>
      <w:jc w:val="center"/>
    </w:pPr>
    <w:rPr>
      <w:rFonts w:hint="eastAsia" w:ascii="Century Gothic" w:hAnsi="Century Gothic"/>
      <w:sz w:val="24"/>
      <w:szCs w:val="20"/>
    </w:rPr>
  </w:style>
  <w:style w:type="paragraph" w:customStyle="1" w:styleId="201">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202">
    <w:name w:val="【正文】"/>
    <w:basedOn w:val="1"/>
    <w:qFormat/>
    <w:uiPriority w:val="0"/>
    <w:pPr>
      <w:ind w:firstLine="480"/>
    </w:pPr>
    <w:rPr>
      <w:rFonts w:cs="DokChampa"/>
      <w:szCs w:val="22"/>
    </w:rPr>
  </w:style>
  <w:style w:type="paragraph" w:customStyle="1" w:styleId="203">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4">
    <w:name w:val="font1"/>
    <w:basedOn w:val="1"/>
    <w:qFormat/>
    <w:uiPriority w:val="0"/>
    <w:pPr>
      <w:widowControl/>
      <w:spacing w:beforeAutospacing="1" w:afterAutospacing="1"/>
      <w:jc w:val="left"/>
    </w:pPr>
    <w:rPr>
      <w:rFonts w:ascii="Century Gothic" w:hAnsi="Century Gothic"/>
      <w:kern w:val="0"/>
      <w:sz w:val="24"/>
      <w:szCs w:val="20"/>
    </w:rPr>
  </w:style>
  <w:style w:type="paragraph" w:customStyle="1" w:styleId="205">
    <w:name w:val="xl32"/>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206">
    <w:name w:val="无间隔1"/>
    <w:qFormat/>
    <w:uiPriority w:val="0"/>
    <w:rPr>
      <w:rFonts w:ascii="Times New Roman" w:hAnsi="Times New Roman" w:eastAsia="宋体" w:cs="Times New Roman"/>
      <w:sz w:val="22"/>
      <w:szCs w:val="22"/>
      <w:lang w:val="en-US" w:eastAsia="en-US" w:bidi="ar-SA"/>
    </w:rPr>
  </w:style>
  <w:style w:type="paragraph" w:customStyle="1" w:styleId="207">
    <w:name w:val="正文不缩进"/>
    <w:basedOn w:val="1"/>
    <w:qFormat/>
    <w:uiPriority w:val="0"/>
    <w:pPr>
      <w:spacing w:before="240" w:after="240" w:line="360" w:lineRule="auto"/>
      <w:jc w:val="left"/>
    </w:pPr>
  </w:style>
  <w:style w:type="paragraph" w:customStyle="1" w:styleId="208">
    <w:name w:val="Body Text First Indent 21"/>
    <w:basedOn w:val="162"/>
    <w:qFormat/>
    <w:uiPriority w:val="0"/>
    <w:pPr>
      <w:spacing w:after="120" w:line="240" w:lineRule="auto"/>
      <w:ind w:left="420" w:leftChars="200" w:firstLine="420" w:firstLineChars="200"/>
    </w:pPr>
    <w:rPr>
      <w:sz w:val="21"/>
    </w:rPr>
  </w:style>
  <w:style w:type="paragraph" w:customStyle="1" w:styleId="209">
    <w:name w:val="样式1"/>
    <w:basedOn w:val="1"/>
    <w:qFormat/>
    <w:uiPriority w:val="0"/>
    <w:pPr>
      <w:spacing w:line="360" w:lineRule="exact"/>
      <w:ind w:firstLine="200" w:firstLineChars="200"/>
    </w:pPr>
    <w:rPr>
      <w:rFonts w:ascii="Arial" w:hAnsi="Arial"/>
    </w:rPr>
  </w:style>
  <w:style w:type="paragraph" w:customStyle="1" w:styleId="210">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1">
    <w:name w:val="Char Char Char Char Char Char Char Char"/>
    <w:basedOn w:val="1"/>
    <w:qFormat/>
    <w:uiPriority w:val="0"/>
    <w:pPr>
      <w:tabs>
        <w:tab w:val="left" w:pos="360"/>
      </w:tabs>
    </w:pPr>
    <w:rPr>
      <w:szCs w:val="20"/>
    </w:rPr>
  </w:style>
  <w:style w:type="paragraph" w:customStyle="1" w:styleId="212">
    <w:name w:val="xl31"/>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213">
    <w:name w:val="Char2"/>
    <w:basedOn w:val="1"/>
    <w:qFormat/>
    <w:uiPriority w:val="0"/>
    <w:rPr>
      <w:rFonts w:ascii="Courier New" w:eastAsia="Courier New"/>
      <w:b/>
      <w:sz w:val="32"/>
      <w:szCs w:val="32"/>
    </w:rPr>
  </w:style>
  <w:style w:type="paragraph" w:customStyle="1" w:styleId="214">
    <w:name w:val="首行缩进"/>
    <w:basedOn w:val="1"/>
    <w:next w:val="3"/>
    <w:qFormat/>
    <w:uiPriority w:val="0"/>
    <w:pPr>
      <w:spacing w:line="360" w:lineRule="auto"/>
      <w:ind w:firstLine="480" w:firstLineChars="200"/>
    </w:pPr>
    <w:rPr>
      <w:rFonts w:ascii="宋体"/>
      <w:sz w:val="24"/>
      <w:szCs w:val="20"/>
    </w:rPr>
  </w:style>
  <w:style w:type="character" w:customStyle="1" w:styleId="215">
    <w:name w:val="font31"/>
    <w:basedOn w:val="47"/>
    <w:qFormat/>
    <w:uiPriority w:val="0"/>
    <w:rPr>
      <w:rFonts w:hint="default" w:ascii="仿宋_GB2312" w:eastAsia="仿宋_GB2312" w:cs="仿宋_GB2312"/>
      <w:color w:val="000000"/>
      <w:sz w:val="22"/>
      <w:szCs w:val="22"/>
      <w:u w:val="none"/>
    </w:rPr>
  </w:style>
  <w:style w:type="character" w:customStyle="1" w:styleId="216">
    <w:name w:val="font131"/>
    <w:basedOn w:val="47"/>
    <w:qFormat/>
    <w:uiPriority w:val="0"/>
    <w:rPr>
      <w:rFonts w:hint="eastAsia" w:ascii="宋体" w:hAnsi="宋体" w:eastAsia="宋体" w:cs="宋体"/>
      <w:color w:val="000000"/>
      <w:sz w:val="22"/>
      <w:szCs w:val="22"/>
      <w:u w:val="none"/>
    </w:rPr>
  </w:style>
  <w:style w:type="character" w:customStyle="1" w:styleId="217">
    <w:name w:val="NormalCharacter"/>
    <w:link w:val="218"/>
    <w:qFormat/>
    <w:uiPriority w:val="0"/>
    <w:rPr>
      <w:rFonts w:ascii="Calibri"/>
      <w:szCs w:val="22"/>
    </w:rPr>
  </w:style>
  <w:style w:type="paragraph" w:customStyle="1" w:styleId="218">
    <w:name w:val="UserStyle_127"/>
    <w:basedOn w:val="1"/>
    <w:link w:val="217"/>
    <w:qFormat/>
    <w:uiPriority w:val="0"/>
    <w:pPr>
      <w:spacing w:after="160" w:line="240" w:lineRule="exact"/>
      <w:jc w:val="left"/>
    </w:pPr>
    <w:rPr>
      <w:szCs w:val="22"/>
    </w:rPr>
  </w:style>
  <w:style w:type="character" w:customStyle="1" w:styleId="219">
    <w:name w:val="hover29"/>
    <w:basedOn w:val="47"/>
    <w:qFormat/>
    <w:uiPriority w:val="0"/>
    <w:rPr>
      <w:color w:val="315EFB"/>
    </w:rPr>
  </w:style>
  <w:style w:type="character" w:customStyle="1" w:styleId="220">
    <w:name w:val="hover30"/>
    <w:basedOn w:val="47"/>
    <w:qFormat/>
    <w:uiPriority w:val="0"/>
    <w:rPr>
      <w:color w:val="315EFB"/>
      <w:shd w:val="clear" w:color="auto" w:fill="F0F3FD"/>
    </w:rPr>
  </w:style>
  <w:style w:type="character" w:customStyle="1" w:styleId="221">
    <w:name w:val="hover31"/>
    <w:basedOn w:val="47"/>
    <w:qFormat/>
    <w:uiPriority w:val="0"/>
  </w:style>
  <w:style w:type="character" w:customStyle="1" w:styleId="222">
    <w:name w:val="hover32"/>
    <w:basedOn w:val="47"/>
    <w:qFormat/>
    <w:uiPriority w:val="0"/>
    <w:rPr>
      <w:color w:val="315EFB"/>
    </w:rPr>
  </w:style>
  <w:style w:type="character" w:customStyle="1" w:styleId="223">
    <w:name w:val="c-icon32"/>
    <w:basedOn w:val="47"/>
    <w:qFormat/>
    <w:uiPriority w:val="0"/>
  </w:style>
  <w:style w:type="character" w:customStyle="1" w:styleId="224">
    <w:name w:val="ec_d20_recomm_link1"/>
    <w:basedOn w:val="47"/>
    <w:qFormat/>
    <w:uiPriority w:val="0"/>
    <w:rPr>
      <w:shd w:val="clear" w:color="auto" w:fill="F5F5F6"/>
    </w:rPr>
  </w:style>
  <w:style w:type="paragraph" w:customStyle="1" w:styleId="225">
    <w:name w:val="中等深浅网格 2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26">
    <w:name w:val="fontstyle01"/>
    <w:basedOn w:val="47"/>
    <w:qFormat/>
    <w:uiPriority w:val="0"/>
    <w:rPr>
      <w:rFonts w:ascii="MicrosoftYaHei" w:hAnsi="MicrosoftYaHei" w:eastAsia="MicrosoftYaHei" w:cs="MicrosoftYaHei"/>
      <w:color w:val="000000"/>
      <w:sz w:val="48"/>
      <w:szCs w:val="48"/>
    </w:rPr>
  </w:style>
  <w:style w:type="paragraph" w:customStyle="1" w:styleId="22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228">
    <w:name w:val="font112"/>
    <w:basedOn w:val="47"/>
    <w:qFormat/>
    <w:uiPriority w:val="0"/>
    <w:rPr>
      <w:rFonts w:hint="eastAsia" w:ascii="宋体" w:hAnsi="宋体" w:eastAsia="宋体" w:cs="宋体"/>
      <w:strike/>
      <w:color w:val="4874CB"/>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94</Pages>
  <Words>17711</Words>
  <Characters>18394</Characters>
  <Lines>360</Lines>
  <Paragraphs>101</Paragraphs>
  <TotalTime>8</TotalTime>
  <ScaleCrop>false</ScaleCrop>
  <LinksUpToDate>false</LinksUpToDate>
  <CharactersWithSpaces>18850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2022-09-30T20:37:00Z</dcterms:created>
  <dc:creator>微软用户</dc:creator>
  <cp:lastModifiedBy>唐稳</cp:lastModifiedBy>
  <cp:lastPrinted>2025-01-02T07:02:00Z</cp:lastPrinted>
  <dcterms:modified xsi:type="dcterms:W3CDTF">2025-07-04T06:30:20Z</dcterms:modified>
  <dc:title>杭州下沙服务外包人才培训基地</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914FF6ADC38948B1838C288108A4E108_13</vt:lpwstr>
  </property>
  <property fmtid="{D5CDD505-2E9C-101B-9397-08002B2CF9AE}" pid="4" name="KSOTemplateDocerSaveRecord">
    <vt:lpwstr>eyJoZGlkIjoiNTQzMGExYzQ5NDk2OTJiODgzOWVmMWVlZmFhNWQ2ODciLCJ1c2VySWQiOiI1ODI1MDg5NzUifQ==</vt:lpwstr>
  </property>
</Properties>
</file>